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DDDDB4">
      <w:pPr>
        <w:widowControl/>
        <w:spacing w:line="360" w:lineRule="auto"/>
        <w:jc w:val="center"/>
        <w:rPr>
          <w:rFonts w:ascii="仿宋" w:hAnsi="仿宋" w:cs="仿宋"/>
          <w:b/>
          <w:color w:val="auto"/>
          <w:sz w:val="48"/>
          <w:szCs w:val="48"/>
        </w:rPr>
      </w:pPr>
      <w:r>
        <w:rPr>
          <w:rFonts w:hint="eastAsia" w:ascii="仿宋" w:hAnsi="仿宋" w:cs="仿宋"/>
          <w:b/>
          <w:color w:val="auto"/>
          <w:sz w:val="48"/>
          <w:szCs w:val="48"/>
        </w:rPr>
        <w:t xml:space="preserve"> </w:t>
      </w:r>
    </w:p>
    <w:p w14:paraId="328EDC82">
      <w:pPr>
        <w:spacing w:line="240" w:lineRule="atLeast"/>
        <w:rPr>
          <w:rFonts w:ascii="仿宋" w:hAnsi="仿宋" w:cs="仿宋"/>
          <w:b/>
          <w:color w:val="auto"/>
          <w:sz w:val="44"/>
          <w:szCs w:val="44"/>
        </w:rPr>
      </w:pPr>
    </w:p>
    <w:p w14:paraId="299A6636">
      <w:pPr>
        <w:spacing w:line="240" w:lineRule="atLeast"/>
        <w:jc w:val="center"/>
        <w:rPr>
          <w:rFonts w:ascii="仿宋" w:hAnsi="仿宋" w:cs="仿宋"/>
          <w:bCs/>
          <w:color w:val="auto"/>
          <w:sz w:val="52"/>
          <w:szCs w:val="52"/>
        </w:rPr>
      </w:pPr>
      <w:r>
        <w:rPr>
          <w:rFonts w:hint="eastAsia" w:ascii="仿宋" w:hAnsi="仿宋" w:cs="仿宋"/>
          <w:b/>
          <w:color w:val="auto"/>
          <w:sz w:val="44"/>
          <w:szCs w:val="44"/>
        </w:rPr>
        <w:t>新疆和田县康西瓦东金矿调查评价项目（钻探）</w:t>
      </w:r>
      <w:r>
        <w:rPr>
          <w:rFonts w:hint="eastAsia" w:ascii="仿宋" w:hAnsi="仿宋" w:cs="仿宋"/>
          <w:bCs/>
          <w:color w:val="auto"/>
          <w:sz w:val="52"/>
          <w:szCs w:val="52"/>
        </w:rPr>
        <w:t xml:space="preserve"> </w:t>
      </w:r>
    </w:p>
    <w:p w14:paraId="46C05AA2">
      <w:pPr>
        <w:spacing w:line="240" w:lineRule="atLeast"/>
        <w:jc w:val="center"/>
        <w:rPr>
          <w:rFonts w:ascii="仿宋" w:hAnsi="仿宋" w:cs="仿宋"/>
          <w:bCs/>
          <w:color w:val="auto"/>
          <w:sz w:val="52"/>
          <w:szCs w:val="52"/>
        </w:rPr>
      </w:pPr>
    </w:p>
    <w:p w14:paraId="22553ADD">
      <w:pPr>
        <w:spacing w:line="240" w:lineRule="atLeast"/>
        <w:jc w:val="center"/>
        <w:rPr>
          <w:rFonts w:ascii="仿宋" w:hAnsi="仿宋" w:cs="仿宋"/>
          <w:bCs/>
          <w:color w:val="auto"/>
          <w:sz w:val="52"/>
          <w:szCs w:val="52"/>
        </w:rPr>
      </w:pPr>
      <w:r>
        <w:rPr>
          <w:rFonts w:hint="eastAsia" w:ascii="仿宋" w:hAnsi="仿宋" w:cs="仿宋"/>
          <w:b/>
          <w:color w:val="auto"/>
          <w:sz w:val="52"/>
          <w:szCs w:val="52"/>
        </w:rPr>
        <w:t>采购文件</w:t>
      </w:r>
    </w:p>
    <w:p w14:paraId="1598DC7B">
      <w:pPr>
        <w:pStyle w:val="5"/>
        <w:tabs>
          <w:tab w:val="left" w:pos="567"/>
        </w:tabs>
        <w:ind w:firstLine="180"/>
        <w:rPr>
          <w:color w:val="auto"/>
        </w:rPr>
      </w:pPr>
    </w:p>
    <w:p w14:paraId="4068436E">
      <w:pPr>
        <w:spacing w:line="240" w:lineRule="atLeast"/>
        <w:ind w:left="1080" w:leftChars="257" w:hanging="540"/>
        <w:jc w:val="center"/>
        <w:rPr>
          <w:rFonts w:ascii="仿宋" w:hAnsi="仿宋" w:cs="仿宋"/>
          <w:bCs/>
          <w:color w:val="auto"/>
          <w:sz w:val="32"/>
          <w:szCs w:val="32"/>
        </w:rPr>
      </w:pPr>
    </w:p>
    <w:p w14:paraId="2CACED21">
      <w:pPr>
        <w:spacing w:line="240" w:lineRule="atLeast"/>
        <w:ind w:left="1080" w:leftChars="257" w:hanging="540"/>
        <w:jc w:val="center"/>
        <w:rPr>
          <w:rFonts w:ascii="仿宋" w:hAnsi="仿宋" w:cs="仿宋"/>
          <w:bCs/>
          <w:color w:val="auto"/>
          <w:sz w:val="32"/>
          <w:szCs w:val="32"/>
        </w:rPr>
      </w:pPr>
    </w:p>
    <w:p w14:paraId="515BD013">
      <w:pPr>
        <w:spacing w:line="240" w:lineRule="atLeast"/>
        <w:ind w:left="1080" w:leftChars="257" w:hanging="540"/>
        <w:jc w:val="center"/>
        <w:rPr>
          <w:rFonts w:ascii="仿宋" w:hAnsi="仿宋" w:cs="仿宋"/>
          <w:bCs/>
          <w:color w:val="auto"/>
          <w:sz w:val="32"/>
          <w:szCs w:val="32"/>
        </w:rPr>
      </w:pPr>
    </w:p>
    <w:p w14:paraId="57FBB7BB">
      <w:pPr>
        <w:spacing w:line="240" w:lineRule="atLeast"/>
        <w:ind w:left="1080" w:leftChars="257" w:hanging="540"/>
        <w:jc w:val="center"/>
        <w:rPr>
          <w:rFonts w:ascii="仿宋" w:hAnsi="仿宋" w:cs="仿宋"/>
          <w:bCs/>
          <w:color w:val="auto"/>
          <w:sz w:val="32"/>
          <w:szCs w:val="32"/>
        </w:rPr>
      </w:pPr>
    </w:p>
    <w:p w14:paraId="4E57BDD5">
      <w:pPr>
        <w:spacing w:line="240" w:lineRule="atLeast"/>
        <w:jc w:val="center"/>
        <w:rPr>
          <w:rFonts w:ascii="仿宋" w:hAnsi="仿宋" w:cs="仿宋"/>
          <w:bCs/>
          <w:color w:val="auto"/>
          <w:sz w:val="32"/>
          <w:szCs w:val="32"/>
        </w:rPr>
      </w:pPr>
      <w:r>
        <w:rPr>
          <w:rFonts w:hint="eastAsia" w:ascii="仿宋" w:hAnsi="仿宋" w:cs="仿宋"/>
          <w:bCs/>
          <w:color w:val="auto"/>
          <w:sz w:val="32"/>
          <w:szCs w:val="32"/>
        </w:rPr>
        <w:t>项目编号：GYZB-2025-26-CG</w:t>
      </w:r>
    </w:p>
    <w:p w14:paraId="28D9F3C2">
      <w:pPr>
        <w:spacing w:line="240" w:lineRule="atLeast"/>
        <w:ind w:left="1080" w:leftChars="257" w:hanging="540"/>
        <w:jc w:val="center"/>
        <w:rPr>
          <w:rFonts w:ascii="仿宋" w:hAnsi="仿宋" w:cs="仿宋"/>
          <w:b/>
          <w:color w:val="auto"/>
          <w:sz w:val="32"/>
          <w:szCs w:val="32"/>
        </w:rPr>
      </w:pPr>
    </w:p>
    <w:p w14:paraId="6C83F1C2">
      <w:pPr>
        <w:spacing w:line="240" w:lineRule="atLeast"/>
        <w:ind w:left="1080" w:leftChars="257" w:hanging="540"/>
        <w:jc w:val="center"/>
        <w:rPr>
          <w:rFonts w:ascii="仿宋" w:hAnsi="仿宋" w:cs="仿宋"/>
          <w:b/>
          <w:color w:val="auto"/>
          <w:sz w:val="52"/>
        </w:rPr>
      </w:pPr>
    </w:p>
    <w:p w14:paraId="45BC5AD7">
      <w:pPr>
        <w:spacing w:line="360" w:lineRule="auto"/>
        <w:ind w:firstLine="837" w:firstLineChars="299"/>
        <w:jc w:val="left"/>
        <w:rPr>
          <w:rFonts w:ascii="仿宋" w:hAnsi="仿宋" w:cs="仿宋"/>
          <w:color w:val="auto"/>
          <w:sz w:val="28"/>
          <w:szCs w:val="28"/>
        </w:rPr>
      </w:pPr>
    </w:p>
    <w:p w14:paraId="03B395A0">
      <w:pPr>
        <w:pStyle w:val="123"/>
        <w:ind w:firstLine="420"/>
        <w:rPr>
          <w:color w:val="auto"/>
        </w:rPr>
      </w:pPr>
    </w:p>
    <w:p w14:paraId="4CB0934D">
      <w:pPr>
        <w:spacing w:line="360" w:lineRule="auto"/>
        <w:ind w:firstLine="837" w:firstLineChars="299"/>
        <w:jc w:val="left"/>
        <w:rPr>
          <w:rFonts w:ascii="仿宋" w:hAnsi="仿宋" w:cs="仿宋"/>
          <w:color w:val="auto"/>
          <w:sz w:val="28"/>
          <w:szCs w:val="28"/>
        </w:rPr>
      </w:pPr>
    </w:p>
    <w:p w14:paraId="429CE67B">
      <w:pPr>
        <w:spacing w:line="360" w:lineRule="auto"/>
        <w:ind w:firstLine="837" w:firstLineChars="299"/>
        <w:jc w:val="left"/>
        <w:rPr>
          <w:rFonts w:ascii="仿宋" w:hAnsi="仿宋" w:cs="仿宋"/>
          <w:color w:val="auto"/>
          <w:sz w:val="28"/>
          <w:szCs w:val="28"/>
        </w:rPr>
      </w:pPr>
    </w:p>
    <w:p w14:paraId="418A5EDE">
      <w:pPr>
        <w:spacing w:line="360" w:lineRule="auto"/>
        <w:ind w:firstLine="837" w:firstLineChars="299"/>
        <w:jc w:val="left"/>
        <w:rPr>
          <w:rFonts w:ascii="仿宋" w:hAnsi="仿宋" w:cs="仿宋"/>
          <w:color w:val="auto"/>
          <w:sz w:val="28"/>
          <w:szCs w:val="28"/>
        </w:rPr>
      </w:pPr>
    </w:p>
    <w:p w14:paraId="74BB21CF">
      <w:pPr>
        <w:spacing w:line="360" w:lineRule="auto"/>
        <w:ind w:firstLine="837" w:firstLineChars="299"/>
        <w:jc w:val="left"/>
        <w:rPr>
          <w:rFonts w:ascii="仿宋" w:hAnsi="仿宋" w:cs="仿宋"/>
          <w:color w:val="auto"/>
          <w:sz w:val="28"/>
          <w:szCs w:val="28"/>
          <w:u w:val="single"/>
        </w:rPr>
      </w:pPr>
      <w:r>
        <w:rPr>
          <w:rFonts w:hint="eastAsia" w:ascii="仿宋" w:hAnsi="仿宋" w:cs="仿宋"/>
          <w:color w:val="auto"/>
          <w:sz w:val="28"/>
          <w:szCs w:val="28"/>
        </w:rPr>
        <w:t>采 购 人：</w:t>
      </w:r>
      <w:r>
        <w:rPr>
          <w:rFonts w:hint="eastAsia" w:ascii="仿宋" w:hAnsi="仿宋" w:cs="仿宋"/>
          <w:color w:val="auto"/>
          <w:sz w:val="28"/>
          <w:szCs w:val="28"/>
          <w:u w:val="single"/>
        </w:rPr>
        <w:t>新疆维吾尔自治区地质研究院</w:t>
      </w:r>
    </w:p>
    <w:p w14:paraId="5C7C5401">
      <w:pPr>
        <w:spacing w:line="600" w:lineRule="exact"/>
        <w:ind w:firstLine="837" w:firstLineChars="299"/>
        <w:rPr>
          <w:rFonts w:ascii="仿宋" w:hAnsi="仿宋" w:cs="仿宋"/>
          <w:color w:val="auto"/>
          <w:sz w:val="28"/>
          <w:szCs w:val="28"/>
        </w:rPr>
      </w:pPr>
      <w:r>
        <w:rPr>
          <w:rFonts w:hint="eastAsia" w:ascii="仿宋" w:hAnsi="仿宋" w:cs="仿宋"/>
          <w:color w:val="auto"/>
          <w:sz w:val="28"/>
          <w:szCs w:val="28"/>
        </w:rPr>
        <w:t>采购机构：</w:t>
      </w:r>
      <w:r>
        <w:rPr>
          <w:rFonts w:hint="eastAsia" w:ascii="仿宋" w:hAnsi="仿宋" w:cs="仿宋"/>
          <w:color w:val="auto"/>
          <w:sz w:val="28"/>
          <w:szCs w:val="28"/>
          <w:u w:val="single"/>
        </w:rPr>
        <w:t>新疆国源土地矿产资源交易中心（有限公司）</w:t>
      </w:r>
      <w:r>
        <w:rPr>
          <w:rFonts w:hint="eastAsia" w:ascii="仿宋" w:hAnsi="仿宋" w:cs="仿宋"/>
          <w:color w:val="auto"/>
          <w:sz w:val="28"/>
          <w:szCs w:val="28"/>
        </w:rPr>
        <w:t xml:space="preserve"> </w:t>
      </w:r>
    </w:p>
    <w:p w14:paraId="2CCF064F">
      <w:pPr>
        <w:spacing w:line="360" w:lineRule="auto"/>
        <w:ind w:firstLine="840" w:firstLineChars="300"/>
        <w:rPr>
          <w:rFonts w:ascii="仿宋" w:hAnsi="仿宋" w:cs="仿宋"/>
          <w:color w:val="auto"/>
          <w:sz w:val="28"/>
          <w:szCs w:val="28"/>
        </w:rPr>
      </w:pPr>
    </w:p>
    <w:p w14:paraId="2DD92EC5">
      <w:pPr>
        <w:spacing w:line="360" w:lineRule="auto"/>
        <w:ind w:firstLine="840" w:firstLineChars="300"/>
        <w:rPr>
          <w:rFonts w:ascii="仿宋" w:hAnsi="仿宋" w:cs="仿宋"/>
          <w:color w:val="auto"/>
          <w:sz w:val="28"/>
          <w:szCs w:val="28"/>
          <w:u w:val="single"/>
        </w:rPr>
        <w:sectPr>
          <w:headerReference r:id="rId3" w:type="default"/>
          <w:headerReference r:id="rId4" w:type="even"/>
          <w:footerReference r:id="rId5" w:type="even"/>
          <w:pgSz w:w="11906" w:h="16838"/>
          <w:pgMar w:top="1276" w:right="1418" w:bottom="1247" w:left="1418" w:header="851" w:footer="992" w:gutter="0"/>
          <w:cols w:space="720" w:num="1"/>
          <w:titlePg/>
          <w:docGrid w:linePitch="312" w:charSpace="0"/>
        </w:sectPr>
      </w:pPr>
      <w:r>
        <w:rPr>
          <w:rFonts w:hint="eastAsia" w:ascii="仿宋" w:hAnsi="仿宋" w:cs="仿宋"/>
          <w:color w:val="auto"/>
          <w:sz w:val="28"/>
          <w:szCs w:val="28"/>
        </w:rPr>
        <w:t>发出日期：</w:t>
      </w:r>
      <w:r>
        <w:rPr>
          <w:rFonts w:hint="eastAsia" w:ascii="仿宋" w:hAnsi="仿宋" w:cs="仿宋"/>
          <w:color w:val="auto"/>
          <w:sz w:val="28"/>
          <w:szCs w:val="28"/>
          <w:u w:val="single"/>
        </w:rPr>
        <w:t>2025年4月</w:t>
      </w:r>
    </w:p>
    <w:p w14:paraId="3C77F92D">
      <w:pPr>
        <w:pStyle w:val="44"/>
        <w:spacing w:beforeAutospacing="0" w:line="560" w:lineRule="exact"/>
        <w:jc w:val="center"/>
        <w:rPr>
          <w:rFonts w:cs="宋体"/>
          <w:b/>
          <w:color w:val="auto"/>
          <w:sz w:val="36"/>
          <w:szCs w:val="20"/>
        </w:rPr>
      </w:pPr>
      <w:bookmarkStart w:id="0" w:name="_Toc27338"/>
      <w:bookmarkStart w:id="1" w:name="_Toc9459"/>
      <w:bookmarkStart w:id="2" w:name="_Toc148505181"/>
      <w:bookmarkStart w:id="3" w:name="_Toc101247312"/>
      <w:bookmarkStart w:id="4" w:name="_Toc101234248"/>
      <w:bookmarkStart w:id="5" w:name="_Toc101328520"/>
      <w:r>
        <w:rPr>
          <w:rFonts w:hint="eastAsia" w:cs="宋体"/>
          <w:b/>
          <w:color w:val="auto"/>
          <w:sz w:val="36"/>
          <w:szCs w:val="20"/>
        </w:rPr>
        <w:t>目录</w:t>
      </w:r>
    </w:p>
    <w:p w14:paraId="2981CC9B">
      <w:pPr>
        <w:pStyle w:val="32"/>
        <w:tabs>
          <w:tab w:val="right" w:leader="hyphen" w:pos="8312"/>
          <w:tab w:val="clear" w:pos="709"/>
          <w:tab w:val="clear" w:pos="8364"/>
        </w:tabs>
        <w:rPr>
          <w:rFonts w:ascii="黑体" w:hAnsi="黑体" w:eastAsia="黑体" w:cs="黑体"/>
          <w:color w:val="auto"/>
          <w:sz w:val="28"/>
          <w:szCs w:val="28"/>
        </w:rPr>
      </w:pP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TOC \o "1-1" \h \u </w:instrText>
      </w:r>
      <w:r>
        <w:rPr>
          <w:rFonts w:hint="eastAsia" w:ascii="黑体" w:hAnsi="黑体" w:eastAsia="黑体" w:cs="黑体"/>
          <w:color w:val="auto"/>
          <w:sz w:val="28"/>
          <w:szCs w:val="28"/>
        </w:rPr>
        <w:fldChar w:fldCharType="separate"/>
      </w:r>
      <w:r>
        <w:rPr>
          <w:color w:val="auto"/>
        </w:rPr>
        <w:fldChar w:fldCharType="begin"/>
      </w:r>
      <w:r>
        <w:rPr>
          <w:color w:val="auto"/>
        </w:rPr>
        <w:instrText xml:space="preserve"> HYPERLINK \l "_Toc10001" </w:instrText>
      </w:r>
      <w:r>
        <w:rPr>
          <w:color w:val="auto"/>
        </w:rPr>
        <w:fldChar w:fldCharType="separate"/>
      </w:r>
      <w:r>
        <w:rPr>
          <w:rFonts w:hint="eastAsia" w:ascii="黑体" w:hAnsi="黑体" w:eastAsia="黑体" w:cs="黑体"/>
          <w:color w:val="auto"/>
          <w:sz w:val="28"/>
          <w:szCs w:val="28"/>
        </w:rPr>
        <w:t>第1章 招标公告</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_Toc10001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1</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12619A23">
      <w:pPr>
        <w:pStyle w:val="32"/>
        <w:tabs>
          <w:tab w:val="right" w:leader="hyphen" w:pos="8312"/>
          <w:tab w:val="clear" w:pos="709"/>
          <w:tab w:val="clear" w:pos="8364"/>
        </w:tabs>
        <w:rPr>
          <w:rFonts w:ascii="黑体" w:hAnsi="黑体" w:eastAsia="黑体" w:cs="黑体"/>
          <w:color w:val="auto"/>
          <w:sz w:val="28"/>
          <w:szCs w:val="28"/>
        </w:rPr>
      </w:pPr>
      <w:r>
        <w:rPr>
          <w:color w:val="auto"/>
        </w:rPr>
        <w:fldChar w:fldCharType="begin"/>
      </w:r>
      <w:r>
        <w:rPr>
          <w:color w:val="auto"/>
        </w:rPr>
        <w:instrText xml:space="preserve"> HYPERLINK \l "_Toc15318" </w:instrText>
      </w:r>
      <w:r>
        <w:rPr>
          <w:color w:val="auto"/>
        </w:rPr>
        <w:fldChar w:fldCharType="separate"/>
      </w:r>
      <w:r>
        <w:rPr>
          <w:rFonts w:hint="eastAsia" w:ascii="黑体" w:hAnsi="黑体" w:eastAsia="黑体" w:cs="黑体"/>
          <w:color w:val="auto"/>
          <w:spacing w:val="-20"/>
          <w:kern w:val="44"/>
          <w:sz w:val="28"/>
          <w:szCs w:val="28"/>
        </w:rPr>
        <w:t>第2章 投标人须知</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_Toc15318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5</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0B547889">
      <w:pPr>
        <w:pStyle w:val="32"/>
        <w:tabs>
          <w:tab w:val="right" w:leader="hyphen" w:pos="8312"/>
          <w:tab w:val="clear" w:pos="709"/>
          <w:tab w:val="clear" w:pos="8364"/>
        </w:tabs>
        <w:rPr>
          <w:rFonts w:ascii="黑体" w:hAnsi="黑体" w:eastAsia="黑体" w:cs="黑体"/>
          <w:color w:val="auto"/>
          <w:sz w:val="28"/>
          <w:szCs w:val="28"/>
        </w:rPr>
      </w:pPr>
      <w:r>
        <w:rPr>
          <w:color w:val="auto"/>
        </w:rPr>
        <w:fldChar w:fldCharType="begin"/>
      </w:r>
      <w:r>
        <w:rPr>
          <w:color w:val="auto"/>
        </w:rPr>
        <w:instrText xml:space="preserve"> HYPERLINK \l "_Toc10696" </w:instrText>
      </w:r>
      <w:r>
        <w:rPr>
          <w:color w:val="auto"/>
        </w:rPr>
        <w:fldChar w:fldCharType="separate"/>
      </w:r>
      <w:r>
        <w:rPr>
          <w:rFonts w:hint="eastAsia" w:ascii="黑体" w:hAnsi="黑体" w:eastAsia="黑体" w:cs="黑体"/>
          <w:color w:val="auto"/>
          <w:spacing w:val="-20"/>
          <w:kern w:val="44"/>
          <w:sz w:val="28"/>
          <w:szCs w:val="28"/>
        </w:rPr>
        <w:t>第3章 投标文件格式</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_Toc10696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19</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7B794058">
      <w:pPr>
        <w:pStyle w:val="32"/>
        <w:tabs>
          <w:tab w:val="right" w:leader="hyphen" w:pos="8312"/>
          <w:tab w:val="clear" w:pos="709"/>
          <w:tab w:val="clear" w:pos="8364"/>
        </w:tabs>
        <w:rPr>
          <w:rFonts w:ascii="黑体" w:hAnsi="黑体" w:eastAsia="黑体" w:cs="黑体"/>
          <w:color w:val="auto"/>
          <w:sz w:val="28"/>
          <w:szCs w:val="28"/>
        </w:rPr>
      </w:pPr>
      <w:r>
        <w:rPr>
          <w:color w:val="auto"/>
        </w:rPr>
        <w:fldChar w:fldCharType="begin"/>
      </w:r>
      <w:r>
        <w:rPr>
          <w:color w:val="auto"/>
        </w:rPr>
        <w:instrText xml:space="preserve"> HYPERLINK \l "_Toc32736" </w:instrText>
      </w:r>
      <w:r>
        <w:rPr>
          <w:color w:val="auto"/>
        </w:rPr>
        <w:fldChar w:fldCharType="separate"/>
      </w:r>
      <w:r>
        <w:rPr>
          <w:rFonts w:hint="eastAsia" w:ascii="黑体" w:hAnsi="黑体" w:eastAsia="黑体" w:cs="黑体"/>
          <w:color w:val="auto"/>
          <w:sz w:val="28"/>
          <w:szCs w:val="28"/>
        </w:rPr>
        <w:t>第4章 采购需求</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_Toc32736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30</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73FDA5B3">
      <w:pPr>
        <w:pStyle w:val="32"/>
        <w:tabs>
          <w:tab w:val="right" w:leader="hyphen" w:pos="8312"/>
          <w:tab w:val="clear" w:pos="709"/>
          <w:tab w:val="clear" w:pos="8364"/>
        </w:tabs>
        <w:rPr>
          <w:rFonts w:ascii="黑体" w:hAnsi="黑体" w:eastAsia="黑体" w:cs="黑体"/>
          <w:color w:val="auto"/>
          <w:sz w:val="28"/>
          <w:szCs w:val="28"/>
        </w:rPr>
      </w:pPr>
      <w:r>
        <w:rPr>
          <w:color w:val="auto"/>
        </w:rPr>
        <w:fldChar w:fldCharType="begin"/>
      </w:r>
      <w:r>
        <w:rPr>
          <w:color w:val="auto"/>
        </w:rPr>
        <w:instrText xml:space="preserve"> HYPERLINK \l "_Toc28612" </w:instrText>
      </w:r>
      <w:r>
        <w:rPr>
          <w:color w:val="auto"/>
        </w:rPr>
        <w:fldChar w:fldCharType="separate"/>
      </w:r>
      <w:r>
        <w:rPr>
          <w:rFonts w:hint="eastAsia" w:ascii="黑体" w:hAnsi="黑体" w:eastAsia="黑体" w:cs="黑体"/>
          <w:color w:val="auto"/>
          <w:sz w:val="28"/>
          <w:szCs w:val="28"/>
        </w:rPr>
        <w:t>第5章 资格性审查</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_Toc28612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38</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73C8D4CE">
      <w:pPr>
        <w:pStyle w:val="32"/>
        <w:tabs>
          <w:tab w:val="right" w:leader="hyphen" w:pos="8312"/>
          <w:tab w:val="clear" w:pos="709"/>
          <w:tab w:val="clear" w:pos="8364"/>
        </w:tabs>
        <w:rPr>
          <w:rFonts w:ascii="黑体" w:hAnsi="黑体" w:eastAsia="黑体" w:cs="黑体"/>
          <w:color w:val="auto"/>
          <w:sz w:val="28"/>
          <w:szCs w:val="28"/>
        </w:rPr>
      </w:pPr>
      <w:r>
        <w:rPr>
          <w:color w:val="auto"/>
        </w:rPr>
        <w:fldChar w:fldCharType="begin"/>
      </w:r>
      <w:r>
        <w:rPr>
          <w:color w:val="auto"/>
        </w:rPr>
        <w:instrText xml:space="preserve"> HYPERLINK \l "_Toc5057" </w:instrText>
      </w:r>
      <w:r>
        <w:rPr>
          <w:color w:val="auto"/>
        </w:rPr>
        <w:fldChar w:fldCharType="separate"/>
      </w:r>
      <w:r>
        <w:rPr>
          <w:rFonts w:hint="eastAsia" w:ascii="黑体" w:hAnsi="黑体" w:eastAsia="黑体" w:cs="黑体"/>
          <w:color w:val="auto"/>
          <w:spacing w:val="-20"/>
          <w:kern w:val="44"/>
          <w:sz w:val="28"/>
          <w:szCs w:val="28"/>
        </w:rPr>
        <w:t>第6章 评标办法</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_Toc5057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40</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591F4829">
      <w:pPr>
        <w:pStyle w:val="32"/>
        <w:tabs>
          <w:tab w:val="right" w:leader="hyphen" w:pos="8312"/>
          <w:tab w:val="clear" w:pos="709"/>
          <w:tab w:val="clear" w:pos="8364"/>
        </w:tabs>
        <w:rPr>
          <w:rFonts w:ascii="黑体" w:hAnsi="黑体" w:eastAsia="黑体" w:cs="黑体"/>
          <w:color w:val="auto"/>
          <w:sz w:val="28"/>
          <w:szCs w:val="28"/>
        </w:rPr>
      </w:pPr>
      <w:r>
        <w:rPr>
          <w:color w:val="auto"/>
        </w:rPr>
        <w:fldChar w:fldCharType="begin"/>
      </w:r>
      <w:r>
        <w:rPr>
          <w:color w:val="auto"/>
        </w:rPr>
        <w:instrText xml:space="preserve"> HYPERLINK \l "_Toc11838" </w:instrText>
      </w:r>
      <w:r>
        <w:rPr>
          <w:color w:val="auto"/>
        </w:rPr>
        <w:fldChar w:fldCharType="separate"/>
      </w:r>
      <w:r>
        <w:rPr>
          <w:rFonts w:hint="eastAsia" w:ascii="黑体" w:hAnsi="黑体" w:eastAsia="黑体" w:cs="黑体"/>
          <w:color w:val="auto"/>
          <w:spacing w:val="-20"/>
          <w:kern w:val="44"/>
          <w:sz w:val="28"/>
          <w:szCs w:val="28"/>
        </w:rPr>
        <w:t>第7章 拟签订的合同文本</w:t>
      </w:r>
      <w:r>
        <w:rPr>
          <w:rFonts w:hint="eastAsia" w:ascii="黑体" w:hAnsi="黑体" w:eastAsia="黑体" w:cs="黑体"/>
          <w:color w:val="auto"/>
          <w:sz w:val="28"/>
          <w:szCs w:val="28"/>
        </w:rPr>
        <w:tab/>
      </w:r>
      <w:r>
        <w:rPr>
          <w:rFonts w:hint="eastAsia" w:ascii="黑体" w:hAnsi="黑体" w:eastAsia="黑体" w:cs="黑体"/>
          <w:color w:val="auto"/>
          <w:sz w:val="28"/>
          <w:szCs w:val="28"/>
        </w:rPr>
        <w:fldChar w:fldCharType="begin"/>
      </w:r>
      <w:r>
        <w:rPr>
          <w:rFonts w:hint="eastAsia" w:ascii="黑体" w:hAnsi="黑体" w:eastAsia="黑体" w:cs="黑体"/>
          <w:color w:val="auto"/>
          <w:sz w:val="28"/>
          <w:szCs w:val="28"/>
        </w:rPr>
        <w:instrText xml:space="preserve"> PAGEREF _Toc11838 \h </w:instrText>
      </w:r>
      <w:r>
        <w:rPr>
          <w:rFonts w:hint="eastAsia" w:ascii="黑体" w:hAnsi="黑体" w:eastAsia="黑体" w:cs="黑体"/>
          <w:color w:val="auto"/>
          <w:sz w:val="28"/>
          <w:szCs w:val="28"/>
        </w:rPr>
        <w:fldChar w:fldCharType="separate"/>
      </w:r>
      <w:r>
        <w:rPr>
          <w:rFonts w:hint="eastAsia" w:ascii="黑体" w:hAnsi="黑体" w:eastAsia="黑体" w:cs="黑体"/>
          <w:color w:val="auto"/>
          <w:sz w:val="28"/>
          <w:szCs w:val="28"/>
        </w:rPr>
        <w:t>53</w:t>
      </w:r>
      <w:r>
        <w:rPr>
          <w:rFonts w:hint="eastAsia" w:ascii="黑体" w:hAnsi="黑体" w:eastAsia="黑体" w:cs="黑体"/>
          <w:color w:val="auto"/>
          <w:sz w:val="28"/>
          <w:szCs w:val="28"/>
        </w:rPr>
        <w:fldChar w:fldCharType="end"/>
      </w:r>
      <w:r>
        <w:rPr>
          <w:rFonts w:hint="eastAsia" w:ascii="黑体" w:hAnsi="黑体" w:eastAsia="黑体" w:cs="黑体"/>
          <w:color w:val="auto"/>
          <w:sz w:val="28"/>
          <w:szCs w:val="28"/>
        </w:rPr>
        <w:fldChar w:fldCharType="end"/>
      </w:r>
    </w:p>
    <w:p w14:paraId="42296354">
      <w:pPr>
        <w:tabs>
          <w:tab w:val="left" w:pos="1804"/>
        </w:tabs>
        <w:jc w:val="left"/>
        <w:rPr>
          <w:color w:val="auto"/>
        </w:rPr>
        <w:sectPr>
          <w:footerReference r:id="rId6" w:type="default"/>
          <w:pgSz w:w="11906" w:h="16838"/>
          <w:pgMar w:top="1440" w:right="1797" w:bottom="1440" w:left="1797" w:header="851" w:footer="992" w:gutter="0"/>
          <w:pgNumType w:start="1"/>
          <w:cols w:space="720" w:num="1"/>
          <w:docGrid w:type="linesAndChars" w:linePitch="312" w:charSpace="0"/>
        </w:sectPr>
      </w:pPr>
      <w:r>
        <w:rPr>
          <w:rFonts w:hint="eastAsia" w:ascii="黑体" w:hAnsi="黑体" w:eastAsia="黑体" w:cs="黑体"/>
          <w:color w:val="auto"/>
          <w:sz w:val="28"/>
          <w:szCs w:val="28"/>
        </w:rPr>
        <w:fldChar w:fldCharType="end"/>
      </w:r>
    </w:p>
    <w:p w14:paraId="6372667B">
      <w:pPr>
        <w:pStyle w:val="44"/>
        <w:spacing w:beforeAutospacing="0" w:line="560" w:lineRule="exact"/>
        <w:jc w:val="center"/>
        <w:outlineLvl w:val="0"/>
        <w:rPr>
          <w:rFonts w:cs="宋体"/>
          <w:b/>
          <w:color w:val="auto"/>
          <w:sz w:val="36"/>
          <w:szCs w:val="20"/>
        </w:rPr>
      </w:pPr>
      <w:bookmarkStart w:id="6" w:name="_Toc10001"/>
      <w:r>
        <w:rPr>
          <w:rFonts w:hint="eastAsia" w:cs="宋体"/>
          <w:b/>
          <w:color w:val="auto"/>
          <w:sz w:val="36"/>
          <w:szCs w:val="20"/>
        </w:rPr>
        <w:t>第1章 招标公告</w:t>
      </w:r>
      <w:bookmarkEnd w:id="0"/>
      <w:bookmarkEnd w:id="1"/>
      <w:bookmarkEnd w:id="6"/>
    </w:p>
    <w:p w14:paraId="1E855AB2">
      <w:pPr>
        <w:spacing w:line="520" w:lineRule="exact"/>
        <w:ind w:firstLine="640" w:firstLineChars="200"/>
        <w:rPr>
          <w:rFonts w:ascii="仿宋" w:hAnsi="仿宋" w:cs="仿宋"/>
          <w:b/>
          <w:bCs/>
          <w:color w:val="auto"/>
          <w:sz w:val="32"/>
          <w:szCs w:val="32"/>
        </w:rPr>
      </w:pPr>
      <w:r>
        <w:rPr>
          <w:rFonts w:hint="eastAsia" w:ascii="仿宋" w:hAnsi="仿宋" w:cs="仿宋"/>
          <w:color w:val="auto"/>
          <w:sz w:val="32"/>
          <w:szCs w:val="32"/>
        </w:rPr>
        <mc:AlternateContent>
          <mc:Choice Requires="wps">
            <w:drawing>
              <wp:anchor distT="0" distB="0" distL="114300" distR="114300" simplePos="0" relativeHeight="251659264" behindDoc="0" locked="0" layoutInCell="1" allowOverlap="1">
                <wp:simplePos x="0" y="0"/>
                <wp:positionH relativeFrom="column">
                  <wp:posOffset>-120015</wp:posOffset>
                </wp:positionH>
                <wp:positionV relativeFrom="paragraph">
                  <wp:posOffset>54610</wp:posOffset>
                </wp:positionV>
                <wp:extent cx="5570855" cy="1413510"/>
                <wp:effectExtent l="4445" t="4445" r="6350" b="10795"/>
                <wp:wrapTopAndBottom/>
                <wp:docPr id="1" name="文本框 2"/>
                <wp:cNvGraphicFramePr/>
                <a:graphic xmlns:a="http://schemas.openxmlformats.org/drawingml/2006/main">
                  <a:graphicData uri="http://schemas.microsoft.com/office/word/2010/wordprocessingShape">
                    <wps:wsp>
                      <wps:cNvSpPr txBox="1"/>
                      <wps:spPr>
                        <a:xfrm>
                          <a:off x="0" y="0"/>
                          <a:ext cx="5570855" cy="141351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4B084882">
                            <w:pPr>
                              <w:spacing w:line="520" w:lineRule="exact"/>
                              <w:rPr>
                                <w:rFonts w:ascii="仿宋" w:hAnsi="仿宋" w:cs="仿宋"/>
                                <w:sz w:val="32"/>
                                <w:szCs w:val="32"/>
                              </w:rPr>
                            </w:pPr>
                            <w:r>
                              <w:rPr>
                                <w:rFonts w:hint="eastAsia" w:ascii="仿宋" w:hAnsi="仿宋" w:cs="仿宋"/>
                                <w:sz w:val="32"/>
                                <w:szCs w:val="32"/>
                              </w:rPr>
                              <w:t>项目概况</w:t>
                            </w:r>
                          </w:p>
                          <w:p w14:paraId="4EE51AD7">
                            <w:pPr>
                              <w:spacing w:line="520" w:lineRule="exact"/>
                              <w:ind w:firstLine="640" w:firstLineChars="200"/>
                              <w:rPr>
                                <w:rFonts w:ascii="仿宋" w:hAnsi="仿宋" w:cs="仿宋"/>
                                <w:sz w:val="32"/>
                                <w:szCs w:val="32"/>
                              </w:rPr>
                            </w:pPr>
                            <w:r>
                              <w:rPr>
                                <w:rFonts w:hint="eastAsia" w:ascii="仿宋" w:hAnsi="仿宋" w:cs="仿宋"/>
                                <w:sz w:val="32"/>
                                <w:szCs w:val="32"/>
                              </w:rPr>
                              <w:t>新疆和田县康西瓦东金矿调查评价项目（钻探）招标项目的潜在投标人应在政采云平台线上获取采购文件，</w:t>
                            </w:r>
                            <w:r>
                              <w:rPr>
                                <w:rFonts w:hint="eastAsia" w:ascii="仿宋" w:hAnsi="仿宋" w:cs="仿宋"/>
                                <w:color w:val="auto"/>
                                <w:sz w:val="32"/>
                                <w:szCs w:val="32"/>
                              </w:rPr>
                              <w:t>并于2025年5月</w:t>
                            </w:r>
                            <w:r>
                              <w:rPr>
                                <w:rFonts w:hint="eastAsia" w:ascii="仿宋" w:hAnsi="仿宋" w:cs="仿宋"/>
                                <w:color w:val="auto"/>
                                <w:sz w:val="32"/>
                                <w:szCs w:val="32"/>
                                <w:lang w:val="en-US" w:eastAsia="zh-CN"/>
                              </w:rPr>
                              <w:t>7</w:t>
                            </w:r>
                            <w:r>
                              <w:rPr>
                                <w:rFonts w:hint="eastAsia" w:ascii="仿宋" w:hAnsi="仿宋" w:cs="仿宋"/>
                                <w:color w:val="auto"/>
                                <w:sz w:val="32"/>
                                <w:szCs w:val="32"/>
                              </w:rPr>
                              <w:t>日 15:00</w:t>
                            </w:r>
                            <w:r>
                              <w:rPr>
                                <w:rFonts w:hint="eastAsia" w:ascii="仿宋" w:hAnsi="仿宋" w:cs="仿宋"/>
                                <w:sz w:val="32"/>
                                <w:szCs w:val="32"/>
                              </w:rPr>
                              <w:t>（北京时间）前递交投标文件。</w:t>
                            </w:r>
                          </w:p>
                          <w:p w14:paraId="4C329A36"/>
                        </w:txbxContent>
                      </wps:txbx>
                      <wps:bodyPr wrap="square" upright="1"/>
                    </wps:wsp>
                  </a:graphicData>
                </a:graphic>
              </wp:anchor>
            </w:drawing>
          </mc:Choice>
          <mc:Fallback>
            <w:pict>
              <v:shape id="文本框 2" o:spid="_x0000_s1026" o:spt="202" type="#_x0000_t202" style="position:absolute;left:0pt;margin-left:-9.45pt;margin-top:4.3pt;height:111.3pt;width:438.65pt;mso-wrap-distance-bottom:0pt;mso-wrap-distance-top:0pt;z-index:251659264;mso-width-relative:page;mso-height-relative:page;" fillcolor="#FFFFFF" filled="t" stroked="t" coordsize="21600,21600" o:gfxdata="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fZ5lptkAAAAJAQAADwAA&#10;AAAAAAABACAAAAAiAAAAZHJzL2Rvd25yZXYueG1sUEsBAhQAFAAAAAgAh07iQLERddAVAgAARQQA&#10;AA4AAAAAAAAAAQAgAAAAKAEAAGRycy9lMm9Eb2MueG1sUEsFBgAAAAAGAAYAWQEAAK8FAAAAAA==&#10;">
                <v:fill on="t" focussize="0,0"/>
                <v:stroke color="#000000" joinstyle="miter"/>
                <v:imagedata o:title=""/>
                <o:lock v:ext="edit" aspectratio="f"/>
                <v:textbox>
                  <w:txbxContent>
                    <w:p w14:paraId="4B084882">
                      <w:pPr>
                        <w:spacing w:line="520" w:lineRule="exact"/>
                        <w:rPr>
                          <w:rFonts w:ascii="仿宋" w:hAnsi="仿宋" w:cs="仿宋"/>
                          <w:sz w:val="32"/>
                          <w:szCs w:val="32"/>
                        </w:rPr>
                      </w:pPr>
                      <w:r>
                        <w:rPr>
                          <w:rFonts w:hint="eastAsia" w:ascii="仿宋" w:hAnsi="仿宋" w:cs="仿宋"/>
                          <w:sz w:val="32"/>
                          <w:szCs w:val="32"/>
                        </w:rPr>
                        <w:t>项目概况</w:t>
                      </w:r>
                    </w:p>
                    <w:p w14:paraId="4EE51AD7">
                      <w:pPr>
                        <w:spacing w:line="520" w:lineRule="exact"/>
                        <w:ind w:firstLine="640" w:firstLineChars="200"/>
                        <w:rPr>
                          <w:rFonts w:ascii="仿宋" w:hAnsi="仿宋" w:cs="仿宋"/>
                          <w:sz w:val="32"/>
                          <w:szCs w:val="32"/>
                        </w:rPr>
                      </w:pPr>
                      <w:r>
                        <w:rPr>
                          <w:rFonts w:hint="eastAsia" w:ascii="仿宋" w:hAnsi="仿宋" w:cs="仿宋"/>
                          <w:sz w:val="32"/>
                          <w:szCs w:val="32"/>
                        </w:rPr>
                        <w:t>新疆和田县康西瓦东金矿调查评价项目（钻探）招标项目的潜在投标人应在政采云平台线上获取采购文件，</w:t>
                      </w:r>
                      <w:r>
                        <w:rPr>
                          <w:rFonts w:hint="eastAsia" w:ascii="仿宋" w:hAnsi="仿宋" w:cs="仿宋"/>
                          <w:color w:val="auto"/>
                          <w:sz w:val="32"/>
                          <w:szCs w:val="32"/>
                        </w:rPr>
                        <w:t>并于2025年5月</w:t>
                      </w:r>
                      <w:r>
                        <w:rPr>
                          <w:rFonts w:hint="eastAsia" w:ascii="仿宋" w:hAnsi="仿宋" w:cs="仿宋"/>
                          <w:color w:val="auto"/>
                          <w:sz w:val="32"/>
                          <w:szCs w:val="32"/>
                          <w:lang w:val="en-US" w:eastAsia="zh-CN"/>
                        </w:rPr>
                        <w:t>7</w:t>
                      </w:r>
                      <w:r>
                        <w:rPr>
                          <w:rFonts w:hint="eastAsia" w:ascii="仿宋" w:hAnsi="仿宋" w:cs="仿宋"/>
                          <w:color w:val="auto"/>
                          <w:sz w:val="32"/>
                          <w:szCs w:val="32"/>
                        </w:rPr>
                        <w:t>日 15:00</w:t>
                      </w:r>
                      <w:r>
                        <w:rPr>
                          <w:rFonts w:hint="eastAsia" w:ascii="仿宋" w:hAnsi="仿宋" w:cs="仿宋"/>
                          <w:sz w:val="32"/>
                          <w:szCs w:val="32"/>
                        </w:rPr>
                        <w:t>（北京时间）前递交投标文件。</w:t>
                      </w:r>
                    </w:p>
                    <w:p w14:paraId="4C329A36"/>
                  </w:txbxContent>
                </v:textbox>
                <w10:wrap type="topAndBottom"/>
              </v:shape>
            </w:pict>
          </mc:Fallback>
        </mc:AlternateContent>
      </w:r>
      <w:r>
        <w:rPr>
          <w:rFonts w:hint="eastAsia" w:ascii="仿宋" w:hAnsi="仿宋" w:cs="仿宋"/>
          <w:b/>
          <w:bCs/>
          <w:color w:val="auto"/>
          <w:sz w:val="32"/>
          <w:szCs w:val="32"/>
        </w:rPr>
        <w:t>一、项目基本情况</w:t>
      </w:r>
    </w:p>
    <w:p w14:paraId="3482B697">
      <w:pPr>
        <w:spacing w:line="560" w:lineRule="exact"/>
        <w:ind w:firstLine="640" w:firstLineChars="200"/>
        <w:rPr>
          <w:rFonts w:ascii="仿宋" w:hAnsi="仿宋" w:cs="仿宋"/>
          <w:color w:val="auto"/>
          <w:sz w:val="32"/>
          <w:szCs w:val="32"/>
        </w:rPr>
      </w:pPr>
      <w:r>
        <w:rPr>
          <w:rFonts w:hint="eastAsia" w:ascii="仿宋" w:hAnsi="仿宋" w:cs="仿宋"/>
          <w:color w:val="auto"/>
          <w:sz w:val="32"/>
          <w:szCs w:val="32"/>
        </w:rPr>
        <w:t>项目编号：GYZB-2025-26-CG</w:t>
      </w:r>
    </w:p>
    <w:p w14:paraId="0F5DBF9F">
      <w:pPr>
        <w:spacing w:line="560" w:lineRule="exact"/>
        <w:ind w:firstLine="640" w:firstLineChars="200"/>
        <w:rPr>
          <w:rFonts w:ascii="仿宋" w:hAnsi="仿宋" w:cs="仿宋"/>
          <w:color w:val="auto"/>
          <w:sz w:val="32"/>
          <w:szCs w:val="32"/>
        </w:rPr>
      </w:pPr>
      <w:r>
        <w:rPr>
          <w:rFonts w:hint="eastAsia" w:ascii="仿宋" w:hAnsi="仿宋" w:cs="仿宋"/>
          <w:color w:val="auto"/>
          <w:sz w:val="32"/>
          <w:szCs w:val="32"/>
        </w:rPr>
        <w:t>项目名称：新疆和田县康西瓦东金矿调查评价项目（钻探）</w:t>
      </w:r>
    </w:p>
    <w:p w14:paraId="01176826">
      <w:pPr>
        <w:spacing w:line="560" w:lineRule="exact"/>
        <w:ind w:firstLine="640" w:firstLineChars="200"/>
        <w:rPr>
          <w:rFonts w:ascii="仿宋" w:hAnsi="仿宋" w:cs="仿宋"/>
          <w:color w:val="auto"/>
          <w:sz w:val="32"/>
          <w:szCs w:val="32"/>
        </w:rPr>
      </w:pPr>
      <w:r>
        <w:rPr>
          <w:rFonts w:hint="eastAsia" w:ascii="仿宋" w:hAnsi="仿宋" w:cs="仿宋"/>
          <w:color w:val="auto"/>
          <w:sz w:val="32"/>
          <w:szCs w:val="32"/>
        </w:rPr>
        <w:t>采购方式：公开招标</w:t>
      </w:r>
    </w:p>
    <w:p w14:paraId="64B5BE86">
      <w:pPr>
        <w:spacing w:line="560" w:lineRule="exact"/>
        <w:ind w:firstLine="640" w:firstLineChars="200"/>
        <w:rPr>
          <w:rFonts w:ascii="仿宋" w:hAnsi="仿宋" w:cs="仿宋"/>
          <w:color w:val="auto"/>
          <w:sz w:val="32"/>
          <w:szCs w:val="32"/>
        </w:rPr>
      </w:pPr>
      <w:r>
        <w:rPr>
          <w:rFonts w:hint="eastAsia" w:ascii="仿宋" w:hAnsi="仿宋" w:cs="仿宋"/>
          <w:color w:val="auto"/>
          <w:sz w:val="32"/>
          <w:szCs w:val="32"/>
        </w:rPr>
        <w:t>预算金额（元）：1176500</w:t>
      </w:r>
    </w:p>
    <w:p w14:paraId="5310C5C8">
      <w:pPr>
        <w:spacing w:line="560" w:lineRule="exact"/>
        <w:ind w:firstLine="640" w:firstLineChars="200"/>
        <w:rPr>
          <w:rFonts w:ascii="仿宋" w:hAnsi="仿宋" w:cs="仿宋"/>
          <w:color w:val="auto"/>
          <w:sz w:val="32"/>
          <w:szCs w:val="32"/>
        </w:rPr>
      </w:pPr>
      <w:r>
        <w:rPr>
          <w:rFonts w:hint="eastAsia" w:ascii="仿宋" w:hAnsi="仿宋" w:cs="仿宋"/>
          <w:color w:val="auto"/>
          <w:sz w:val="32"/>
          <w:szCs w:val="32"/>
        </w:rPr>
        <w:t>最高限价（元）：1176500</w:t>
      </w:r>
    </w:p>
    <w:p w14:paraId="64102DFF">
      <w:pPr>
        <w:spacing w:line="560" w:lineRule="exact"/>
        <w:ind w:firstLine="640" w:firstLineChars="200"/>
        <w:rPr>
          <w:rFonts w:ascii="仿宋" w:hAnsi="仿宋" w:cs="仿宋"/>
          <w:color w:val="auto"/>
          <w:sz w:val="32"/>
          <w:szCs w:val="32"/>
        </w:rPr>
      </w:pPr>
      <w:r>
        <w:rPr>
          <w:rFonts w:hint="eastAsia" w:ascii="仿宋" w:hAnsi="仿宋" w:cs="仿宋"/>
          <w:color w:val="auto"/>
          <w:sz w:val="32"/>
          <w:szCs w:val="32"/>
        </w:rPr>
        <w:t>简要规</w:t>
      </w:r>
      <w:bookmarkStart w:id="373" w:name="_GoBack"/>
      <w:bookmarkEnd w:id="373"/>
      <w:r>
        <w:rPr>
          <w:rFonts w:hint="eastAsia" w:ascii="仿宋" w:hAnsi="仿宋" w:cs="仿宋"/>
          <w:color w:val="auto"/>
          <w:sz w:val="32"/>
          <w:szCs w:val="32"/>
        </w:rPr>
        <w:t>格描述或项目基本概况介绍、用途：新疆和田县康西瓦东金矿调查评价项目（钻探）（具体内容详见招标文件）。</w:t>
      </w:r>
    </w:p>
    <w:p w14:paraId="392C07BD">
      <w:pPr>
        <w:spacing w:line="560" w:lineRule="exact"/>
        <w:ind w:firstLine="640" w:firstLineChars="200"/>
        <w:rPr>
          <w:rFonts w:hint="eastAsia" w:ascii="仿宋" w:hAnsi="仿宋" w:cs="仿宋"/>
          <w:color w:val="auto"/>
          <w:sz w:val="32"/>
          <w:szCs w:val="32"/>
        </w:rPr>
      </w:pPr>
      <w:r>
        <w:rPr>
          <w:rFonts w:hint="eastAsia" w:ascii="仿宋" w:hAnsi="仿宋" w:cs="仿宋"/>
          <w:color w:val="auto"/>
          <w:sz w:val="32"/>
          <w:szCs w:val="32"/>
        </w:rPr>
        <w:t>备注：预算单价（元）：1300.00，工作量（米）：905</w:t>
      </w:r>
      <w:r>
        <w:rPr>
          <w:rFonts w:hint="eastAsia" w:ascii="仿宋" w:hAnsi="仿宋" w:cs="仿宋"/>
          <w:color w:val="auto"/>
          <w:sz w:val="32"/>
          <w:szCs w:val="32"/>
          <w:lang w:eastAsia="zh-CN"/>
        </w:rPr>
        <w:t>。</w:t>
      </w:r>
      <w:r>
        <w:rPr>
          <w:rFonts w:hint="eastAsia" w:ascii="仿宋" w:hAnsi="仿宋" w:cs="仿宋"/>
          <w:color w:val="auto"/>
          <w:sz w:val="32"/>
          <w:szCs w:val="32"/>
        </w:rPr>
        <w:t>项目总经费以实际工作量结算，且上述预算单价含修路、平台修整及钻探施工所需要的绿色勘查与环保要求的费用。</w:t>
      </w:r>
    </w:p>
    <w:p w14:paraId="324D2ADD">
      <w:pPr>
        <w:spacing w:line="560" w:lineRule="exact"/>
        <w:ind w:firstLine="640" w:firstLineChars="200"/>
        <w:rPr>
          <w:rFonts w:ascii="仿宋" w:hAnsi="仿宋" w:cs="仿宋"/>
          <w:color w:val="auto"/>
          <w:sz w:val="32"/>
          <w:szCs w:val="32"/>
        </w:rPr>
      </w:pPr>
      <w:r>
        <w:rPr>
          <w:rFonts w:hint="eastAsia" w:ascii="仿宋" w:hAnsi="仿宋" w:cs="仿宋"/>
          <w:color w:val="auto"/>
          <w:sz w:val="32"/>
          <w:szCs w:val="32"/>
        </w:rPr>
        <w:t>合同履约期限：2025年7月-2025年9月</w:t>
      </w:r>
    </w:p>
    <w:p w14:paraId="55276AF1">
      <w:pPr>
        <w:spacing w:line="560" w:lineRule="exact"/>
        <w:ind w:firstLine="640" w:firstLineChars="200"/>
        <w:rPr>
          <w:rFonts w:ascii="仿宋" w:hAnsi="仿宋" w:cs="仿宋"/>
          <w:color w:val="auto"/>
          <w:sz w:val="32"/>
          <w:szCs w:val="32"/>
        </w:rPr>
      </w:pPr>
      <w:r>
        <w:rPr>
          <w:rFonts w:hint="eastAsia" w:ascii="仿宋" w:hAnsi="仿宋" w:cs="仿宋"/>
          <w:color w:val="auto"/>
          <w:sz w:val="32"/>
          <w:szCs w:val="32"/>
        </w:rPr>
        <w:t>本项目（否）接受联合体投标。</w:t>
      </w:r>
    </w:p>
    <w:p w14:paraId="631FB3F9">
      <w:pPr>
        <w:spacing w:line="520" w:lineRule="exact"/>
        <w:ind w:firstLine="640" w:firstLineChars="200"/>
        <w:rPr>
          <w:rFonts w:ascii="仿宋" w:hAnsi="仿宋" w:cs="仿宋"/>
          <w:b/>
          <w:bCs/>
          <w:color w:val="auto"/>
          <w:sz w:val="32"/>
          <w:szCs w:val="32"/>
        </w:rPr>
      </w:pPr>
      <w:r>
        <w:rPr>
          <w:rFonts w:hint="eastAsia" w:ascii="仿宋" w:hAnsi="仿宋" w:cs="仿宋"/>
          <w:b/>
          <w:bCs/>
          <w:color w:val="auto"/>
          <w:sz w:val="32"/>
          <w:szCs w:val="32"/>
        </w:rPr>
        <w:t>二、申请人的资格要求：</w:t>
      </w:r>
    </w:p>
    <w:p w14:paraId="7090A3F2">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1.满足《中华人民共和国政府采购法》第二十二条规定；</w:t>
      </w:r>
    </w:p>
    <w:p w14:paraId="158537A6">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2.落实政府采购政策需满足的资格要求：本项目为专门面向中小企业采购项目。</w:t>
      </w:r>
    </w:p>
    <w:p w14:paraId="084E96E2">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3.本项目的特定资格要求：无。</w:t>
      </w:r>
    </w:p>
    <w:p w14:paraId="0B5915E4">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4.具有有效的营业执照/事业单位法人证书正本或副本；</w:t>
      </w:r>
    </w:p>
    <w:p w14:paraId="6B11F2D1">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5.供应商未被列入“信用中国”网站（www.creditchina.gov.cn）、中国政府采购网（www.ccgp.gov.cn）渠道信用记录失信被执行人、重大税收违法失信主体、政府采购严重违法失信行为记录名单的投标人，国家企业公示信息系统（www.gsxt.gov.cn）查询诚信记录如有严重行政处罚信息、重大严重失信记录不得参加本项目；</w:t>
      </w:r>
    </w:p>
    <w:p w14:paraId="43670CA0">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6.有依法缴纳税收和社会保障资金的良好记录；（需提供开标前近3个月任意一月社保部门出具的投标单位的缴纳社保证明和依法纳税的相关证明文件）</w:t>
      </w:r>
    </w:p>
    <w:p w14:paraId="5058D366">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7.参加政府采购活动前三年内，在经营活动中没有重大违法记录承诺书；</w:t>
      </w:r>
    </w:p>
    <w:p w14:paraId="31ADAE1F">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8.提供针对本次项目的反商业贿赂承诺书；</w:t>
      </w:r>
    </w:p>
    <w:p w14:paraId="5864AB1D">
      <w:pPr>
        <w:spacing w:line="520" w:lineRule="exact"/>
        <w:ind w:firstLine="640" w:firstLineChars="200"/>
        <w:rPr>
          <w:rFonts w:ascii="仿宋" w:hAnsi="仿宋" w:cs="仿宋"/>
          <w:b/>
          <w:bCs/>
          <w:color w:val="auto"/>
          <w:sz w:val="32"/>
          <w:szCs w:val="32"/>
        </w:rPr>
      </w:pPr>
      <w:r>
        <w:rPr>
          <w:rFonts w:hint="eastAsia" w:ascii="仿宋" w:hAnsi="仿宋" w:cs="仿宋"/>
          <w:b/>
          <w:bCs/>
          <w:color w:val="auto"/>
          <w:sz w:val="32"/>
          <w:szCs w:val="32"/>
        </w:rPr>
        <w:t>三、获取采购文件</w:t>
      </w:r>
    </w:p>
    <w:p w14:paraId="6E3F109C">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时间：2025年4月1</w:t>
      </w:r>
      <w:r>
        <w:rPr>
          <w:rFonts w:hint="eastAsia" w:ascii="仿宋" w:hAnsi="仿宋" w:cs="仿宋"/>
          <w:color w:val="auto"/>
          <w:sz w:val="32"/>
          <w:szCs w:val="32"/>
          <w:lang w:val="en-US" w:eastAsia="zh-CN"/>
        </w:rPr>
        <w:t>7</w:t>
      </w:r>
      <w:r>
        <w:rPr>
          <w:rFonts w:hint="eastAsia" w:ascii="仿宋" w:hAnsi="仿宋" w:cs="仿宋"/>
          <w:color w:val="auto"/>
          <w:sz w:val="32"/>
          <w:szCs w:val="32"/>
        </w:rPr>
        <w:t>日至2025年4月2</w:t>
      </w:r>
      <w:r>
        <w:rPr>
          <w:rFonts w:hint="eastAsia" w:ascii="仿宋" w:hAnsi="仿宋" w:cs="仿宋"/>
          <w:color w:val="auto"/>
          <w:sz w:val="32"/>
          <w:szCs w:val="32"/>
          <w:lang w:val="en-US" w:eastAsia="zh-CN"/>
        </w:rPr>
        <w:t>4</w:t>
      </w:r>
      <w:r>
        <w:rPr>
          <w:rFonts w:hint="eastAsia" w:ascii="仿宋" w:hAnsi="仿宋" w:cs="仿宋"/>
          <w:color w:val="auto"/>
          <w:sz w:val="32"/>
          <w:szCs w:val="32"/>
        </w:rPr>
        <w:t>日，全天24小时线上平台获取（北京时间，法定节假日除外）</w:t>
      </w:r>
    </w:p>
    <w:p w14:paraId="5DC57398">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地点：政采云平台线上</w:t>
      </w:r>
    </w:p>
    <w:p w14:paraId="105082CE">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方式：供应商登录政采云平台https://www.zcygov.cn/在线申请获取采购文件（进入“项目采购”应用，在获取采购文件菜单中选择项目，申请获取采购文件）</w:t>
      </w:r>
    </w:p>
    <w:p w14:paraId="261571F5">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售价（元）：0</w:t>
      </w:r>
    </w:p>
    <w:p w14:paraId="2E1602E0">
      <w:pPr>
        <w:spacing w:line="520" w:lineRule="exact"/>
        <w:ind w:firstLine="640" w:firstLineChars="200"/>
        <w:rPr>
          <w:rFonts w:ascii="仿宋" w:hAnsi="仿宋" w:cs="仿宋"/>
          <w:b/>
          <w:bCs/>
          <w:color w:val="auto"/>
          <w:sz w:val="32"/>
          <w:szCs w:val="32"/>
        </w:rPr>
      </w:pPr>
      <w:r>
        <w:rPr>
          <w:rFonts w:hint="eastAsia" w:ascii="仿宋" w:hAnsi="仿宋" w:cs="仿宋"/>
          <w:b/>
          <w:bCs/>
          <w:color w:val="auto"/>
          <w:sz w:val="32"/>
          <w:szCs w:val="32"/>
        </w:rPr>
        <w:t>四、提交投标文件截止时间、开标时间和地点</w:t>
      </w:r>
    </w:p>
    <w:p w14:paraId="77C1ED5E">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提交投标文件截止时间：2025年5月</w:t>
      </w:r>
      <w:r>
        <w:rPr>
          <w:rFonts w:hint="eastAsia" w:ascii="仿宋" w:hAnsi="仿宋" w:cs="仿宋"/>
          <w:color w:val="auto"/>
          <w:sz w:val="32"/>
          <w:szCs w:val="32"/>
          <w:lang w:val="en-US" w:eastAsia="zh-CN"/>
        </w:rPr>
        <w:t>7</w:t>
      </w:r>
      <w:r>
        <w:rPr>
          <w:rFonts w:hint="eastAsia" w:ascii="仿宋" w:hAnsi="仿宋" w:cs="仿宋"/>
          <w:color w:val="auto"/>
          <w:sz w:val="32"/>
          <w:szCs w:val="32"/>
        </w:rPr>
        <w:t>日 15:00（北京时间）</w:t>
      </w:r>
    </w:p>
    <w:p w14:paraId="2DCAC9ED">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投标地点：请登录政采云投标客户端投标</w:t>
      </w:r>
    </w:p>
    <w:p w14:paraId="712E95DA">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开标时间：2025年5月</w:t>
      </w:r>
      <w:r>
        <w:rPr>
          <w:rFonts w:hint="eastAsia" w:ascii="仿宋" w:hAnsi="仿宋" w:cs="仿宋"/>
          <w:color w:val="auto"/>
          <w:sz w:val="32"/>
          <w:szCs w:val="32"/>
          <w:lang w:val="en-US" w:eastAsia="zh-CN"/>
        </w:rPr>
        <w:t>7</w:t>
      </w:r>
      <w:r>
        <w:rPr>
          <w:rFonts w:hint="eastAsia" w:ascii="仿宋" w:hAnsi="仿宋" w:cs="仿宋"/>
          <w:color w:val="auto"/>
          <w:sz w:val="32"/>
          <w:szCs w:val="32"/>
        </w:rPr>
        <w:t>日 15:00（北京时间）</w:t>
      </w:r>
    </w:p>
    <w:p w14:paraId="472C7270">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开标地点：投标人登录政采云平台https://www.zcygov.cn/，进入“项目采购-开标评标-右边选择对应项目点击“进入项目”进入开标大厅。</w:t>
      </w:r>
    </w:p>
    <w:p w14:paraId="1E474F40">
      <w:pPr>
        <w:spacing w:line="520" w:lineRule="exact"/>
        <w:ind w:firstLine="640" w:firstLineChars="200"/>
        <w:rPr>
          <w:rFonts w:ascii="仿宋" w:hAnsi="仿宋" w:cs="仿宋"/>
          <w:b/>
          <w:bCs/>
          <w:color w:val="auto"/>
          <w:sz w:val="32"/>
          <w:szCs w:val="32"/>
        </w:rPr>
      </w:pPr>
      <w:r>
        <w:rPr>
          <w:rFonts w:hint="eastAsia" w:ascii="仿宋" w:hAnsi="仿宋" w:cs="仿宋"/>
          <w:b/>
          <w:bCs/>
          <w:color w:val="auto"/>
          <w:sz w:val="32"/>
          <w:szCs w:val="32"/>
        </w:rPr>
        <w:t>五、公告期限</w:t>
      </w:r>
    </w:p>
    <w:p w14:paraId="619CF7E7">
      <w:pPr>
        <w:spacing w:line="520" w:lineRule="exact"/>
        <w:ind w:firstLine="640" w:firstLineChars="200"/>
        <w:rPr>
          <w:rFonts w:ascii="仿宋" w:hAnsi="仿宋" w:cs="仿宋"/>
          <w:color w:val="auto"/>
          <w:sz w:val="32"/>
          <w:szCs w:val="32"/>
        </w:rPr>
      </w:pPr>
      <w:r>
        <w:rPr>
          <w:rFonts w:hint="eastAsia" w:ascii="仿宋" w:hAnsi="仿宋" w:cs="仿宋"/>
          <w:color w:val="auto"/>
          <w:sz w:val="32"/>
          <w:szCs w:val="32"/>
        </w:rPr>
        <w:t>自本公告发布之日起5个工作日</w:t>
      </w:r>
    </w:p>
    <w:p w14:paraId="183369F1">
      <w:pPr>
        <w:spacing w:line="520" w:lineRule="exact"/>
        <w:ind w:firstLine="640" w:firstLineChars="200"/>
        <w:rPr>
          <w:rFonts w:ascii="仿宋" w:hAnsi="仿宋" w:cs="仿宋"/>
          <w:color w:val="auto"/>
          <w:sz w:val="32"/>
          <w:szCs w:val="32"/>
        </w:rPr>
      </w:pPr>
      <w:r>
        <w:rPr>
          <w:rFonts w:hint="eastAsia" w:ascii="仿宋" w:hAnsi="仿宋" w:cs="仿宋"/>
          <w:b/>
          <w:bCs/>
          <w:color w:val="auto"/>
          <w:sz w:val="32"/>
          <w:szCs w:val="32"/>
        </w:rPr>
        <w:t>六、其他补充事宜</w:t>
      </w:r>
    </w:p>
    <w:p w14:paraId="38AD4C19">
      <w:pPr>
        <w:spacing w:line="520" w:lineRule="exact"/>
        <w:ind w:firstLine="560" w:firstLineChars="200"/>
        <w:rPr>
          <w:rFonts w:ascii="仿宋" w:hAnsi="仿宋" w:cs="仿宋"/>
          <w:color w:val="auto"/>
          <w:sz w:val="28"/>
          <w:szCs w:val="28"/>
        </w:rPr>
      </w:pPr>
      <w:r>
        <w:rPr>
          <w:rFonts w:hint="eastAsia" w:ascii="仿宋" w:hAnsi="仿宋" w:cs="仿宋"/>
          <w:color w:val="auto"/>
          <w:sz w:val="28"/>
          <w:szCs w:val="28"/>
        </w:rPr>
        <w:t>特别提示：</w:t>
      </w:r>
    </w:p>
    <w:p w14:paraId="14BCC6C8">
      <w:pPr>
        <w:spacing w:line="520" w:lineRule="exact"/>
        <w:ind w:firstLine="480" w:firstLineChars="200"/>
        <w:rPr>
          <w:rFonts w:ascii="仿宋" w:hAnsi="仿宋" w:cs="仿宋"/>
          <w:b/>
          <w:bCs/>
          <w:color w:val="auto"/>
          <w:sz w:val="24"/>
          <w:szCs w:val="24"/>
        </w:rPr>
      </w:pPr>
      <w:r>
        <w:rPr>
          <w:rFonts w:hint="eastAsia" w:ascii="仿宋" w:hAnsi="仿宋" w:cs="仿宋"/>
          <w:b/>
          <w:bCs/>
          <w:color w:val="auto"/>
          <w:sz w:val="24"/>
          <w:szCs w:val="24"/>
        </w:rPr>
        <w:t>1、采购限额标准以上，200万元以下的货物和服务采购项目、400万元以下的工程采购项目，适宜由中小企业提供的，采购人应当专门面向中小企业采购。</w:t>
      </w:r>
    </w:p>
    <w:p w14:paraId="3FCD26ED">
      <w:pPr>
        <w:spacing w:line="520" w:lineRule="exact"/>
        <w:ind w:firstLine="480" w:firstLineChars="200"/>
        <w:rPr>
          <w:rFonts w:ascii="仿宋" w:hAnsi="仿宋" w:cs="仿宋"/>
          <w:b/>
          <w:bCs/>
          <w:color w:val="auto"/>
          <w:sz w:val="24"/>
          <w:szCs w:val="24"/>
        </w:rPr>
      </w:pPr>
      <w:r>
        <w:rPr>
          <w:rFonts w:hint="eastAsia" w:ascii="仿宋" w:hAnsi="仿宋" w:cs="仿宋"/>
          <w:b/>
          <w:bCs/>
          <w:color w:val="auto"/>
          <w:sz w:val="24"/>
          <w:szCs w:val="24"/>
        </w:rPr>
        <w:t>2、超过200万元的货物和服务采购项目，预留该部分采购项目预算总额的30%以上专门面向中小企业采购，其中预留给小微企业的比例不低于60%。</w:t>
      </w:r>
    </w:p>
    <w:p w14:paraId="483FE730">
      <w:pPr>
        <w:spacing w:line="520" w:lineRule="exact"/>
        <w:ind w:firstLine="480" w:firstLineChars="200"/>
        <w:rPr>
          <w:rFonts w:ascii="仿宋" w:hAnsi="仿宋" w:cs="仿宋"/>
          <w:b/>
          <w:bCs/>
          <w:color w:val="auto"/>
          <w:sz w:val="24"/>
          <w:szCs w:val="24"/>
        </w:rPr>
      </w:pPr>
      <w:r>
        <w:rPr>
          <w:rFonts w:hint="eastAsia" w:ascii="仿宋" w:hAnsi="仿宋" w:cs="仿宋"/>
          <w:b/>
          <w:bCs/>
          <w:color w:val="auto"/>
          <w:sz w:val="24"/>
          <w:szCs w:val="24"/>
        </w:rPr>
        <w:t>3、超过400万元的工程采购项目中适宜由中小企业提供的，预留该部分采购项目预算总额的40%以上专门面向中小企业采购，其中预留给小微企业的比例不低于60%。</w:t>
      </w:r>
    </w:p>
    <w:p w14:paraId="1B7AFD74">
      <w:pPr>
        <w:spacing w:line="520" w:lineRule="exact"/>
        <w:ind w:firstLine="480" w:firstLineChars="200"/>
        <w:rPr>
          <w:rFonts w:ascii="仿宋" w:hAnsi="仿宋" w:cs="仿宋"/>
          <w:b/>
          <w:bCs/>
          <w:color w:val="auto"/>
          <w:sz w:val="24"/>
          <w:szCs w:val="24"/>
        </w:rPr>
      </w:pPr>
      <w:r>
        <w:rPr>
          <w:rFonts w:hint="eastAsia" w:ascii="仿宋" w:hAnsi="仿宋" w:cs="仿宋"/>
          <w:b/>
          <w:bCs/>
          <w:color w:val="auto"/>
          <w:sz w:val="24"/>
          <w:szCs w:val="24"/>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3C3F5340">
      <w:pPr>
        <w:spacing w:line="520" w:lineRule="exact"/>
        <w:ind w:firstLine="480" w:firstLineChars="200"/>
        <w:rPr>
          <w:rFonts w:ascii="仿宋" w:hAnsi="仿宋" w:cs="仿宋"/>
          <w:b/>
          <w:bCs/>
          <w:color w:val="auto"/>
          <w:sz w:val="24"/>
          <w:szCs w:val="24"/>
        </w:rPr>
      </w:pPr>
      <w:r>
        <w:rPr>
          <w:rFonts w:hint="eastAsia" w:ascii="仿宋" w:hAnsi="仿宋" w:cs="仿宋"/>
          <w:b/>
          <w:bCs/>
          <w:color w:val="auto"/>
          <w:sz w:val="24"/>
          <w:szCs w:val="24"/>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02D477B7">
      <w:pPr>
        <w:spacing w:line="520" w:lineRule="exact"/>
        <w:ind w:firstLine="640" w:firstLineChars="200"/>
        <w:rPr>
          <w:rFonts w:ascii="仿宋" w:hAnsi="仿宋" w:cs="仿宋"/>
          <w:b/>
          <w:bCs/>
          <w:color w:val="auto"/>
          <w:sz w:val="32"/>
          <w:szCs w:val="32"/>
        </w:rPr>
      </w:pPr>
      <w:r>
        <w:rPr>
          <w:rFonts w:hint="eastAsia" w:ascii="仿宋" w:hAnsi="仿宋" w:cs="仿宋"/>
          <w:b/>
          <w:bCs/>
          <w:color w:val="auto"/>
          <w:sz w:val="32"/>
          <w:szCs w:val="32"/>
        </w:rPr>
        <w:t>七、对本次采购提出询问，请按以下方式联系</w:t>
      </w:r>
    </w:p>
    <w:p w14:paraId="046E3BF0">
      <w:pPr>
        <w:jc w:val="left"/>
        <w:rPr>
          <w:rFonts w:ascii="仿宋" w:hAnsi="仿宋" w:cs="仿宋"/>
          <w:color w:val="auto"/>
          <w:sz w:val="32"/>
          <w:szCs w:val="32"/>
        </w:rPr>
      </w:pPr>
      <w:r>
        <w:rPr>
          <w:rFonts w:hint="eastAsia" w:ascii="仿宋" w:hAnsi="仿宋" w:cs="仿宋"/>
          <w:color w:val="auto"/>
          <w:sz w:val="32"/>
          <w:szCs w:val="32"/>
        </w:rPr>
        <w:t>1.采购人信息</w:t>
      </w:r>
    </w:p>
    <w:p w14:paraId="713745B9">
      <w:pPr>
        <w:jc w:val="left"/>
        <w:rPr>
          <w:rFonts w:ascii="仿宋" w:hAnsi="仿宋" w:cs="仿宋"/>
          <w:color w:val="auto"/>
          <w:sz w:val="32"/>
          <w:szCs w:val="32"/>
        </w:rPr>
      </w:pPr>
      <w:r>
        <w:rPr>
          <w:rFonts w:hint="eastAsia" w:ascii="仿宋" w:hAnsi="仿宋" w:cs="仿宋"/>
          <w:color w:val="auto"/>
          <w:sz w:val="32"/>
          <w:szCs w:val="32"/>
        </w:rPr>
        <w:t>名称：新疆维吾尔自治区地质研究院</w:t>
      </w:r>
    </w:p>
    <w:p w14:paraId="53625AAF">
      <w:pPr>
        <w:jc w:val="left"/>
        <w:rPr>
          <w:rFonts w:ascii="仿宋" w:hAnsi="仿宋" w:cs="仿宋"/>
          <w:color w:val="auto"/>
          <w:sz w:val="32"/>
          <w:szCs w:val="32"/>
        </w:rPr>
      </w:pPr>
      <w:r>
        <w:rPr>
          <w:rFonts w:hint="eastAsia" w:ascii="仿宋" w:hAnsi="仿宋" w:cs="仿宋"/>
          <w:color w:val="auto"/>
          <w:sz w:val="32"/>
          <w:szCs w:val="32"/>
        </w:rPr>
        <w:t>地址：乌鲁木齐市沙依巴克区泽普街466号‌‌</w:t>
      </w:r>
    </w:p>
    <w:p w14:paraId="4F1F6712">
      <w:pPr>
        <w:jc w:val="left"/>
        <w:rPr>
          <w:rFonts w:hint="eastAsia" w:ascii="仿宋" w:hAnsi="仿宋" w:eastAsia="仿宋" w:cs="仿宋"/>
          <w:color w:val="auto"/>
          <w:sz w:val="32"/>
          <w:szCs w:val="32"/>
          <w:lang w:eastAsia="zh-CN"/>
        </w:rPr>
      </w:pPr>
      <w:r>
        <w:rPr>
          <w:rFonts w:hint="eastAsia" w:ascii="仿宋" w:hAnsi="仿宋" w:cs="仿宋"/>
          <w:color w:val="auto"/>
          <w:sz w:val="32"/>
          <w:szCs w:val="32"/>
        </w:rPr>
        <w:t>联系方式：</w:t>
      </w:r>
      <w:r>
        <w:rPr>
          <w:rFonts w:hint="eastAsia" w:ascii="仿宋" w:hAnsi="仿宋" w:cs="仿宋"/>
          <w:color w:val="auto"/>
          <w:sz w:val="32"/>
          <w:szCs w:val="32"/>
          <w:lang w:eastAsia="zh-CN"/>
        </w:rPr>
        <w:t>0991-4838763</w:t>
      </w:r>
    </w:p>
    <w:p w14:paraId="1026D096">
      <w:pPr>
        <w:jc w:val="left"/>
        <w:rPr>
          <w:rFonts w:ascii="仿宋" w:hAnsi="仿宋" w:cs="仿宋"/>
          <w:color w:val="auto"/>
          <w:sz w:val="32"/>
          <w:szCs w:val="32"/>
        </w:rPr>
      </w:pPr>
      <w:r>
        <w:rPr>
          <w:rFonts w:hint="eastAsia" w:ascii="仿宋" w:hAnsi="仿宋" w:cs="仿宋"/>
          <w:color w:val="auto"/>
          <w:sz w:val="32"/>
          <w:szCs w:val="32"/>
        </w:rPr>
        <w:t>2.采购代理机构信息</w:t>
      </w:r>
    </w:p>
    <w:p w14:paraId="1D930366">
      <w:pPr>
        <w:jc w:val="left"/>
        <w:rPr>
          <w:rFonts w:ascii="仿宋" w:hAnsi="仿宋" w:cs="仿宋"/>
          <w:color w:val="auto"/>
          <w:sz w:val="32"/>
          <w:szCs w:val="32"/>
        </w:rPr>
      </w:pPr>
      <w:r>
        <w:rPr>
          <w:rFonts w:hint="eastAsia" w:ascii="仿宋" w:hAnsi="仿宋" w:cs="仿宋"/>
          <w:color w:val="auto"/>
          <w:sz w:val="32"/>
          <w:szCs w:val="32"/>
        </w:rPr>
        <w:t>名称：新疆国源土地矿产资源交易中心（有限公司）</w:t>
      </w:r>
    </w:p>
    <w:p w14:paraId="0253953F">
      <w:pPr>
        <w:jc w:val="left"/>
        <w:rPr>
          <w:rFonts w:ascii="仿宋" w:hAnsi="仿宋" w:cs="仿宋"/>
          <w:color w:val="auto"/>
          <w:sz w:val="32"/>
          <w:szCs w:val="32"/>
        </w:rPr>
      </w:pPr>
      <w:r>
        <w:rPr>
          <w:rFonts w:hint="eastAsia" w:ascii="仿宋" w:hAnsi="仿宋" w:cs="仿宋"/>
          <w:color w:val="auto"/>
          <w:sz w:val="32"/>
          <w:szCs w:val="32"/>
        </w:rPr>
        <w:t xml:space="preserve">地址：乌鲁木齐市城北大道乐天孵化园南区G12幢 </w:t>
      </w:r>
    </w:p>
    <w:p w14:paraId="21DBE078">
      <w:pPr>
        <w:jc w:val="left"/>
        <w:rPr>
          <w:rFonts w:ascii="仿宋" w:hAnsi="仿宋" w:cs="仿宋"/>
          <w:color w:val="auto"/>
          <w:sz w:val="32"/>
          <w:szCs w:val="32"/>
        </w:rPr>
      </w:pPr>
      <w:r>
        <w:rPr>
          <w:rFonts w:hint="eastAsia" w:ascii="仿宋" w:hAnsi="仿宋" w:cs="仿宋"/>
          <w:color w:val="auto"/>
          <w:sz w:val="32"/>
          <w:szCs w:val="32"/>
        </w:rPr>
        <w:t>联系方式：15160993540、15299487280</w:t>
      </w:r>
    </w:p>
    <w:p w14:paraId="1C9F9201">
      <w:pPr>
        <w:jc w:val="left"/>
        <w:rPr>
          <w:rFonts w:ascii="仿宋" w:hAnsi="仿宋" w:cs="仿宋"/>
          <w:color w:val="auto"/>
          <w:sz w:val="32"/>
          <w:szCs w:val="32"/>
        </w:rPr>
      </w:pPr>
      <w:r>
        <w:rPr>
          <w:rFonts w:hint="eastAsia" w:ascii="仿宋" w:hAnsi="仿宋" w:cs="仿宋"/>
          <w:color w:val="auto"/>
          <w:sz w:val="32"/>
          <w:szCs w:val="32"/>
        </w:rPr>
        <w:t>3.项目联系方式</w:t>
      </w:r>
    </w:p>
    <w:p w14:paraId="7A50ED13">
      <w:pPr>
        <w:jc w:val="left"/>
        <w:rPr>
          <w:rFonts w:ascii="仿宋" w:hAnsi="仿宋" w:cs="仿宋"/>
          <w:color w:val="auto"/>
          <w:sz w:val="32"/>
          <w:szCs w:val="32"/>
        </w:rPr>
      </w:pPr>
      <w:r>
        <w:rPr>
          <w:rFonts w:hint="eastAsia" w:ascii="仿宋" w:hAnsi="仿宋" w:cs="仿宋"/>
          <w:color w:val="auto"/>
          <w:sz w:val="32"/>
          <w:szCs w:val="32"/>
        </w:rPr>
        <w:t>项目联系人：王亚婷、高嘉杰</w:t>
      </w:r>
    </w:p>
    <w:p w14:paraId="774B20E6">
      <w:pPr>
        <w:jc w:val="left"/>
        <w:rPr>
          <w:rFonts w:ascii="仿宋" w:hAnsi="仿宋" w:cs="仿宋"/>
          <w:color w:val="auto"/>
        </w:rPr>
      </w:pPr>
      <w:r>
        <w:rPr>
          <w:rFonts w:hint="eastAsia" w:ascii="仿宋" w:hAnsi="仿宋" w:cs="仿宋"/>
          <w:color w:val="auto"/>
          <w:sz w:val="32"/>
          <w:szCs w:val="32"/>
        </w:rPr>
        <w:t>电话：15160993540、15299487280</w:t>
      </w:r>
      <w:r>
        <w:rPr>
          <w:rFonts w:hint="eastAsia" w:ascii="仿宋" w:hAnsi="仿宋" w:cs="仿宋"/>
          <w:color w:val="auto"/>
        </w:rPr>
        <w:br w:type="page"/>
      </w:r>
      <w:bookmarkStart w:id="7" w:name="_Toc29398"/>
    </w:p>
    <w:p w14:paraId="227DEC18">
      <w:pPr>
        <w:jc w:val="center"/>
        <w:outlineLvl w:val="0"/>
        <w:rPr>
          <w:rFonts w:ascii="宋体" w:hAnsi="宋体"/>
          <w:b/>
          <w:bCs/>
          <w:color w:val="auto"/>
          <w:spacing w:val="-20"/>
          <w:kern w:val="44"/>
          <w:sz w:val="32"/>
          <w:szCs w:val="32"/>
        </w:rPr>
      </w:pPr>
      <w:bookmarkStart w:id="8" w:name="_Toc28879"/>
      <w:bookmarkStart w:id="9" w:name="_Toc15318"/>
      <w:r>
        <w:rPr>
          <w:rFonts w:hint="eastAsia" w:ascii="宋体" w:hAnsi="宋体"/>
          <w:b/>
          <w:bCs/>
          <w:color w:val="auto"/>
          <w:spacing w:val="-20"/>
          <w:kern w:val="44"/>
          <w:sz w:val="32"/>
          <w:szCs w:val="32"/>
        </w:rPr>
        <w:t>第2章 投标人须知</w:t>
      </w:r>
      <w:bookmarkEnd w:id="7"/>
      <w:bookmarkEnd w:id="8"/>
      <w:bookmarkEnd w:id="9"/>
    </w:p>
    <w:p w14:paraId="4ED069F0">
      <w:pPr>
        <w:keepNext/>
        <w:keepLines/>
        <w:spacing w:before="260" w:after="260" w:line="360" w:lineRule="auto"/>
        <w:jc w:val="left"/>
        <w:outlineLvl w:val="1"/>
        <w:rPr>
          <w:rFonts w:ascii="宋体" w:hAnsi="宋体"/>
          <w:b/>
          <w:bCs/>
          <w:color w:val="auto"/>
          <w:sz w:val="28"/>
          <w:szCs w:val="28"/>
        </w:rPr>
      </w:pPr>
      <w:bookmarkStart w:id="10" w:name="_Toc316462344"/>
      <w:bookmarkStart w:id="11" w:name="_Toc213496268"/>
      <w:bookmarkStart w:id="12" w:name="_Toc217446032"/>
      <w:bookmarkStart w:id="13" w:name="_Toc189727030"/>
      <w:bookmarkStart w:id="14" w:name="_Toc18491"/>
      <w:bookmarkStart w:id="15" w:name="_Toc213396760"/>
      <w:bookmarkStart w:id="16" w:name="_Toc213397010"/>
      <w:bookmarkStart w:id="17" w:name="_Toc213396946"/>
      <w:r>
        <w:rPr>
          <w:rFonts w:hint="eastAsia" w:ascii="宋体" w:hAnsi="宋体"/>
          <w:b/>
          <w:bCs/>
          <w:color w:val="auto"/>
          <w:sz w:val="28"/>
          <w:szCs w:val="28"/>
        </w:rPr>
        <w:t>1.1投标人须知前附表</w:t>
      </w:r>
      <w:bookmarkEnd w:id="10"/>
      <w:bookmarkEnd w:id="11"/>
      <w:bookmarkEnd w:id="12"/>
      <w:bookmarkEnd w:id="13"/>
      <w:bookmarkEnd w:id="14"/>
      <w:bookmarkEnd w:id="15"/>
      <w:bookmarkEnd w:id="16"/>
      <w:bookmarkEnd w:id="17"/>
    </w:p>
    <w:tbl>
      <w:tblPr>
        <w:tblStyle w:val="49"/>
        <w:tblW w:w="855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051"/>
        <w:gridCol w:w="7508"/>
      </w:tblGrid>
      <w:tr w14:paraId="1C0511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43" w:hRule="atLeast"/>
          <w:jc w:val="center"/>
        </w:trPr>
        <w:tc>
          <w:tcPr>
            <w:tcW w:w="1051" w:type="dxa"/>
            <w:vAlign w:val="center"/>
          </w:tcPr>
          <w:p w14:paraId="4B95A307">
            <w:pPr>
              <w:spacing w:line="560" w:lineRule="exact"/>
              <w:jc w:val="center"/>
              <w:rPr>
                <w:rFonts w:ascii="仿宋" w:hAnsi="仿宋" w:cs="仿宋"/>
                <w:color w:val="auto"/>
                <w:sz w:val="24"/>
              </w:rPr>
            </w:pPr>
            <w:r>
              <w:rPr>
                <w:rFonts w:hint="eastAsia" w:ascii="仿宋" w:hAnsi="仿宋" w:cs="仿宋"/>
                <w:color w:val="auto"/>
                <w:sz w:val="24"/>
              </w:rPr>
              <w:t>条款号</w:t>
            </w:r>
          </w:p>
        </w:tc>
        <w:tc>
          <w:tcPr>
            <w:tcW w:w="7508" w:type="dxa"/>
            <w:vAlign w:val="center"/>
          </w:tcPr>
          <w:p w14:paraId="2C0F969C">
            <w:pPr>
              <w:spacing w:line="560" w:lineRule="exact"/>
              <w:ind w:left="1079" w:leftChars="257" w:hanging="540"/>
              <w:jc w:val="center"/>
              <w:rPr>
                <w:rFonts w:ascii="仿宋" w:hAnsi="仿宋" w:cs="仿宋"/>
                <w:b/>
                <w:color w:val="auto"/>
                <w:sz w:val="24"/>
              </w:rPr>
            </w:pPr>
            <w:r>
              <w:rPr>
                <w:rFonts w:hint="eastAsia" w:ascii="仿宋" w:hAnsi="仿宋" w:cs="仿宋"/>
                <w:b/>
                <w:color w:val="auto"/>
                <w:sz w:val="24"/>
              </w:rPr>
              <w:t>内      容</w:t>
            </w:r>
          </w:p>
        </w:tc>
      </w:tr>
      <w:tr w14:paraId="118937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666" w:hRule="atLeast"/>
          <w:jc w:val="center"/>
        </w:trPr>
        <w:tc>
          <w:tcPr>
            <w:tcW w:w="1051" w:type="dxa"/>
            <w:vAlign w:val="center"/>
          </w:tcPr>
          <w:p w14:paraId="43720D9C">
            <w:pPr>
              <w:spacing w:line="560" w:lineRule="exact"/>
              <w:jc w:val="center"/>
              <w:rPr>
                <w:rFonts w:ascii="仿宋" w:hAnsi="仿宋" w:cs="仿宋"/>
                <w:color w:val="auto"/>
                <w:sz w:val="24"/>
              </w:rPr>
            </w:pPr>
            <w:r>
              <w:rPr>
                <w:rFonts w:hint="eastAsia" w:ascii="仿宋" w:hAnsi="仿宋" w:cs="仿宋"/>
                <w:color w:val="auto"/>
                <w:sz w:val="24"/>
              </w:rPr>
              <w:t>1</w:t>
            </w:r>
          </w:p>
        </w:tc>
        <w:tc>
          <w:tcPr>
            <w:tcW w:w="7508" w:type="dxa"/>
            <w:vAlign w:val="center"/>
          </w:tcPr>
          <w:p w14:paraId="795EA5D5">
            <w:pPr>
              <w:spacing w:line="560" w:lineRule="exact"/>
              <w:rPr>
                <w:rFonts w:ascii="仿宋" w:hAnsi="仿宋" w:cs="仿宋"/>
                <w:color w:val="auto"/>
                <w:sz w:val="24"/>
                <w:u w:val="single"/>
              </w:rPr>
            </w:pPr>
            <w:r>
              <w:rPr>
                <w:rFonts w:hint="eastAsia" w:ascii="仿宋" w:hAnsi="仿宋" w:cs="仿宋"/>
                <w:color w:val="auto"/>
                <w:sz w:val="24"/>
              </w:rPr>
              <w:t>采购人：</w:t>
            </w:r>
            <w:r>
              <w:rPr>
                <w:rFonts w:hint="eastAsia" w:ascii="仿宋" w:hAnsi="仿宋" w:cs="仿宋"/>
                <w:color w:val="auto"/>
                <w:sz w:val="24"/>
                <w:u w:val="single"/>
              </w:rPr>
              <w:t>新疆维吾尔自治区地质研究院</w:t>
            </w:r>
          </w:p>
          <w:p w14:paraId="1CEB82D6">
            <w:pPr>
              <w:spacing w:line="560" w:lineRule="exact"/>
              <w:rPr>
                <w:rFonts w:ascii="仿宋" w:hAnsi="仿宋" w:cs="仿宋"/>
                <w:color w:val="auto"/>
                <w:sz w:val="24"/>
              </w:rPr>
            </w:pPr>
            <w:r>
              <w:rPr>
                <w:rFonts w:hint="eastAsia" w:ascii="仿宋" w:hAnsi="仿宋" w:cs="仿宋"/>
                <w:color w:val="auto"/>
                <w:sz w:val="24"/>
              </w:rPr>
              <w:t>地  址：</w:t>
            </w:r>
            <w:r>
              <w:rPr>
                <w:rFonts w:hint="eastAsia" w:ascii="仿宋" w:hAnsi="仿宋" w:cs="仿宋"/>
                <w:color w:val="auto"/>
                <w:sz w:val="24"/>
                <w:u w:val="single"/>
              </w:rPr>
              <w:t>乌鲁木齐市沙依巴克区泽普街466号</w:t>
            </w:r>
          </w:p>
          <w:p w14:paraId="45746FCB">
            <w:pPr>
              <w:pStyle w:val="169"/>
              <w:spacing w:line="560" w:lineRule="exact"/>
              <w:ind w:firstLine="0" w:firstLineChars="0"/>
              <w:rPr>
                <w:rFonts w:hint="eastAsia" w:ascii="仿宋" w:hAnsi="仿宋" w:eastAsia="仿宋" w:cs="仿宋"/>
                <w:color w:val="auto"/>
                <w:kern w:val="2"/>
                <w:sz w:val="21"/>
                <w:szCs w:val="22"/>
                <w:lang w:eastAsia="zh-CN"/>
              </w:rPr>
            </w:pPr>
            <w:r>
              <w:rPr>
                <w:rFonts w:hint="eastAsia" w:ascii="仿宋" w:hAnsi="仿宋" w:eastAsia="仿宋" w:cs="仿宋"/>
                <w:color w:val="auto"/>
                <w:kern w:val="2"/>
                <w:sz w:val="24"/>
                <w:szCs w:val="24"/>
              </w:rPr>
              <w:t>联系电话</w:t>
            </w:r>
            <w:r>
              <w:rPr>
                <w:rFonts w:hint="eastAsia" w:ascii="仿宋" w:hAnsi="仿宋" w:eastAsia="仿宋" w:cs="仿宋"/>
                <w:color w:val="auto"/>
                <w:kern w:val="2"/>
                <w:sz w:val="21"/>
                <w:szCs w:val="22"/>
              </w:rPr>
              <w:t>：</w:t>
            </w:r>
            <w:r>
              <w:rPr>
                <w:rFonts w:hint="eastAsia" w:ascii="仿宋" w:hAnsi="仿宋" w:eastAsia="仿宋" w:cs="仿宋"/>
                <w:color w:val="auto"/>
                <w:kern w:val="2"/>
                <w:sz w:val="24"/>
                <w:szCs w:val="22"/>
                <w:u w:val="single"/>
                <w:lang w:eastAsia="zh-CN"/>
              </w:rPr>
              <w:t>0991-4838763</w:t>
            </w:r>
          </w:p>
        </w:tc>
      </w:tr>
      <w:tr w14:paraId="0CDE59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666" w:hRule="atLeast"/>
          <w:jc w:val="center"/>
        </w:trPr>
        <w:tc>
          <w:tcPr>
            <w:tcW w:w="1051" w:type="dxa"/>
            <w:vAlign w:val="center"/>
          </w:tcPr>
          <w:p w14:paraId="02ABAE94">
            <w:pPr>
              <w:spacing w:line="560" w:lineRule="exact"/>
              <w:jc w:val="center"/>
              <w:rPr>
                <w:rFonts w:ascii="仿宋" w:hAnsi="仿宋" w:cs="仿宋"/>
                <w:color w:val="auto"/>
                <w:sz w:val="24"/>
              </w:rPr>
            </w:pPr>
            <w:r>
              <w:rPr>
                <w:rFonts w:hint="eastAsia" w:ascii="仿宋" w:hAnsi="仿宋" w:cs="仿宋"/>
                <w:color w:val="auto"/>
                <w:sz w:val="24"/>
              </w:rPr>
              <w:t>2</w:t>
            </w:r>
          </w:p>
        </w:tc>
        <w:tc>
          <w:tcPr>
            <w:tcW w:w="7508" w:type="dxa"/>
            <w:vAlign w:val="center"/>
          </w:tcPr>
          <w:p w14:paraId="57A4223A">
            <w:pPr>
              <w:spacing w:line="560" w:lineRule="exact"/>
              <w:rPr>
                <w:rFonts w:ascii="仿宋" w:hAnsi="仿宋" w:cs="仿宋"/>
                <w:color w:val="auto"/>
                <w:sz w:val="24"/>
                <w:u w:val="single"/>
              </w:rPr>
            </w:pPr>
            <w:r>
              <w:rPr>
                <w:rFonts w:hint="eastAsia" w:ascii="仿宋" w:hAnsi="仿宋" w:cs="仿宋"/>
                <w:color w:val="auto"/>
                <w:sz w:val="24"/>
              </w:rPr>
              <w:t>采购代理机构：</w:t>
            </w:r>
            <w:r>
              <w:rPr>
                <w:rFonts w:hint="eastAsia" w:ascii="仿宋" w:hAnsi="仿宋" w:cs="仿宋"/>
                <w:color w:val="auto"/>
                <w:sz w:val="24"/>
                <w:u w:val="single"/>
              </w:rPr>
              <w:t>新疆国源土地矿产资源交易中心（有限公司）</w:t>
            </w:r>
          </w:p>
          <w:p w14:paraId="2E2912F6">
            <w:pPr>
              <w:spacing w:line="560" w:lineRule="exact"/>
              <w:rPr>
                <w:rFonts w:ascii="仿宋" w:hAnsi="仿宋" w:cs="仿宋"/>
                <w:color w:val="auto"/>
                <w:sz w:val="24"/>
                <w:u w:val="single"/>
              </w:rPr>
            </w:pPr>
            <w:r>
              <w:rPr>
                <w:rFonts w:hint="eastAsia" w:ascii="仿宋" w:hAnsi="仿宋" w:cs="仿宋"/>
                <w:color w:val="auto"/>
                <w:sz w:val="24"/>
              </w:rPr>
              <w:t>地址：</w:t>
            </w:r>
            <w:r>
              <w:rPr>
                <w:rFonts w:hint="eastAsia" w:ascii="仿宋" w:hAnsi="仿宋" w:cs="仿宋"/>
                <w:color w:val="auto"/>
                <w:sz w:val="24"/>
                <w:u w:val="single"/>
              </w:rPr>
              <w:t xml:space="preserve">乌鲁木齐市城北大道乐天孵化园南区G12幢 </w:t>
            </w:r>
          </w:p>
          <w:p w14:paraId="099CE07D">
            <w:pPr>
              <w:spacing w:line="560" w:lineRule="exact"/>
              <w:rPr>
                <w:rFonts w:ascii="仿宋" w:hAnsi="仿宋" w:cs="仿宋"/>
                <w:color w:val="auto"/>
                <w:sz w:val="24"/>
              </w:rPr>
            </w:pPr>
            <w:r>
              <w:rPr>
                <w:rFonts w:hint="eastAsia" w:ascii="仿宋" w:hAnsi="仿宋" w:cs="仿宋"/>
                <w:color w:val="auto"/>
                <w:sz w:val="24"/>
              </w:rPr>
              <w:t>业务联系人：</w:t>
            </w:r>
            <w:r>
              <w:rPr>
                <w:rFonts w:hint="eastAsia" w:ascii="仿宋" w:hAnsi="仿宋" w:cs="仿宋"/>
                <w:color w:val="auto"/>
                <w:sz w:val="24"/>
                <w:u w:val="single"/>
              </w:rPr>
              <w:t xml:space="preserve">王亚婷、高嘉杰 </w:t>
            </w:r>
            <w:r>
              <w:rPr>
                <w:rFonts w:hint="eastAsia" w:ascii="仿宋" w:hAnsi="仿宋" w:cs="仿宋"/>
                <w:color w:val="auto"/>
                <w:sz w:val="24"/>
              </w:rPr>
              <w:t xml:space="preserve"> 电话：</w:t>
            </w:r>
            <w:r>
              <w:rPr>
                <w:rFonts w:hint="eastAsia" w:ascii="仿宋" w:hAnsi="仿宋" w:cs="仿宋"/>
                <w:color w:val="auto"/>
                <w:sz w:val="24"/>
                <w:u w:val="single"/>
              </w:rPr>
              <w:t>15160993540、15299487280</w:t>
            </w:r>
          </w:p>
        </w:tc>
      </w:tr>
      <w:tr w14:paraId="17B97F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49" w:hRule="atLeast"/>
          <w:jc w:val="center"/>
        </w:trPr>
        <w:tc>
          <w:tcPr>
            <w:tcW w:w="1051" w:type="dxa"/>
            <w:vAlign w:val="center"/>
          </w:tcPr>
          <w:p w14:paraId="1ED20E6E">
            <w:pPr>
              <w:spacing w:line="560" w:lineRule="exact"/>
              <w:jc w:val="center"/>
              <w:rPr>
                <w:rFonts w:ascii="仿宋" w:hAnsi="仿宋" w:cs="仿宋"/>
                <w:color w:val="auto"/>
                <w:sz w:val="24"/>
              </w:rPr>
            </w:pPr>
            <w:r>
              <w:rPr>
                <w:rFonts w:hint="eastAsia" w:ascii="仿宋" w:hAnsi="仿宋" w:cs="仿宋"/>
                <w:color w:val="auto"/>
                <w:sz w:val="24"/>
              </w:rPr>
              <w:t>3</w:t>
            </w:r>
          </w:p>
        </w:tc>
        <w:tc>
          <w:tcPr>
            <w:tcW w:w="7508" w:type="dxa"/>
            <w:vAlign w:val="center"/>
          </w:tcPr>
          <w:p w14:paraId="3D0F4B5C">
            <w:pPr>
              <w:spacing w:line="520" w:lineRule="exact"/>
              <w:rPr>
                <w:rFonts w:ascii="仿宋" w:hAnsi="仿宋" w:cs="仿宋"/>
                <w:color w:val="auto"/>
                <w:sz w:val="24"/>
              </w:rPr>
            </w:pPr>
            <w:r>
              <w:rPr>
                <w:rFonts w:hint="eastAsia" w:ascii="仿宋" w:hAnsi="仿宋" w:cs="仿宋"/>
                <w:color w:val="auto"/>
                <w:sz w:val="24"/>
              </w:rPr>
              <w:t>合格申请人的资格要求：</w:t>
            </w:r>
          </w:p>
          <w:p w14:paraId="28A75761">
            <w:pPr>
              <w:spacing w:line="520" w:lineRule="exact"/>
              <w:rPr>
                <w:rFonts w:ascii="仿宋" w:hAnsi="仿宋" w:cs="仿宋"/>
                <w:color w:val="auto"/>
                <w:sz w:val="24"/>
              </w:rPr>
            </w:pPr>
            <w:r>
              <w:rPr>
                <w:rFonts w:hint="eastAsia" w:ascii="仿宋" w:hAnsi="仿宋" w:cs="仿宋"/>
                <w:color w:val="auto"/>
                <w:sz w:val="24"/>
              </w:rPr>
              <w:t>1.满足《中华人民共和国政府采购法》第二十二条规定；</w:t>
            </w:r>
          </w:p>
          <w:p w14:paraId="15A595EA">
            <w:pPr>
              <w:spacing w:line="520" w:lineRule="exact"/>
              <w:rPr>
                <w:rFonts w:ascii="仿宋" w:hAnsi="仿宋" w:cs="仿宋"/>
                <w:color w:val="auto"/>
                <w:sz w:val="24"/>
              </w:rPr>
            </w:pPr>
            <w:r>
              <w:rPr>
                <w:rFonts w:hint="eastAsia" w:ascii="仿宋" w:hAnsi="仿宋" w:cs="仿宋"/>
                <w:color w:val="auto"/>
                <w:sz w:val="24"/>
              </w:rPr>
              <w:t>2.落实政府采购政策需满足的资格要求：本项目为专门面向中小企业采购项目。</w:t>
            </w:r>
          </w:p>
          <w:p w14:paraId="0890ECAB">
            <w:pPr>
              <w:spacing w:line="520" w:lineRule="exact"/>
              <w:rPr>
                <w:rFonts w:ascii="仿宋" w:hAnsi="仿宋" w:cs="仿宋"/>
                <w:color w:val="auto"/>
                <w:sz w:val="24"/>
              </w:rPr>
            </w:pPr>
            <w:r>
              <w:rPr>
                <w:rFonts w:hint="eastAsia" w:ascii="仿宋" w:hAnsi="仿宋" w:cs="仿宋"/>
                <w:color w:val="auto"/>
                <w:sz w:val="24"/>
              </w:rPr>
              <w:t>3.本项目的特定资格要求：无。</w:t>
            </w:r>
          </w:p>
          <w:p w14:paraId="439BB361">
            <w:pPr>
              <w:spacing w:line="520" w:lineRule="exact"/>
              <w:rPr>
                <w:rFonts w:ascii="仿宋" w:hAnsi="仿宋" w:cs="仿宋"/>
                <w:color w:val="auto"/>
                <w:sz w:val="24"/>
              </w:rPr>
            </w:pPr>
            <w:r>
              <w:rPr>
                <w:rFonts w:hint="eastAsia" w:ascii="仿宋" w:hAnsi="仿宋" w:cs="仿宋"/>
                <w:color w:val="auto"/>
                <w:sz w:val="24"/>
              </w:rPr>
              <w:t>4.具有有效的营业执照/事业单位法人证书正本或副本；</w:t>
            </w:r>
          </w:p>
          <w:p w14:paraId="791BDEB5">
            <w:pPr>
              <w:spacing w:line="520" w:lineRule="exact"/>
              <w:rPr>
                <w:rFonts w:ascii="仿宋" w:hAnsi="仿宋" w:cs="仿宋"/>
                <w:color w:val="auto"/>
                <w:sz w:val="24"/>
              </w:rPr>
            </w:pPr>
            <w:r>
              <w:rPr>
                <w:rFonts w:hint="eastAsia" w:ascii="仿宋" w:hAnsi="仿宋" w:cs="仿宋"/>
                <w:color w:val="auto"/>
                <w:sz w:val="24"/>
              </w:rPr>
              <w:t>5.供应商未被列入“信用中国”网站（www.creditchina.gov.cn）、中国政府采购网（www.ccgp.gov.cn）渠道信用记录失信被执行人、重大税收违法失信主体、政府采购严重违法失信行为记录名单的投标人，国家企业公示信息系统（www.gsxt.gov.cn）查询诚信记录如有严重行政处罚信息、重大严重失信记录不得参加本项目；</w:t>
            </w:r>
          </w:p>
          <w:p w14:paraId="00766400">
            <w:pPr>
              <w:spacing w:line="520" w:lineRule="exact"/>
              <w:rPr>
                <w:rFonts w:ascii="仿宋" w:hAnsi="仿宋" w:cs="仿宋"/>
                <w:color w:val="auto"/>
                <w:sz w:val="24"/>
              </w:rPr>
            </w:pPr>
            <w:r>
              <w:rPr>
                <w:rFonts w:hint="eastAsia" w:ascii="仿宋" w:hAnsi="仿宋" w:cs="仿宋"/>
                <w:color w:val="auto"/>
                <w:sz w:val="24"/>
              </w:rPr>
              <w:t>6.有依法缴纳税收和社会保障资金的良好记录；（需提供开标前近3个月任意一月社保部门出具的投标单位的缴纳社保证明和依法纳税的相关证明文件）；</w:t>
            </w:r>
          </w:p>
          <w:p w14:paraId="1825F27E">
            <w:pPr>
              <w:spacing w:line="520" w:lineRule="exact"/>
              <w:rPr>
                <w:rFonts w:ascii="仿宋" w:hAnsi="仿宋" w:cs="仿宋"/>
                <w:color w:val="auto"/>
                <w:sz w:val="24"/>
              </w:rPr>
            </w:pPr>
            <w:r>
              <w:rPr>
                <w:rFonts w:hint="eastAsia" w:ascii="仿宋" w:hAnsi="仿宋" w:cs="仿宋"/>
                <w:color w:val="auto"/>
                <w:sz w:val="24"/>
              </w:rPr>
              <w:t>7.参加政府采购活动前三年内，在经营活动中没有重大违法记录承诺书；</w:t>
            </w:r>
          </w:p>
          <w:p w14:paraId="65E21937">
            <w:pPr>
              <w:spacing w:line="520" w:lineRule="exact"/>
              <w:rPr>
                <w:rFonts w:ascii="仿宋" w:hAnsi="仿宋" w:cs="仿宋"/>
                <w:color w:val="auto"/>
                <w:sz w:val="24"/>
              </w:rPr>
            </w:pPr>
            <w:r>
              <w:rPr>
                <w:rFonts w:hint="eastAsia" w:ascii="仿宋" w:hAnsi="仿宋" w:cs="仿宋"/>
                <w:color w:val="auto"/>
                <w:sz w:val="24"/>
              </w:rPr>
              <w:t>8.提供针对本次项目的反商业贿赂承诺书。</w:t>
            </w:r>
          </w:p>
        </w:tc>
      </w:tr>
      <w:tr w14:paraId="6354214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7EF45C6D">
            <w:pPr>
              <w:spacing w:line="560" w:lineRule="exact"/>
              <w:jc w:val="center"/>
              <w:rPr>
                <w:rFonts w:ascii="仿宋" w:hAnsi="仿宋" w:cs="仿宋"/>
                <w:color w:val="auto"/>
                <w:sz w:val="24"/>
              </w:rPr>
            </w:pPr>
            <w:r>
              <w:rPr>
                <w:rFonts w:hint="eastAsia" w:ascii="仿宋" w:hAnsi="仿宋" w:cs="仿宋"/>
                <w:color w:val="auto"/>
                <w:sz w:val="24"/>
              </w:rPr>
              <w:t>4</w:t>
            </w:r>
          </w:p>
        </w:tc>
        <w:tc>
          <w:tcPr>
            <w:tcW w:w="7508" w:type="dxa"/>
            <w:vAlign w:val="center"/>
          </w:tcPr>
          <w:p w14:paraId="727148A4">
            <w:pPr>
              <w:spacing w:line="560" w:lineRule="exact"/>
              <w:rPr>
                <w:rFonts w:ascii="仿宋" w:hAnsi="仿宋" w:cs="仿宋"/>
                <w:i/>
                <w:color w:val="auto"/>
                <w:sz w:val="24"/>
              </w:rPr>
            </w:pPr>
            <w:r>
              <w:rPr>
                <w:rFonts w:hint="eastAsia" w:ascii="仿宋" w:hAnsi="仿宋" w:cs="仿宋"/>
                <w:color w:val="auto"/>
                <w:sz w:val="24"/>
              </w:rPr>
              <w:t>是否为专门面向中小企业采购：</w:t>
            </w:r>
            <w:r>
              <w:rPr>
                <w:rFonts w:hint="eastAsia" w:ascii="仿宋" w:hAnsi="仿宋" w:cs="仿宋"/>
                <w:i/>
                <w:color w:val="auto"/>
                <w:sz w:val="24"/>
              </w:rPr>
              <w:t>（</w:t>
            </w:r>
            <w:r>
              <w:rPr>
                <w:rFonts w:hint="eastAsia" w:ascii="仿宋" w:hAnsi="仿宋" w:cs="仿宋"/>
                <w:iCs/>
                <w:color w:val="auto"/>
                <w:sz w:val="24"/>
              </w:rPr>
              <w:t xml:space="preserve">是 </w:t>
            </w:r>
            <w:r>
              <w:rPr>
                <w:rFonts w:hint="eastAsia" w:ascii="仿宋" w:hAnsi="仿宋" w:cs="仿宋"/>
                <w:iCs/>
                <w:color w:val="auto"/>
                <w:sz w:val="24"/>
                <w:lang w:eastAsia="zh-CN"/>
              </w:rPr>
              <w:t>☑</w:t>
            </w:r>
            <w:r>
              <w:rPr>
                <w:rFonts w:hint="eastAsia" w:ascii="仿宋" w:hAnsi="仿宋" w:cs="仿宋"/>
                <w:iCs/>
                <w:color w:val="auto"/>
                <w:sz w:val="24"/>
              </w:rPr>
              <w:t xml:space="preserve">否 </w:t>
            </w:r>
            <w:r>
              <w:rPr>
                <w:rFonts w:hint="eastAsia" w:ascii="仿宋" w:hAnsi="仿宋" w:cs="仿宋"/>
                <w:iCs/>
                <w:color w:val="auto"/>
                <w:sz w:val="24"/>
                <w:lang w:eastAsia="zh-CN"/>
              </w:rPr>
              <w:t>□</w:t>
            </w:r>
            <w:r>
              <w:rPr>
                <w:rFonts w:hint="eastAsia" w:ascii="仿宋" w:hAnsi="仿宋" w:cs="仿宋"/>
                <w:iCs/>
                <w:color w:val="auto"/>
                <w:sz w:val="24"/>
              </w:rPr>
              <w:t xml:space="preserve"> </w:t>
            </w:r>
            <w:r>
              <w:rPr>
                <w:rFonts w:hint="eastAsia" w:ascii="仿宋" w:hAnsi="仿宋" w:cs="仿宋"/>
                <w:i/>
                <w:color w:val="auto"/>
                <w:sz w:val="24"/>
              </w:rPr>
              <w:t>）</w:t>
            </w:r>
          </w:p>
        </w:tc>
      </w:tr>
      <w:tr w14:paraId="295487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64626D9C">
            <w:pPr>
              <w:spacing w:line="560" w:lineRule="exact"/>
              <w:jc w:val="center"/>
              <w:rPr>
                <w:rFonts w:ascii="仿宋" w:hAnsi="仿宋" w:cs="仿宋"/>
                <w:color w:val="auto"/>
                <w:sz w:val="24"/>
              </w:rPr>
            </w:pPr>
            <w:r>
              <w:rPr>
                <w:rFonts w:hint="eastAsia" w:ascii="仿宋" w:hAnsi="仿宋" w:cs="仿宋"/>
                <w:color w:val="auto"/>
                <w:sz w:val="24"/>
              </w:rPr>
              <w:t>5</w:t>
            </w:r>
          </w:p>
        </w:tc>
        <w:tc>
          <w:tcPr>
            <w:tcW w:w="7508" w:type="dxa"/>
            <w:vAlign w:val="center"/>
          </w:tcPr>
          <w:p w14:paraId="2432009A">
            <w:pPr>
              <w:spacing w:line="560" w:lineRule="exact"/>
              <w:rPr>
                <w:rFonts w:ascii="仿宋" w:hAnsi="仿宋" w:cs="仿宋"/>
                <w:color w:val="auto"/>
                <w:sz w:val="24"/>
              </w:rPr>
            </w:pPr>
            <w:r>
              <w:rPr>
                <w:rFonts w:hint="eastAsia" w:ascii="仿宋" w:hAnsi="仿宋" w:cs="仿宋"/>
                <w:color w:val="auto"/>
                <w:sz w:val="24"/>
              </w:rPr>
              <w:t>是否允许联合体投标：</w:t>
            </w:r>
            <w:r>
              <w:rPr>
                <w:rFonts w:hint="eastAsia" w:ascii="仿宋" w:hAnsi="仿宋" w:cs="仿宋"/>
                <w:i/>
                <w:color w:val="auto"/>
                <w:sz w:val="24"/>
              </w:rPr>
              <w:t>（</w:t>
            </w:r>
            <w:r>
              <w:rPr>
                <w:rFonts w:hint="eastAsia" w:ascii="仿宋" w:hAnsi="仿宋" w:cs="仿宋"/>
                <w:iCs/>
                <w:color w:val="auto"/>
                <w:sz w:val="24"/>
              </w:rPr>
              <w:t>是 □ 否 ☑</w:t>
            </w:r>
            <w:r>
              <w:rPr>
                <w:rFonts w:hint="eastAsia" w:ascii="仿宋" w:hAnsi="仿宋" w:cs="仿宋"/>
                <w:i/>
                <w:color w:val="auto"/>
                <w:sz w:val="24"/>
              </w:rPr>
              <w:t xml:space="preserve"> ）</w:t>
            </w:r>
          </w:p>
        </w:tc>
      </w:tr>
      <w:tr w14:paraId="62CFB6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176257F2">
            <w:pPr>
              <w:spacing w:line="560" w:lineRule="exact"/>
              <w:jc w:val="center"/>
              <w:rPr>
                <w:rFonts w:ascii="仿宋" w:hAnsi="仿宋" w:cs="仿宋"/>
                <w:color w:val="auto"/>
                <w:sz w:val="24"/>
              </w:rPr>
            </w:pPr>
            <w:r>
              <w:rPr>
                <w:rFonts w:hint="eastAsia" w:ascii="仿宋" w:hAnsi="仿宋" w:cs="仿宋"/>
                <w:color w:val="auto"/>
                <w:sz w:val="24"/>
              </w:rPr>
              <w:t>6</w:t>
            </w:r>
          </w:p>
        </w:tc>
        <w:tc>
          <w:tcPr>
            <w:tcW w:w="7508" w:type="dxa"/>
            <w:vAlign w:val="center"/>
          </w:tcPr>
          <w:p w14:paraId="2EAE2612">
            <w:pPr>
              <w:spacing w:line="560" w:lineRule="exact"/>
              <w:rPr>
                <w:rFonts w:ascii="仿宋" w:hAnsi="仿宋" w:cs="仿宋"/>
                <w:color w:val="auto"/>
                <w:sz w:val="24"/>
                <w:szCs w:val="24"/>
              </w:rPr>
            </w:pPr>
            <w:r>
              <w:rPr>
                <w:rFonts w:hint="eastAsia" w:ascii="仿宋" w:hAnsi="仿宋" w:cs="仿宋"/>
                <w:color w:val="auto"/>
                <w:sz w:val="24"/>
                <w:szCs w:val="24"/>
              </w:rPr>
              <w:t xml:space="preserve">项目总预算金额人民币：117.65万元  </w:t>
            </w:r>
          </w:p>
        </w:tc>
      </w:tr>
      <w:tr w14:paraId="350E679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3FB0AAAF">
            <w:pPr>
              <w:spacing w:line="560" w:lineRule="exact"/>
              <w:jc w:val="center"/>
              <w:rPr>
                <w:rFonts w:ascii="仿宋" w:hAnsi="仿宋" w:cs="仿宋"/>
                <w:color w:val="auto"/>
                <w:sz w:val="24"/>
              </w:rPr>
            </w:pPr>
            <w:r>
              <w:rPr>
                <w:rFonts w:hint="eastAsia" w:ascii="仿宋" w:hAnsi="仿宋" w:cs="仿宋"/>
                <w:color w:val="auto"/>
                <w:sz w:val="24"/>
              </w:rPr>
              <w:t>7</w:t>
            </w:r>
          </w:p>
        </w:tc>
        <w:tc>
          <w:tcPr>
            <w:tcW w:w="7508" w:type="dxa"/>
            <w:vAlign w:val="center"/>
          </w:tcPr>
          <w:p w14:paraId="182B57E3">
            <w:pPr>
              <w:pStyle w:val="15"/>
              <w:spacing w:line="560" w:lineRule="exact"/>
              <w:ind w:firstLine="0"/>
              <w:rPr>
                <w:rFonts w:ascii="仿宋" w:hAnsi="仿宋" w:eastAsia="仿宋" w:cs="仿宋"/>
                <w:color w:val="auto"/>
                <w:sz w:val="24"/>
                <w:szCs w:val="24"/>
              </w:rPr>
            </w:pPr>
            <w:r>
              <w:rPr>
                <w:rFonts w:hint="eastAsia" w:ascii="仿宋" w:hAnsi="仿宋" w:eastAsia="仿宋" w:cs="仿宋"/>
                <w:color w:val="auto"/>
                <w:sz w:val="24"/>
                <w:szCs w:val="24"/>
              </w:rPr>
              <w:t xml:space="preserve">投标保证金形式：☑电汇 </w:t>
            </w:r>
            <w:r>
              <w:rPr>
                <w:rFonts w:ascii="仿宋" w:hAnsi="仿宋" w:eastAsia="仿宋" w:cs="仿宋"/>
                <w:color w:val="auto"/>
                <w:sz w:val="24"/>
                <w:szCs w:val="24"/>
              </w:rPr>
              <w:t xml:space="preserve"> </w:t>
            </w:r>
            <w:r>
              <w:rPr>
                <w:rFonts w:hint="eastAsia" w:ascii="仿宋" w:hAnsi="仿宋" w:eastAsia="仿宋" w:cs="仿宋"/>
                <w:color w:val="auto"/>
                <w:sz w:val="24"/>
                <w:szCs w:val="24"/>
              </w:rPr>
              <w:t>☑转账  □保单  ☑保函</w:t>
            </w:r>
          </w:p>
          <w:p w14:paraId="67B9D407">
            <w:pPr>
              <w:spacing w:line="560" w:lineRule="exact"/>
              <w:rPr>
                <w:rFonts w:ascii="仿宋" w:hAnsi="仿宋" w:cs="仿宋"/>
                <w:color w:val="auto"/>
                <w:sz w:val="24"/>
                <w:szCs w:val="24"/>
              </w:rPr>
            </w:pPr>
            <w:r>
              <w:rPr>
                <w:rFonts w:hint="eastAsia" w:ascii="仿宋" w:hAnsi="仿宋" w:cs="仿宋"/>
                <w:color w:val="auto"/>
                <w:sz w:val="24"/>
                <w:szCs w:val="24"/>
              </w:rPr>
              <w:t>投标保证金数额：23530.00元</w:t>
            </w:r>
          </w:p>
          <w:p w14:paraId="1D285B1D">
            <w:pPr>
              <w:spacing w:line="560" w:lineRule="exact"/>
              <w:rPr>
                <w:rFonts w:ascii="仿宋" w:hAnsi="仿宋" w:cs="仿宋"/>
                <w:color w:val="auto"/>
                <w:sz w:val="24"/>
                <w:szCs w:val="24"/>
              </w:rPr>
            </w:pPr>
            <w:r>
              <w:rPr>
                <w:rFonts w:hint="eastAsia" w:ascii="仿宋" w:hAnsi="仿宋" w:cs="仿宋"/>
                <w:color w:val="auto"/>
                <w:sz w:val="24"/>
                <w:szCs w:val="24"/>
              </w:rPr>
              <w:t xml:space="preserve">投标保证金收款人：新疆国源土地矿产资源交易中心（有限公司）            </w:t>
            </w:r>
          </w:p>
          <w:p w14:paraId="4124D3EF">
            <w:pPr>
              <w:spacing w:line="560" w:lineRule="exact"/>
              <w:rPr>
                <w:rFonts w:ascii="仿宋" w:hAnsi="仿宋" w:cs="仿宋"/>
                <w:color w:val="auto"/>
                <w:sz w:val="24"/>
                <w:szCs w:val="24"/>
                <w:u w:val="single"/>
              </w:rPr>
            </w:pPr>
            <w:r>
              <w:rPr>
                <w:rFonts w:hint="eastAsia" w:ascii="仿宋" w:hAnsi="仿宋" w:cs="仿宋"/>
                <w:color w:val="auto"/>
                <w:sz w:val="24"/>
                <w:szCs w:val="24"/>
              </w:rPr>
              <w:t>开 户 行：兴业银行股份有限公司乌鲁木齐友好路支行</w:t>
            </w:r>
          </w:p>
          <w:p w14:paraId="1B50B492">
            <w:pPr>
              <w:spacing w:line="560" w:lineRule="exact"/>
              <w:rPr>
                <w:rFonts w:ascii="仿宋" w:hAnsi="仿宋" w:cs="仿宋"/>
                <w:color w:val="auto"/>
                <w:sz w:val="24"/>
                <w:szCs w:val="24"/>
              </w:rPr>
            </w:pPr>
            <w:r>
              <w:rPr>
                <w:rFonts w:hint="eastAsia" w:ascii="仿宋" w:hAnsi="仿宋" w:cs="仿宋"/>
                <w:color w:val="auto"/>
                <w:sz w:val="24"/>
                <w:szCs w:val="24"/>
              </w:rPr>
              <w:t xml:space="preserve">账    号：512050100100003684 </w:t>
            </w:r>
          </w:p>
          <w:p w14:paraId="310C1588">
            <w:pPr>
              <w:spacing w:line="560" w:lineRule="exact"/>
              <w:rPr>
                <w:rFonts w:ascii="仿宋" w:hAnsi="仿宋" w:cs="仿宋"/>
                <w:color w:val="auto"/>
                <w:sz w:val="24"/>
                <w:szCs w:val="24"/>
              </w:rPr>
            </w:pPr>
            <w:r>
              <w:rPr>
                <w:rFonts w:hint="eastAsia" w:ascii="仿宋" w:hAnsi="仿宋" w:cs="仿宋"/>
                <w:color w:val="auto"/>
                <w:sz w:val="24"/>
                <w:szCs w:val="24"/>
              </w:rPr>
              <w:t>注：1.供应商须在投标文件递交截止时间前由单位账户一次性汇入采购文件指定账号（以到账时间为准），缴纳保证金时须备注“项目名称及标项”。供应商须自行评估因异地、跨行、公休日等因素造成的保证金到账延迟风险，并承担相应责任。汇款成功后将汇款凭证放入投标文件中。</w:t>
            </w:r>
          </w:p>
          <w:p w14:paraId="16FE7931">
            <w:pPr>
              <w:spacing w:line="560" w:lineRule="exact"/>
              <w:rPr>
                <w:rFonts w:ascii="仿宋" w:hAnsi="仿宋" w:cs="仿宋"/>
                <w:color w:val="auto"/>
                <w:sz w:val="24"/>
              </w:rPr>
            </w:pPr>
            <w:r>
              <w:rPr>
                <w:rFonts w:hint="eastAsia" w:ascii="仿宋" w:hAnsi="仿宋" w:cs="仿宋"/>
                <w:color w:val="auto"/>
                <w:sz w:val="24"/>
                <w:szCs w:val="24"/>
              </w:rPr>
              <w:t>2</w:t>
            </w:r>
            <w:r>
              <w:rPr>
                <w:rFonts w:ascii="仿宋" w:hAnsi="仿宋" w:cs="仿宋"/>
                <w:color w:val="auto"/>
                <w:sz w:val="24"/>
                <w:szCs w:val="24"/>
              </w:rPr>
              <w:t>.</w:t>
            </w:r>
            <w:r>
              <w:rPr>
                <w:rFonts w:hint="eastAsia" w:ascii="仿宋" w:hAnsi="仿宋" w:cs="仿宋"/>
                <w:color w:val="auto"/>
                <w:sz w:val="24"/>
                <w:szCs w:val="24"/>
              </w:rPr>
              <w:t>投标保证金的退还：中标通知书发出之日起5个工作日内退还未中标人的投标保证金，中标单位投标保证金在与采购单位签订合同后，5个工作日内，无息退还保证金。</w:t>
            </w:r>
          </w:p>
        </w:tc>
      </w:tr>
      <w:tr w14:paraId="1C6D99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93" w:hRule="atLeast"/>
          <w:jc w:val="center"/>
        </w:trPr>
        <w:tc>
          <w:tcPr>
            <w:tcW w:w="1051" w:type="dxa"/>
            <w:vAlign w:val="center"/>
          </w:tcPr>
          <w:p w14:paraId="7F9CBB50">
            <w:pPr>
              <w:spacing w:line="560" w:lineRule="exact"/>
              <w:jc w:val="center"/>
              <w:rPr>
                <w:rFonts w:ascii="仿宋" w:hAnsi="仿宋" w:cs="仿宋"/>
                <w:color w:val="auto"/>
                <w:sz w:val="24"/>
              </w:rPr>
            </w:pPr>
            <w:r>
              <w:rPr>
                <w:rFonts w:hint="eastAsia" w:ascii="仿宋" w:hAnsi="仿宋" w:cs="仿宋"/>
                <w:color w:val="auto"/>
                <w:sz w:val="24"/>
              </w:rPr>
              <w:t>8</w:t>
            </w:r>
          </w:p>
        </w:tc>
        <w:tc>
          <w:tcPr>
            <w:tcW w:w="7508" w:type="dxa"/>
            <w:vAlign w:val="center"/>
          </w:tcPr>
          <w:p w14:paraId="17E0A1B9">
            <w:pPr>
              <w:spacing w:line="560" w:lineRule="exact"/>
              <w:rPr>
                <w:rFonts w:ascii="仿宋" w:hAnsi="仿宋" w:cs="仿宋"/>
                <w:color w:val="auto"/>
                <w:sz w:val="24"/>
              </w:rPr>
            </w:pPr>
            <w:r>
              <w:rPr>
                <w:rFonts w:hint="eastAsia" w:ascii="仿宋" w:hAnsi="仿宋" w:cs="仿宋"/>
                <w:color w:val="auto"/>
                <w:sz w:val="24"/>
              </w:rPr>
              <w:t>现场踏勘描述：</w:t>
            </w:r>
            <w:r>
              <w:rPr>
                <w:rFonts w:hint="eastAsia" w:ascii="仿宋" w:hAnsi="仿宋" w:cs="仿宋"/>
                <w:color w:val="auto"/>
                <w:sz w:val="24"/>
                <w:u w:val="single"/>
              </w:rPr>
              <w:t>统一现场考察□  自行踏勘☑</w:t>
            </w:r>
          </w:p>
        </w:tc>
      </w:tr>
      <w:tr w14:paraId="2A2C3AF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4F340B9A">
            <w:pPr>
              <w:spacing w:line="560" w:lineRule="exact"/>
              <w:jc w:val="center"/>
              <w:rPr>
                <w:rFonts w:ascii="仿宋" w:hAnsi="仿宋" w:cs="仿宋"/>
                <w:color w:val="auto"/>
                <w:sz w:val="24"/>
              </w:rPr>
            </w:pPr>
            <w:r>
              <w:rPr>
                <w:rFonts w:hint="eastAsia" w:ascii="仿宋" w:hAnsi="仿宋" w:cs="仿宋"/>
                <w:color w:val="auto"/>
                <w:sz w:val="24"/>
              </w:rPr>
              <w:t>9</w:t>
            </w:r>
          </w:p>
        </w:tc>
        <w:tc>
          <w:tcPr>
            <w:tcW w:w="7508" w:type="dxa"/>
            <w:vAlign w:val="center"/>
          </w:tcPr>
          <w:p w14:paraId="6303A471">
            <w:pPr>
              <w:spacing w:line="560" w:lineRule="exact"/>
              <w:rPr>
                <w:rFonts w:ascii="仿宋" w:hAnsi="仿宋" w:cs="仿宋"/>
                <w:color w:val="auto"/>
                <w:sz w:val="24"/>
              </w:rPr>
            </w:pPr>
            <w:r>
              <w:rPr>
                <w:rFonts w:hint="eastAsia" w:ascii="仿宋" w:hAnsi="仿宋" w:cs="仿宋"/>
                <w:color w:val="auto"/>
                <w:sz w:val="24"/>
              </w:rPr>
              <w:t xml:space="preserve">本项目是否采用电子投标： </w:t>
            </w:r>
            <w:r>
              <w:rPr>
                <w:rFonts w:hint="eastAsia" w:ascii="仿宋" w:hAnsi="仿宋" w:cs="仿宋"/>
                <w:i/>
                <w:color w:val="auto"/>
                <w:sz w:val="24"/>
              </w:rPr>
              <w:t>（</w:t>
            </w:r>
            <w:r>
              <w:rPr>
                <w:rFonts w:hint="eastAsia" w:ascii="仿宋" w:hAnsi="仿宋" w:cs="仿宋"/>
                <w:iCs/>
                <w:color w:val="auto"/>
                <w:sz w:val="24"/>
              </w:rPr>
              <w:t>是 ☑  否 □</w:t>
            </w:r>
            <w:r>
              <w:rPr>
                <w:rFonts w:hint="eastAsia" w:ascii="仿宋" w:hAnsi="仿宋" w:cs="仿宋"/>
                <w:i/>
                <w:color w:val="auto"/>
                <w:sz w:val="24"/>
              </w:rPr>
              <w:t xml:space="preserve">  ）</w:t>
            </w:r>
          </w:p>
        </w:tc>
      </w:tr>
      <w:tr w14:paraId="295255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40B7D7E7">
            <w:pPr>
              <w:spacing w:line="560" w:lineRule="exact"/>
              <w:jc w:val="center"/>
              <w:rPr>
                <w:rFonts w:ascii="仿宋" w:hAnsi="仿宋" w:cs="仿宋"/>
                <w:color w:val="auto"/>
                <w:sz w:val="24"/>
              </w:rPr>
            </w:pPr>
            <w:r>
              <w:rPr>
                <w:rFonts w:hint="eastAsia" w:ascii="仿宋" w:hAnsi="仿宋" w:cs="仿宋"/>
                <w:color w:val="auto"/>
                <w:sz w:val="24"/>
              </w:rPr>
              <w:t>10</w:t>
            </w:r>
          </w:p>
        </w:tc>
        <w:tc>
          <w:tcPr>
            <w:tcW w:w="7508" w:type="dxa"/>
            <w:vAlign w:val="center"/>
          </w:tcPr>
          <w:p w14:paraId="04A6404D">
            <w:pPr>
              <w:spacing w:line="560" w:lineRule="exact"/>
              <w:rPr>
                <w:rFonts w:ascii="仿宋" w:hAnsi="仿宋" w:cs="仿宋"/>
                <w:color w:val="auto"/>
                <w:sz w:val="24"/>
                <w:u w:val="single"/>
              </w:rPr>
            </w:pPr>
            <w:r>
              <w:rPr>
                <w:rFonts w:hint="eastAsia" w:ascii="仿宋" w:hAnsi="仿宋" w:cs="仿宋"/>
                <w:color w:val="auto"/>
                <w:sz w:val="24"/>
              </w:rPr>
              <w:t>投标有效期：</w:t>
            </w:r>
            <w:r>
              <w:rPr>
                <w:rFonts w:hint="eastAsia" w:ascii="仿宋" w:hAnsi="仿宋" w:cs="仿宋"/>
                <w:color w:val="auto"/>
                <w:sz w:val="24"/>
                <w:u w:val="single"/>
              </w:rPr>
              <w:t>90</w:t>
            </w:r>
            <w:r>
              <w:rPr>
                <w:rFonts w:hint="eastAsia" w:ascii="仿宋" w:hAnsi="仿宋" w:cs="仿宋"/>
                <w:color w:val="auto"/>
                <w:sz w:val="24"/>
              </w:rPr>
              <w:t>日历日</w:t>
            </w:r>
          </w:p>
        </w:tc>
      </w:tr>
      <w:tr w14:paraId="01683E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7D4461E8">
            <w:pPr>
              <w:spacing w:line="560" w:lineRule="exact"/>
              <w:jc w:val="center"/>
              <w:rPr>
                <w:rFonts w:ascii="仿宋" w:hAnsi="仿宋" w:cs="仿宋"/>
                <w:color w:val="auto"/>
                <w:sz w:val="24"/>
              </w:rPr>
            </w:pPr>
            <w:r>
              <w:rPr>
                <w:rFonts w:hint="eastAsia" w:ascii="仿宋" w:hAnsi="仿宋" w:cs="仿宋"/>
                <w:color w:val="auto"/>
                <w:sz w:val="24"/>
              </w:rPr>
              <w:t>11</w:t>
            </w:r>
          </w:p>
        </w:tc>
        <w:tc>
          <w:tcPr>
            <w:tcW w:w="7508" w:type="dxa"/>
            <w:vAlign w:val="center"/>
          </w:tcPr>
          <w:p w14:paraId="2F80B4EE">
            <w:pPr>
              <w:spacing w:line="560" w:lineRule="exact"/>
              <w:rPr>
                <w:rFonts w:ascii="仿宋" w:hAnsi="仿宋" w:cs="仿宋"/>
                <w:b/>
                <w:color w:val="auto"/>
                <w:kern w:val="0"/>
                <w:sz w:val="24"/>
                <w:u w:val="single"/>
              </w:rPr>
            </w:pPr>
            <w:r>
              <w:rPr>
                <w:rFonts w:hint="eastAsia" w:ascii="仿宋" w:hAnsi="仿宋" w:cs="仿宋"/>
                <w:color w:val="auto"/>
                <w:kern w:val="0"/>
                <w:sz w:val="24"/>
                <w:u w:val="single"/>
              </w:rPr>
              <w:t>需自行上传的文件：加密电子投标文件 1 份。</w:t>
            </w:r>
            <w:r>
              <w:rPr>
                <w:rFonts w:hint="eastAsia" w:ascii="仿宋" w:hAnsi="仿宋" w:cs="仿宋"/>
                <w:b/>
                <w:color w:val="auto"/>
                <w:kern w:val="0"/>
                <w:sz w:val="24"/>
                <w:u w:val="single"/>
              </w:rPr>
              <w:t>（电子标）</w:t>
            </w:r>
          </w:p>
          <w:p w14:paraId="0E04ED88">
            <w:pPr>
              <w:spacing w:line="560" w:lineRule="exact"/>
              <w:rPr>
                <w:rFonts w:ascii="仿宋" w:hAnsi="仿宋" w:cs="仿宋"/>
                <w:b/>
                <w:color w:val="auto"/>
                <w:kern w:val="0"/>
                <w:sz w:val="24"/>
                <w:u w:val="single"/>
              </w:rPr>
            </w:pPr>
            <w:r>
              <w:rPr>
                <w:rFonts w:hint="eastAsia" w:ascii="仿宋" w:hAnsi="仿宋" w:cs="仿宋"/>
                <w:b/>
                <w:color w:val="auto"/>
                <w:kern w:val="0"/>
                <w:sz w:val="24"/>
                <w:u w:val="single"/>
              </w:rPr>
              <w:t>评标结束后，各投标单位须在一周内按招标文件要求将纸质版投标文件递交至招标代理处（所产生的的费用投标单位自理）。纸质版投标文件可通过加密电子版投标文件打印生成，应当与电子版投标文件一致。</w:t>
            </w:r>
          </w:p>
          <w:p w14:paraId="310280AB">
            <w:pPr>
              <w:spacing w:line="560" w:lineRule="exact"/>
              <w:rPr>
                <w:rFonts w:ascii="仿宋" w:hAnsi="仿宋" w:cs="仿宋"/>
                <w:b/>
                <w:color w:val="auto"/>
                <w:kern w:val="0"/>
                <w:sz w:val="24"/>
                <w:u w:val="single"/>
              </w:rPr>
            </w:pPr>
            <w:r>
              <w:rPr>
                <w:rFonts w:hint="eastAsia" w:ascii="仿宋" w:hAnsi="仿宋" w:cs="仿宋"/>
                <w:b/>
                <w:color w:val="auto"/>
                <w:kern w:val="0"/>
                <w:sz w:val="24"/>
                <w:u w:val="single"/>
              </w:rPr>
              <w:t>【1.份数要求：壹份。2.装订要求：投标文件商务技术部分装订成一册，投标文件的装订必须采用死页胶粘本。】</w:t>
            </w:r>
          </w:p>
        </w:tc>
      </w:tr>
      <w:tr w14:paraId="3597E3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0E941D9A">
            <w:pPr>
              <w:spacing w:line="560" w:lineRule="exact"/>
              <w:jc w:val="center"/>
              <w:rPr>
                <w:rFonts w:ascii="仿宋" w:hAnsi="仿宋" w:cs="仿宋"/>
                <w:color w:val="auto"/>
                <w:sz w:val="24"/>
              </w:rPr>
            </w:pPr>
            <w:r>
              <w:rPr>
                <w:rFonts w:hint="eastAsia" w:ascii="仿宋" w:hAnsi="仿宋" w:cs="仿宋"/>
                <w:color w:val="auto"/>
                <w:sz w:val="24"/>
              </w:rPr>
              <w:t>12</w:t>
            </w:r>
          </w:p>
        </w:tc>
        <w:tc>
          <w:tcPr>
            <w:tcW w:w="7508" w:type="dxa"/>
            <w:vAlign w:val="center"/>
          </w:tcPr>
          <w:p w14:paraId="32142401">
            <w:pPr>
              <w:spacing w:line="560" w:lineRule="exact"/>
              <w:rPr>
                <w:rFonts w:ascii="仿宋" w:hAnsi="仿宋" w:cs="仿宋"/>
                <w:color w:val="auto"/>
                <w:sz w:val="24"/>
              </w:rPr>
            </w:pPr>
            <w:r>
              <w:rPr>
                <w:rFonts w:hint="eastAsia" w:ascii="仿宋" w:hAnsi="仿宋" w:cs="仿宋"/>
                <w:color w:val="auto"/>
                <w:sz w:val="24"/>
              </w:rPr>
              <w:t>投标截止时间：</w:t>
            </w:r>
            <w:r>
              <w:rPr>
                <w:rFonts w:hint="eastAsia" w:ascii="仿宋" w:hAnsi="仿宋" w:cs="仿宋"/>
                <w:color w:val="auto"/>
                <w:sz w:val="24"/>
                <w:u w:val="single"/>
              </w:rPr>
              <w:t xml:space="preserve"> 2025年5月</w:t>
            </w:r>
            <w:r>
              <w:rPr>
                <w:rFonts w:hint="eastAsia" w:ascii="仿宋" w:hAnsi="仿宋" w:cs="仿宋"/>
                <w:color w:val="auto"/>
                <w:sz w:val="24"/>
                <w:u w:val="single"/>
                <w:lang w:val="en-US" w:eastAsia="zh-CN"/>
              </w:rPr>
              <w:t>7</w:t>
            </w:r>
            <w:r>
              <w:rPr>
                <w:rFonts w:hint="eastAsia" w:ascii="仿宋" w:hAnsi="仿宋" w:cs="仿宋"/>
                <w:color w:val="auto"/>
                <w:sz w:val="24"/>
                <w:u w:val="single"/>
              </w:rPr>
              <w:t>日15:00（北京时间）</w:t>
            </w:r>
          </w:p>
        </w:tc>
      </w:tr>
      <w:tr w14:paraId="6A1762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135" w:hRule="atLeast"/>
          <w:jc w:val="center"/>
        </w:trPr>
        <w:tc>
          <w:tcPr>
            <w:tcW w:w="1051" w:type="dxa"/>
            <w:vAlign w:val="center"/>
          </w:tcPr>
          <w:p w14:paraId="13C23EF5">
            <w:pPr>
              <w:spacing w:line="560" w:lineRule="exact"/>
              <w:jc w:val="center"/>
              <w:rPr>
                <w:rFonts w:ascii="仿宋" w:hAnsi="仿宋" w:cs="仿宋"/>
                <w:color w:val="auto"/>
                <w:sz w:val="24"/>
              </w:rPr>
            </w:pPr>
            <w:r>
              <w:rPr>
                <w:rFonts w:hint="eastAsia" w:ascii="仿宋" w:hAnsi="仿宋" w:cs="仿宋"/>
                <w:color w:val="auto"/>
                <w:sz w:val="24"/>
              </w:rPr>
              <w:t>13</w:t>
            </w:r>
          </w:p>
        </w:tc>
        <w:tc>
          <w:tcPr>
            <w:tcW w:w="7508" w:type="dxa"/>
            <w:vAlign w:val="center"/>
          </w:tcPr>
          <w:p w14:paraId="16B7CFDD">
            <w:pPr>
              <w:spacing w:line="560" w:lineRule="exact"/>
              <w:rPr>
                <w:rFonts w:ascii="仿宋" w:hAnsi="仿宋" w:cs="仿宋"/>
                <w:color w:val="auto"/>
                <w:sz w:val="24"/>
                <w:u w:val="single"/>
              </w:rPr>
            </w:pPr>
            <w:r>
              <w:rPr>
                <w:rFonts w:hint="eastAsia" w:ascii="仿宋" w:hAnsi="仿宋" w:cs="仿宋"/>
                <w:color w:val="auto"/>
                <w:sz w:val="24"/>
              </w:rPr>
              <w:t>开标时间：</w:t>
            </w:r>
            <w:r>
              <w:rPr>
                <w:rFonts w:hint="eastAsia" w:ascii="仿宋" w:hAnsi="仿宋" w:cs="仿宋"/>
                <w:color w:val="auto"/>
                <w:sz w:val="24"/>
                <w:u w:val="single"/>
              </w:rPr>
              <w:t>2025年5月</w:t>
            </w:r>
            <w:r>
              <w:rPr>
                <w:rFonts w:hint="eastAsia" w:ascii="仿宋" w:hAnsi="仿宋" w:cs="仿宋"/>
                <w:color w:val="auto"/>
                <w:sz w:val="24"/>
                <w:u w:val="single"/>
                <w:lang w:val="en-US" w:eastAsia="zh-CN"/>
              </w:rPr>
              <w:t>7</w:t>
            </w:r>
            <w:r>
              <w:rPr>
                <w:rFonts w:hint="eastAsia" w:ascii="仿宋" w:hAnsi="仿宋" w:cs="仿宋"/>
                <w:color w:val="auto"/>
                <w:sz w:val="24"/>
                <w:u w:val="single"/>
              </w:rPr>
              <w:t>日15:00（北京时间）</w:t>
            </w:r>
          </w:p>
          <w:p w14:paraId="6E3140E2">
            <w:pPr>
              <w:spacing w:line="560" w:lineRule="exact"/>
              <w:rPr>
                <w:rFonts w:ascii="仿宋" w:hAnsi="仿宋" w:cs="仿宋"/>
                <w:color w:val="auto"/>
                <w:sz w:val="24"/>
              </w:rPr>
            </w:pPr>
            <w:r>
              <w:rPr>
                <w:rFonts w:hint="eastAsia" w:ascii="仿宋" w:hAnsi="仿宋" w:cs="仿宋"/>
                <w:color w:val="auto"/>
                <w:sz w:val="24"/>
              </w:rPr>
              <w:t>开标地点：</w:t>
            </w:r>
            <w:r>
              <w:rPr>
                <w:rFonts w:hint="eastAsia" w:ascii="仿宋" w:hAnsi="仿宋" w:cs="仿宋"/>
                <w:color w:val="auto"/>
                <w:sz w:val="24"/>
                <w:u w:val="single"/>
              </w:rPr>
              <w:t xml:space="preserve">新疆政府采购网投标客户端 </w:t>
            </w:r>
            <w:r>
              <w:rPr>
                <w:rFonts w:hint="eastAsia" w:ascii="仿宋" w:hAnsi="仿宋" w:cs="仿宋"/>
                <w:color w:val="auto"/>
                <w:sz w:val="24"/>
              </w:rPr>
              <w:t xml:space="preserve">    </w:t>
            </w:r>
          </w:p>
        </w:tc>
      </w:tr>
      <w:tr w14:paraId="7F9518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0" w:hRule="atLeast"/>
          <w:jc w:val="center"/>
        </w:trPr>
        <w:tc>
          <w:tcPr>
            <w:tcW w:w="1051" w:type="dxa"/>
            <w:vAlign w:val="center"/>
          </w:tcPr>
          <w:p w14:paraId="759AFD41">
            <w:pPr>
              <w:spacing w:line="560" w:lineRule="exact"/>
              <w:jc w:val="center"/>
              <w:rPr>
                <w:rFonts w:ascii="仿宋" w:hAnsi="仿宋" w:cs="仿宋"/>
                <w:color w:val="auto"/>
                <w:sz w:val="24"/>
              </w:rPr>
            </w:pPr>
            <w:r>
              <w:rPr>
                <w:rFonts w:hint="eastAsia" w:ascii="仿宋" w:hAnsi="仿宋" w:cs="仿宋"/>
                <w:color w:val="auto"/>
                <w:sz w:val="24"/>
              </w:rPr>
              <w:t>14</w:t>
            </w:r>
          </w:p>
        </w:tc>
        <w:tc>
          <w:tcPr>
            <w:tcW w:w="7508" w:type="dxa"/>
            <w:vAlign w:val="center"/>
          </w:tcPr>
          <w:p w14:paraId="765B5960">
            <w:pPr>
              <w:spacing w:line="560" w:lineRule="exact"/>
              <w:rPr>
                <w:rFonts w:ascii="仿宋" w:hAnsi="仿宋" w:cs="仿宋"/>
                <w:i/>
                <w:color w:val="auto"/>
                <w:sz w:val="24"/>
              </w:rPr>
            </w:pPr>
            <w:r>
              <w:rPr>
                <w:rFonts w:hint="eastAsia" w:ascii="仿宋" w:hAnsi="仿宋" w:cs="仿宋"/>
                <w:color w:val="auto"/>
                <w:sz w:val="24"/>
              </w:rPr>
              <w:t>评标方法：最低价评标法</w:t>
            </w:r>
            <w:r>
              <w:rPr>
                <w:rFonts w:hint="eastAsia" w:ascii="仿宋" w:hAnsi="仿宋" w:cs="仿宋"/>
                <w:iCs/>
                <w:color w:val="auto"/>
                <w:sz w:val="24"/>
              </w:rPr>
              <w:t>□</w:t>
            </w:r>
            <w:r>
              <w:rPr>
                <w:rFonts w:hint="eastAsia" w:ascii="仿宋" w:hAnsi="仿宋" w:cs="仿宋"/>
                <w:color w:val="auto"/>
                <w:sz w:val="24"/>
              </w:rPr>
              <w:t xml:space="preserve">     综合评标法</w:t>
            </w:r>
            <w:r>
              <w:rPr>
                <w:rFonts w:hint="eastAsia" w:ascii="仿宋" w:hAnsi="仿宋" w:cs="仿宋"/>
                <w:iCs/>
                <w:color w:val="auto"/>
                <w:sz w:val="24"/>
              </w:rPr>
              <w:t>☑</w:t>
            </w:r>
            <w:r>
              <w:rPr>
                <w:rFonts w:hint="eastAsia" w:ascii="仿宋" w:hAnsi="仿宋" w:cs="仿宋"/>
                <w:color w:val="auto"/>
                <w:sz w:val="24"/>
              </w:rPr>
              <w:t>　　　　</w:t>
            </w:r>
          </w:p>
        </w:tc>
      </w:tr>
      <w:tr w14:paraId="5A7449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3F7D2EC7">
            <w:pPr>
              <w:spacing w:line="560" w:lineRule="exact"/>
              <w:jc w:val="center"/>
              <w:rPr>
                <w:rFonts w:ascii="仿宋" w:hAnsi="仿宋" w:cs="仿宋"/>
                <w:color w:val="auto"/>
                <w:sz w:val="24"/>
              </w:rPr>
            </w:pPr>
            <w:r>
              <w:rPr>
                <w:rFonts w:hint="eastAsia" w:ascii="仿宋" w:hAnsi="仿宋" w:cs="仿宋"/>
                <w:color w:val="auto"/>
                <w:sz w:val="24"/>
              </w:rPr>
              <w:t>15</w:t>
            </w:r>
          </w:p>
        </w:tc>
        <w:tc>
          <w:tcPr>
            <w:tcW w:w="7508" w:type="dxa"/>
            <w:vAlign w:val="center"/>
          </w:tcPr>
          <w:p w14:paraId="7C09CA04">
            <w:pPr>
              <w:spacing w:line="560" w:lineRule="exact"/>
              <w:rPr>
                <w:rFonts w:ascii="仿宋" w:hAnsi="仿宋" w:cs="仿宋"/>
                <w:color w:val="auto"/>
                <w:sz w:val="24"/>
              </w:rPr>
            </w:pPr>
            <w:r>
              <w:rPr>
                <w:rFonts w:hint="eastAsia" w:ascii="仿宋" w:hAnsi="仿宋" w:cs="仿宋"/>
                <w:color w:val="auto"/>
                <w:sz w:val="24"/>
              </w:rPr>
              <w:t>推荐中标候选供应商的数量：</w:t>
            </w:r>
            <w:r>
              <w:rPr>
                <w:rFonts w:hint="eastAsia" w:ascii="仿宋" w:hAnsi="仿宋" w:cs="仿宋"/>
                <w:color w:val="auto"/>
                <w:sz w:val="24"/>
                <w:u w:val="single"/>
              </w:rPr>
              <w:t>　3　</w:t>
            </w:r>
          </w:p>
        </w:tc>
      </w:tr>
      <w:tr w14:paraId="19909F4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2BED3044">
            <w:pPr>
              <w:spacing w:line="560" w:lineRule="exact"/>
              <w:jc w:val="center"/>
              <w:rPr>
                <w:rFonts w:ascii="仿宋" w:hAnsi="仿宋" w:cs="仿宋"/>
                <w:color w:val="auto"/>
                <w:sz w:val="24"/>
              </w:rPr>
            </w:pPr>
            <w:r>
              <w:rPr>
                <w:rFonts w:hint="eastAsia" w:ascii="仿宋" w:hAnsi="仿宋" w:cs="仿宋"/>
                <w:color w:val="auto"/>
                <w:sz w:val="24"/>
              </w:rPr>
              <w:t>16</w:t>
            </w:r>
          </w:p>
        </w:tc>
        <w:tc>
          <w:tcPr>
            <w:tcW w:w="7508" w:type="dxa"/>
            <w:vAlign w:val="center"/>
          </w:tcPr>
          <w:p w14:paraId="04A019F6">
            <w:pPr>
              <w:spacing w:line="560" w:lineRule="exact"/>
              <w:rPr>
                <w:rFonts w:ascii="仿宋" w:hAnsi="仿宋" w:cs="仿宋"/>
                <w:color w:val="auto"/>
                <w:sz w:val="24"/>
              </w:rPr>
            </w:pPr>
            <w:r>
              <w:rPr>
                <w:rFonts w:hint="eastAsia" w:ascii="仿宋" w:hAnsi="仿宋" w:cs="仿宋"/>
                <w:color w:val="auto"/>
                <w:sz w:val="24"/>
              </w:rPr>
              <w:t>招标人是否委托评标委员会直接确定中标人：</w:t>
            </w:r>
            <w:r>
              <w:rPr>
                <w:rFonts w:hint="eastAsia" w:ascii="仿宋" w:hAnsi="仿宋" w:cs="仿宋"/>
                <w:iCs/>
                <w:color w:val="auto"/>
                <w:sz w:val="24"/>
              </w:rPr>
              <w:t>是□</w:t>
            </w:r>
            <w:r>
              <w:rPr>
                <w:rFonts w:hint="eastAsia" w:ascii="仿宋" w:hAnsi="仿宋" w:cs="仿宋"/>
                <w:iCs/>
                <w:color w:val="auto"/>
                <w:sz w:val="40"/>
              </w:rPr>
              <w:t xml:space="preserve"> </w:t>
            </w:r>
            <w:r>
              <w:rPr>
                <w:rFonts w:hint="eastAsia" w:ascii="仿宋" w:hAnsi="仿宋" w:cs="仿宋"/>
                <w:iCs/>
                <w:color w:val="auto"/>
                <w:sz w:val="24"/>
              </w:rPr>
              <w:t>否☑</w:t>
            </w:r>
          </w:p>
        </w:tc>
      </w:tr>
      <w:tr w14:paraId="759FEA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vAlign w:val="center"/>
          </w:tcPr>
          <w:p w14:paraId="50F442A5">
            <w:pPr>
              <w:spacing w:line="560" w:lineRule="exact"/>
              <w:jc w:val="center"/>
              <w:rPr>
                <w:rFonts w:ascii="仿宋" w:hAnsi="仿宋" w:cs="仿宋"/>
                <w:color w:val="auto"/>
                <w:sz w:val="24"/>
              </w:rPr>
            </w:pPr>
            <w:r>
              <w:rPr>
                <w:rFonts w:hint="eastAsia" w:ascii="仿宋" w:hAnsi="仿宋" w:cs="仿宋"/>
                <w:color w:val="auto"/>
                <w:sz w:val="24"/>
              </w:rPr>
              <w:t>17</w:t>
            </w:r>
          </w:p>
        </w:tc>
        <w:tc>
          <w:tcPr>
            <w:tcW w:w="7508" w:type="dxa"/>
            <w:vAlign w:val="center"/>
          </w:tcPr>
          <w:p w14:paraId="254077B6">
            <w:pPr>
              <w:spacing w:line="560" w:lineRule="exact"/>
              <w:rPr>
                <w:rFonts w:ascii="仿宋" w:hAnsi="仿宋" w:cs="仿宋"/>
                <w:color w:val="auto"/>
                <w:sz w:val="24"/>
              </w:rPr>
            </w:pPr>
            <w:r>
              <w:rPr>
                <w:rFonts w:hint="eastAsia" w:ascii="仿宋" w:hAnsi="仿宋" w:cs="仿宋"/>
                <w:color w:val="auto"/>
                <w:sz w:val="24"/>
              </w:rPr>
              <w:t>本项目是否属于信用担保试点范围：</w:t>
            </w:r>
            <w:r>
              <w:rPr>
                <w:rFonts w:hint="eastAsia" w:ascii="仿宋" w:hAnsi="仿宋" w:cs="仿宋"/>
                <w:color w:val="auto"/>
                <w:sz w:val="24"/>
                <w:u w:val="single"/>
              </w:rPr>
              <w:t xml:space="preserve"> 否  </w:t>
            </w:r>
            <w:r>
              <w:rPr>
                <w:rFonts w:hint="eastAsia" w:ascii="仿宋" w:hAnsi="仿宋" w:cs="仿宋"/>
                <w:color w:val="auto"/>
                <w:sz w:val="24"/>
              </w:rPr>
              <w:t xml:space="preserve"> </w:t>
            </w:r>
            <w:r>
              <w:rPr>
                <w:rFonts w:hint="eastAsia" w:ascii="仿宋" w:hAnsi="仿宋" w:cs="仿宋"/>
                <w:iCs/>
                <w:color w:val="auto"/>
                <w:sz w:val="24"/>
              </w:rPr>
              <w:t>（是、否）</w:t>
            </w:r>
          </w:p>
        </w:tc>
      </w:tr>
      <w:tr w14:paraId="3C107F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108" w:hRule="atLeast"/>
          <w:jc w:val="center"/>
        </w:trPr>
        <w:tc>
          <w:tcPr>
            <w:tcW w:w="1051" w:type="dxa"/>
            <w:vAlign w:val="center"/>
          </w:tcPr>
          <w:p w14:paraId="6E58E00C">
            <w:pPr>
              <w:spacing w:line="560" w:lineRule="exact"/>
              <w:jc w:val="center"/>
              <w:rPr>
                <w:rFonts w:ascii="仿宋" w:hAnsi="仿宋" w:cs="仿宋"/>
                <w:color w:val="auto"/>
                <w:sz w:val="24"/>
              </w:rPr>
            </w:pPr>
            <w:r>
              <w:rPr>
                <w:rFonts w:hint="eastAsia" w:ascii="仿宋" w:hAnsi="仿宋" w:cs="仿宋"/>
                <w:color w:val="auto"/>
                <w:sz w:val="24"/>
              </w:rPr>
              <w:t>1</w:t>
            </w:r>
            <w:r>
              <w:rPr>
                <w:rFonts w:ascii="仿宋" w:hAnsi="仿宋" w:cs="仿宋"/>
                <w:color w:val="auto"/>
                <w:sz w:val="24"/>
              </w:rPr>
              <w:t>8</w:t>
            </w:r>
          </w:p>
        </w:tc>
        <w:tc>
          <w:tcPr>
            <w:tcW w:w="7508" w:type="dxa"/>
            <w:vAlign w:val="center"/>
          </w:tcPr>
          <w:p w14:paraId="4AE691BE">
            <w:pPr>
              <w:spacing w:line="560" w:lineRule="exact"/>
              <w:rPr>
                <w:rFonts w:ascii="仿宋" w:hAnsi="仿宋" w:cs="仿宋"/>
                <w:color w:val="auto"/>
                <w:sz w:val="24"/>
              </w:rPr>
            </w:pPr>
            <w:r>
              <w:rPr>
                <w:rFonts w:hint="eastAsia" w:ascii="仿宋" w:hAnsi="仿宋" w:cs="仿宋"/>
                <w:color w:val="auto"/>
                <w:sz w:val="24"/>
              </w:rPr>
              <w:t>招标代理费：</w:t>
            </w:r>
            <w:r>
              <w:rPr>
                <w:rFonts w:hint="eastAsia" w:ascii="仿宋" w:hAnsi="仿宋" w:cs="仿宋"/>
                <w:b/>
                <w:bCs/>
                <w:color w:val="auto"/>
                <w:sz w:val="24"/>
              </w:rPr>
              <w:t>根据国家发展改革委《关于进一步放开建设项目专业服务价格的通知》（发改价格[2015]299号文件）收取,由中标单位向采购代理机构支付本项目的招标代理费。</w:t>
            </w:r>
          </w:p>
          <w:p w14:paraId="4F2982A6">
            <w:pPr>
              <w:spacing w:line="560" w:lineRule="exact"/>
              <w:rPr>
                <w:rFonts w:ascii="仿宋" w:hAnsi="仿宋" w:cs="仿宋"/>
                <w:color w:val="auto"/>
                <w:sz w:val="24"/>
              </w:rPr>
            </w:pPr>
            <w:r>
              <w:rPr>
                <w:rFonts w:hint="eastAsia" w:ascii="仿宋" w:hAnsi="仿宋" w:cs="仿宋"/>
                <w:color w:val="auto"/>
                <w:sz w:val="24"/>
              </w:rPr>
              <w:t>支 付 方：由中标人支付</w:t>
            </w:r>
          </w:p>
          <w:p w14:paraId="1F10A802">
            <w:pPr>
              <w:spacing w:line="560" w:lineRule="exact"/>
              <w:rPr>
                <w:rFonts w:ascii="仿宋" w:hAnsi="仿宋" w:cs="仿宋"/>
                <w:color w:val="auto"/>
                <w:sz w:val="24"/>
              </w:rPr>
            </w:pPr>
            <w:r>
              <w:rPr>
                <w:rFonts w:hint="eastAsia" w:ascii="仿宋" w:hAnsi="仿宋" w:cs="仿宋"/>
                <w:color w:val="auto"/>
                <w:sz w:val="24"/>
              </w:rPr>
              <w:t xml:space="preserve">支付形式：对公转账 </w:t>
            </w:r>
          </w:p>
          <w:p w14:paraId="1C6303E4">
            <w:pPr>
              <w:spacing w:line="560" w:lineRule="exact"/>
              <w:ind w:left="710" w:leftChars="-23" w:hanging="758" w:hangingChars="316"/>
              <w:rPr>
                <w:rFonts w:ascii="仿宋" w:hAnsi="仿宋" w:cs="仿宋"/>
                <w:color w:val="auto"/>
                <w:sz w:val="24"/>
              </w:rPr>
            </w:pPr>
            <w:r>
              <w:rPr>
                <w:rFonts w:hint="eastAsia" w:ascii="仿宋" w:hAnsi="仿宋" w:cs="仿宋"/>
                <w:color w:val="auto"/>
                <w:sz w:val="24"/>
              </w:rPr>
              <w:t>支付时间：领取中标通知书时</w:t>
            </w:r>
          </w:p>
        </w:tc>
      </w:tr>
      <w:tr w14:paraId="037B79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97" w:hRule="atLeast"/>
          <w:jc w:val="center"/>
        </w:trPr>
        <w:tc>
          <w:tcPr>
            <w:tcW w:w="1051" w:type="dxa"/>
            <w:shd w:val="clear" w:color="auto" w:fill="auto"/>
            <w:vAlign w:val="center"/>
          </w:tcPr>
          <w:p w14:paraId="2F6E2B11">
            <w:pPr>
              <w:spacing w:line="560" w:lineRule="exact"/>
              <w:jc w:val="center"/>
              <w:rPr>
                <w:rFonts w:ascii="仿宋" w:hAnsi="仿宋" w:cs="仿宋"/>
                <w:color w:val="auto"/>
                <w:sz w:val="24"/>
              </w:rPr>
            </w:pPr>
            <w:r>
              <w:rPr>
                <w:rFonts w:hint="eastAsia" w:ascii="仿宋" w:hAnsi="仿宋" w:cs="仿宋"/>
                <w:color w:val="auto"/>
                <w:sz w:val="24"/>
              </w:rPr>
              <w:t>19</w:t>
            </w:r>
          </w:p>
        </w:tc>
        <w:tc>
          <w:tcPr>
            <w:tcW w:w="7508" w:type="dxa"/>
            <w:shd w:val="clear" w:color="auto" w:fill="auto"/>
            <w:vAlign w:val="center"/>
          </w:tcPr>
          <w:p w14:paraId="1D3DF314">
            <w:pPr>
              <w:tabs>
                <w:tab w:val="left" w:pos="1435"/>
              </w:tabs>
              <w:spacing w:line="560" w:lineRule="exact"/>
              <w:ind w:left="710" w:leftChars="-23" w:hanging="758" w:hangingChars="316"/>
              <w:rPr>
                <w:rFonts w:ascii="仿宋" w:hAnsi="仿宋" w:cs="仿宋"/>
                <w:color w:val="auto"/>
                <w:sz w:val="24"/>
              </w:rPr>
            </w:pPr>
            <w:r>
              <w:rPr>
                <w:rFonts w:hint="eastAsia" w:ascii="仿宋" w:hAnsi="仿宋" w:cs="仿宋"/>
                <w:color w:val="auto"/>
                <w:sz w:val="24"/>
              </w:rPr>
              <w:t>本项目所属行业：其他未列明行业</w:t>
            </w:r>
          </w:p>
        </w:tc>
      </w:tr>
    </w:tbl>
    <w:p w14:paraId="6DD0A4BB">
      <w:pPr>
        <w:rPr>
          <w:rFonts w:ascii="仿宋" w:hAnsi="仿宋" w:cs="仿宋"/>
          <w:b/>
          <w:bCs/>
          <w:color w:val="auto"/>
          <w:sz w:val="24"/>
          <w:szCs w:val="24"/>
        </w:rPr>
      </w:pPr>
      <w:r>
        <w:rPr>
          <w:rFonts w:hint="eastAsia" w:ascii="宋体" w:hAnsi="宋体"/>
          <w:b/>
          <w:bCs/>
          <w:color w:val="auto"/>
          <w:sz w:val="28"/>
          <w:szCs w:val="28"/>
        </w:rPr>
        <w:br w:type="page"/>
      </w:r>
      <w:r>
        <w:rPr>
          <w:rFonts w:hint="eastAsia" w:ascii="仿宋" w:hAnsi="仿宋" w:cs="仿宋"/>
          <w:b/>
          <w:bCs/>
          <w:color w:val="auto"/>
          <w:sz w:val="24"/>
          <w:szCs w:val="24"/>
        </w:rPr>
        <w:t>总则</w:t>
      </w:r>
    </w:p>
    <w:p w14:paraId="7C39F4F0">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1.1.1</w:t>
      </w:r>
      <w:r>
        <w:rPr>
          <w:rFonts w:hint="eastAsia" w:ascii="仿宋" w:hAnsi="仿宋" w:cs="仿宋"/>
          <w:b/>
          <w:bCs/>
          <w:color w:val="auto"/>
          <w:sz w:val="24"/>
          <w:szCs w:val="24"/>
        </w:rPr>
        <w:t>适用范围</w:t>
      </w:r>
    </w:p>
    <w:p w14:paraId="20BDB0FB">
      <w:pPr>
        <w:tabs>
          <w:tab w:val="left" w:pos="1134"/>
        </w:tabs>
        <w:spacing w:line="360" w:lineRule="auto"/>
        <w:ind w:left="566"/>
        <w:rPr>
          <w:rFonts w:ascii="仿宋" w:hAnsi="仿宋" w:cs="仿宋"/>
          <w:color w:val="auto"/>
          <w:sz w:val="24"/>
          <w:szCs w:val="24"/>
        </w:rPr>
      </w:pPr>
      <w:r>
        <w:rPr>
          <w:rFonts w:hint="eastAsia" w:ascii="仿宋" w:hAnsi="仿宋" w:cs="仿宋"/>
          <w:color w:val="auto"/>
          <w:sz w:val="24"/>
          <w:szCs w:val="24"/>
        </w:rPr>
        <w:t>本采购文件适用于该项目的招标、投标、开标、资格审查及信用信息查询、</w:t>
      </w:r>
    </w:p>
    <w:p w14:paraId="47E797FC">
      <w:p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评标、定标、合同、验收等行为（法律法规另有规定的，从其规定）。</w:t>
      </w:r>
    </w:p>
    <w:p w14:paraId="603DC8C7">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1.1.2</w:t>
      </w:r>
      <w:r>
        <w:rPr>
          <w:rFonts w:hint="eastAsia" w:ascii="仿宋" w:hAnsi="仿宋" w:cs="仿宋"/>
          <w:b/>
          <w:bCs/>
          <w:color w:val="auto"/>
          <w:sz w:val="24"/>
          <w:szCs w:val="24"/>
        </w:rPr>
        <w:t>有关定义</w:t>
      </w:r>
    </w:p>
    <w:p w14:paraId="74ED9CCE">
      <w:pPr>
        <w:numPr>
          <w:ilvl w:val="0"/>
          <w:numId w:val="6"/>
        </w:numPr>
        <w:tabs>
          <w:tab w:val="left" w:pos="1134"/>
        </w:tabs>
        <w:spacing w:line="360" w:lineRule="auto"/>
        <w:ind w:left="0" w:firstLine="568"/>
        <w:rPr>
          <w:rFonts w:ascii="仿宋" w:hAnsi="仿宋" w:cs="仿宋"/>
          <w:color w:val="auto"/>
          <w:sz w:val="24"/>
          <w:szCs w:val="24"/>
        </w:rPr>
      </w:pPr>
      <w:r>
        <w:rPr>
          <w:rFonts w:hint="eastAsia" w:ascii="仿宋" w:hAnsi="仿宋" w:cs="仿宋"/>
          <w:color w:val="auto"/>
          <w:sz w:val="24"/>
          <w:szCs w:val="24"/>
        </w:rPr>
        <w:t>“采购人”和“甲方”系指依法进行政府采购的机关、事业单位、团体组织。本次招标的采购人是</w:t>
      </w:r>
      <w:r>
        <w:rPr>
          <w:rFonts w:hint="eastAsia" w:ascii="仿宋" w:hAnsi="仿宋" w:cs="仿宋"/>
          <w:b/>
          <w:color w:val="auto"/>
          <w:sz w:val="24"/>
          <w:szCs w:val="24"/>
        </w:rPr>
        <w:t>新疆维吾尔自治区地质研究院。</w:t>
      </w:r>
    </w:p>
    <w:p w14:paraId="1E983617">
      <w:pPr>
        <w:numPr>
          <w:ilvl w:val="0"/>
          <w:numId w:val="6"/>
        </w:numPr>
        <w:tabs>
          <w:tab w:val="left" w:pos="1134"/>
        </w:tabs>
        <w:spacing w:line="360" w:lineRule="auto"/>
        <w:ind w:left="0" w:firstLine="566"/>
        <w:rPr>
          <w:rFonts w:ascii="仿宋" w:hAnsi="仿宋" w:cs="仿宋"/>
          <w:color w:val="auto"/>
          <w:sz w:val="24"/>
          <w:szCs w:val="24"/>
        </w:rPr>
      </w:pPr>
      <w:r>
        <w:rPr>
          <w:rFonts w:hint="eastAsia" w:ascii="仿宋" w:hAnsi="仿宋" w:cs="仿宋"/>
          <w:color w:val="auto"/>
          <w:sz w:val="24"/>
          <w:szCs w:val="24"/>
        </w:rPr>
        <w:t xml:space="preserve"> “投标人”系指在按照采购文件“招标公告”中第三条规定获取了采购文件，拟参加投标和向采购人提供服务的供应商。“乙方”是指本项目的中标供应商。</w:t>
      </w:r>
    </w:p>
    <w:p w14:paraId="7920389B">
      <w:pPr>
        <w:numPr>
          <w:ilvl w:val="0"/>
          <w:numId w:val="6"/>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本采购文件各部分规定的期间以时、日、月、年计算。期间开始的时和日，不计算在期间内，而从次日开始计算。期间届满的最后一天是节假日的，以节假日后的第一日为期间届满的日期。</w:t>
      </w:r>
    </w:p>
    <w:p w14:paraId="77EC8DEF">
      <w:pPr>
        <w:numPr>
          <w:ilvl w:val="0"/>
          <w:numId w:val="6"/>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本采购文件各部分规定的“以上”“以下”“内”“以内”，包括本数；所称的“不足”，不包括本数。</w:t>
      </w:r>
    </w:p>
    <w:p w14:paraId="03AD7E69">
      <w:pPr>
        <w:numPr>
          <w:ilvl w:val="0"/>
          <w:numId w:val="6"/>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重大违法记录是指供应商因违法经营受到刑事处罚或者责令停产停业、吊销许可证或者执照、较大数额罚款等行政处罚。</w:t>
      </w:r>
    </w:p>
    <w:p w14:paraId="7F312B18">
      <w:pPr>
        <w:keepNext/>
        <w:keepLines/>
        <w:numPr>
          <w:ilvl w:val="2"/>
          <w:numId w:val="0"/>
        </w:numPr>
        <w:spacing w:line="360" w:lineRule="auto"/>
        <w:ind w:left="3119" w:hanging="3119"/>
        <w:outlineLvl w:val="2"/>
        <w:rPr>
          <w:rFonts w:ascii="仿宋" w:hAnsi="仿宋" w:cs="仿宋"/>
          <w:b/>
          <w:bCs/>
          <w:color w:val="auto"/>
          <w:sz w:val="24"/>
          <w:szCs w:val="24"/>
        </w:rPr>
      </w:pPr>
      <w:bookmarkStart w:id="18" w:name="_Toc183582207"/>
      <w:bookmarkStart w:id="19" w:name="_Toc217446036"/>
      <w:bookmarkStart w:id="20" w:name="_Toc183682344"/>
      <w:bookmarkStart w:id="21" w:name="_Toc217390843"/>
      <w:r>
        <w:rPr>
          <w:rFonts w:ascii="Times New Roman" w:hAnsi="Times New Roman" w:eastAsia="宋体"/>
          <w:b/>
          <w:bCs/>
          <w:color w:val="auto"/>
          <w:sz w:val="28"/>
          <w:szCs w:val="24"/>
        </w:rPr>
        <w:t>1.1.3</w:t>
      </w:r>
      <w:r>
        <w:rPr>
          <w:rFonts w:hint="eastAsia" w:ascii="仿宋" w:hAnsi="仿宋" w:cs="仿宋"/>
          <w:b/>
          <w:bCs/>
          <w:color w:val="auto"/>
          <w:sz w:val="24"/>
          <w:szCs w:val="24"/>
        </w:rPr>
        <w:t>合格的投标人</w:t>
      </w:r>
      <w:bookmarkEnd w:id="18"/>
      <w:bookmarkEnd w:id="19"/>
      <w:bookmarkEnd w:id="20"/>
      <w:bookmarkEnd w:id="21"/>
      <w:r>
        <w:rPr>
          <w:rFonts w:hint="eastAsia" w:ascii="仿宋" w:hAnsi="仿宋" w:cs="仿宋"/>
          <w:b/>
          <w:bCs/>
          <w:color w:val="auto"/>
          <w:sz w:val="24"/>
          <w:szCs w:val="24"/>
        </w:rPr>
        <w:t>（实质性要求）</w:t>
      </w:r>
    </w:p>
    <w:p w14:paraId="00E6D4BA">
      <w:pPr>
        <w:tabs>
          <w:tab w:val="left" w:pos="7665"/>
        </w:tabs>
        <w:spacing w:line="360" w:lineRule="auto"/>
        <w:ind w:firstLine="484" w:firstLineChars="202"/>
        <w:rPr>
          <w:rFonts w:ascii="仿宋" w:hAnsi="仿宋" w:cs="仿宋"/>
          <w:color w:val="auto"/>
          <w:sz w:val="24"/>
          <w:szCs w:val="24"/>
        </w:rPr>
      </w:pPr>
      <w:r>
        <w:rPr>
          <w:rFonts w:hint="eastAsia" w:ascii="仿宋" w:hAnsi="仿宋" w:cs="仿宋"/>
          <w:color w:val="auto"/>
          <w:sz w:val="24"/>
          <w:szCs w:val="24"/>
        </w:rPr>
        <w:t>合格的投标人应具备以下条件：</w:t>
      </w:r>
    </w:p>
    <w:p w14:paraId="5C3243B8">
      <w:pPr>
        <w:numPr>
          <w:ilvl w:val="0"/>
          <w:numId w:val="7"/>
        </w:num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本采购文件“招标公告”第二条规定的条件；</w:t>
      </w:r>
    </w:p>
    <w:p w14:paraId="75067424">
      <w:pPr>
        <w:numPr>
          <w:ilvl w:val="0"/>
          <w:numId w:val="7"/>
        </w:numPr>
        <w:tabs>
          <w:tab w:val="left" w:pos="1134"/>
        </w:tabs>
        <w:spacing w:line="360" w:lineRule="auto"/>
        <w:ind w:left="0" w:firstLine="568"/>
        <w:rPr>
          <w:rFonts w:ascii="仿宋" w:hAnsi="仿宋" w:cs="仿宋"/>
          <w:color w:val="auto"/>
          <w:sz w:val="24"/>
          <w:szCs w:val="24"/>
        </w:rPr>
      </w:pPr>
      <w:r>
        <w:rPr>
          <w:rFonts w:hint="eastAsia" w:ascii="仿宋" w:hAnsi="仿宋" w:cs="仿宋"/>
          <w:color w:val="auto"/>
          <w:sz w:val="24"/>
          <w:szCs w:val="24"/>
        </w:rPr>
        <w:t>按照采购文件“招标公告”中第三条规定获取了采购文件。</w:t>
      </w:r>
    </w:p>
    <w:p w14:paraId="3D7BF44A">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1.1.4</w:t>
      </w:r>
      <w:r>
        <w:rPr>
          <w:rFonts w:hint="eastAsia" w:ascii="仿宋" w:hAnsi="仿宋" w:cs="仿宋"/>
          <w:b/>
          <w:bCs/>
          <w:color w:val="auto"/>
          <w:sz w:val="24"/>
          <w:szCs w:val="24"/>
        </w:rPr>
        <w:t>投标费用（实质性要求）</w:t>
      </w:r>
    </w:p>
    <w:p w14:paraId="1137E1AE">
      <w:pPr>
        <w:spacing w:line="360" w:lineRule="auto"/>
        <w:ind w:firstLine="566" w:firstLineChars="236"/>
        <w:rPr>
          <w:rFonts w:ascii="仿宋" w:hAnsi="仿宋" w:cs="仿宋"/>
          <w:color w:val="auto"/>
          <w:sz w:val="24"/>
          <w:szCs w:val="24"/>
        </w:rPr>
      </w:pPr>
      <w:r>
        <w:rPr>
          <w:rFonts w:hint="eastAsia" w:ascii="仿宋" w:hAnsi="仿宋" w:cs="仿宋"/>
          <w:color w:val="auto"/>
          <w:sz w:val="24"/>
          <w:szCs w:val="24"/>
        </w:rPr>
        <w:t>投标人应自行承担参加投标的全部费用。</w:t>
      </w:r>
    </w:p>
    <w:p w14:paraId="0C90C7E1">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1.1.5</w:t>
      </w:r>
      <w:r>
        <w:rPr>
          <w:rFonts w:hint="eastAsia" w:ascii="仿宋" w:hAnsi="仿宋" w:cs="仿宋"/>
          <w:b/>
          <w:bCs/>
          <w:color w:val="auto"/>
          <w:sz w:val="24"/>
          <w:szCs w:val="24"/>
        </w:rPr>
        <w:t>充分、公平竞争保障措施（实质性要求）</w:t>
      </w:r>
    </w:p>
    <w:p w14:paraId="095CD65A">
      <w:pPr>
        <w:tabs>
          <w:tab w:val="left" w:pos="1134"/>
        </w:tabs>
        <w:adjustRightInd w:val="0"/>
        <w:spacing w:line="360" w:lineRule="auto"/>
        <w:ind w:left="567"/>
        <w:rPr>
          <w:rFonts w:ascii="仿宋" w:hAnsi="仿宋" w:cs="仿宋"/>
          <w:color w:val="auto"/>
          <w:sz w:val="24"/>
          <w:szCs w:val="24"/>
        </w:rPr>
      </w:pPr>
      <w:r>
        <w:rPr>
          <w:rFonts w:hint="eastAsia" w:ascii="仿宋" w:hAnsi="仿宋" w:cs="仿宋"/>
          <w:color w:val="auto"/>
          <w:sz w:val="24"/>
          <w:szCs w:val="24"/>
        </w:rPr>
        <w:t>单位负责人为同一人或者存在直接控股、管理关系的不同供应商，不得参</w:t>
      </w:r>
    </w:p>
    <w:p w14:paraId="3D24127B">
      <w:pPr>
        <w:tabs>
          <w:tab w:val="left" w:pos="1134"/>
        </w:tabs>
        <w:adjustRightInd w:val="0"/>
        <w:spacing w:line="360" w:lineRule="auto"/>
        <w:rPr>
          <w:rFonts w:ascii="仿宋" w:hAnsi="仿宋" w:cs="仿宋"/>
          <w:color w:val="auto"/>
          <w:sz w:val="24"/>
          <w:szCs w:val="24"/>
        </w:rPr>
      </w:pPr>
      <w:r>
        <w:rPr>
          <w:rFonts w:hint="eastAsia" w:ascii="仿宋" w:hAnsi="仿宋" w:cs="仿宋"/>
          <w:color w:val="auto"/>
          <w:sz w:val="24"/>
          <w:szCs w:val="24"/>
        </w:rPr>
        <w:t>加同一项目的投标。</w:t>
      </w:r>
    </w:p>
    <w:p w14:paraId="4AD6ECEE">
      <w:pPr>
        <w:keepNext/>
        <w:keepLines/>
        <w:numPr>
          <w:ilvl w:val="1"/>
          <w:numId w:val="0"/>
        </w:numPr>
        <w:spacing w:line="360" w:lineRule="auto"/>
        <w:ind w:left="567" w:hanging="567"/>
        <w:jc w:val="left"/>
        <w:outlineLvl w:val="1"/>
        <w:rPr>
          <w:rFonts w:ascii="仿宋" w:hAnsi="仿宋" w:cs="仿宋"/>
          <w:b/>
          <w:bCs/>
          <w:color w:val="auto"/>
          <w:sz w:val="24"/>
          <w:szCs w:val="24"/>
        </w:rPr>
      </w:pPr>
      <w:bookmarkStart w:id="22" w:name="_Toc15453"/>
      <w:r>
        <w:rPr>
          <w:rFonts w:ascii="Times New Roman" w:hAnsi="Times New Roman" w:eastAsia="宋体"/>
          <w:b/>
          <w:bCs/>
          <w:color w:val="auto"/>
          <w:sz w:val="28"/>
          <w:szCs w:val="28"/>
        </w:rPr>
        <w:t>1.2</w:t>
      </w:r>
      <w:r>
        <w:rPr>
          <w:rFonts w:hint="eastAsia" w:ascii="仿宋" w:hAnsi="仿宋" w:cs="仿宋"/>
          <w:b/>
          <w:bCs/>
          <w:color w:val="auto"/>
          <w:sz w:val="24"/>
          <w:szCs w:val="24"/>
        </w:rPr>
        <w:t>采购文件</w:t>
      </w:r>
      <w:bookmarkEnd w:id="22"/>
    </w:p>
    <w:p w14:paraId="2597DCA3">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1.2.1</w:t>
      </w:r>
      <w:r>
        <w:rPr>
          <w:rFonts w:hint="eastAsia" w:ascii="仿宋" w:hAnsi="仿宋" w:cs="仿宋"/>
          <w:b/>
          <w:bCs/>
          <w:color w:val="auto"/>
          <w:sz w:val="24"/>
          <w:szCs w:val="24"/>
        </w:rPr>
        <w:t>采购文件的构成</w:t>
      </w:r>
    </w:p>
    <w:p w14:paraId="0B0DE55F">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采购文件是供应商准备投标文件和参加投标的依据，同时也是评标的重要依据。采购文件用以阐明招标项目所需的资质、技术、服务及报价等要求、招标投标程序、有关规定和注意事项以及合同主要条款等。本采购文件包括以下内容：</w:t>
      </w:r>
    </w:p>
    <w:p w14:paraId="4444C863">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（一）招标公告；</w:t>
      </w:r>
    </w:p>
    <w:p w14:paraId="74769191">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（二）投标人须知；</w:t>
      </w:r>
    </w:p>
    <w:p w14:paraId="2949A1F4">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（三）投标文件格式；</w:t>
      </w:r>
    </w:p>
    <w:p w14:paraId="1190DB42">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（四）采购需求；</w:t>
      </w:r>
    </w:p>
    <w:p w14:paraId="39CE2AD8">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（五）资格审查；</w:t>
      </w:r>
    </w:p>
    <w:p w14:paraId="538FAD79">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（六）评标办法；</w:t>
      </w:r>
    </w:p>
    <w:p w14:paraId="0892FB01">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（七）拟签订合同文本。</w:t>
      </w:r>
    </w:p>
    <w:p w14:paraId="0AF4F23F">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二、投标人应认真阅读和充分理解采购文件中所有的事项、格式条款和规范要求。投标人没有对采购文件全面做出实质性响应所产生的风险由投标人承担。</w:t>
      </w:r>
    </w:p>
    <w:p w14:paraId="21552CAE">
      <w:pPr>
        <w:keepNext/>
        <w:keepLines/>
        <w:numPr>
          <w:ilvl w:val="2"/>
          <w:numId w:val="0"/>
        </w:numPr>
        <w:spacing w:line="360" w:lineRule="auto"/>
        <w:outlineLvl w:val="2"/>
        <w:rPr>
          <w:rFonts w:ascii="仿宋" w:hAnsi="仿宋" w:cs="仿宋"/>
          <w:b/>
          <w:bCs/>
          <w:color w:val="auto"/>
          <w:sz w:val="24"/>
          <w:szCs w:val="24"/>
        </w:rPr>
      </w:pPr>
      <w:bookmarkStart w:id="23" w:name="_Toc183682348"/>
      <w:bookmarkStart w:id="24" w:name="_Toc183582211"/>
      <w:bookmarkStart w:id="25" w:name="_Toc217446040"/>
      <w:r>
        <w:rPr>
          <w:rFonts w:ascii="Times New Roman" w:hAnsi="Times New Roman" w:eastAsia="宋体"/>
          <w:b/>
          <w:bCs/>
          <w:color w:val="auto"/>
          <w:sz w:val="28"/>
          <w:szCs w:val="24"/>
        </w:rPr>
        <w:t>1.2.2</w:t>
      </w:r>
      <w:r>
        <w:rPr>
          <w:rFonts w:hint="eastAsia" w:ascii="仿宋" w:hAnsi="仿宋" w:cs="仿宋"/>
          <w:b/>
          <w:bCs/>
          <w:color w:val="auto"/>
          <w:sz w:val="24"/>
          <w:szCs w:val="24"/>
        </w:rPr>
        <w:t>采购文件的澄清</w:t>
      </w:r>
      <w:bookmarkEnd w:id="23"/>
      <w:bookmarkEnd w:id="24"/>
      <w:r>
        <w:rPr>
          <w:rFonts w:hint="eastAsia" w:ascii="仿宋" w:hAnsi="仿宋" w:cs="仿宋"/>
          <w:b/>
          <w:bCs/>
          <w:color w:val="auto"/>
          <w:sz w:val="24"/>
          <w:szCs w:val="24"/>
        </w:rPr>
        <w:t>和修改</w:t>
      </w:r>
      <w:bookmarkEnd w:id="25"/>
      <w:bookmarkStart w:id="26" w:name="_Toc183682351"/>
      <w:bookmarkStart w:id="27" w:name="_Toc77400780"/>
      <w:bookmarkStart w:id="28" w:name="_Toc89075876"/>
      <w:bookmarkStart w:id="29" w:name="_Toc183582214"/>
      <w:bookmarkStart w:id="30" w:name="_Toc217446042"/>
    </w:p>
    <w:p w14:paraId="16615BF3">
      <w:pPr>
        <w:tabs>
          <w:tab w:val="left" w:pos="142"/>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一、在投标截止时间前，采购人可以对已发出的采购文件进行必要的澄清或者修改。</w:t>
      </w:r>
    </w:p>
    <w:p w14:paraId="5C412124">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澄清或者修改的内容，采购人或采购代理机构将在“新疆政府采购网”发布澄清公告，同时通过政府采购云平台将澄清或者修改的内容告知所有在系统中成功获取采购文件的潜在投标人（投标人通过账号或CA证书登录云平台查看）。</w:t>
      </w:r>
    </w:p>
    <w:p w14:paraId="2CFAB65E">
      <w:pPr>
        <w:tabs>
          <w:tab w:val="left" w:pos="142"/>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澄清或者修改的内容可能影响投标文件编制的，采购人或采购代理机构应当在投标截止时间至少15日前，通过政府采购云平台通知所有已获取采购文件的潜在投标人；不足15日的，采购人或采购代理机构应当顺延提交投标文件的截止时间。</w:t>
      </w:r>
    </w:p>
    <w:p w14:paraId="746A80D0">
      <w:pPr>
        <w:keepNext/>
        <w:keepLines/>
        <w:numPr>
          <w:ilvl w:val="1"/>
          <w:numId w:val="0"/>
        </w:numPr>
        <w:spacing w:line="360" w:lineRule="auto"/>
        <w:ind w:left="567" w:hanging="567"/>
        <w:jc w:val="left"/>
        <w:outlineLvl w:val="1"/>
        <w:rPr>
          <w:rFonts w:ascii="仿宋" w:hAnsi="仿宋" w:cs="仿宋"/>
          <w:b/>
          <w:bCs/>
          <w:color w:val="auto"/>
          <w:sz w:val="24"/>
          <w:szCs w:val="24"/>
        </w:rPr>
      </w:pPr>
      <w:bookmarkStart w:id="31" w:name="_Toc3126"/>
      <w:r>
        <w:rPr>
          <w:rFonts w:ascii="Times New Roman" w:hAnsi="Times New Roman" w:eastAsia="宋体"/>
          <w:b/>
          <w:bCs/>
          <w:color w:val="auto"/>
          <w:sz w:val="28"/>
          <w:szCs w:val="28"/>
        </w:rPr>
        <w:t>1.3</w:t>
      </w:r>
      <w:r>
        <w:rPr>
          <w:rFonts w:hint="eastAsia" w:ascii="仿宋" w:hAnsi="仿宋" w:cs="仿宋"/>
          <w:b/>
          <w:bCs/>
          <w:color w:val="auto"/>
          <w:sz w:val="24"/>
          <w:szCs w:val="24"/>
        </w:rPr>
        <w:t>投标文件</w:t>
      </w:r>
      <w:bookmarkEnd w:id="26"/>
      <w:bookmarkEnd w:id="27"/>
      <w:bookmarkEnd w:id="28"/>
      <w:bookmarkEnd w:id="29"/>
      <w:bookmarkEnd w:id="30"/>
      <w:bookmarkEnd w:id="31"/>
    </w:p>
    <w:p w14:paraId="74E96FAE">
      <w:pPr>
        <w:keepNext/>
        <w:keepLines/>
        <w:numPr>
          <w:ilvl w:val="2"/>
          <w:numId w:val="0"/>
        </w:numPr>
        <w:spacing w:line="360" w:lineRule="auto"/>
        <w:outlineLvl w:val="2"/>
        <w:rPr>
          <w:rFonts w:ascii="仿宋" w:hAnsi="仿宋" w:cs="仿宋"/>
          <w:b/>
          <w:bCs/>
          <w:color w:val="auto"/>
          <w:sz w:val="24"/>
          <w:szCs w:val="24"/>
        </w:rPr>
      </w:pPr>
      <w:bookmarkStart w:id="32" w:name="_Toc217446043"/>
      <w:bookmarkStart w:id="33" w:name="_Toc183582215"/>
      <w:bookmarkStart w:id="34" w:name="_Toc183682352"/>
      <w:r>
        <w:rPr>
          <w:rFonts w:ascii="Times New Roman" w:hAnsi="Times New Roman" w:eastAsia="宋体"/>
          <w:b/>
          <w:bCs/>
          <w:color w:val="auto"/>
          <w:sz w:val="28"/>
          <w:szCs w:val="24"/>
        </w:rPr>
        <w:t>1.3.1</w:t>
      </w:r>
      <w:r>
        <w:rPr>
          <w:rFonts w:hint="eastAsia" w:ascii="仿宋" w:hAnsi="仿宋" w:cs="仿宋"/>
          <w:b/>
          <w:bCs/>
          <w:color w:val="auto"/>
          <w:sz w:val="24"/>
          <w:szCs w:val="24"/>
        </w:rPr>
        <w:t>投标文件的语言</w:t>
      </w:r>
      <w:bookmarkEnd w:id="32"/>
      <w:bookmarkEnd w:id="33"/>
      <w:bookmarkEnd w:id="34"/>
      <w:r>
        <w:rPr>
          <w:rFonts w:hint="eastAsia" w:ascii="仿宋" w:hAnsi="仿宋" w:cs="仿宋"/>
          <w:b/>
          <w:bCs/>
          <w:color w:val="auto"/>
          <w:sz w:val="24"/>
          <w:szCs w:val="24"/>
        </w:rPr>
        <w:t>（实质性要求）</w:t>
      </w:r>
    </w:p>
    <w:p w14:paraId="374C5489">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投标人提交的投标文件以及投标人与采购人或采购代理机构就有关投标的所有来往书面文件均须使用中文。</w:t>
      </w:r>
    </w:p>
    <w:p w14:paraId="3CFF125C">
      <w:pPr>
        <w:keepNext/>
        <w:keepLines/>
        <w:numPr>
          <w:ilvl w:val="2"/>
          <w:numId w:val="0"/>
        </w:numPr>
        <w:spacing w:line="360" w:lineRule="auto"/>
        <w:outlineLvl w:val="2"/>
        <w:rPr>
          <w:rFonts w:ascii="仿宋" w:hAnsi="仿宋" w:cs="仿宋"/>
          <w:b/>
          <w:bCs/>
          <w:color w:val="auto"/>
          <w:sz w:val="24"/>
          <w:szCs w:val="24"/>
        </w:rPr>
      </w:pPr>
      <w:bookmarkStart w:id="35" w:name="_Toc183582216"/>
      <w:bookmarkStart w:id="36" w:name="_Toc217446044"/>
      <w:bookmarkStart w:id="37" w:name="_Toc183682353"/>
      <w:r>
        <w:rPr>
          <w:rFonts w:ascii="Times New Roman" w:hAnsi="Times New Roman" w:eastAsia="宋体"/>
          <w:b/>
          <w:bCs/>
          <w:color w:val="auto"/>
          <w:sz w:val="28"/>
          <w:szCs w:val="24"/>
        </w:rPr>
        <w:t>1.3.2</w:t>
      </w:r>
      <w:r>
        <w:rPr>
          <w:rFonts w:hint="eastAsia" w:ascii="仿宋" w:hAnsi="仿宋" w:cs="仿宋"/>
          <w:b/>
          <w:bCs/>
          <w:color w:val="auto"/>
          <w:sz w:val="24"/>
          <w:szCs w:val="24"/>
        </w:rPr>
        <w:t>计量单位</w:t>
      </w:r>
      <w:bookmarkEnd w:id="35"/>
      <w:bookmarkEnd w:id="36"/>
      <w:bookmarkEnd w:id="37"/>
      <w:r>
        <w:rPr>
          <w:rFonts w:hint="eastAsia" w:ascii="仿宋" w:hAnsi="仿宋" w:cs="仿宋"/>
          <w:b/>
          <w:bCs/>
          <w:color w:val="auto"/>
          <w:sz w:val="24"/>
          <w:szCs w:val="24"/>
        </w:rPr>
        <w:t>（实质性要求）</w:t>
      </w:r>
    </w:p>
    <w:p w14:paraId="7CC0F15B">
      <w:pPr>
        <w:tabs>
          <w:tab w:val="left" w:pos="7665"/>
        </w:tabs>
        <w:spacing w:line="360" w:lineRule="auto"/>
        <w:ind w:left="13" w:firstLine="554"/>
        <w:rPr>
          <w:rFonts w:ascii="仿宋" w:hAnsi="仿宋" w:cs="仿宋"/>
          <w:color w:val="auto"/>
          <w:sz w:val="24"/>
          <w:szCs w:val="24"/>
        </w:rPr>
      </w:pPr>
      <w:r>
        <w:rPr>
          <w:rFonts w:hint="eastAsia" w:ascii="仿宋" w:hAnsi="仿宋" w:cs="仿宋"/>
          <w:color w:val="auto"/>
          <w:sz w:val="24"/>
          <w:szCs w:val="24"/>
        </w:rPr>
        <w:t>除采购文件中另有规定外，本次采购项目所有合同项下的投标均采用国家法定的计量单位。</w:t>
      </w:r>
    </w:p>
    <w:p w14:paraId="6FD21541">
      <w:pPr>
        <w:keepNext/>
        <w:keepLines/>
        <w:numPr>
          <w:ilvl w:val="2"/>
          <w:numId w:val="0"/>
        </w:numPr>
        <w:spacing w:line="360" w:lineRule="auto"/>
        <w:outlineLvl w:val="2"/>
        <w:rPr>
          <w:rFonts w:ascii="仿宋" w:hAnsi="仿宋" w:cs="仿宋"/>
          <w:b/>
          <w:bCs/>
          <w:color w:val="auto"/>
          <w:sz w:val="24"/>
          <w:szCs w:val="24"/>
        </w:rPr>
      </w:pPr>
      <w:bookmarkStart w:id="38" w:name="_Toc217446045"/>
      <w:r>
        <w:rPr>
          <w:rFonts w:ascii="Times New Roman" w:hAnsi="Times New Roman" w:eastAsia="宋体"/>
          <w:b/>
          <w:bCs/>
          <w:color w:val="auto"/>
          <w:sz w:val="28"/>
          <w:szCs w:val="24"/>
        </w:rPr>
        <w:t>1.3.3</w:t>
      </w:r>
      <w:r>
        <w:rPr>
          <w:rFonts w:hint="eastAsia" w:ascii="仿宋" w:hAnsi="仿宋" w:cs="仿宋"/>
          <w:b/>
          <w:bCs/>
          <w:color w:val="auto"/>
          <w:sz w:val="24"/>
          <w:szCs w:val="24"/>
        </w:rPr>
        <w:t>投标货币</w:t>
      </w:r>
      <w:bookmarkEnd w:id="38"/>
      <w:r>
        <w:rPr>
          <w:rFonts w:hint="eastAsia" w:ascii="仿宋" w:hAnsi="仿宋" w:cs="仿宋"/>
          <w:b/>
          <w:bCs/>
          <w:color w:val="auto"/>
          <w:sz w:val="24"/>
          <w:szCs w:val="24"/>
        </w:rPr>
        <w:t>（实质性要求）</w:t>
      </w:r>
    </w:p>
    <w:p w14:paraId="6B532EE3">
      <w:pPr>
        <w:tabs>
          <w:tab w:val="left" w:pos="7665"/>
        </w:tabs>
        <w:spacing w:line="360" w:lineRule="auto"/>
        <w:ind w:left="13" w:firstLine="554"/>
        <w:rPr>
          <w:rFonts w:ascii="仿宋" w:hAnsi="仿宋" w:cs="仿宋"/>
          <w:color w:val="auto"/>
          <w:sz w:val="24"/>
          <w:szCs w:val="24"/>
        </w:rPr>
      </w:pPr>
      <w:r>
        <w:rPr>
          <w:rFonts w:hint="eastAsia" w:ascii="仿宋" w:hAnsi="仿宋" w:cs="仿宋"/>
          <w:color w:val="auto"/>
          <w:sz w:val="24"/>
          <w:szCs w:val="24"/>
        </w:rPr>
        <w:t>本次招标项目的投标均以人民币报价。</w:t>
      </w:r>
    </w:p>
    <w:p w14:paraId="4ED3D8E5">
      <w:pPr>
        <w:keepNext/>
        <w:keepLines/>
        <w:numPr>
          <w:ilvl w:val="2"/>
          <w:numId w:val="0"/>
        </w:numPr>
        <w:spacing w:line="360" w:lineRule="auto"/>
        <w:outlineLvl w:val="2"/>
        <w:rPr>
          <w:rFonts w:ascii="仿宋" w:hAnsi="仿宋" w:cs="仿宋"/>
          <w:b/>
          <w:bCs/>
          <w:color w:val="auto"/>
          <w:sz w:val="24"/>
          <w:szCs w:val="24"/>
        </w:rPr>
      </w:pPr>
      <w:bookmarkStart w:id="39" w:name="_Toc217446046"/>
      <w:r>
        <w:rPr>
          <w:rFonts w:ascii="Times New Roman" w:hAnsi="Times New Roman" w:eastAsia="宋体"/>
          <w:b/>
          <w:bCs/>
          <w:color w:val="auto"/>
          <w:sz w:val="28"/>
          <w:szCs w:val="24"/>
        </w:rPr>
        <w:t>1.3.4</w:t>
      </w:r>
      <w:r>
        <w:rPr>
          <w:rFonts w:hint="eastAsia" w:ascii="仿宋" w:hAnsi="仿宋" w:cs="仿宋"/>
          <w:b/>
          <w:bCs/>
          <w:color w:val="auto"/>
          <w:sz w:val="24"/>
          <w:szCs w:val="24"/>
        </w:rPr>
        <w:t>联合体投标</w:t>
      </w:r>
      <w:bookmarkEnd w:id="39"/>
      <w:r>
        <w:rPr>
          <w:rFonts w:hint="eastAsia" w:ascii="仿宋" w:hAnsi="仿宋" w:cs="仿宋"/>
          <w:b/>
          <w:bCs/>
          <w:color w:val="auto"/>
          <w:sz w:val="24"/>
          <w:szCs w:val="24"/>
        </w:rPr>
        <w:t>（实质性要求）</w:t>
      </w:r>
    </w:p>
    <w:p w14:paraId="24F59E5C">
      <w:pPr>
        <w:tabs>
          <w:tab w:val="left" w:pos="1134"/>
        </w:tabs>
        <w:spacing w:line="360" w:lineRule="auto"/>
        <w:ind w:left="546"/>
        <w:rPr>
          <w:rFonts w:ascii="仿宋" w:hAnsi="仿宋" w:cs="仿宋"/>
          <w:color w:val="auto"/>
          <w:sz w:val="24"/>
          <w:szCs w:val="24"/>
        </w:rPr>
      </w:pPr>
      <w:r>
        <w:rPr>
          <w:rFonts w:hint="eastAsia" w:ascii="仿宋" w:hAnsi="仿宋" w:cs="仿宋"/>
          <w:color w:val="auto"/>
          <w:sz w:val="24"/>
          <w:szCs w:val="24"/>
        </w:rPr>
        <w:t>本次政府采购活动</w:t>
      </w:r>
      <w:r>
        <w:rPr>
          <w:rFonts w:hint="eastAsia" w:ascii="仿宋" w:hAnsi="仿宋" w:cs="仿宋"/>
          <w:b/>
          <w:bCs/>
          <w:color w:val="auto"/>
          <w:sz w:val="24"/>
          <w:szCs w:val="24"/>
        </w:rPr>
        <w:t>不</w:t>
      </w:r>
      <w:r>
        <w:rPr>
          <w:rFonts w:hint="eastAsia" w:ascii="仿宋" w:hAnsi="仿宋" w:cs="仿宋"/>
          <w:b/>
          <w:color w:val="auto"/>
          <w:sz w:val="24"/>
          <w:szCs w:val="24"/>
        </w:rPr>
        <w:t>接受</w:t>
      </w:r>
      <w:r>
        <w:rPr>
          <w:rFonts w:hint="eastAsia" w:ascii="仿宋" w:hAnsi="仿宋" w:cs="仿宋"/>
          <w:color w:val="auto"/>
          <w:sz w:val="24"/>
          <w:szCs w:val="24"/>
        </w:rPr>
        <w:t>联合体投标。</w:t>
      </w:r>
    </w:p>
    <w:p w14:paraId="3CB5A217">
      <w:pPr>
        <w:keepNext/>
        <w:keepLines/>
        <w:numPr>
          <w:ilvl w:val="2"/>
          <w:numId w:val="0"/>
        </w:numPr>
        <w:spacing w:line="360" w:lineRule="auto"/>
        <w:outlineLvl w:val="2"/>
        <w:rPr>
          <w:rFonts w:ascii="仿宋" w:hAnsi="仿宋" w:cs="仿宋"/>
          <w:b/>
          <w:bCs/>
          <w:color w:val="auto"/>
          <w:sz w:val="24"/>
          <w:szCs w:val="24"/>
        </w:rPr>
      </w:pPr>
      <w:bookmarkStart w:id="40" w:name="_Toc217446047"/>
      <w:r>
        <w:rPr>
          <w:rFonts w:ascii="Times New Roman" w:hAnsi="Times New Roman" w:eastAsia="宋体"/>
          <w:b/>
          <w:bCs/>
          <w:color w:val="auto"/>
          <w:sz w:val="28"/>
          <w:szCs w:val="24"/>
        </w:rPr>
        <w:t>1.3.5</w:t>
      </w:r>
      <w:r>
        <w:rPr>
          <w:rFonts w:hint="eastAsia" w:ascii="仿宋" w:hAnsi="仿宋" w:cs="仿宋"/>
          <w:b/>
          <w:bCs/>
          <w:color w:val="auto"/>
          <w:sz w:val="24"/>
          <w:szCs w:val="24"/>
        </w:rPr>
        <w:t>知识产权</w:t>
      </w:r>
      <w:bookmarkEnd w:id="40"/>
      <w:r>
        <w:rPr>
          <w:rFonts w:hint="eastAsia" w:ascii="仿宋" w:hAnsi="仿宋" w:cs="仿宋"/>
          <w:b/>
          <w:bCs/>
          <w:color w:val="auto"/>
          <w:sz w:val="24"/>
          <w:szCs w:val="24"/>
        </w:rPr>
        <w:t>（实质性要求）</w:t>
      </w:r>
    </w:p>
    <w:p w14:paraId="4486F4D5">
      <w:pPr>
        <w:pStyle w:val="185"/>
        <w:spacing w:line="360" w:lineRule="auto"/>
        <w:ind w:firstLine="480" w:firstLineChars="200"/>
        <w:jc w:val="both"/>
        <w:rPr>
          <w:rFonts w:ascii="仿宋" w:hAnsi="仿宋" w:eastAsia="仿宋" w:cs="仿宋"/>
          <w:color w:val="auto"/>
          <w:kern w:val="2"/>
        </w:rPr>
      </w:pPr>
      <w:r>
        <w:rPr>
          <w:rFonts w:hint="eastAsia" w:ascii="仿宋" w:hAnsi="仿宋" w:eastAsia="仿宋" w:cs="仿宋"/>
          <w:color w:val="auto"/>
          <w:kern w:val="2"/>
        </w:rPr>
        <w:t>一、投标人应保证在本项目中使用的任何技术、产品和服务（包括部分使用），不会产生因第三方提出侵犯其专利权、商标权或其它知识产权而引起的法律和经济纠纷，如因专利权、商标权或其它知识产权而引起法律和经济纠纷，由投标人承担所有相关责任。采购人享有本项目实施过程中产生的知识成果及知识产权。</w:t>
      </w:r>
    </w:p>
    <w:p w14:paraId="37AD524D">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二、投标人将在采购项目实施过程中采用自有或者第三方知识成果的，使用该知识成果后等技术资料，并承诺提供无限期支持，采购人享有使用权（含采购人委托第三方在该项目后续开发的使用权）。</w:t>
      </w:r>
    </w:p>
    <w:p w14:paraId="2FB3F959">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三、如采用投标人所不拥有的知识产权，则在投标报价中必须包括合法获取该知识产权的相关费用。</w:t>
      </w:r>
    </w:p>
    <w:p w14:paraId="43A94877">
      <w:pPr>
        <w:keepNext/>
        <w:keepLines/>
        <w:numPr>
          <w:ilvl w:val="2"/>
          <w:numId w:val="0"/>
        </w:numPr>
        <w:spacing w:line="360" w:lineRule="auto"/>
        <w:outlineLvl w:val="2"/>
        <w:rPr>
          <w:rFonts w:ascii="仿宋" w:hAnsi="仿宋" w:cs="仿宋"/>
          <w:b/>
          <w:bCs/>
          <w:color w:val="auto"/>
          <w:sz w:val="24"/>
          <w:szCs w:val="24"/>
        </w:rPr>
      </w:pPr>
      <w:bookmarkStart w:id="41" w:name="_Toc217446048"/>
      <w:bookmarkStart w:id="42" w:name="_Toc183582217"/>
      <w:bookmarkStart w:id="43" w:name="_Toc183682354"/>
      <w:r>
        <w:rPr>
          <w:rFonts w:ascii="Times New Roman" w:hAnsi="Times New Roman" w:eastAsia="宋体"/>
          <w:b/>
          <w:bCs/>
          <w:color w:val="auto"/>
          <w:sz w:val="28"/>
          <w:szCs w:val="24"/>
        </w:rPr>
        <w:t>1.3.6</w:t>
      </w:r>
      <w:r>
        <w:rPr>
          <w:rFonts w:hint="eastAsia" w:ascii="仿宋" w:hAnsi="仿宋" w:cs="仿宋"/>
          <w:b/>
          <w:bCs/>
          <w:color w:val="auto"/>
          <w:sz w:val="24"/>
          <w:szCs w:val="24"/>
        </w:rPr>
        <w:t>投标文件的组成</w:t>
      </w:r>
      <w:bookmarkEnd w:id="41"/>
      <w:bookmarkEnd w:id="42"/>
      <w:bookmarkEnd w:id="43"/>
      <w:r>
        <w:rPr>
          <w:rFonts w:hint="eastAsia" w:ascii="仿宋" w:hAnsi="仿宋" w:cs="仿宋"/>
          <w:b/>
          <w:bCs/>
          <w:color w:val="auto"/>
          <w:sz w:val="24"/>
          <w:szCs w:val="24"/>
        </w:rPr>
        <w:t>（实质性要求）</w:t>
      </w:r>
    </w:p>
    <w:p w14:paraId="1CA34BFE">
      <w:pPr>
        <w:spacing w:line="360" w:lineRule="auto"/>
        <w:ind w:firstLine="470" w:firstLineChars="196"/>
        <w:rPr>
          <w:rFonts w:ascii="仿宋" w:hAnsi="仿宋" w:cs="仿宋"/>
          <w:color w:val="auto"/>
          <w:sz w:val="24"/>
          <w:szCs w:val="24"/>
        </w:rPr>
      </w:pPr>
      <w:r>
        <w:rPr>
          <w:rFonts w:hint="eastAsia" w:ascii="仿宋" w:hAnsi="仿宋" w:cs="仿宋"/>
          <w:color w:val="auto"/>
          <w:sz w:val="24"/>
          <w:szCs w:val="24"/>
        </w:rPr>
        <w:t>投标人应按照采购文件的规定和要求编制投标文件。</w:t>
      </w:r>
    </w:p>
    <w:p w14:paraId="4E435D99">
      <w:pPr>
        <w:tabs>
          <w:tab w:val="left" w:pos="1134"/>
        </w:tabs>
        <w:spacing w:line="360" w:lineRule="auto"/>
        <w:ind w:left="567"/>
        <w:jc w:val="left"/>
        <w:rPr>
          <w:rFonts w:ascii="仿宋" w:hAnsi="仿宋" w:cs="仿宋"/>
          <w:b/>
          <w:color w:val="auto"/>
          <w:sz w:val="24"/>
          <w:szCs w:val="24"/>
          <w:lang w:val="zh-CN"/>
        </w:rPr>
      </w:pPr>
      <w:r>
        <w:rPr>
          <w:rFonts w:hint="eastAsia" w:ascii="仿宋" w:hAnsi="仿宋" w:cs="仿宋"/>
          <w:b/>
          <w:color w:val="auto"/>
          <w:sz w:val="24"/>
          <w:szCs w:val="24"/>
        </w:rPr>
        <w:t>1.3.6.1</w:t>
      </w:r>
      <w:r>
        <w:rPr>
          <w:rFonts w:hint="eastAsia" w:ascii="仿宋" w:hAnsi="仿宋" w:cs="仿宋"/>
          <w:b/>
          <w:color w:val="auto"/>
          <w:sz w:val="24"/>
          <w:szCs w:val="24"/>
          <w:lang w:val="zh-CN"/>
        </w:rPr>
        <w:t>商务技术投标文件</w:t>
      </w:r>
    </w:p>
    <w:p w14:paraId="36720236">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lang w:val="zh-CN"/>
        </w:rPr>
        <w:t>承诺函；</w:t>
      </w:r>
    </w:p>
    <w:p w14:paraId="5C8EE931">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lang w:val="zh-CN"/>
        </w:rPr>
        <w:t>投标函；</w:t>
      </w:r>
    </w:p>
    <w:p w14:paraId="70D134F4">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lang w:val="zh-CN"/>
        </w:rPr>
        <w:t>法定代表人或主要负责人身份证明书（说明：主要负责人为供应商提供的其具有独立承担民事责任能力的证明材料中的主要负责人员）；</w:t>
      </w:r>
    </w:p>
    <w:p w14:paraId="1BEB256E">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lang w:val="zh-CN"/>
        </w:rPr>
        <w:t>商务技术偏离表；</w:t>
      </w:r>
    </w:p>
    <w:p w14:paraId="788FD2AC">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lang w:val="zh-CN"/>
        </w:rPr>
        <w:t>商务技术文件；</w:t>
      </w:r>
    </w:p>
    <w:p w14:paraId="7EEB62AA">
      <w:pPr>
        <w:numPr>
          <w:ilvl w:val="0"/>
          <w:numId w:val="8"/>
        </w:num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rPr>
        <w:t>报价单；</w:t>
      </w:r>
    </w:p>
    <w:p w14:paraId="08779CA0">
      <w:pPr>
        <w:tabs>
          <w:tab w:val="left" w:pos="1134"/>
        </w:tabs>
        <w:spacing w:line="360" w:lineRule="auto"/>
        <w:ind w:firstLine="480" w:firstLineChars="200"/>
        <w:rPr>
          <w:rFonts w:ascii="仿宋" w:hAnsi="仿宋" w:cs="仿宋"/>
          <w:b/>
          <w:color w:val="auto"/>
          <w:sz w:val="24"/>
          <w:szCs w:val="24"/>
          <w:lang w:val="zh-CN"/>
        </w:rPr>
      </w:pPr>
      <w:r>
        <w:rPr>
          <w:rFonts w:hint="eastAsia" w:ascii="仿宋" w:hAnsi="仿宋" w:cs="仿宋"/>
          <w:b/>
          <w:color w:val="auto"/>
          <w:sz w:val="24"/>
          <w:szCs w:val="24"/>
        </w:rPr>
        <w:t>七</w:t>
      </w:r>
      <w:r>
        <w:rPr>
          <w:rFonts w:hint="eastAsia" w:ascii="仿宋" w:hAnsi="仿宋" w:cs="仿宋"/>
          <w:b/>
          <w:color w:val="auto"/>
          <w:sz w:val="24"/>
          <w:szCs w:val="24"/>
          <w:lang w:val="zh-CN"/>
        </w:rPr>
        <w:t>、政府采购供应商廉洁自律承诺书；</w:t>
      </w:r>
    </w:p>
    <w:p w14:paraId="0B072EC7">
      <w:pPr>
        <w:tabs>
          <w:tab w:val="left" w:pos="1134"/>
        </w:tabs>
        <w:spacing w:line="360" w:lineRule="auto"/>
        <w:ind w:left="567"/>
        <w:jc w:val="left"/>
        <w:rPr>
          <w:rFonts w:ascii="仿宋" w:hAnsi="仿宋" w:cs="仿宋"/>
          <w:b/>
          <w:color w:val="auto"/>
          <w:sz w:val="24"/>
          <w:szCs w:val="24"/>
          <w:lang w:val="zh-CN"/>
        </w:rPr>
      </w:pPr>
      <w:r>
        <w:rPr>
          <w:rFonts w:hint="eastAsia" w:ascii="仿宋" w:hAnsi="仿宋" w:cs="仿宋"/>
          <w:b/>
          <w:color w:val="auto"/>
          <w:sz w:val="24"/>
          <w:szCs w:val="24"/>
        </w:rPr>
        <w:t>1.3.6.2</w:t>
      </w:r>
      <w:r>
        <w:rPr>
          <w:rFonts w:hint="eastAsia" w:ascii="仿宋" w:hAnsi="仿宋" w:cs="仿宋"/>
          <w:b/>
          <w:color w:val="auto"/>
          <w:sz w:val="24"/>
          <w:szCs w:val="24"/>
          <w:lang w:val="zh-CN"/>
        </w:rPr>
        <w:t>报价文件</w:t>
      </w:r>
    </w:p>
    <w:p w14:paraId="3D4DC25C">
      <w:pPr>
        <w:tabs>
          <w:tab w:val="left" w:pos="1134"/>
        </w:tabs>
        <w:spacing w:line="360" w:lineRule="auto"/>
        <w:ind w:left="567" w:firstLine="240" w:firstLineChars="100"/>
        <w:jc w:val="left"/>
        <w:rPr>
          <w:rFonts w:ascii="仿宋" w:hAnsi="仿宋" w:cs="仿宋"/>
          <w:b/>
          <w:color w:val="auto"/>
          <w:sz w:val="24"/>
          <w:szCs w:val="24"/>
        </w:rPr>
      </w:pPr>
      <w:r>
        <w:rPr>
          <w:rFonts w:hint="eastAsia" w:ascii="仿宋" w:hAnsi="仿宋" w:cs="仿宋"/>
          <w:b/>
          <w:color w:val="auto"/>
          <w:sz w:val="24"/>
          <w:szCs w:val="24"/>
        </w:rPr>
        <w:t>一、报价单；</w:t>
      </w:r>
    </w:p>
    <w:p w14:paraId="33EA9A86">
      <w:pPr>
        <w:tabs>
          <w:tab w:val="left" w:pos="1134"/>
        </w:tabs>
        <w:spacing w:line="360" w:lineRule="auto"/>
        <w:ind w:left="567" w:firstLine="240" w:firstLineChars="100"/>
        <w:jc w:val="left"/>
        <w:rPr>
          <w:rFonts w:ascii="仿宋" w:hAnsi="仿宋" w:cs="仿宋"/>
          <w:b/>
          <w:color w:val="auto"/>
          <w:sz w:val="24"/>
          <w:szCs w:val="24"/>
        </w:rPr>
      </w:pPr>
      <w:r>
        <w:rPr>
          <w:rFonts w:hint="eastAsia" w:ascii="仿宋" w:hAnsi="仿宋" w:cs="仿宋"/>
          <w:b/>
          <w:color w:val="auto"/>
          <w:sz w:val="24"/>
          <w:szCs w:val="24"/>
        </w:rPr>
        <w:t>二、中小微企业声明函。</w:t>
      </w:r>
    </w:p>
    <w:p w14:paraId="4CA069CF">
      <w:pPr>
        <w:spacing w:line="360" w:lineRule="auto"/>
        <w:ind w:firstLine="720" w:firstLineChars="300"/>
        <w:rPr>
          <w:rFonts w:ascii="仿宋" w:hAnsi="仿宋" w:cs="仿宋"/>
          <w:b/>
          <w:color w:val="auto"/>
          <w:sz w:val="24"/>
          <w:szCs w:val="24"/>
        </w:rPr>
      </w:pPr>
      <w:r>
        <w:rPr>
          <w:rFonts w:hint="eastAsia" w:ascii="仿宋" w:hAnsi="仿宋" w:cs="仿宋"/>
          <w:b/>
          <w:color w:val="auto"/>
          <w:sz w:val="24"/>
          <w:szCs w:val="24"/>
        </w:rPr>
        <w:t>投标文件含有采购人不能接受的附加条件的，投标无效；</w:t>
      </w:r>
    </w:p>
    <w:p w14:paraId="2AF91A31">
      <w:pPr>
        <w:spacing w:line="360" w:lineRule="auto"/>
        <w:ind w:firstLine="720" w:firstLineChars="300"/>
        <w:rPr>
          <w:rFonts w:ascii="仿宋" w:hAnsi="仿宋" w:cs="仿宋"/>
          <w:b/>
          <w:color w:val="auto"/>
          <w:sz w:val="24"/>
          <w:szCs w:val="24"/>
        </w:rPr>
      </w:pPr>
      <w:r>
        <w:rPr>
          <w:rFonts w:hint="eastAsia" w:ascii="仿宋" w:hAnsi="仿宋" w:cs="仿宋"/>
          <w:b/>
          <w:color w:val="auto"/>
          <w:sz w:val="24"/>
          <w:szCs w:val="24"/>
        </w:rPr>
        <w:t>投标人提供虚假材料投标的，投标无效。</w:t>
      </w:r>
    </w:p>
    <w:p w14:paraId="1171A29F">
      <w:pPr>
        <w:keepNext/>
        <w:keepLines/>
        <w:numPr>
          <w:ilvl w:val="2"/>
          <w:numId w:val="0"/>
        </w:numPr>
        <w:spacing w:line="360" w:lineRule="auto"/>
        <w:outlineLvl w:val="2"/>
        <w:rPr>
          <w:rFonts w:ascii="仿宋" w:hAnsi="仿宋" w:cs="仿宋"/>
          <w:b/>
          <w:bCs/>
          <w:color w:val="auto"/>
          <w:sz w:val="24"/>
          <w:szCs w:val="24"/>
        </w:rPr>
      </w:pPr>
      <w:bookmarkStart w:id="44" w:name="_Toc316292019"/>
      <w:bookmarkEnd w:id="44"/>
      <w:bookmarkStart w:id="45" w:name="_Toc316291396"/>
      <w:bookmarkEnd w:id="45"/>
      <w:bookmarkStart w:id="46" w:name="_Toc316292020"/>
      <w:bookmarkEnd w:id="46"/>
      <w:bookmarkStart w:id="47" w:name="_Toc316291395"/>
      <w:bookmarkEnd w:id="47"/>
      <w:bookmarkStart w:id="48" w:name="_Toc183682355"/>
      <w:bookmarkStart w:id="49" w:name="_Toc183582218"/>
      <w:bookmarkStart w:id="50" w:name="_Toc217446049"/>
      <w:r>
        <w:rPr>
          <w:rFonts w:ascii="Times New Roman" w:hAnsi="Times New Roman" w:eastAsia="宋体"/>
          <w:b/>
          <w:bCs/>
          <w:color w:val="auto"/>
          <w:sz w:val="28"/>
          <w:szCs w:val="24"/>
        </w:rPr>
        <w:t>1.3.7</w:t>
      </w:r>
      <w:r>
        <w:rPr>
          <w:rFonts w:hint="eastAsia" w:ascii="仿宋" w:hAnsi="仿宋" w:cs="仿宋"/>
          <w:b/>
          <w:bCs/>
          <w:color w:val="auto"/>
          <w:sz w:val="24"/>
          <w:szCs w:val="24"/>
        </w:rPr>
        <w:t>投标文件格式</w:t>
      </w:r>
      <w:bookmarkEnd w:id="48"/>
      <w:bookmarkEnd w:id="49"/>
      <w:bookmarkEnd w:id="50"/>
      <w:r>
        <w:rPr>
          <w:rFonts w:hint="eastAsia" w:ascii="仿宋" w:hAnsi="仿宋" w:cs="仿宋"/>
          <w:b/>
          <w:bCs/>
          <w:color w:val="auto"/>
          <w:sz w:val="24"/>
          <w:szCs w:val="24"/>
        </w:rPr>
        <w:tab/>
      </w:r>
    </w:p>
    <w:p w14:paraId="226DAC05">
      <w:pPr>
        <w:numPr>
          <w:ilvl w:val="0"/>
          <w:numId w:val="9"/>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投标人应按照采购文件第3章中提供的“投标文件格式”填写相关内容。</w:t>
      </w:r>
    </w:p>
    <w:p w14:paraId="179926B8">
      <w:pPr>
        <w:numPr>
          <w:ilvl w:val="0"/>
          <w:numId w:val="9"/>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对于没有格式要求的投标文件由投标人自行编写。</w:t>
      </w:r>
    </w:p>
    <w:p w14:paraId="352763C2">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1.3.8</w:t>
      </w:r>
      <w:r>
        <w:rPr>
          <w:rFonts w:hint="eastAsia" w:ascii="仿宋" w:hAnsi="仿宋" w:cs="仿宋"/>
          <w:b/>
          <w:bCs/>
          <w:color w:val="auto"/>
          <w:sz w:val="24"/>
          <w:szCs w:val="24"/>
        </w:rPr>
        <w:t>投标报价（实质性要求）</w:t>
      </w:r>
    </w:p>
    <w:p w14:paraId="2528A8D0">
      <w:pPr>
        <w:numPr>
          <w:ilvl w:val="0"/>
          <w:numId w:val="10"/>
        </w:numPr>
        <w:tabs>
          <w:tab w:val="left" w:pos="1134"/>
        </w:tabs>
        <w:spacing w:line="360" w:lineRule="auto"/>
        <w:ind w:left="0" w:firstLine="560"/>
        <w:rPr>
          <w:rFonts w:ascii="仿宋" w:hAnsi="仿宋" w:cs="仿宋"/>
          <w:color w:val="auto"/>
          <w:sz w:val="24"/>
          <w:szCs w:val="24"/>
        </w:rPr>
      </w:pPr>
      <w:r>
        <w:rPr>
          <w:rFonts w:hint="eastAsia" w:ascii="仿宋" w:hAnsi="仿宋" w:cs="仿宋"/>
          <w:color w:val="auto"/>
          <w:sz w:val="24"/>
          <w:szCs w:val="24"/>
        </w:rPr>
        <w:t>投标人的报价是投标人响应招标项目要求的全部工作内容的价格体现，包括投标人完成本项目所需的一切费用。</w:t>
      </w:r>
    </w:p>
    <w:p w14:paraId="63FFCE95">
      <w:pPr>
        <w:numPr>
          <w:ilvl w:val="0"/>
          <w:numId w:val="10"/>
        </w:numPr>
        <w:tabs>
          <w:tab w:val="left" w:pos="1134"/>
        </w:tabs>
        <w:spacing w:line="360" w:lineRule="auto"/>
        <w:ind w:left="0" w:firstLine="560"/>
        <w:rPr>
          <w:rFonts w:ascii="仿宋" w:hAnsi="仿宋" w:cs="仿宋"/>
          <w:color w:val="auto"/>
          <w:sz w:val="24"/>
          <w:szCs w:val="24"/>
        </w:rPr>
      </w:pPr>
      <w:r>
        <w:rPr>
          <w:rFonts w:hint="eastAsia" w:ascii="仿宋" w:hAnsi="仿宋" w:cs="仿宋"/>
          <w:color w:val="auto"/>
          <w:sz w:val="24"/>
          <w:szCs w:val="24"/>
        </w:rPr>
        <w:t>投标人每种货物及服务内容只允许有一个报价，并且在合同履行过程中是固定不变的，任何有选择或可调整的报价将不予接受，并按无效投标处理。</w:t>
      </w:r>
    </w:p>
    <w:p w14:paraId="000350A4">
      <w:pPr>
        <w:numPr>
          <w:ilvl w:val="0"/>
          <w:numId w:val="11"/>
        </w:numPr>
        <w:tabs>
          <w:tab w:val="left" w:pos="1134"/>
        </w:tabs>
        <w:spacing w:line="360" w:lineRule="auto"/>
        <w:ind w:firstLine="484" w:firstLineChars="202"/>
        <w:rPr>
          <w:rFonts w:ascii="仿宋" w:hAnsi="仿宋" w:cs="仿宋"/>
          <w:color w:val="auto"/>
          <w:sz w:val="24"/>
          <w:szCs w:val="24"/>
        </w:rPr>
      </w:pPr>
      <w:bookmarkStart w:id="51" w:name="_Toc183682360"/>
      <w:bookmarkStart w:id="52" w:name="_Toc183582223"/>
      <w:bookmarkStart w:id="53" w:name="_Toc217446050"/>
      <w:r>
        <w:rPr>
          <w:rFonts w:hint="eastAsia" w:ascii="仿宋" w:hAnsi="仿宋" w:cs="仿宋"/>
          <w:color w:val="auto"/>
          <w:sz w:val="24"/>
          <w:szCs w:val="24"/>
        </w:rPr>
        <w:t>投标文件报价出现前后不一致的，按照下列规定修正：</w:t>
      </w:r>
    </w:p>
    <w:p w14:paraId="67F4FFD7">
      <w:pPr>
        <w:numPr>
          <w:ilvl w:val="0"/>
          <w:numId w:val="12"/>
        </w:numPr>
        <w:tabs>
          <w:tab w:val="left" w:pos="1134"/>
        </w:tabs>
        <w:spacing w:line="360" w:lineRule="auto"/>
        <w:ind w:left="0" w:firstLine="480" w:firstLineChars="200"/>
        <w:jc w:val="left"/>
        <w:rPr>
          <w:rFonts w:ascii="仿宋" w:hAnsi="仿宋" w:cs="仿宋"/>
          <w:color w:val="auto"/>
          <w:sz w:val="24"/>
          <w:szCs w:val="24"/>
        </w:rPr>
      </w:pPr>
      <w:r>
        <w:rPr>
          <w:rFonts w:hint="eastAsia" w:ascii="仿宋" w:hAnsi="仿宋" w:cs="仿宋"/>
          <w:color w:val="auto"/>
          <w:sz w:val="24"/>
          <w:szCs w:val="24"/>
        </w:rPr>
        <w:t>大写金额和小写金额不一致的，以大写金额为准，但大写金额出现文字错误，导致金额无法判断的除外；</w:t>
      </w:r>
    </w:p>
    <w:p w14:paraId="7BF73A36">
      <w:pPr>
        <w:numPr>
          <w:ilvl w:val="0"/>
          <w:numId w:val="12"/>
        </w:num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单价金额小数点或者百分比有明显错位的，应以总价为准，并修改单价；</w:t>
      </w:r>
    </w:p>
    <w:p w14:paraId="727B6BB4">
      <w:pPr>
        <w:numPr>
          <w:ilvl w:val="0"/>
          <w:numId w:val="12"/>
        </w:num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总价金额与按单价汇总金额不一致的，以单价金额计算结果为准。</w:t>
      </w:r>
    </w:p>
    <w:p w14:paraId="7B91DE70">
      <w:pPr>
        <w:tabs>
          <w:tab w:val="left" w:pos="1134"/>
        </w:tabs>
        <w:spacing w:line="360" w:lineRule="auto"/>
        <w:ind w:firstLine="484" w:firstLineChars="202"/>
        <w:rPr>
          <w:rFonts w:ascii="仿宋" w:hAnsi="仿宋" w:cs="仿宋"/>
          <w:color w:val="auto"/>
          <w:sz w:val="24"/>
          <w:szCs w:val="24"/>
        </w:rPr>
      </w:pPr>
      <w:r>
        <w:rPr>
          <w:rFonts w:hint="eastAsia" w:ascii="仿宋" w:hAnsi="仿宋" w:cs="仿宋"/>
          <w:color w:val="auto"/>
          <w:sz w:val="24"/>
          <w:szCs w:val="24"/>
        </w:rPr>
        <w:t>同时出现两种以上不一致的，按照前款规定的顺序修正。修正后的报价经投标人以书面形式通过政府采购云平台进行确认，并加盖投标人（法定名称）电子签章，投标人逾时确认的，其投标无效。评标委员会不得未经要求投标人确认，直接将投标人投标文件作无效处理。如因断电、断网、系统故障或其他不可抗力等因素，导致系统无法使用的，由投标人按评标委员会的要求进行澄清或者说明。</w:t>
      </w:r>
    </w:p>
    <w:p w14:paraId="2D66C6B8">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1.3.9</w:t>
      </w:r>
      <w:r>
        <w:rPr>
          <w:rFonts w:hint="eastAsia" w:ascii="仿宋" w:hAnsi="仿宋" w:cs="仿宋"/>
          <w:b/>
          <w:bCs/>
          <w:color w:val="auto"/>
          <w:sz w:val="24"/>
          <w:szCs w:val="24"/>
        </w:rPr>
        <w:t>投标保证金</w:t>
      </w:r>
      <w:bookmarkEnd w:id="51"/>
      <w:bookmarkEnd w:id="52"/>
      <w:bookmarkEnd w:id="53"/>
    </w:p>
    <w:p w14:paraId="16829BEE">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详见</w:t>
      </w:r>
      <w:r>
        <w:rPr>
          <w:rFonts w:hint="eastAsia" w:ascii="仿宋" w:hAnsi="仿宋" w:cs="仿宋"/>
          <w:color w:val="auto"/>
          <w:sz w:val="24"/>
          <w:szCs w:val="24"/>
          <w:u w:val="single"/>
        </w:rPr>
        <w:t>投标人须知前附表</w:t>
      </w:r>
      <w:r>
        <w:rPr>
          <w:rFonts w:hint="eastAsia" w:ascii="仿宋" w:hAnsi="仿宋" w:cs="仿宋"/>
          <w:color w:val="auto"/>
          <w:sz w:val="24"/>
          <w:szCs w:val="24"/>
        </w:rPr>
        <w:t>。</w:t>
      </w:r>
    </w:p>
    <w:p w14:paraId="45C1DD07">
      <w:pPr>
        <w:keepNext/>
        <w:keepLines/>
        <w:numPr>
          <w:ilvl w:val="2"/>
          <w:numId w:val="0"/>
        </w:numPr>
        <w:tabs>
          <w:tab w:val="left" w:pos="851"/>
        </w:tabs>
        <w:spacing w:line="360" w:lineRule="auto"/>
        <w:outlineLvl w:val="2"/>
        <w:rPr>
          <w:rFonts w:ascii="仿宋" w:hAnsi="仿宋" w:cs="仿宋"/>
          <w:b/>
          <w:bCs/>
          <w:color w:val="auto"/>
          <w:sz w:val="24"/>
          <w:szCs w:val="24"/>
        </w:rPr>
      </w:pPr>
      <w:bookmarkStart w:id="54" w:name="_Toc316292024"/>
      <w:bookmarkEnd w:id="54"/>
      <w:bookmarkStart w:id="55" w:name="_Toc316291400"/>
      <w:bookmarkEnd w:id="55"/>
      <w:bookmarkStart w:id="56" w:name="_Toc183582224"/>
      <w:bookmarkStart w:id="57" w:name="_Toc183682361"/>
      <w:bookmarkStart w:id="58" w:name="_Toc217446051"/>
      <w:r>
        <w:rPr>
          <w:rFonts w:ascii="Times New Roman" w:hAnsi="Times New Roman" w:eastAsia="宋体"/>
          <w:b/>
          <w:bCs/>
          <w:color w:val="auto"/>
          <w:sz w:val="28"/>
          <w:szCs w:val="24"/>
        </w:rPr>
        <w:t>1.3.10</w:t>
      </w:r>
      <w:r>
        <w:rPr>
          <w:rFonts w:hint="eastAsia" w:ascii="仿宋" w:hAnsi="仿宋" w:cs="仿宋"/>
          <w:b/>
          <w:bCs/>
          <w:color w:val="auto"/>
          <w:sz w:val="24"/>
          <w:szCs w:val="24"/>
        </w:rPr>
        <w:t>投标有效期</w:t>
      </w:r>
      <w:bookmarkEnd w:id="56"/>
      <w:bookmarkEnd w:id="57"/>
      <w:bookmarkEnd w:id="58"/>
    </w:p>
    <w:p w14:paraId="6C604870">
      <w:pPr>
        <w:tabs>
          <w:tab w:val="left" w:pos="1134"/>
        </w:tabs>
        <w:spacing w:line="360" w:lineRule="auto"/>
        <w:ind w:left="567"/>
        <w:rPr>
          <w:rFonts w:ascii="仿宋" w:hAnsi="仿宋" w:cs="仿宋"/>
          <w:color w:val="auto"/>
          <w:sz w:val="24"/>
          <w:szCs w:val="24"/>
        </w:rPr>
      </w:pPr>
      <w:r>
        <w:rPr>
          <w:rFonts w:hint="eastAsia" w:ascii="仿宋" w:hAnsi="仿宋" w:cs="仿宋"/>
          <w:b/>
          <w:bCs/>
          <w:color w:val="auto"/>
          <w:sz w:val="24"/>
          <w:szCs w:val="24"/>
        </w:rPr>
        <w:t>（实质性要求）</w:t>
      </w:r>
      <w:r>
        <w:rPr>
          <w:rFonts w:hint="eastAsia" w:ascii="仿宋" w:hAnsi="仿宋" w:cs="仿宋"/>
          <w:color w:val="auto"/>
          <w:sz w:val="24"/>
          <w:szCs w:val="24"/>
        </w:rPr>
        <w:t>投标有效期为提交投标文件的截止之日起</w:t>
      </w:r>
      <w:r>
        <w:rPr>
          <w:rFonts w:hint="eastAsia" w:ascii="仿宋" w:hAnsi="仿宋" w:cs="仿宋"/>
          <w:color w:val="auto"/>
          <w:sz w:val="24"/>
          <w:szCs w:val="24"/>
          <w:u w:val="single"/>
        </w:rPr>
        <w:t>90</w:t>
      </w:r>
      <w:r>
        <w:rPr>
          <w:rFonts w:hint="eastAsia" w:ascii="仿宋" w:hAnsi="仿宋" w:cs="仿宋"/>
          <w:color w:val="auto"/>
          <w:sz w:val="24"/>
          <w:szCs w:val="24"/>
        </w:rPr>
        <w:t>天。投标有效期短于此规定期限的或不作响应的，则其投标文件将按无效投标文件处理。</w:t>
      </w:r>
    </w:p>
    <w:p w14:paraId="7C5290D5">
      <w:pPr>
        <w:pStyle w:val="4"/>
        <w:numPr>
          <w:ilvl w:val="2"/>
          <w:numId w:val="0"/>
        </w:numPr>
        <w:tabs>
          <w:tab w:val="left" w:pos="851"/>
        </w:tabs>
        <w:spacing w:after="200"/>
        <w:rPr>
          <w:rFonts w:ascii="仿宋" w:hAnsi="仿宋" w:cs="仿宋"/>
          <w:color w:val="auto"/>
          <w:sz w:val="24"/>
          <w:szCs w:val="24"/>
        </w:rPr>
      </w:pPr>
      <w:bookmarkStart w:id="59" w:name="_Toc217446054"/>
      <w:bookmarkStart w:id="60" w:name="_Toc183582227"/>
      <w:bookmarkStart w:id="61" w:name="_Toc183682364"/>
      <w:r>
        <w:rPr>
          <w:rFonts w:ascii="Times New Roman" w:hAnsi="Times New Roman"/>
          <w:color w:val="auto"/>
          <w:szCs w:val="24"/>
        </w:rPr>
        <w:t>1.3.11</w:t>
      </w:r>
      <w:r>
        <w:rPr>
          <w:rFonts w:hint="eastAsia" w:ascii="仿宋" w:hAnsi="仿宋" w:cs="仿宋"/>
          <w:color w:val="auto"/>
          <w:sz w:val="24"/>
          <w:szCs w:val="24"/>
        </w:rPr>
        <w:t>投标文件的制作和签章、加密</w:t>
      </w:r>
    </w:p>
    <w:p w14:paraId="6CFEAE18">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w:t>
      </w:r>
      <w:r>
        <w:rPr>
          <w:rFonts w:hint="eastAsia" w:ascii="仿宋" w:hAnsi="仿宋" w:cs="仿宋"/>
          <w:b/>
          <w:bCs/>
          <w:color w:val="auto"/>
          <w:sz w:val="24"/>
          <w:szCs w:val="24"/>
        </w:rPr>
        <w:t>（实质性要求）</w:t>
      </w:r>
      <w:r>
        <w:rPr>
          <w:rFonts w:hint="eastAsia" w:ascii="仿宋" w:hAnsi="仿宋" w:cs="仿宋"/>
          <w:color w:val="auto"/>
          <w:sz w:val="24"/>
          <w:szCs w:val="24"/>
        </w:rPr>
        <w:t>投标文件应根据采购文件的要求进行制作。（说明：1.采购文件中要求提供复印件证明材料的，包含提供原件的影印件或复印件。2.要求提供复印件的证明材料须清晰可辨。）</w:t>
      </w:r>
    </w:p>
    <w:p w14:paraId="436EB709">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二、投标文件制作详情：</w:t>
      </w:r>
    </w:p>
    <w:p w14:paraId="5B28B146">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1．本项目实行电子投标。投标人应先安装“政采云投标客户端”，投标人应按采购文件要求，通过“政采云投标客户端”加密并提交投标文件。</w:t>
      </w:r>
    </w:p>
    <w:p w14:paraId="0FECCE87">
      <w:pPr>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2．</w:t>
      </w:r>
      <w:r>
        <w:rPr>
          <w:rFonts w:hint="eastAsia" w:ascii="仿宋" w:hAnsi="仿宋" w:cs="仿宋"/>
          <w:b/>
          <w:bCs/>
          <w:color w:val="auto"/>
          <w:sz w:val="24"/>
          <w:szCs w:val="24"/>
        </w:rPr>
        <w:t>（实质性要求）</w:t>
      </w:r>
      <w:r>
        <w:rPr>
          <w:rFonts w:hint="eastAsia" w:ascii="仿宋" w:hAnsi="仿宋" w:cs="仿宋"/>
          <w:b/>
          <w:color w:val="auto"/>
          <w:sz w:val="24"/>
          <w:szCs w:val="24"/>
        </w:rPr>
        <w:t>投标文件应加盖投标人（法定名称）电子签章。</w:t>
      </w:r>
    </w:p>
    <w:p w14:paraId="512E602F">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3．投标人应使用本企业CA数字证书对投标文件进行加密。</w:t>
      </w:r>
    </w:p>
    <w:p w14:paraId="045DA381">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4．采购文件有修改的，投标人须重新下载修改后的采购文件（修改后的采购文件在更正公告中下载），根据修改后的采购文件制作、撤回修改，并提交投标文件。</w:t>
      </w:r>
    </w:p>
    <w:p w14:paraId="542AB794">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5．使用“政府采购云平台”（含政采云电子交易客户端）需要提前申领CA数字证书及电子签章，请自行前往新疆CA服务点办理。投标人应及时完成在“政府采购云平台”的CA账号绑定，确保顺利参与电子投标。</w:t>
      </w:r>
    </w:p>
    <w:p w14:paraId="54A5902F">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6．政府采购云平台所支持的CA证书及签章：新疆CA。</w:t>
      </w:r>
    </w:p>
    <w:p w14:paraId="0B9E9F68">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7．CA技术支持：新疆CA：400-0281130；</w:t>
      </w:r>
    </w:p>
    <w:p w14:paraId="500DDBC1">
      <w:pPr>
        <w:pStyle w:val="4"/>
        <w:numPr>
          <w:ilvl w:val="2"/>
          <w:numId w:val="0"/>
        </w:numPr>
        <w:spacing w:after="200"/>
        <w:rPr>
          <w:rFonts w:ascii="仿宋" w:hAnsi="仿宋" w:cs="仿宋"/>
          <w:color w:val="auto"/>
          <w:sz w:val="24"/>
          <w:szCs w:val="24"/>
        </w:rPr>
      </w:pPr>
      <w:r>
        <w:rPr>
          <w:rFonts w:ascii="Times New Roman" w:hAnsi="Times New Roman"/>
          <w:color w:val="auto"/>
          <w:szCs w:val="24"/>
        </w:rPr>
        <w:t>1.3.12</w:t>
      </w:r>
      <w:r>
        <w:rPr>
          <w:rFonts w:hint="eastAsia" w:ascii="仿宋" w:hAnsi="仿宋" w:cs="仿宋"/>
          <w:color w:val="auto"/>
          <w:sz w:val="24"/>
          <w:szCs w:val="24"/>
        </w:rPr>
        <w:t>投标文件的</w:t>
      </w:r>
      <w:bookmarkEnd w:id="59"/>
      <w:bookmarkEnd w:id="60"/>
      <w:bookmarkEnd w:id="61"/>
      <w:r>
        <w:rPr>
          <w:rFonts w:hint="eastAsia" w:ascii="仿宋" w:hAnsi="仿宋" w:cs="仿宋"/>
          <w:color w:val="auto"/>
          <w:sz w:val="24"/>
          <w:szCs w:val="24"/>
        </w:rPr>
        <w:t>提交</w:t>
      </w:r>
    </w:p>
    <w:p w14:paraId="0C6CE512">
      <w:pPr>
        <w:tabs>
          <w:tab w:val="left" w:pos="0"/>
        </w:tabs>
        <w:spacing w:line="360" w:lineRule="auto"/>
        <w:ind w:firstLine="360" w:firstLineChars="150"/>
        <w:rPr>
          <w:rFonts w:ascii="仿宋" w:hAnsi="仿宋" w:cs="仿宋"/>
          <w:bCs/>
          <w:color w:val="auto"/>
          <w:sz w:val="24"/>
          <w:szCs w:val="24"/>
        </w:rPr>
      </w:pPr>
      <w:bookmarkStart w:id="62" w:name="_Toc316475586"/>
      <w:bookmarkEnd w:id="62"/>
      <w:bookmarkStart w:id="63" w:name="_Toc316475587"/>
      <w:bookmarkEnd w:id="63"/>
      <w:bookmarkStart w:id="64" w:name="_Toc183682365"/>
      <w:bookmarkStart w:id="65" w:name="_Toc183582228"/>
      <w:bookmarkStart w:id="66" w:name="_Toc217446055"/>
      <w:r>
        <w:rPr>
          <w:rFonts w:hint="eastAsia" w:ascii="仿宋" w:hAnsi="仿宋" w:cs="仿宋"/>
          <w:bCs/>
          <w:color w:val="auto"/>
          <w:sz w:val="24"/>
          <w:szCs w:val="24"/>
        </w:rPr>
        <w:t>一、</w:t>
      </w:r>
      <w:r>
        <w:rPr>
          <w:rFonts w:hint="eastAsia" w:ascii="仿宋" w:hAnsi="仿宋" w:cs="仿宋"/>
          <w:b/>
          <w:bCs/>
          <w:color w:val="auto"/>
          <w:sz w:val="24"/>
          <w:szCs w:val="24"/>
        </w:rPr>
        <w:t>（实质性要求）</w:t>
      </w:r>
      <w:r>
        <w:rPr>
          <w:rFonts w:hint="eastAsia" w:ascii="仿宋" w:hAnsi="仿宋" w:cs="仿宋"/>
          <w:bCs/>
          <w:color w:val="auto"/>
          <w:sz w:val="24"/>
          <w:szCs w:val="24"/>
        </w:rPr>
        <w:t>投标人应当在投标文件提交截止时间前，将生成的已加密的电子投标文件成功提交至“政府采购云平台”。</w:t>
      </w:r>
    </w:p>
    <w:p w14:paraId="57808919">
      <w:pPr>
        <w:tabs>
          <w:tab w:val="left" w:pos="0"/>
        </w:tabs>
        <w:spacing w:line="360" w:lineRule="auto"/>
        <w:ind w:firstLine="360" w:firstLineChars="150"/>
        <w:rPr>
          <w:rFonts w:ascii="仿宋" w:hAnsi="仿宋" w:cs="仿宋"/>
          <w:bCs/>
          <w:color w:val="auto"/>
          <w:sz w:val="24"/>
          <w:szCs w:val="24"/>
        </w:rPr>
      </w:pPr>
      <w:r>
        <w:rPr>
          <w:rFonts w:hint="eastAsia" w:ascii="仿宋" w:hAnsi="仿宋" w:cs="仿宋"/>
          <w:bCs/>
          <w:color w:val="auto"/>
          <w:sz w:val="24"/>
          <w:szCs w:val="24"/>
        </w:rPr>
        <w:t>二、因采购文件的修改推迟投标截止日期的，投标人按采购人或采购代理机构在“新疆政府采购网”上发布的澄清公告中修改的时间提交投标文件。</w:t>
      </w:r>
    </w:p>
    <w:p w14:paraId="681ABB63">
      <w:pPr>
        <w:tabs>
          <w:tab w:val="left" w:pos="0"/>
        </w:tabs>
        <w:spacing w:line="360" w:lineRule="auto"/>
        <w:ind w:firstLine="360" w:firstLineChars="150"/>
        <w:rPr>
          <w:rFonts w:ascii="仿宋" w:hAnsi="仿宋" w:cs="仿宋"/>
          <w:bCs/>
          <w:color w:val="auto"/>
          <w:sz w:val="24"/>
          <w:szCs w:val="24"/>
        </w:rPr>
      </w:pPr>
      <w:r>
        <w:rPr>
          <w:rFonts w:hint="eastAsia" w:ascii="仿宋" w:hAnsi="仿宋" w:cs="仿宋"/>
          <w:bCs/>
          <w:color w:val="auto"/>
          <w:sz w:val="24"/>
          <w:szCs w:val="24"/>
        </w:rPr>
        <w:t>三、投标人应充分考虑提交文件的不可预见因素，未在投标截止时间前完成提交的，在投标截止时间后将无法提交。</w:t>
      </w:r>
    </w:p>
    <w:p w14:paraId="422D1526">
      <w:pPr>
        <w:pStyle w:val="4"/>
        <w:numPr>
          <w:ilvl w:val="2"/>
          <w:numId w:val="0"/>
        </w:numPr>
        <w:spacing w:after="200"/>
        <w:rPr>
          <w:rFonts w:ascii="仿宋" w:hAnsi="仿宋" w:cs="仿宋"/>
          <w:color w:val="auto"/>
          <w:sz w:val="24"/>
          <w:szCs w:val="24"/>
        </w:rPr>
      </w:pPr>
      <w:r>
        <w:rPr>
          <w:rFonts w:ascii="Times New Roman" w:hAnsi="Times New Roman"/>
          <w:color w:val="auto"/>
          <w:szCs w:val="24"/>
        </w:rPr>
        <w:t>1.3.13</w:t>
      </w:r>
      <w:r>
        <w:rPr>
          <w:rFonts w:hint="eastAsia" w:ascii="仿宋" w:hAnsi="仿宋" w:cs="仿宋"/>
          <w:color w:val="auto"/>
          <w:sz w:val="24"/>
          <w:szCs w:val="24"/>
        </w:rPr>
        <w:t>投标文件的</w:t>
      </w:r>
      <w:bookmarkEnd w:id="64"/>
      <w:bookmarkEnd w:id="65"/>
      <w:bookmarkEnd w:id="66"/>
      <w:r>
        <w:rPr>
          <w:rFonts w:hint="eastAsia" w:ascii="仿宋" w:hAnsi="仿宋" w:cs="仿宋"/>
          <w:color w:val="auto"/>
          <w:sz w:val="24"/>
          <w:szCs w:val="24"/>
        </w:rPr>
        <w:t>补充、修改（实质性要求）</w:t>
      </w:r>
    </w:p>
    <w:p w14:paraId="2831C318">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在投标截止时间之前，投标人可对已提交的投标文件进行补充、修改。补充或者修改投标文件的，应当先撤回已提交的投标文件，在“政采云投标客户端”补充、修改投标文件并签章、加密后重新提交。撤回投标文件进行补充、修改，在投标截止时间前未重新提交的，视为撤回投标文件。</w:t>
      </w:r>
    </w:p>
    <w:p w14:paraId="1E366AD4">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二、在投标截止时间之后，投标人不得对其提交的投标文件做任何补充、修改。</w:t>
      </w:r>
    </w:p>
    <w:p w14:paraId="718504E5">
      <w:pPr>
        <w:pStyle w:val="4"/>
        <w:numPr>
          <w:ilvl w:val="2"/>
          <w:numId w:val="0"/>
        </w:numPr>
        <w:spacing w:after="200"/>
        <w:rPr>
          <w:rFonts w:ascii="仿宋" w:hAnsi="仿宋" w:cs="仿宋"/>
          <w:color w:val="auto"/>
          <w:sz w:val="24"/>
          <w:szCs w:val="24"/>
        </w:rPr>
      </w:pPr>
      <w:r>
        <w:rPr>
          <w:rFonts w:ascii="Times New Roman" w:hAnsi="Times New Roman"/>
          <w:color w:val="auto"/>
          <w:szCs w:val="24"/>
        </w:rPr>
        <w:t>1.3.14</w:t>
      </w:r>
      <w:r>
        <w:rPr>
          <w:rFonts w:hint="eastAsia" w:ascii="仿宋" w:hAnsi="仿宋" w:cs="仿宋"/>
          <w:color w:val="auto"/>
          <w:sz w:val="24"/>
          <w:szCs w:val="24"/>
        </w:rPr>
        <w:t>投标文件的撤回（实质性要求）</w:t>
      </w:r>
    </w:p>
    <w:p w14:paraId="12BF3E93">
      <w:pPr>
        <w:spacing w:before="120" w:after="200" w:line="360" w:lineRule="auto"/>
        <w:ind w:firstLine="484" w:firstLineChars="202"/>
        <w:rPr>
          <w:rFonts w:ascii="仿宋" w:hAnsi="仿宋" w:cs="仿宋"/>
          <w:bCs/>
          <w:color w:val="auto"/>
          <w:sz w:val="24"/>
          <w:szCs w:val="24"/>
        </w:rPr>
      </w:pPr>
      <w:bookmarkStart w:id="67" w:name="_Toc89075878"/>
      <w:bookmarkStart w:id="68" w:name="_Toc183582231"/>
      <w:bookmarkStart w:id="69" w:name="_Toc77400782"/>
      <w:bookmarkStart w:id="70" w:name="_Toc217446056"/>
      <w:bookmarkStart w:id="71" w:name="_Toc183682368"/>
      <w:r>
        <w:rPr>
          <w:rFonts w:hint="eastAsia" w:ascii="仿宋" w:hAnsi="仿宋" w:cs="仿宋"/>
          <w:bCs/>
          <w:color w:val="auto"/>
          <w:sz w:val="24"/>
          <w:szCs w:val="24"/>
        </w:rPr>
        <w:t>在投标截止时间之前，投标人可对已提交的投标文件进行撤回。在投标截止时间之后，投标人不得撤回投标文件。</w:t>
      </w:r>
    </w:p>
    <w:p w14:paraId="63A1A238">
      <w:pPr>
        <w:pStyle w:val="4"/>
        <w:numPr>
          <w:ilvl w:val="2"/>
          <w:numId w:val="0"/>
        </w:numPr>
        <w:spacing w:after="200"/>
        <w:rPr>
          <w:rFonts w:ascii="仿宋" w:hAnsi="仿宋" w:cs="仿宋"/>
          <w:color w:val="auto"/>
          <w:sz w:val="24"/>
          <w:szCs w:val="24"/>
        </w:rPr>
      </w:pPr>
      <w:r>
        <w:rPr>
          <w:rFonts w:ascii="Times New Roman" w:hAnsi="Times New Roman"/>
          <w:color w:val="auto"/>
          <w:szCs w:val="24"/>
        </w:rPr>
        <w:t>1.3.15</w:t>
      </w:r>
      <w:r>
        <w:rPr>
          <w:rFonts w:hint="eastAsia" w:ascii="仿宋" w:hAnsi="仿宋" w:cs="仿宋"/>
          <w:color w:val="auto"/>
          <w:sz w:val="24"/>
          <w:szCs w:val="24"/>
        </w:rPr>
        <w:t>投标文件的解密（实质性要求）</w:t>
      </w:r>
    </w:p>
    <w:p w14:paraId="226E8AF0">
      <w:pPr>
        <w:tabs>
          <w:tab w:val="left" w:pos="1134"/>
        </w:tabs>
        <w:spacing w:before="120" w:line="360" w:lineRule="auto"/>
        <w:ind w:firstLine="484" w:firstLineChars="202"/>
        <w:rPr>
          <w:rFonts w:ascii="仿宋" w:hAnsi="仿宋" w:cs="仿宋"/>
          <w:bCs/>
          <w:color w:val="auto"/>
          <w:sz w:val="24"/>
          <w:szCs w:val="24"/>
        </w:rPr>
      </w:pPr>
      <w:r>
        <w:rPr>
          <w:rFonts w:hint="eastAsia" w:ascii="仿宋" w:hAnsi="仿宋" w:cs="仿宋"/>
          <w:bCs/>
          <w:color w:val="auto"/>
          <w:sz w:val="24"/>
          <w:szCs w:val="24"/>
        </w:rPr>
        <w:t>投标人</w:t>
      </w:r>
      <w:r>
        <w:rPr>
          <w:rFonts w:hint="eastAsia" w:ascii="仿宋" w:hAnsi="仿宋" w:cs="仿宋"/>
          <w:color w:val="auto"/>
          <w:sz w:val="24"/>
          <w:szCs w:val="24"/>
        </w:rPr>
        <w:t>登录政府采购云平台，点击“项目采购—开标评标”模块，找到对应项目，进入“开标大厅”，等待采购人或采购代理机构开启解密后，进行线上解密。</w:t>
      </w:r>
      <w:r>
        <w:rPr>
          <w:rFonts w:hint="eastAsia" w:ascii="仿宋" w:hAnsi="仿宋" w:cs="仿宋"/>
          <w:bCs/>
          <w:color w:val="auto"/>
          <w:sz w:val="24"/>
          <w:szCs w:val="24"/>
        </w:rPr>
        <w:t>除因</w:t>
      </w:r>
      <w:r>
        <w:rPr>
          <w:rFonts w:hint="eastAsia" w:ascii="仿宋" w:hAnsi="仿宋" w:cs="仿宋"/>
          <w:color w:val="auto"/>
          <w:sz w:val="24"/>
          <w:szCs w:val="24"/>
        </w:rPr>
        <w:t>采购人或采购代理机构</w:t>
      </w:r>
      <w:r>
        <w:rPr>
          <w:rFonts w:hint="eastAsia" w:ascii="仿宋" w:hAnsi="仿宋" w:cs="仿宋"/>
          <w:bCs/>
          <w:color w:val="auto"/>
          <w:sz w:val="24"/>
          <w:szCs w:val="24"/>
        </w:rPr>
        <w:t>断电、断网、系统故障或其他不可抗力等因素，导致系统无法使用外，投标人在规定的解密时间内，未成功解密的投标文件将视为无效投标文件。</w:t>
      </w:r>
    </w:p>
    <w:p w14:paraId="5AF3F622">
      <w:pPr>
        <w:keepNext/>
        <w:keepLines/>
        <w:numPr>
          <w:ilvl w:val="1"/>
          <w:numId w:val="0"/>
        </w:numPr>
        <w:spacing w:line="360" w:lineRule="auto"/>
        <w:ind w:left="567" w:hanging="567"/>
        <w:jc w:val="left"/>
        <w:outlineLvl w:val="1"/>
        <w:rPr>
          <w:rFonts w:ascii="仿宋" w:hAnsi="仿宋" w:cs="仿宋"/>
          <w:b/>
          <w:bCs/>
          <w:color w:val="auto"/>
          <w:sz w:val="24"/>
          <w:szCs w:val="24"/>
        </w:rPr>
      </w:pPr>
      <w:bookmarkStart w:id="72" w:name="_Toc15457"/>
      <w:r>
        <w:rPr>
          <w:rFonts w:ascii="Times New Roman" w:hAnsi="Times New Roman" w:eastAsia="宋体"/>
          <w:b/>
          <w:bCs/>
          <w:color w:val="auto"/>
          <w:sz w:val="28"/>
          <w:szCs w:val="28"/>
        </w:rPr>
        <w:t>1.4</w:t>
      </w:r>
      <w:r>
        <w:rPr>
          <w:rFonts w:hint="eastAsia" w:ascii="仿宋" w:hAnsi="仿宋" w:cs="仿宋"/>
          <w:b/>
          <w:bCs/>
          <w:color w:val="auto"/>
          <w:sz w:val="24"/>
          <w:szCs w:val="24"/>
        </w:rPr>
        <w:t>开标、资格审查、评标和中标</w:t>
      </w:r>
      <w:bookmarkEnd w:id="67"/>
      <w:bookmarkEnd w:id="68"/>
      <w:bookmarkEnd w:id="69"/>
      <w:bookmarkEnd w:id="70"/>
      <w:bookmarkEnd w:id="71"/>
      <w:bookmarkEnd w:id="72"/>
    </w:p>
    <w:p w14:paraId="352579FB">
      <w:pPr>
        <w:keepNext/>
        <w:keepLines/>
        <w:numPr>
          <w:ilvl w:val="2"/>
          <w:numId w:val="0"/>
        </w:numPr>
        <w:spacing w:line="360" w:lineRule="auto"/>
        <w:outlineLvl w:val="2"/>
        <w:rPr>
          <w:rFonts w:ascii="仿宋" w:hAnsi="仿宋" w:cs="仿宋"/>
          <w:b/>
          <w:bCs/>
          <w:color w:val="auto"/>
          <w:sz w:val="24"/>
          <w:szCs w:val="24"/>
        </w:rPr>
      </w:pPr>
      <w:bookmarkStart w:id="73" w:name="_Toc183682369"/>
      <w:bookmarkStart w:id="74" w:name="_Toc217446057"/>
      <w:bookmarkStart w:id="75" w:name="_Toc183582232"/>
      <w:r>
        <w:rPr>
          <w:rFonts w:ascii="Times New Roman" w:hAnsi="Times New Roman" w:eastAsia="宋体"/>
          <w:b/>
          <w:bCs/>
          <w:color w:val="auto"/>
          <w:sz w:val="28"/>
          <w:szCs w:val="24"/>
        </w:rPr>
        <w:t>1.4.1</w:t>
      </w:r>
      <w:r>
        <w:rPr>
          <w:rFonts w:hint="eastAsia" w:ascii="仿宋" w:hAnsi="仿宋" w:cs="仿宋"/>
          <w:b/>
          <w:bCs/>
          <w:color w:val="auto"/>
          <w:sz w:val="24"/>
          <w:szCs w:val="24"/>
        </w:rPr>
        <w:t>开标</w:t>
      </w:r>
      <w:bookmarkEnd w:id="73"/>
      <w:bookmarkEnd w:id="74"/>
      <w:bookmarkEnd w:id="75"/>
      <w:r>
        <w:rPr>
          <w:rFonts w:hint="eastAsia" w:ascii="仿宋" w:hAnsi="仿宋" w:cs="仿宋"/>
          <w:b/>
          <w:bCs/>
          <w:color w:val="auto"/>
          <w:sz w:val="24"/>
          <w:szCs w:val="24"/>
        </w:rPr>
        <w:t>及开标程序</w:t>
      </w:r>
    </w:p>
    <w:p w14:paraId="0CD4D045">
      <w:pPr>
        <w:pStyle w:val="169"/>
        <w:tabs>
          <w:tab w:val="left" w:pos="1134"/>
        </w:tabs>
        <w:spacing w:line="360" w:lineRule="auto"/>
        <w:ind w:firstLine="480"/>
        <w:rPr>
          <w:rFonts w:ascii="仿宋" w:hAnsi="仿宋" w:eastAsia="仿宋" w:cs="仿宋"/>
          <w:color w:val="auto"/>
          <w:sz w:val="24"/>
          <w:szCs w:val="24"/>
        </w:rPr>
      </w:pPr>
      <w:r>
        <w:rPr>
          <w:rFonts w:hint="eastAsia" w:ascii="仿宋" w:hAnsi="仿宋" w:eastAsia="仿宋" w:cs="仿宋"/>
          <w:color w:val="auto"/>
          <w:sz w:val="24"/>
          <w:szCs w:val="24"/>
        </w:rPr>
        <w:t>一、本项目为不见面开标项目。提交电子投标文件的投标人不足3家的，不予开标。</w:t>
      </w:r>
    </w:p>
    <w:p w14:paraId="303B131D">
      <w:pPr>
        <w:pStyle w:val="169"/>
        <w:spacing w:line="360" w:lineRule="auto"/>
        <w:ind w:firstLine="482"/>
        <w:rPr>
          <w:rFonts w:ascii="仿宋" w:hAnsi="仿宋" w:eastAsia="仿宋" w:cs="仿宋"/>
          <w:b/>
          <w:color w:val="auto"/>
          <w:sz w:val="24"/>
          <w:szCs w:val="24"/>
        </w:rPr>
      </w:pPr>
      <w:r>
        <w:rPr>
          <w:rFonts w:hint="eastAsia" w:ascii="仿宋" w:hAnsi="仿宋" w:eastAsia="仿宋" w:cs="仿宋"/>
          <w:b/>
          <w:color w:val="auto"/>
          <w:sz w:val="24"/>
          <w:szCs w:val="24"/>
        </w:rPr>
        <w:t>二、开标准备工作。投标人需在开标当日、投标截止时间前登录“政府采购云平台”，通过“开标大厅”参与不见面开标。登录政府采购云平台（www.zcygov.cn)—我的工作台—项目采购—开标评标—开标大厅（找到对应项目）。提示：投标人未按时登录不见面开标系统，错过开标解密时间的，由投标人自行承担不利后果。</w:t>
      </w:r>
    </w:p>
    <w:p w14:paraId="6FAD9718">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三、解密投标文件。等待采购人或采购代理机构开启解密后，投标人进行线上解密。开启解密后，投标人应在30分钟内，使用加密该投标文件的CA数字证书在线完成投标文件的解密。除因采购人或采购代理机构断电、断网、系统故障或其他不可抗力等因素，导致系统无法使用外，投标人在规定的解密时间内，未成功解密的投标文件将视为无效投标文件。</w:t>
      </w:r>
    </w:p>
    <w:p w14:paraId="54FD7C89">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四、确认开标记录。解密时间截止或者所有投标人投标文件均完成解密后（以发生在先的时间为准），由“政府采购云平台”系统展示投标人名称、投标文件解密情况、投标报价等唱标内容。如成功解密投标文件的投标人不足三家的，则只展示投标人名称、投标文件解密情况。</w:t>
      </w:r>
    </w:p>
    <w:p w14:paraId="43A5D49C">
      <w:pPr>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五、投标人对开标过程和开标记录有疑义，以及认为采购人、采购人或采购代理机构相关工作人员有需要回避的情形的，及时向工作人员提出询问或者回避申请。采购人、采购人或采购代理机构对投标人提出的询问或者回避申请应当及时处理。</w:t>
      </w:r>
    </w:p>
    <w:p w14:paraId="586A83CB">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六、因采购人或采购代理机构断电、断网、系统故障或其他不可抗力等因素导致不见面开标系统无法正常运行的，开标活动中止或延迟，待系统恢复正常后继续进行开标活动。</w:t>
      </w:r>
    </w:p>
    <w:p w14:paraId="712BF2CD">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七、不见面开标过程中，各方主体均应遵守互联网有关规定，不得发表与交易活动无关的言论。</w:t>
      </w:r>
    </w:p>
    <w:p w14:paraId="11B84467">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1.4.2</w:t>
      </w:r>
      <w:r>
        <w:rPr>
          <w:rFonts w:hint="eastAsia" w:ascii="仿宋" w:hAnsi="仿宋" w:cs="仿宋"/>
          <w:b/>
          <w:bCs/>
          <w:color w:val="auto"/>
          <w:sz w:val="24"/>
          <w:szCs w:val="24"/>
        </w:rPr>
        <w:t>资格审查</w:t>
      </w:r>
    </w:p>
    <w:p w14:paraId="42252686">
      <w:pPr>
        <w:spacing w:line="360" w:lineRule="auto"/>
        <w:ind w:firstLine="495"/>
        <w:rPr>
          <w:rFonts w:ascii="仿宋" w:hAnsi="仿宋" w:cs="仿宋"/>
          <w:color w:val="auto"/>
          <w:sz w:val="24"/>
          <w:szCs w:val="24"/>
        </w:rPr>
      </w:pPr>
      <w:r>
        <w:rPr>
          <w:rFonts w:hint="eastAsia" w:ascii="仿宋" w:hAnsi="仿宋" w:cs="仿宋"/>
          <w:color w:val="auto"/>
          <w:sz w:val="24"/>
          <w:szCs w:val="24"/>
        </w:rPr>
        <w:t>详见采购文件第5章。</w:t>
      </w:r>
    </w:p>
    <w:p w14:paraId="267BE555">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1.4.3</w:t>
      </w:r>
      <w:r>
        <w:rPr>
          <w:rFonts w:hint="eastAsia" w:ascii="仿宋" w:hAnsi="仿宋" w:cs="仿宋"/>
          <w:b/>
          <w:bCs/>
          <w:color w:val="auto"/>
          <w:sz w:val="24"/>
          <w:szCs w:val="24"/>
        </w:rPr>
        <w:t>评标</w:t>
      </w:r>
    </w:p>
    <w:p w14:paraId="79C673C0">
      <w:pPr>
        <w:spacing w:line="360" w:lineRule="auto"/>
        <w:ind w:firstLine="495"/>
        <w:rPr>
          <w:rFonts w:ascii="仿宋" w:hAnsi="仿宋" w:cs="仿宋"/>
          <w:color w:val="auto"/>
          <w:sz w:val="24"/>
          <w:szCs w:val="24"/>
        </w:rPr>
      </w:pPr>
      <w:r>
        <w:rPr>
          <w:rFonts w:hint="eastAsia" w:ascii="仿宋" w:hAnsi="仿宋" w:cs="仿宋"/>
          <w:color w:val="auto"/>
          <w:sz w:val="24"/>
          <w:szCs w:val="24"/>
        </w:rPr>
        <w:t>详见采购文件第6章。</w:t>
      </w:r>
    </w:p>
    <w:p w14:paraId="79E948BE">
      <w:pPr>
        <w:keepNext/>
        <w:keepLines/>
        <w:numPr>
          <w:ilvl w:val="2"/>
          <w:numId w:val="0"/>
        </w:numPr>
        <w:spacing w:line="360" w:lineRule="auto"/>
        <w:outlineLvl w:val="2"/>
        <w:rPr>
          <w:rFonts w:ascii="仿宋" w:hAnsi="仿宋" w:cs="仿宋"/>
          <w:b/>
          <w:bCs/>
          <w:color w:val="auto"/>
          <w:sz w:val="24"/>
          <w:szCs w:val="24"/>
        </w:rPr>
      </w:pPr>
      <w:bookmarkStart w:id="76" w:name="_Toc183682375"/>
      <w:bookmarkStart w:id="77" w:name="_Toc183582238"/>
      <w:bookmarkStart w:id="78" w:name="_Toc217446063"/>
      <w:r>
        <w:rPr>
          <w:rFonts w:ascii="Times New Roman" w:hAnsi="Times New Roman" w:eastAsia="宋体"/>
          <w:b/>
          <w:bCs/>
          <w:color w:val="auto"/>
          <w:sz w:val="28"/>
          <w:szCs w:val="24"/>
        </w:rPr>
        <w:t>1.4.4</w:t>
      </w:r>
      <w:r>
        <w:rPr>
          <w:rFonts w:hint="eastAsia" w:ascii="仿宋" w:hAnsi="仿宋" w:cs="仿宋"/>
          <w:b/>
          <w:bCs/>
          <w:color w:val="auto"/>
          <w:sz w:val="24"/>
          <w:szCs w:val="24"/>
        </w:rPr>
        <w:t>中标通知</w:t>
      </w:r>
      <w:bookmarkEnd w:id="76"/>
      <w:bookmarkEnd w:id="77"/>
      <w:r>
        <w:rPr>
          <w:rFonts w:hint="eastAsia" w:ascii="仿宋" w:hAnsi="仿宋" w:cs="仿宋"/>
          <w:b/>
          <w:bCs/>
          <w:color w:val="auto"/>
          <w:sz w:val="24"/>
          <w:szCs w:val="24"/>
        </w:rPr>
        <w:t>书</w:t>
      </w:r>
      <w:bookmarkEnd w:id="78"/>
    </w:p>
    <w:p w14:paraId="6B28B9D3">
      <w:pPr>
        <w:spacing w:line="360" w:lineRule="auto"/>
        <w:ind w:right="210" w:firstLine="480" w:firstLineChars="200"/>
        <w:rPr>
          <w:rFonts w:ascii="仿宋" w:hAnsi="仿宋" w:cs="仿宋"/>
          <w:color w:val="auto"/>
          <w:sz w:val="24"/>
          <w:szCs w:val="24"/>
        </w:rPr>
      </w:pPr>
      <w:bookmarkStart w:id="79" w:name="_Toc217446064"/>
      <w:bookmarkStart w:id="80" w:name="_Toc183682377"/>
      <w:bookmarkStart w:id="81" w:name="_Toc183582240"/>
      <w:r>
        <w:rPr>
          <w:rFonts w:hint="eastAsia" w:ascii="仿宋" w:hAnsi="仿宋" w:cs="仿宋"/>
          <w:color w:val="auto"/>
          <w:sz w:val="24"/>
          <w:szCs w:val="24"/>
        </w:rPr>
        <w:t>一、中标通知书为采购人签订政府采购合同的依据，是合同的有效组成部分。</w:t>
      </w:r>
    </w:p>
    <w:p w14:paraId="45978AEF">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二、中标通知书对采购人和中标人均具有法律效力。</w:t>
      </w:r>
    </w:p>
    <w:p w14:paraId="31D6D6BE">
      <w:pPr>
        <w:keepNext/>
        <w:keepLines/>
        <w:numPr>
          <w:ilvl w:val="1"/>
          <w:numId w:val="0"/>
        </w:numPr>
        <w:spacing w:before="240" w:line="360" w:lineRule="auto"/>
        <w:ind w:left="567" w:hanging="567"/>
        <w:jc w:val="left"/>
        <w:outlineLvl w:val="1"/>
        <w:rPr>
          <w:rFonts w:ascii="仿宋" w:hAnsi="仿宋" w:cs="仿宋"/>
          <w:b/>
          <w:bCs/>
          <w:color w:val="auto"/>
          <w:sz w:val="24"/>
          <w:szCs w:val="24"/>
        </w:rPr>
      </w:pPr>
      <w:bookmarkStart w:id="82" w:name="_Toc8049"/>
      <w:r>
        <w:rPr>
          <w:rFonts w:ascii="Times New Roman" w:hAnsi="Times New Roman" w:eastAsia="宋体"/>
          <w:b/>
          <w:bCs/>
          <w:color w:val="auto"/>
          <w:sz w:val="28"/>
          <w:szCs w:val="28"/>
        </w:rPr>
        <w:t>1.5</w:t>
      </w:r>
      <w:r>
        <w:rPr>
          <w:rFonts w:hint="eastAsia" w:ascii="仿宋" w:hAnsi="仿宋" w:cs="仿宋"/>
          <w:b/>
          <w:bCs/>
          <w:color w:val="auto"/>
          <w:sz w:val="24"/>
          <w:szCs w:val="24"/>
        </w:rPr>
        <w:t>签订及履行合同和验收</w:t>
      </w:r>
      <w:bookmarkEnd w:id="79"/>
      <w:bookmarkEnd w:id="82"/>
    </w:p>
    <w:p w14:paraId="5D7C3684">
      <w:pPr>
        <w:keepNext/>
        <w:keepLines/>
        <w:numPr>
          <w:ilvl w:val="2"/>
          <w:numId w:val="0"/>
        </w:numPr>
        <w:spacing w:line="360" w:lineRule="auto"/>
        <w:outlineLvl w:val="2"/>
        <w:rPr>
          <w:rFonts w:ascii="仿宋" w:hAnsi="仿宋" w:cs="仿宋"/>
          <w:b/>
          <w:bCs/>
          <w:color w:val="auto"/>
          <w:sz w:val="24"/>
          <w:szCs w:val="24"/>
        </w:rPr>
      </w:pPr>
      <w:bookmarkStart w:id="83" w:name="_Toc217446065"/>
      <w:r>
        <w:rPr>
          <w:rFonts w:ascii="Times New Roman" w:hAnsi="Times New Roman" w:eastAsia="宋体"/>
          <w:b/>
          <w:bCs/>
          <w:color w:val="auto"/>
          <w:sz w:val="28"/>
          <w:szCs w:val="24"/>
        </w:rPr>
        <w:t>1.5.1</w:t>
      </w:r>
      <w:r>
        <w:rPr>
          <w:rFonts w:hint="eastAsia" w:ascii="仿宋" w:hAnsi="仿宋" w:cs="仿宋"/>
          <w:b/>
          <w:bCs/>
          <w:color w:val="auto"/>
          <w:sz w:val="24"/>
          <w:szCs w:val="24"/>
        </w:rPr>
        <w:t>签订合同</w:t>
      </w:r>
      <w:bookmarkEnd w:id="83"/>
    </w:p>
    <w:p w14:paraId="39D59320">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一、采购人不得向中标人提出任何不合理的要求，作为签订合同的条件，不得与中标人私下订立背离合同实质性内容的任何协议，所签订的合同不得对采购文件和中标人投标文件作实质性修改。</w:t>
      </w:r>
    </w:p>
    <w:p w14:paraId="32815076">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二、采购文件、投标文件、中标通知书等一切与本项目评标结果有关且经责任主体确认的资料均为合同的有效组成部分。</w:t>
      </w:r>
    </w:p>
    <w:p w14:paraId="0B3E7A1E">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三、询问或者质疑事项可能影响中标、成交结果的，采购人应当暂停签订合同，已经签订合同的，应当中止履行合同。</w:t>
      </w:r>
    </w:p>
    <w:p w14:paraId="7BC7937C">
      <w:pPr>
        <w:keepNext/>
        <w:keepLines/>
        <w:numPr>
          <w:ilvl w:val="2"/>
          <w:numId w:val="0"/>
        </w:numPr>
        <w:spacing w:line="360" w:lineRule="auto"/>
        <w:ind w:left="3119" w:hanging="3119"/>
        <w:outlineLvl w:val="2"/>
        <w:rPr>
          <w:rFonts w:ascii="仿宋" w:hAnsi="仿宋" w:cs="仿宋"/>
          <w:b/>
          <w:bCs/>
          <w:color w:val="auto"/>
          <w:sz w:val="24"/>
          <w:szCs w:val="24"/>
        </w:rPr>
      </w:pPr>
      <w:bookmarkStart w:id="84" w:name="_Toc315871033"/>
      <w:bookmarkEnd w:id="84"/>
      <w:bookmarkStart w:id="85" w:name="_Toc217446066"/>
      <w:r>
        <w:rPr>
          <w:rFonts w:ascii="Times New Roman" w:hAnsi="Times New Roman" w:eastAsia="宋体"/>
          <w:b/>
          <w:bCs/>
          <w:color w:val="auto"/>
          <w:sz w:val="28"/>
          <w:szCs w:val="24"/>
        </w:rPr>
        <w:t>1.5.2</w:t>
      </w:r>
      <w:r>
        <w:rPr>
          <w:rFonts w:hint="eastAsia" w:ascii="仿宋" w:hAnsi="仿宋" w:cs="仿宋"/>
          <w:b/>
          <w:bCs/>
          <w:color w:val="auto"/>
          <w:sz w:val="24"/>
          <w:szCs w:val="24"/>
        </w:rPr>
        <w:t>合同分包</w:t>
      </w:r>
      <w:bookmarkEnd w:id="85"/>
      <w:r>
        <w:rPr>
          <w:rFonts w:hint="eastAsia" w:ascii="仿宋" w:hAnsi="仿宋" w:cs="仿宋"/>
          <w:b/>
          <w:bCs/>
          <w:color w:val="auto"/>
          <w:sz w:val="24"/>
          <w:szCs w:val="24"/>
        </w:rPr>
        <w:t>和转包（实质性要求）</w:t>
      </w:r>
    </w:p>
    <w:p w14:paraId="138400AE">
      <w:pPr>
        <w:keepNext/>
        <w:keepLines/>
        <w:numPr>
          <w:ilvl w:val="3"/>
          <w:numId w:val="0"/>
        </w:numPr>
        <w:spacing w:line="360" w:lineRule="auto"/>
        <w:ind w:left="1695" w:hanging="1275"/>
        <w:outlineLvl w:val="2"/>
        <w:rPr>
          <w:rFonts w:ascii="仿宋" w:hAnsi="仿宋" w:cs="仿宋"/>
          <w:b/>
          <w:bCs/>
          <w:color w:val="auto"/>
          <w:sz w:val="24"/>
          <w:szCs w:val="24"/>
        </w:rPr>
      </w:pPr>
      <w:r>
        <w:rPr>
          <w:rFonts w:ascii="Times New Roman" w:hAnsi="Times New Roman" w:eastAsia="宋体"/>
          <w:b/>
          <w:bCs/>
          <w:color w:val="auto"/>
          <w:sz w:val="28"/>
          <w:szCs w:val="24"/>
        </w:rPr>
        <w:t>1.5.2.1</w:t>
      </w:r>
      <w:r>
        <w:rPr>
          <w:rFonts w:hint="eastAsia" w:ascii="仿宋" w:hAnsi="仿宋" w:cs="仿宋"/>
          <w:b/>
          <w:bCs/>
          <w:color w:val="auto"/>
          <w:sz w:val="24"/>
          <w:szCs w:val="24"/>
        </w:rPr>
        <w:t>合同分包</w:t>
      </w:r>
    </w:p>
    <w:p w14:paraId="75558EE8">
      <w:pPr>
        <w:pStyle w:val="185"/>
        <w:spacing w:line="360" w:lineRule="auto"/>
        <w:ind w:firstLine="480" w:firstLineChars="200"/>
        <w:rPr>
          <w:rFonts w:ascii="仿宋" w:hAnsi="仿宋" w:eastAsia="仿宋" w:cs="仿宋"/>
          <w:color w:val="auto"/>
          <w:lang w:val="zh-CN"/>
        </w:rPr>
      </w:pPr>
      <w:r>
        <w:rPr>
          <w:rFonts w:hint="eastAsia" w:ascii="仿宋" w:hAnsi="仿宋" w:eastAsia="仿宋" w:cs="仿宋"/>
          <w:color w:val="auto"/>
          <w:lang w:val="zh-CN"/>
        </w:rPr>
        <w:t>本项目允许分包，中标供应商可以依法采取分包方式履行合同，分包供应商必须具备承担相应分包内容的资格资质条件，中标供应商对整个合同履约承担全部责任。合同分包应当公开履行，并征得采购人同意，不得违法分包。</w:t>
      </w:r>
    </w:p>
    <w:p w14:paraId="6D6E0805">
      <w:pPr>
        <w:keepNext/>
        <w:keepLines/>
        <w:numPr>
          <w:ilvl w:val="3"/>
          <w:numId w:val="0"/>
        </w:numPr>
        <w:spacing w:line="360" w:lineRule="auto"/>
        <w:ind w:left="1695" w:hanging="1275"/>
        <w:outlineLvl w:val="2"/>
        <w:rPr>
          <w:rFonts w:ascii="仿宋" w:hAnsi="仿宋" w:cs="仿宋"/>
          <w:b/>
          <w:bCs/>
          <w:color w:val="auto"/>
          <w:sz w:val="24"/>
          <w:szCs w:val="24"/>
        </w:rPr>
      </w:pPr>
      <w:r>
        <w:rPr>
          <w:rFonts w:ascii="Times New Roman" w:hAnsi="Times New Roman" w:eastAsia="宋体"/>
          <w:b/>
          <w:bCs/>
          <w:color w:val="auto"/>
          <w:sz w:val="28"/>
          <w:szCs w:val="24"/>
        </w:rPr>
        <w:t>1.5.2.2</w:t>
      </w:r>
      <w:r>
        <w:rPr>
          <w:rFonts w:hint="eastAsia" w:ascii="仿宋" w:hAnsi="仿宋" w:cs="仿宋"/>
          <w:b/>
          <w:bCs/>
          <w:color w:val="auto"/>
          <w:sz w:val="24"/>
          <w:szCs w:val="24"/>
        </w:rPr>
        <w:t>合同转包</w:t>
      </w:r>
    </w:p>
    <w:p w14:paraId="029B5AF0">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 xml:space="preserve">一、严禁中标供应商将本项目转包。本项目所称转包，是指将本项目转给他人或者将本项目全部肢解以后以分包的名义分别转给他人的行为。 </w:t>
      </w:r>
    </w:p>
    <w:p w14:paraId="23A91B64">
      <w:pPr>
        <w:spacing w:line="360" w:lineRule="auto"/>
        <w:ind w:firstLine="495"/>
        <w:rPr>
          <w:rFonts w:ascii="仿宋" w:hAnsi="仿宋" w:cs="仿宋"/>
          <w:color w:val="auto"/>
          <w:sz w:val="24"/>
          <w:szCs w:val="24"/>
        </w:rPr>
      </w:pPr>
      <w:r>
        <w:rPr>
          <w:rFonts w:hint="eastAsia" w:ascii="仿宋" w:hAnsi="仿宋" w:cs="仿宋"/>
          <w:color w:val="auto"/>
          <w:sz w:val="24"/>
          <w:szCs w:val="24"/>
        </w:rPr>
        <w:t>二、中标供应商转包的，视同拒绝履行政府采购合同，将依法追究法律责任。</w:t>
      </w:r>
    </w:p>
    <w:p w14:paraId="57CE426A">
      <w:pPr>
        <w:keepNext/>
        <w:keepLines/>
        <w:numPr>
          <w:ilvl w:val="2"/>
          <w:numId w:val="0"/>
        </w:numPr>
        <w:spacing w:before="240" w:line="360" w:lineRule="auto"/>
        <w:outlineLvl w:val="2"/>
        <w:rPr>
          <w:rFonts w:ascii="仿宋" w:hAnsi="仿宋" w:cs="仿宋"/>
          <w:b/>
          <w:bCs/>
          <w:color w:val="auto"/>
          <w:sz w:val="24"/>
          <w:szCs w:val="24"/>
        </w:rPr>
      </w:pPr>
      <w:bookmarkStart w:id="86" w:name="_Toc217446067"/>
      <w:r>
        <w:rPr>
          <w:rFonts w:ascii="Times New Roman" w:hAnsi="Times New Roman" w:eastAsia="宋体"/>
          <w:b/>
          <w:bCs/>
          <w:color w:val="auto"/>
          <w:sz w:val="28"/>
          <w:szCs w:val="24"/>
        </w:rPr>
        <w:t>1.5.3</w:t>
      </w:r>
      <w:r>
        <w:rPr>
          <w:rFonts w:hint="eastAsia" w:ascii="仿宋" w:hAnsi="仿宋" w:cs="仿宋"/>
          <w:b/>
          <w:bCs/>
          <w:color w:val="auto"/>
          <w:sz w:val="24"/>
          <w:szCs w:val="24"/>
        </w:rPr>
        <w:t>采购人增加合同标的的权</w:t>
      </w:r>
      <w:bookmarkEnd w:id="86"/>
      <w:r>
        <w:rPr>
          <w:rFonts w:hint="eastAsia" w:ascii="仿宋" w:hAnsi="仿宋" w:cs="仿宋"/>
          <w:b/>
          <w:bCs/>
          <w:color w:val="auto"/>
          <w:sz w:val="24"/>
          <w:szCs w:val="24"/>
        </w:rPr>
        <w:t>利</w:t>
      </w:r>
    </w:p>
    <w:p w14:paraId="4FAA6CFC">
      <w:pPr>
        <w:spacing w:after="180" w:line="360" w:lineRule="auto"/>
        <w:ind w:firstLine="480" w:firstLineChars="200"/>
        <w:rPr>
          <w:rFonts w:ascii="仿宋" w:hAnsi="仿宋" w:cs="仿宋"/>
          <w:color w:val="auto"/>
          <w:sz w:val="24"/>
          <w:szCs w:val="24"/>
        </w:rPr>
      </w:pPr>
      <w:r>
        <w:rPr>
          <w:rFonts w:hint="eastAsia" w:ascii="仿宋" w:hAnsi="仿宋" w:cs="仿宋"/>
          <w:color w:val="auto"/>
          <w:sz w:val="24"/>
          <w:szCs w:val="24"/>
        </w:rPr>
        <w:t>采购合同履行过程中，采购人需要追加与合同标的相同的货物或者服务的，在不改变合同其他条款的前提下，可以与中标人协商签订补充合同，但所有补充合同的采购金额不得超过原合同采购金额的百分之十。</w:t>
      </w:r>
    </w:p>
    <w:p w14:paraId="72003C3A">
      <w:pPr>
        <w:keepNext/>
        <w:keepLines/>
        <w:numPr>
          <w:ilvl w:val="2"/>
          <w:numId w:val="0"/>
        </w:numPr>
        <w:spacing w:line="360" w:lineRule="auto"/>
        <w:outlineLvl w:val="2"/>
        <w:rPr>
          <w:rFonts w:ascii="仿宋" w:hAnsi="仿宋" w:cs="仿宋"/>
          <w:b/>
          <w:bCs/>
          <w:color w:val="auto"/>
          <w:sz w:val="24"/>
          <w:szCs w:val="24"/>
        </w:rPr>
      </w:pPr>
      <w:bookmarkStart w:id="87" w:name="_Toc217446069"/>
      <w:r>
        <w:rPr>
          <w:rFonts w:ascii="Times New Roman" w:hAnsi="Times New Roman" w:eastAsia="宋体"/>
          <w:b/>
          <w:bCs/>
          <w:color w:val="auto"/>
          <w:sz w:val="28"/>
          <w:szCs w:val="24"/>
        </w:rPr>
        <w:t>1.5.4</w:t>
      </w:r>
      <w:r>
        <w:rPr>
          <w:rFonts w:hint="eastAsia" w:ascii="仿宋" w:hAnsi="仿宋" w:cs="仿宋"/>
          <w:b/>
          <w:bCs/>
          <w:color w:val="auto"/>
          <w:sz w:val="24"/>
          <w:szCs w:val="24"/>
        </w:rPr>
        <w:t>合同公告</w:t>
      </w:r>
    </w:p>
    <w:p w14:paraId="7EF2F933">
      <w:pPr>
        <w:spacing w:after="180" w:line="360" w:lineRule="auto"/>
        <w:ind w:firstLine="480" w:firstLineChars="200"/>
        <w:rPr>
          <w:rFonts w:ascii="仿宋" w:hAnsi="仿宋" w:cs="仿宋"/>
          <w:color w:val="auto"/>
          <w:sz w:val="24"/>
          <w:szCs w:val="24"/>
        </w:rPr>
      </w:pPr>
      <w:r>
        <w:rPr>
          <w:rFonts w:hint="eastAsia" w:ascii="仿宋" w:hAnsi="仿宋" w:cs="仿宋"/>
          <w:color w:val="auto"/>
          <w:sz w:val="24"/>
          <w:szCs w:val="24"/>
        </w:rPr>
        <w:t>采购人应当自政府采购合同签订之日起2个工作日内，在新疆政府采购网公告，但政府采购合同中涉及国家秘密、商业秘密的内容除外。</w:t>
      </w:r>
    </w:p>
    <w:p w14:paraId="7FDCCA2D">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1.5.5</w:t>
      </w:r>
      <w:r>
        <w:rPr>
          <w:rFonts w:hint="eastAsia" w:ascii="仿宋" w:hAnsi="仿宋" w:cs="仿宋"/>
          <w:b/>
          <w:bCs/>
          <w:color w:val="auto"/>
          <w:sz w:val="24"/>
          <w:szCs w:val="24"/>
        </w:rPr>
        <w:t>合同备案</w:t>
      </w:r>
    </w:p>
    <w:p w14:paraId="7DE1DAE8">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采购人原则上在结果公告发布后30日内与供应商签订政府采购合同并同时完成合同备案工作。</w:t>
      </w:r>
    </w:p>
    <w:p w14:paraId="131E0B30">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1.5.6</w:t>
      </w:r>
      <w:r>
        <w:rPr>
          <w:rFonts w:hint="eastAsia" w:ascii="仿宋" w:hAnsi="仿宋" w:cs="仿宋"/>
          <w:b/>
          <w:bCs/>
          <w:color w:val="auto"/>
          <w:sz w:val="24"/>
          <w:szCs w:val="24"/>
        </w:rPr>
        <w:t>履行合同</w:t>
      </w:r>
      <w:bookmarkEnd w:id="87"/>
    </w:p>
    <w:p w14:paraId="1270004E">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一、合同一经签订，双方应严格履行合同规定的义务。</w:t>
      </w:r>
    </w:p>
    <w:p w14:paraId="1288BA1C">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二、在合同履行过程中，如发生合同纠纷，合同双方应按照《中华人民共和国民法典》及合同条款的有关规定进行处理。</w:t>
      </w:r>
    </w:p>
    <w:p w14:paraId="75B3EBFB">
      <w:pPr>
        <w:keepNext/>
        <w:keepLines/>
        <w:numPr>
          <w:ilvl w:val="2"/>
          <w:numId w:val="0"/>
        </w:numPr>
        <w:spacing w:line="360" w:lineRule="auto"/>
        <w:outlineLvl w:val="2"/>
        <w:rPr>
          <w:rFonts w:ascii="仿宋" w:hAnsi="仿宋" w:cs="仿宋"/>
          <w:b/>
          <w:bCs/>
          <w:color w:val="auto"/>
          <w:sz w:val="24"/>
          <w:szCs w:val="24"/>
        </w:rPr>
      </w:pPr>
      <w:bookmarkStart w:id="88" w:name="_Toc217446070"/>
      <w:r>
        <w:rPr>
          <w:rFonts w:ascii="Times New Roman" w:hAnsi="Times New Roman" w:eastAsia="宋体"/>
          <w:b/>
          <w:bCs/>
          <w:color w:val="auto"/>
          <w:sz w:val="28"/>
          <w:szCs w:val="24"/>
        </w:rPr>
        <w:t>1.5.7</w:t>
      </w:r>
      <w:r>
        <w:rPr>
          <w:rFonts w:hint="eastAsia" w:ascii="仿宋" w:hAnsi="仿宋" w:cs="仿宋"/>
          <w:b/>
          <w:bCs/>
          <w:color w:val="auto"/>
          <w:sz w:val="24"/>
          <w:szCs w:val="24"/>
        </w:rPr>
        <w:t>验收</w:t>
      </w:r>
      <w:bookmarkEnd w:id="88"/>
      <w:r>
        <w:rPr>
          <w:rFonts w:hint="eastAsia" w:ascii="仿宋" w:hAnsi="仿宋" w:cs="仿宋"/>
          <w:b/>
          <w:bCs/>
          <w:color w:val="auto"/>
          <w:sz w:val="24"/>
          <w:szCs w:val="24"/>
        </w:rPr>
        <w:t>考核</w:t>
      </w:r>
    </w:p>
    <w:bookmarkEnd w:id="80"/>
    <w:bookmarkEnd w:id="81"/>
    <w:p w14:paraId="1BC671E7">
      <w:pPr>
        <w:tabs>
          <w:tab w:val="left" w:pos="1134"/>
        </w:tabs>
        <w:spacing w:line="360" w:lineRule="auto"/>
        <w:ind w:firstLine="480" w:firstLineChars="200"/>
        <w:rPr>
          <w:rFonts w:ascii="仿宋" w:hAnsi="仿宋" w:cs="仿宋"/>
          <w:color w:val="auto"/>
          <w:sz w:val="24"/>
          <w:szCs w:val="24"/>
        </w:rPr>
      </w:pPr>
      <w:bookmarkStart w:id="89" w:name="_Toc217446074"/>
      <w:bookmarkStart w:id="90" w:name="_Toc183682380"/>
      <w:bookmarkStart w:id="91" w:name="_Toc183582243"/>
      <w:r>
        <w:rPr>
          <w:rFonts w:hint="eastAsia" w:ascii="仿宋" w:hAnsi="仿宋" w:cs="仿宋"/>
          <w:color w:val="auto"/>
          <w:sz w:val="24"/>
          <w:szCs w:val="24"/>
        </w:rPr>
        <w:t>一、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40EBFC9">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二、采购人可以邀请参加本项目的其他供应商或者第三方机构参与验收。参与验收的供应商或者第三方机构的意见作为验收书的参考资料一并存档。</w:t>
      </w:r>
    </w:p>
    <w:p w14:paraId="2321C93A">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906548A">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四、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10EEFA90">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1.5.8</w:t>
      </w:r>
      <w:r>
        <w:rPr>
          <w:rFonts w:hint="eastAsia" w:ascii="仿宋" w:hAnsi="仿宋" w:cs="仿宋"/>
          <w:b/>
          <w:bCs/>
          <w:color w:val="auto"/>
          <w:sz w:val="24"/>
          <w:szCs w:val="24"/>
        </w:rPr>
        <w:t>资金支付</w:t>
      </w:r>
    </w:p>
    <w:p w14:paraId="1E25523F">
      <w:pPr>
        <w:shd w:val="clear" w:color="auto" w:fill="FFFFFF"/>
        <w:spacing w:line="360" w:lineRule="auto"/>
        <w:ind w:firstLine="570"/>
        <w:rPr>
          <w:rFonts w:ascii="仿宋" w:hAnsi="仿宋" w:cs="仿宋"/>
          <w:color w:val="auto"/>
          <w:sz w:val="24"/>
          <w:szCs w:val="24"/>
        </w:rPr>
      </w:pPr>
      <w:r>
        <w:rPr>
          <w:rFonts w:hint="eastAsia" w:ascii="仿宋" w:hAnsi="仿宋" w:cs="仿宋"/>
          <w:color w:val="auto"/>
          <w:sz w:val="24"/>
          <w:szCs w:val="24"/>
        </w:rPr>
        <w:t>采购人按财政部门的相关规定及采购合同的约定直接支付。</w:t>
      </w:r>
    </w:p>
    <w:p w14:paraId="3090CFEB">
      <w:pPr>
        <w:keepNext/>
        <w:keepLines/>
        <w:numPr>
          <w:ilvl w:val="1"/>
          <w:numId w:val="0"/>
        </w:numPr>
        <w:spacing w:line="360" w:lineRule="auto"/>
        <w:ind w:left="567" w:hanging="567"/>
        <w:jc w:val="left"/>
        <w:outlineLvl w:val="1"/>
        <w:rPr>
          <w:rFonts w:ascii="仿宋" w:hAnsi="仿宋" w:cs="仿宋"/>
          <w:b/>
          <w:bCs/>
          <w:color w:val="auto"/>
          <w:sz w:val="24"/>
          <w:szCs w:val="24"/>
        </w:rPr>
      </w:pPr>
      <w:bookmarkStart w:id="92" w:name="_Toc25467"/>
      <w:r>
        <w:rPr>
          <w:rFonts w:ascii="Times New Roman" w:hAnsi="Times New Roman" w:eastAsia="宋体"/>
          <w:b/>
          <w:bCs/>
          <w:color w:val="auto"/>
          <w:sz w:val="28"/>
          <w:szCs w:val="28"/>
        </w:rPr>
        <w:t>1.6</w:t>
      </w:r>
      <w:r>
        <w:rPr>
          <w:rFonts w:hint="eastAsia" w:ascii="仿宋" w:hAnsi="仿宋" w:cs="仿宋"/>
          <w:b/>
          <w:bCs/>
          <w:color w:val="auto"/>
          <w:sz w:val="24"/>
          <w:szCs w:val="24"/>
        </w:rPr>
        <w:t>投标纪律要求</w:t>
      </w:r>
      <w:bookmarkEnd w:id="89"/>
      <w:bookmarkEnd w:id="92"/>
    </w:p>
    <w:p w14:paraId="67E2056B">
      <w:pPr>
        <w:keepNext/>
        <w:keepLines/>
        <w:numPr>
          <w:ilvl w:val="2"/>
          <w:numId w:val="0"/>
        </w:numPr>
        <w:spacing w:line="360" w:lineRule="auto"/>
        <w:outlineLvl w:val="2"/>
        <w:rPr>
          <w:rFonts w:ascii="仿宋" w:hAnsi="仿宋" w:cs="仿宋"/>
          <w:b/>
          <w:bCs/>
          <w:color w:val="auto"/>
          <w:sz w:val="24"/>
          <w:szCs w:val="24"/>
        </w:rPr>
      </w:pPr>
      <w:r>
        <w:rPr>
          <w:rFonts w:ascii="Times New Roman" w:hAnsi="Times New Roman" w:eastAsia="宋体"/>
          <w:b/>
          <w:bCs/>
          <w:color w:val="auto"/>
          <w:sz w:val="28"/>
          <w:szCs w:val="24"/>
        </w:rPr>
        <w:t>1.6.1</w:t>
      </w:r>
      <w:r>
        <w:rPr>
          <w:rFonts w:hint="eastAsia" w:ascii="仿宋" w:hAnsi="仿宋" w:cs="仿宋"/>
          <w:b/>
          <w:bCs/>
          <w:color w:val="auto"/>
          <w:sz w:val="24"/>
          <w:szCs w:val="24"/>
        </w:rPr>
        <w:t>回避</w:t>
      </w:r>
    </w:p>
    <w:p w14:paraId="3BD3DAB7">
      <w:pPr>
        <w:shd w:val="clear" w:color="auto" w:fill="FFFFFF"/>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在政府采购活动中，采购人员（如采购人内部负责采购项目的具体经办工作人员或直接分管采购项目的负责人、采购人或采购代理机构负责采购项目的具体经办工作人员或直接分管采购活动的负责人等）及相关人员（包括评标委员会的组成人员）与供应商有下列利害关系之一的，应当回避：</w:t>
      </w:r>
    </w:p>
    <w:p w14:paraId="09FA1354">
      <w:pPr>
        <w:shd w:val="clear" w:color="auto" w:fill="FFFFFF"/>
        <w:spacing w:line="360" w:lineRule="auto"/>
        <w:ind w:left="607" w:hanging="607" w:hangingChars="253"/>
        <w:rPr>
          <w:rFonts w:ascii="仿宋" w:hAnsi="仿宋" w:cs="仿宋"/>
          <w:color w:val="auto"/>
          <w:sz w:val="24"/>
          <w:szCs w:val="24"/>
        </w:rPr>
      </w:pPr>
      <w:r>
        <w:rPr>
          <w:rFonts w:hint="eastAsia" w:ascii="仿宋" w:hAnsi="仿宋" w:cs="仿宋"/>
          <w:color w:val="auto"/>
          <w:sz w:val="24"/>
          <w:szCs w:val="24"/>
        </w:rPr>
        <w:t>　　（一）参加采购活动前3年内与供应商存在劳动关系；</w:t>
      </w:r>
    </w:p>
    <w:p w14:paraId="1C2BB4C4">
      <w:pPr>
        <w:shd w:val="clear" w:color="auto" w:fill="FFFFFF"/>
        <w:spacing w:line="360" w:lineRule="auto"/>
        <w:rPr>
          <w:rFonts w:ascii="仿宋" w:hAnsi="仿宋" w:cs="仿宋"/>
          <w:color w:val="auto"/>
          <w:sz w:val="24"/>
          <w:szCs w:val="24"/>
        </w:rPr>
      </w:pPr>
      <w:r>
        <w:rPr>
          <w:rFonts w:hint="eastAsia" w:ascii="仿宋" w:hAnsi="仿宋" w:cs="仿宋"/>
          <w:color w:val="auto"/>
          <w:sz w:val="24"/>
          <w:szCs w:val="24"/>
        </w:rPr>
        <w:t>　　（二）参加采购活动前3年内担任供应商的董事、监事；</w:t>
      </w:r>
    </w:p>
    <w:p w14:paraId="139C51D0">
      <w:pPr>
        <w:shd w:val="clear" w:color="auto" w:fill="FFFFFF"/>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（三）参加采购活动前3年内是供应商的控股股东或者实际控制人；</w:t>
      </w:r>
    </w:p>
    <w:p w14:paraId="6835A05C">
      <w:pPr>
        <w:shd w:val="clear" w:color="auto" w:fill="FFFFFF"/>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（四）与供应商的法定代表人或者负责人有夫妻、直系血亲、三代以内旁系血亲或者近姻亲关系；</w:t>
      </w:r>
    </w:p>
    <w:p w14:paraId="2514D244">
      <w:pPr>
        <w:shd w:val="clear" w:color="auto" w:fill="FFFFFF"/>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（五）与供应商有其他可能影响政府采购活动公平、公正进行的关系。</w:t>
      </w:r>
    </w:p>
    <w:p w14:paraId="63B1C803">
      <w:pPr>
        <w:shd w:val="clear" w:color="auto" w:fill="FFFFFF"/>
        <w:spacing w:line="360" w:lineRule="auto"/>
        <w:rPr>
          <w:rFonts w:ascii="仿宋" w:hAnsi="仿宋" w:cs="仿宋"/>
          <w:color w:val="auto"/>
          <w:sz w:val="24"/>
          <w:szCs w:val="24"/>
        </w:rPr>
      </w:pPr>
      <w:r>
        <w:rPr>
          <w:rFonts w:hint="eastAsia" w:ascii="仿宋" w:hAnsi="仿宋" w:cs="仿宋"/>
          <w:color w:val="auto"/>
          <w:sz w:val="24"/>
          <w:szCs w:val="24"/>
        </w:rPr>
        <w:t>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14:paraId="5EB2337B">
      <w:pPr>
        <w:keepNext/>
        <w:keepLines/>
        <w:numPr>
          <w:ilvl w:val="1"/>
          <w:numId w:val="0"/>
        </w:numPr>
        <w:spacing w:line="360" w:lineRule="auto"/>
        <w:ind w:left="567" w:hanging="567"/>
        <w:jc w:val="left"/>
        <w:outlineLvl w:val="1"/>
        <w:rPr>
          <w:rFonts w:ascii="仿宋" w:hAnsi="仿宋" w:cs="仿宋"/>
          <w:b/>
          <w:bCs/>
          <w:color w:val="auto"/>
          <w:sz w:val="24"/>
          <w:szCs w:val="24"/>
        </w:rPr>
      </w:pPr>
      <w:bookmarkStart w:id="93" w:name="_Toc14296"/>
      <w:bookmarkStart w:id="94" w:name="_Toc217446078"/>
      <w:r>
        <w:rPr>
          <w:rFonts w:ascii="Times New Roman" w:hAnsi="Times New Roman" w:eastAsia="宋体"/>
          <w:b/>
          <w:bCs/>
          <w:color w:val="auto"/>
          <w:sz w:val="28"/>
          <w:szCs w:val="28"/>
        </w:rPr>
        <w:t>1.7</w:t>
      </w:r>
      <w:r>
        <w:rPr>
          <w:rFonts w:hint="eastAsia" w:ascii="仿宋" w:hAnsi="仿宋" w:cs="仿宋"/>
          <w:b/>
          <w:bCs/>
          <w:color w:val="auto"/>
          <w:sz w:val="24"/>
          <w:szCs w:val="24"/>
        </w:rPr>
        <w:t>询问、质疑和投诉</w:t>
      </w:r>
      <w:bookmarkEnd w:id="93"/>
      <w:bookmarkEnd w:id="94"/>
      <w:bookmarkStart w:id="95" w:name="_Toc217446079"/>
    </w:p>
    <w:bookmarkEnd w:id="90"/>
    <w:bookmarkEnd w:id="91"/>
    <w:bookmarkEnd w:id="95"/>
    <w:p w14:paraId="49067085">
      <w:pPr>
        <w:spacing w:line="360" w:lineRule="auto"/>
        <w:ind w:firstLine="480" w:firstLineChars="200"/>
        <w:jc w:val="left"/>
        <w:rPr>
          <w:rFonts w:ascii="仿宋" w:hAnsi="仿宋" w:cs="仿宋"/>
          <w:color w:val="auto"/>
          <w:sz w:val="24"/>
          <w:szCs w:val="24"/>
        </w:rPr>
      </w:pPr>
      <w:r>
        <w:rPr>
          <w:rFonts w:hint="eastAsia" w:ascii="仿宋" w:hAnsi="仿宋" w:cs="仿宋"/>
          <w:color w:val="auto"/>
          <w:sz w:val="24"/>
          <w:szCs w:val="24"/>
        </w:rPr>
        <w:t>一、询问、质疑、投诉的接收和处理严格按照《中华人民共和国政府采购法》《中华人民共和国政府采购法实施条例》《中华人民共和国财政部货物和服务招投标管理办法》（财政部第87号令）和《政府采购质疑和投诉办法》（财政部94号令）的规定办理。</w:t>
      </w:r>
    </w:p>
    <w:p w14:paraId="0DAA50AA">
      <w:pPr>
        <w:spacing w:line="360" w:lineRule="auto"/>
        <w:ind w:firstLine="480" w:firstLineChars="200"/>
        <w:jc w:val="left"/>
        <w:rPr>
          <w:rFonts w:ascii="仿宋" w:hAnsi="仿宋" w:cs="仿宋"/>
          <w:color w:val="auto"/>
          <w:sz w:val="24"/>
          <w:szCs w:val="24"/>
        </w:rPr>
      </w:pPr>
      <w:r>
        <w:rPr>
          <w:rFonts w:hint="eastAsia" w:ascii="仿宋" w:hAnsi="仿宋" w:cs="仿宋"/>
          <w:color w:val="auto"/>
          <w:sz w:val="24"/>
          <w:szCs w:val="24"/>
        </w:rPr>
        <w:t>二、供应商询问、质疑的对象</w:t>
      </w:r>
    </w:p>
    <w:p w14:paraId="154FC6F1">
      <w:pPr>
        <w:tabs>
          <w:tab w:val="left" w:pos="0"/>
          <w:tab w:val="left" w:pos="1276"/>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（一）供应商对采购文件中供应商参加本次政府采购活动应当具备的条件，招标项目技术、服务、商务及其他要求，评标细则及标准，和中标结果中关于资格审查提出询问或质疑的，向采购人提出；</w:t>
      </w:r>
    </w:p>
    <w:p w14:paraId="5EEF4D15">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（二）供应商对除上述采购文件中的其他内容，采购过程及中标结果（除资格审查）提出询问或质疑的，向采购人或采购代理机构提出。</w:t>
      </w:r>
    </w:p>
    <w:p w14:paraId="5D987EB6">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三、供应商提出的询问，应当明确询问事项，如以书面形式提出的，应由供应商签字并加盖公章。</w:t>
      </w:r>
    </w:p>
    <w:p w14:paraId="02DD5689">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四、供应商应在法定质疑期内一次性提出针对同一采购程序环节的质疑。</w:t>
      </w:r>
    </w:p>
    <w:p w14:paraId="7A30658D">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五、供应商可通过“政府采购云平台”，或现场等方式向采购人或采购代理机构提交质疑资料。</w:t>
      </w:r>
    </w:p>
    <w:p w14:paraId="61FB71B9">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六、供应商提出质疑时应当准备的资料</w:t>
      </w:r>
    </w:p>
    <w:p w14:paraId="27E63558">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（一）质疑书正本1份；</w:t>
      </w:r>
    </w:p>
    <w:p w14:paraId="5194E2DC">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（二）法定代表人或主要负责人授权委托书1份（委托代理人办理质疑事宜的需提供）；</w:t>
      </w:r>
    </w:p>
    <w:p w14:paraId="6AD21A28">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（三）法定代表人或主要负责人身份证复印件1份；</w:t>
      </w:r>
    </w:p>
    <w:p w14:paraId="205C33F5">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（四）委托代理人身份证复印件1份（委托代理人办理质疑事宜的需提供）；</w:t>
      </w:r>
    </w:p>
    <w:p w14:paraId="43B19370">
      <w:pPr>
        <w:pStyle w:val="44"/>
        <w:numPr>
          <w:ilvl w:val="0"/>
          <w:numId w:val="13"/>
        </w:numPr>
        <w:shd w:val="clear" w:color="auto" w:fill="FFFFFF"/>
        <w:spacing w:before="0" w:beforeAutospacing="0" w:after="0" w:afterAutospacing="0" w:line="360" w:lineRule="auto"/>
        <w:rPr>
          <w:rFonts w:ascii="仿宋" w:hAnsi="仿宋" w:cs="仿宋"/>
          <w:color w:val="auto"/>
        </w:rPr>
      </w:pPr>
      <w:r>
        <w:rPr>
          <w:rFonts w:hint="eastAsia" w:ascii="仿宋" w:hAnsi="仿宋" w:cs="仿宋"/>
          <w:color w:val="auto"/>
        </w:rPr>
        <w:t>针对质疑事项必要的证明材料。</w:t>
      </w:r>
    </w:p>
    <w:p w14:paraId="72B390B7">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七、供应商对采购人或采购代理机构的质疑答复不满意，或者采购人或采购人或采购代理机构未在规定期限内作出答复的，供应商可以在答复期满后15个工作日内向同级财政部门提起投诉。</w:t>
      </w:r>
    </w:p>
    <w:p w14:paraId="468DD971">
      <w:pPr>
        <w:pStyle w:val="3"/>
        <w:numPr>
          <w:ilvl w:val="1"/>
          <w:numId w:val="0"/>
        </w:numPr>
        <w:tabs>
          <w:tab w:val="left" w:pos="426"/>
          <w:tab w:val="left" w:pos="567"/>
        </w:tabs>
        <w:spacing w:before="0" w:after="200"/>
        <w:ind w:left="1985" w:hanging="1985"/>
        <w:jc w:val="both"/>
        <w:rPr>
          <w:rFonts w:ascii="仿宋" w:hAnsi="仿宋" w:cs="仿宋"/>
          <w:color w:val="auto"/>
          <w:sz w:val="24"/>
          <w:szCs w:val="24"/>
        </w:rPr>
      </w:pPr>
      <w:bookmarkStart w:id="96" w:name="_Toc87450112"/>
      <w:bookmarkStart w:id="97" w:name="_Toc58943334"/>
      <w:bookmarkStart w:id="98" w:name="_Toc24770"/>
      <w:r>
        <w:rPr>
          <w:rFonts w:ascii="Times New Roman" w:hAnsi="Times New Roman"/>
          <w:color w:val="auto"/>
        </w:rPr>
        <w:t>1.8</w:t>
      </w:r>
      <w:r>
        <w:rPr>
          <w:rFonts w:hint="eastAsia" w:ascii="仿宋" w:hAnsi="仿宋" w:cs="仿宋"/>
          <w:color w:val="auto"/>
          <w:sz w:val="24"/>
          <w:szCs w:val="24"/>
        </w:rPr>
        <w:t>其他</w:t>
      </w:r>
      <w:bookmarkEnd w:id="96"/>
      <w:bookmarkEnd w:id="97"/>
      <w:r>
        <w:rPr>
          <w:rFonts w:hint="eastAsia" w:ascii="仿宋" w:hAnsi="仿宋" w:cs="仿宋"/>
          <w:color w:val="auto"/>
          <w:sz w:val="24"/>
          <w:szCs w:val="24"/>
        </w:rPr>
        <w:t>要求（实质性要求）</w:t>
      </w:r>
      <w:bookmarkEnd w:id="98"/>
    </w:p>
    <w:p w14:paraId="5887F408">
      <w:pPr>
        <w:numPr>
          <w:ilvl w:val="0"/>
          <w:numId w:val="14"/>
        </w:numPr>
        <w:tabs>
          <w:tab w:val="left" w:pos="1134"/>
        </w:tabs>
        <w:spacing w:line="360" w:lineRule="auto"/>
        <w:ind w:left="420"/>
        <w:rPr>
          <w:rFonts w:ascii="仿宋" w:hAnsi="仿宋" w:cs="仿宋"/>
          <w:color w:val="auto"/>
          <w:sz w:val="24"/>
          <w:szCs w:val="24"/>
        </w:rPr>
      </w:pPr>
      <w:r>
        <w:rPr>
          <w:rFonts w:hint="eastAsia" w:ascii="仿宋" w:hAnsi="仿宋" w:cs="仿宋"/>
          <w:color w:val="auto"/>
          <w:sz w:val="24"/>
          <w:szCs w:val="24"/>
        </w:rPr>
        <w:t>供应商为本项目提供的所有服务符合现行的国家相关强制性标准、行业标准。</w:t>
      </w:r>
    </w:p>
    <w:p w14:paraId="474B32F8">
      <w:pPr>
        <w:numPr>
          <w:ilvl w:val="0"/>
          <w:numId w:val="14"/>
        </w:numPr>
        <w:tabs>
          <w:tab w:val="left" w:pos="1134"/>
        </w:tabs>
        <w:spacing w:line="360" w:lineRule="auto"/>
        <w:ind w:left="420"/>
        <w:rPr>
          <w:rFonts w:ascii="仿宋" w:hAnsi="仿宋" w:cs="仿宋"/>
          <w:color w:val="auto"/>
          <w:sz w:val="24"/>
          <w:szCs w:val="24"/>
        </w:rPr>
      </w:pPr>
      <w:r>
        <w:rPr>
          <w:rFonts w:hint="eastAsia" w:ascii="仿宋" w:hAnsi="仿宋" w:cs="仿宋"/>
          <w:color w:val="auto"/>
          <w:sz w:val="24"/>
          <w:szCs w:val="24"/>
        </w:rPr>
        <w:t>本项目涉及产品采购且属于政府强制采购节能产品清单中的产品，投标人提供的该产品须具有国家确定的认证机构出具的节能产品认证证书。</w:t>
      </w:r>
    </w:p>
    <w:p w14:paraId="4444E071">
      <w:pPr>
        <w:keepNext/>
        <w:keepLines/>
        <w:spacing w:before="340" w:after="330" w:line="400" w:lineRule="exact"/>
        <w:ind w:left="-142"/>
        <w:jc w:val="center"/>
        <w:outlineLvl w:val="0"/>
        <w:rPr>
          <w:rFonts w:ascii="宋体" w:hAnsi="宋体"/>
          <w:b/>
          <w:bCs/>
          <w:color w:val="auto"/>
          <w:spacing w:val="-20"/>
          <w:kern w:val="44"/>
          <w:sz w:val="32"/>
          <w:szCs w:val="32"/>
        </w:rPr>
      </w:pPr>
      <w:r>
        <w:rPr>
          <w:rFonts w:hint="eastAsia" w:ascii="宋体" w:hAnsi="宋体"/>
          <w:color w:val="auto"/>
          <w:sz w:val="28"/>
          <w:szCs w:val="28"/>
        </w:rPr>
        <w:br w:type="page"/>
      </w:r>
      <w:bookmarkStart w:id="99" w:name="_Toc11102"/>
      <w:bookmarkStart w:id="100" w:name="_Toc10696"/>
      <w:bookmarkStart w:id="101" w:name="_Toc7608"/>
      <w:r>
        <w:rPr>
          <w:rFonts w:hint="eastAsia" w:ascii="宋体" w:hAnsi="宋体"/>
          <w:b/>
          <w:bCs/>
          <w:color w:val="auto"/>
          <w:spacing w:val="-20"/>
          <w:kern w:val="44"/>
          <w:sz w:val="32"/>
          <w:szCs w:val="32"/>
        </w:rPr>
        <w:t>第3章 投标文件格式</w:t>
      </w:r>
      <w:bookmarkEnd w:id="99"/>
      <w:bookmarkEnd w:id="100"/>
      <w:bookmarkEnd w:id="101"/>
    </w:p>
    <w:p w14:paraId="715C6BE5">
      <w:pPr>
        <w:keepNext/>
        <w:keepLines/>
        <w:numPr>
          <w:ilvl w:val="1"/>
          <w:numId w:val="0"/>
        </w:numPr>
        <w:spacing w:before="260" w:after="260" w:line="360" w:lineRule="auto"/>
        <w:ind w:left="567" w:hanging="567"/>
        <w:jc w:val="left"/>
        <w:outlineLvl w:val="1"/>
        <w:rPr>
          <w:rFonts w:ascii="仿宋" w:hAnsi="仿宋" w:cs="仿宋"/>
          <w:color w:val="auto"/>
        </w:rPr>
      </w:pPr>
      <w:bookmarkStart w:id="102" w:name="_Toc682"/>
      <w:r>
        <w:rPr>
          <w:rFonts w:ascii="Times New Roman" w:hAnsi="Times New Roman" w:eastAsia="宋体"/>
          <w:b/>
          <w:color w:val="auto"/>
          <w:sz w:val="28"/>
          <w:szCs w:val="28"/>
        </w:rPr>
        <w:t>1.9</w:t>
      </w:r>
      <w:r>
        <w:rPr>
          <w:rFonts w:hint="eastAsia" w:ascii="宋体" w:hAnsi="宋体"/>
          <w:b/>
          <w:bCs/>
          <w:color w:val="auto"/>
          <w:sz w:val="28"/>
          <w:szCs w:val="28"/>
        </w:rPr>
        <w:t>投标文件封面格式</w:t>
      </w:r>
      <w:bookmarkEnd w:id="102"/>
    </w:p>
    <w:p w14:paraId="625FF90F">
      <w:pPr>
        <w:shd w:val="clear" w:color="auto" w:fill="FFFFFF"/>
        <w:spacing w:line="560" w:lineRule="exact"/>
        <w:ind w:firstLine="420"/>
        <w:jc w:val="center"/>
        <w:rPr>
          <w:rFonts w:ascii="仿宋" w:hAnsi="仿宋" w:cs="仿宋"/>
          <w:bCs/>
          <w:color w:val="auto"/>
          <w:sz w:val="24"/>
          <w:lang w:val="zh-CN"/>
        </w:rPr>
      </w:pPr>
    </w:p>
    <w:p w14:paraId="2CB72C67">
      <w:pPr>
        <w:spacing w:line="560" w:lineRule="exact"/>
        <w:rPr>
          <w:rFonts w:ascii="仿宋" w:hAnsi="仿宋" w:cs="仿宋"/>
          <w:color w:val="auto"/>
          <w:lang w:val="zh-CN"/>
        </w:rPr>
      </w:pPr>
    </w:p>
    <w:p w14:paraId="526AD192">
      <w:pPr>
        <w:pStyle w:val="25"/>
        <w:spacing w:line="560" w:lineRule="exact"/>
        <w:jc w:val="center"/>
        <w:rPr>
          <w:rFonts w:ascii="仿宋" w:hAnsi="仿宋" w:cs="仿宋"/>
          <w:b/>
          <w:bCs/>
          <w:color w:val="auto"/>
          <w:sz w:val="36"/>
          <w:szCs w:val="44"/>
        </w:rPr>
      </w:pPr>
      <w:r>
        <w:rPr>
          <w:rFonts w:hint="eastAsia" w:ascii="仿宋" w:hAnsi="仿宋" w:cs="仿宋"/>
          <w:b/>
          <w:bCs/>
          <w:color w:val="auto"/>
          <w:sz w:val="52"/>
        </w:rPr>
        <w:t>××××</w:t>
      </w:r>
      <w:r>
        <w:rPr>
          <w:rFonts w:hint="eastAsia" w:ascii="仿宋" w:hAnsi="仿宋" w:cs="仿宋"/>
          <w:b/>
          <w:bCs/>
          <w:color w:val="auto"/>
          <w:sz w:val="36"/>
          <w:szCs w:val="44"/>
        </w:rPr>
        <w:t>项目</w:t>
      </w:r>
    </w:p>
    <w:p w14:paraId="410276C1">
      <w:pPr>
        <w:spacing w:line="560" w:lineRule="exact"/>
        <w:jc w:val="center"/>
        <w:rPr>
          <w:rFonts w:ascii="仿宋" w:hAnsi="仿宋" w:cs="仿宋"/>
          <w:b/>
          <w:bCs/>
          <w:color w:val="auto"/>
          <w:sz w:val="36"/>
          <w:szCs w:val="44"/>
          <w:lang w:val="zh-CN"/>
        </w:rPr>
      </w:pPr>
    </w:p>
    <w:p w14:paraId="29FEE759">
      <w:pPr>
        <w:spacing w:line="560" w:lineRule="exact"/>
        <w:rPr>
          <w:rFonts w:ascii="仿宋" w:hAnsi="仿宋" w:cs="仿宋"/>
          <w:color w:val="auto"/>
        </w:rPr>
      </w:pPr>
    </w:p>
    <w:p w14:paraId="0440A2EE">
      <w:pPr>
        <w:spacing w:line="560" w:lineRule="exact"/>
        <w:jc w:val="center"/>
        <w:rPr>
          <w:rFonts w:ascii="仿宋" w:hAnsi="仿宋" w:cs="仿宋"/>
          <w:b/>
          <w:bCs/>
          <w:color w:val="auto"/>
          <w:sz w:val="32"/>
          <w:szCs w:val="40"/>
        </w:rPr>
      </w:pPr>
      <w:r>
        <w:rPr>
          <w:rFonts w:hint="eastAsia" w:ascii="仿宋" w:hAnsi="仿宋" w:cs="仿宋"/>
          <w:b/>
          <w:bCs/>
          <w:color w:val="auto"/>
          <w:sz w:val="32"/>
          <w:szCs w:val="40"/>
        </w:rPr>
        <w:t>项目编号：GYZB-2025-26-CG</w:t>
      </w:r>
    </w:p>
    <w:p w14:paraId="265600DA">
      <w:pPr>
        <w:spacing w:line="560" w:lineRule="exact"/>
        <w:jc w:val="center"/>
        <w:rPr>
          <w:rFonts w:ascii="仿宋" w:hAnsi="仿宋" w:cs="仿宋"/>
          <w:b/>
          <w:bCs/>
          <w:color w:val="auto"/>
          <w:sz w:val="32"/>
          <w:szCs w:val="40"/>
        </w:rPr>
      </w:pPr>
    </w:p>
    <w:p w14:paraId="4DE78279">
      <w:pPr>
        <w:spacing w:line="560" w:lineRule="exact"/>
        <w:jc w:val="center"/>
        <w:rPr>
          <w:rFonts w:ascii="仿宋" w:hAnsi="仿宋" w:cs="仿宋"/>
          <w:color w:val="auto"/>
          <w:lang w:val="zh-CN"/>
        </w:rPr>
      </w:pPr>
    </w:p>
    <w:p w14:paraId="4DC899EC">
      <w:pPr>
        <w:pStyle w:val="6"/>
        <w:tabs>
          <w:tab w:val="left" w:pos="567"/>
        </w:tabs>
        <w:spacing w:line="560" w:lineRule="exact"/>
        <w:rPr>
          <w:rFonts w:ascii="仿宋" w:hAnsi="仿宋" w:cs="仿宋"/>
          <w:b/>
          <w:color w:val="auto"/>
          <w:sz w:val="36"/>
          <w:szCs w:val="36"/>
          <w:lang w:val="zh-CN"/>
        </w:rPr>
      </w:pPr>
    </w:p>
    <w:p w14:paraId="0D5B5B4B">
      <w:pPr>
        <w:pStyle w:val="5"/>
        <w:tabs>
          <w:tab w:val="left" w:pos="567"/>
        </w:tabs>
        <w:spacing w:line="560" w:lineRule="exact"/>
        <w:ind w:firstLine="361"/>
        <w:rPr>
          <w:rFonts w:ascii="仿宋" w:hAnsi="仿宋" w:cs="仿宋"/>
          <w:b/>
          <w:color w:val="auto"/>
          <w:sz w:val="36"/>
          <w:szCs w:val="36"/>
          <w:lang w:val="zh-CN"/>
        </w:rPr>
      </w:pPr>
    </w:p>
    <w:p w14:paraId="36D091AB">
      <w:pPr>
        <w:spacing w:line="560" w:lineRule="exact"/>
        <w:jc w:val="center"/>
        <w:rPr>
          <w:rFonts w:ascii="仿宋" w:hAnsi="仿宋" w:cs="仿宋"/>
          <w:b/>
          <w:color w:val="auto"/>
          <w:sz w:val="36"/>
          <w:szCs w:val="36"/>
        </w:rPr>
      </w:pPr>
      <w:r>
        <w:rPr>
          <w:rFonts w:hint="eastAsia" w:ascii="仿宋" w:hAnsi="仿宋" w:cs="仿宋"/>
          <w:b/>
          <w:color w:val="auto"/>
          <w:sz w:val="36"/>
          <w:szCs w:val="36"/>
        </w:rPr>
        <w:t>商务技术投标文件</w:t>
      </w:r>
    </w:p>
    <w:p w14:paraId="74DF08FA">
      <w:pPr>
        <w:spacing w:line="560" w:lineRule="exact"/>
        <w:jc w:val="center"/>
        <w:rPr>
          <w:rFonts w:ascii="仿宋" w:hAnsi="仿宋" w:cs="仿宋"/>
          <w:b/>
          <w:color w:val="auto"/>
          <w:sz w:val="36"/>
          <w:szCs w:val="36"/>
        </w:rPr>
      </w:pPr>
    </w:p>
    <w:p w14:paraId="7392FAE2">
      <w:pPr>
        <w:spacing w:line="560" w:lineRule="exact"/>
        <w:jc w:val="center"/>
        <w:rPr>
          <w:rFonts w:ascii="仿宋" w:hAnsi="仿宋" w:cs="仿宋"/>
          <w:b/>
          <w:color w:val="auto"/>
          <w:sz w:val="36"/>
          <w:szCs w:val="36"/>
        </w:rPr>
      </w:pPr>
    </w:p>
    <w:p w14:paraId="6AB32749">
      <w:pPr>
        <w:spacing w:line="560" w:lineRule="exact"/>
        <w:jc w:val="center"/>
        <w:rPr>
          <w:rFonts w:ascii="仿宋" w:hAnsi="仿宋" w:cs="仿宋"/>
          <w:b/>
          <w:color w:val="auto"/>
          <w:sz w:val="36"/>
          <w:szCs w:val="36"/>
        </w:rPr>
      </w:pPr>
    </w:p>
    <w:p w14:paraId="2C74EF26">
      <w:pPr>
        <w:spacing w:line="560" w:lineRule="exact"/>
        <w:jc w:val="center"/>
        <w:rPr>
          <w:rFonts w:ascii="仿宋" w:hAnsi="仿宋" w:cs="仿宋"/>
          <w:b/>
          <w:color w:val="auto"/>
          <w:sz w:val="36"/>
          <w:szCs w:val="36"/>
        </w:rPr>
      </w:pPr>
    </w:p>
    <w:p w14:paraId="284130FA">
      <w:pPr>
        <w:spacing w:line="560" w:lineRule="exact"/>
        <w:jc w:val="center"/>
        <w:rPr>
          <w:rFonts w:ascii="仿宋" w:hAnsi="仿宋" w:cs="仿宋"/>
          <w:b/>
          <w:color w:val="auto"/>
          <w:sz w:val="36"/>
          <w:szCs w:val="36"/>
        </w:rPr>
      </w:pPr>
    </w:p>
    <w:p w14:paraId="1BF3F461">
      <w:pPr>
        <w:keepNext/>
        <w:keepLines/>
        <w:autoSpaceDE w:val="0"/>
        <w:autoSpaceDN w:val="0"/>
        <w:adjustRightInd w:val="0"/>
        <w:spacing w:line="560" w:lineRule="exact"/>
        <w:ind w:left="826" w:hanging="822" w:hangingChars="257"/>
        <w:jc w:val="center"/>
        <w:rPr>
          <w:rFonts w:ascii="仿宋" w:hAnsi="仿宋" w:cs="仿宋"/>
          <w:b/>
          <w:bCs/>
          <w:color w:val="auto"/>
          <w:sz w:val="32"/>
          <w:szCs w:val="32"/>
        </w:rPr>
      </w:pPr>
      <w:r>
        <w:rPr>
          <w:rFonts w:hint="eastAsia" w:ascii="仿宋" w:hAnsi="仿宋" w:cs="仿宋"/>
          <w:b/>
          <w:bCs/>
          <w:color w:val="auto"/>
          <w:sz w:val="32"/>
          <w:szCs w:val="32"/>
        </w:rPr>
        <w:t>2025年4月</w:t>
      </w:r>
    </w:p>
    <w:p w14:paraId="3DE37D56">
      <w:pPr>
        <w:rPr>
          <w:rFonts w:ascii="仿宋" w:hAnsi="仿宋" w:cs="仿宋"/>
          <w:b/>
          <w:bCs/>
          <w:color w:val="auto"/>
          <w:sz w:val="32"/>
          <w:szCs w:val="32"/>
        </w:rPr>
      </w:pPr>
      <w:r>
        <w:rPr>
          <w:rFonts w:hint="eastAsia" w:ascii="仿宋" w:hAnsi="仿宋" w:cs="仿宋"/>
          <w:b/>
          <w:bCs/>
          <w:color w:val="auto"/>
          <w:sz w:val="32"/>
          <w:szCs w:val="32"/>
        </w:rPr>
        <w:br w:type="page"/>
      </w:r>
    </w:p>
    <w:p w14:paraId="39E7C264">
      <w:pPr>
        <w:keepNext/>
        <w:keepLines/>
        <w:numPr>
          <w:ilvl w:val="1"/>
          <w:numId w:val="0"/>
        </w:numPr>
        <w:spacing w:line="360" w:lineRule="auto"/>
        <w:ind w:left="567" w:hanging="567"/>
        <w:jc w:val="left"/>
        <w:outlineLvl w:val="1"/>
        <w:rPr>
          <w:rFonts w:ascii="仿宋" w:hAnsi="仿宋" w:cs="仿宋"/>
          <w:b/>
          <w:bCs/>
          <w:color w:val="auto"/>
          <w:sz w:val="28"/>
          <w:szCs w:val="28"/>
        </w:rPr>
      </w:pPr>
      <w:bookmarkStart w:id="103" w:name="_Toc2116"/>
      <w:r>
        <w:rPr>
          <w:rFonts w:ascii="Times New Roman" w:hAnsi="Times New Roman" w:eastAsia="宋体"/>
          <w:b/>
          <w:bCs/>
          <w:color w:val="auto"/>
          <w:sz w:val="28"/>
          <w:szCs w:val="28"/>
        </w:rPr>
        <w:t>1.10</w:t>
      </w:r>
      <w:r>
        <w:rPr>
          <w:rFonts w:hint="eastAsia" w:ascii="仿宋" w:hAnsi="仿宋" w:cs="仿宋"/>
          <w:b/>
          <w:bCs/>
          <w:color w:val="auto"/>
          <w:sz w:val="28"/>
          <w:szCs w:val="28"/>
        </w:rPr>
        <w:t>商务技术投标文件</w:t>
      </w:r>
      <w:bookmarkEnd w:id="103"/>
    </w:p>
    <w:p w14:paraId="64E05002">
      <w:pPr>
        <w:spacing w:line="360" w:lineRule="auto"/>
        <w:ind w:right="420"/>
        <w:jc w:val="center"/>
        <w:rPr>
          <w:rFonts w:ascii="仿宋" w:hAnsi="仿宋" w:cs="仿宋"/>
          <w:b/>
          <w:color w:val="auto"/>
          <w:kern w:val="0"/>
          <w:sz w:val="36"/>
          <w:szCs w:val="36"/>
        </w:rPr>
      </w:pPr>
      <w:r>
        <w:rPr>
          <w:rFonts w:hint="eastAsia" w:ascii="仿宋" w:hAnsi="仿宋" w:cs="仿宋"/>
          <w:b/>
          <w:color w:val="auto"/>
          <w:kern w:val="0"/>
          <w:sz w:val="36"/>
          <w:szCs w:val="36"/>
        </w:rPr>
        <w:t>商务技术文件部分</w:t>
      </w:r>
    </w:p>
    <w:p w14:paraId="0E892D58">
      <w:pPr>
        <w:adjustRightInd w:val="0"/>
        <w:spacing w:line="360" w:lineRule="auto"/>
        <w:jc w:val="center"/>
        <w:rPr>
          <w:rFonts w:ascii="仿宋" w:hAnsi="仿宋" w:cs="仿宋"/>
          <w:b/>
          <w:color w:val="auto"/>
          <w:kern w:val="0"/>
          <w:sz w:val="24"/>
        </w:rPr>
      </w:pPr>
    </w:p>
    <w:p w14:paraId="364D5D8C">
      <w:pPr>
        <w:adjustRightInd w:val="0"/>
        <w:spacing w:line="360" w:lineRule="auto"/>
        <w:jc w:val="center"/>
        <w:rPr>
          <w:rFonts w:ascii="仿宋" w:hAnsi="仿宋" w:cs="仿宋"/>
          <w:b/>
          <w:color w:val="auto"/>
          <w:kern w:val="0"/>
          <w:sz w:val="28"/>
          <w:szCs w:val="28"/>
        </w:rPr>
      </w:pPr>
      <w:r>
        <w:rPr>
          <w:rFonts w:hint="eastAsia" w:ascii="仿宋" w:hAnsi="仿宋" w:cs="仿宋"/>
          <w:b/>
          <w:color w:val="auto"/>
          <w:kern w:val="0"/>
          <w:sz w:val="28"/>
          <w:szCs w:val="28"/>
        </w:rPr>
        <w:t>目录</w:t>
      </w:r>
    </w:p>
    <w:p w14:paraId="740FB17F">
      <w:pPr>
        <w:snapToGrid w:val="0"/>
        <w:spacing w:line="360" w:lineRule="auto"/>
        <w:ind w:left="478" w:leftChars="228"/>
        <w:rPr>
          <w:rFonts w:ascii="仿宋" w:hAnsi="仿宋" w:cs="仿宋"/>
          <w:color w:val="auto"/>
          <w:sz w:val="24"/>
        </w:rPr>
      </w:pPr>
      <w:r>
        <w:rPr>
          <w:rFonts w:hint="eastAsia" w:ascii="仿宋" w:hAnsi="仿宋" w:cs="仿宋"/>
          <w:color w:val="auto"/>
          <w:sz w:val="24"/>
        </w:rPr>
        <w:t>（1）承诺函</w:t>
      </w:r>
      <w:r>
        <w:rPr>
          <w:rFonts w:hint="eastAsia" w:ascii="仿宋" w:hAnsi="仿宋" w:cs="仿宋"/>
          <w:color w:val="auto"/>
        </w:rPr>
        <w:t>………………………………………………………………………（页码）</w:t>
      </w:r>
    </w:p>
    <w:p w14:paraId="75E82579">
      <w:pPr>
        <w:snapToGrid w:val="0"/>
        <w:spacing w:line="360" w:lineRule="auto"/>
        <w:ind w:left="478" w:leftChars="228"/>
        <w:rPr>
          <w:rFonts w:ascii="仿宋" w:hAnsi="仿宋" w:cs="仿宋"/>
          <w:color w:val="auto"/>
        </w:rPr>
      </w:pPr>
      <w:r>
        <w:rPr>
          <w:rFonts w:hint="eastAsia" w:ascii="仿宋" w:hAnsi="仿宋" w:cs="仿宋"/>
          <w:color w:val="auto"/>
          <w:sz w:val="24"/>
        </w:rPr>
        <w:t>（2）投标函</w:t>
      </w:r>
      <w:r>
        <w:rPr>
          <w:rFonts w:hint="eastAsia" w:ascii="仿宋" w:hAnsi="仿宋" w:cs="仿宋"/>
          <w:color w:val="auto"/>
        </w:rPr>
        <w:t>………………………………………………………………………（页码）</w:t>
      </w:r>
      <w:r>
        <w:rPr>
          <w:rFonts w:hint="eastAsia" w:ascii="仿宋" w:hAnsi="仿宋" w:cs="仿宋"/>
          <w:color w:val="auto"/>
          <w:sz w:val="24"/>
        </w:rPr>
        <w:t>（3）法定代表人（单位负责人、自然人本人）身份证明</w:t>
      </w:r>
      <w:r>
        <w:rPr>
          <w:rFonts w:hint="eastAsia" w:ascii="仿宋" w:hAnsi="仿宋" w:cs="仿宋"/>
          <w:color w:val="auto"/>
        </w:rPr>
        <w:t>………………（页码）</w:t>
      </w:r>
    </w:p>
    <w:p w14:paraId="445D7424">
      <w:pPr>
        <w:snapToGrid w:val="0"/>
        <w:spacing w:line="360" w:lineRule="auto"/>
        <w:ind w:left="478" w:leftChars="228"/>
        <w:rPr>
          <w:rFonts w:ascii="仿宋" w:hAnsi="仿宋" w:cs="仿宋"/>
          <w:color w:val="auto"/>
        </w:rPr>
      </w:pPr>
      <w:r>
        <w:rPr>
          <w:rFonts w:hint="eastAsia" w:ascii="仿宋" w:hAnsi="仿宋" w:cs="仿宋"/>
          <w:color w:val="auto"/>
          <w:sz w:val="24"/>
        </w:rPr>
        <w:t>（4）商务技术偏离表</w:t>
      </w:r>
      <w:r>
        <w:rPr>
          <w:rFonts w:hint="eastAsia" w:ascii="仿宋" w:hAnsi="仿宋" w:cs="仿宋"/>
          <w:color w:val="auto"/>
        </w:rPr>
        <w:t>……………………………………………………………（页码）</w:t>
      </w:r>
    </w:p>
    <w:p w14:paraId="6425FD1F">
      <w:pPr>
        <w:snapToGrid w:val="0"/>
        <w:spacing w:line="360" w:lineRule="auto"/>
        <w:ind w:firstLine="480" w:firstLineChars="200"/>
        <w:rPr>
          <w:rFonts w:ascii="仿宋" w:hAnsi="仿宋" w:cs="仿宋"/>
          <w:color w:val="auto"/>
        </w:rPr>
      </w:pPr>
      <w:r>
        <w:rPr>
          <w:rFonts w:hint="eastAsia" w:ascii="仿宋" w:hAnsi="仿宋" w:cs="仿宋"/>
          <w:color w:val="auto"/>
          <w:sz w:val="24"/>
        </w:rPr>
        <w:t>（5）商务技术文件</w:t>
      </w:r>
      <w:r>
        <w:rPr>
          <w:rFonts w:hint="eastAsia" w:ascii="仿宋" w:hAnsi="仿宋" w:cs="仿宋"/>
          <w:color w:val="auto"/>
        </w:rPr>
        <w:t>………………………………………………………………（页码）</w:t>
      </w:r>
    </w:p>
    <w:p w14:paraId="377A5D50">
      <w:pPr>
        <w:snapToGrid w:val="0"/>
        <w:spacing w:line="360" w:lineRule="auto"/>
        <w:ind w:left="478" w:leftChars="228"/>
        <w:rPr>
          <w:rFonts w:ascii="仿宋" w:hAnsi="仿宋" w:cs="仿宋"/>
          <w:color w:val="auto"/>
        </w:rPr>
      </w:pPr>
      <w:r>
        <w:rPr>
          <w:rFonts w:hint="eastAsia" w:ascii="仿宋" w:hAnsi="仿宋" w:cs="仿宋"/>
          <w:color w:val="auto"/>
          <w:sz w:val="24"/>
        </w:rPr>
        <w:t>（6）报价单</w:t>
      </w:r>
      <w:r>
        <w:rPr>
          <w:rFonts w:hint="eastAsia" w:ascii="仿宋" w:hAnsi="仿宋" w:cs="仿宋"/>
          <w:color w:val="auto"/>
        </w:rPr>
        <w:t>………………………………………………………………………（页码）</w:t>
      </w:r>
      <w:r>
        <w:rPr>
          <w:rFonts w:hint="eastAsia" w:ascii="仿宋" w:hAnsi="仿宋" w:cs="仿宋"/>
          <w:color w:val="auto"/>
          <w:sz w:val="24"/>
          <w:lang w:val="zh-CN"/>
        </w:rPr>
        <w:t>（</w:t>
      </w:r>
      <w:r>
        <w:rPr>
          <w:rFonts w:hint="eastAsia" w:ascii="仿宋" w:hAnsi="仿宋" w:cs="仿宋"/>
          <w:color w:val="auto"/>
          <w:sz w:val="24"/>
        </w:rPr>
        <w:t>7</w:t>
      </w:r>
      <w:r>
        <w:rPr>
          <w:rFonts w:hint="eastAsia" w:ascii="仿宋" w:hAnsi="仿宋" w:cs="仿宋"/>
          <w:color w:val="auto"/>
          <w:sz w:val="24"/>
          <w:lang w:val="zh-CN"/>
        </w:rPr>
        <w:t>）政府采购供应商廉洁自律承诺书</w:t>
      </w:r>
      <w:r>
        <w:rPr>
          <w:rFonts w:hint="eastAsia" w:ascii="仿宋" w:hAnsi="仿宋" w:cs="仿宋"/>
          <w:color w:val="auto"/>
        </w:rPr>
        <w:t>………………………………………（页码）</w:t>
      </w:r>
    </w:p>
    <w:p w14:paraId="4F6A19D3">
      <w:pPr>
        <w:snapToGrid w:val="0"/>
        <w:spacing w:line="360" w:lineRule="auto"/>
        <w:jc w:val="center"/>
        <w:rPr>
          <w:rFonts w:ascii="仿宋" w:hAnsi="仿宋" w:cs="仿宋"/>
          <w:b/>
          <w:color w:val="auto"/>
          <w:kern w:val="0"/>
          <w:sz w:val="32"/>
          <w:szCs w:val="32"/>
          <w:lang w:val="zh-CN"/>
        </w:rPr>
      </w:pPr>
    </w:p>
    <w:p w14:paraId="2D239F47">
      <w:pPr>
        <w:snapToGrid w:val="0"/>
        <w:spacing w:line="360" w:lineRule="auto"/>
        <w:jc w:val="center"/>
        <w:rPr>
          <w:rFonts w:ascii="仿宋" w:hAnsi="仿宋" w:cs="仿宋"/>
          <w:b/>
          <w:color w:val="auto"/>
          <w:kern w:val="0"/>
          <w:sz w:val="32"/>
          <w:szCs w:val="32"/>
          <w:lang w:val="zh-CN"/>
        </w:rPr>
      </w:pPr>
    </w:p>
    <w:p w14:paraId="4CA99A01">
      <w:pPr>
        <w:snapToGrid w:val="0"/>
        <w:spacing w:line="360" w:lineRule="auto"/>
        <w:jc w:val="center"/>
        <w:rPr>
          <w:rFonts w:ascii="仿宋" w:hAnsi="仿宋" w:cs="仿宋"/>
          <w:b/>
          <w:color w:val="auto"/>
          <w:kern w:val="0"/>
          <w:sz w:val="32"/>
          <w:szCs w:val="32"/>
          <w:lang w:val="zh-CN"/>
        </w:rPr>
      </w:pPr>
    </w:p>
    <w:p w14:paraId="4301ACFD">
      <w:pPr>
        <w:snapToGrid w:val="0"/>
        <w:spacing w:line="360" w:lineRule="auto"/>
        <w:jc w:val="center"/>
        <w:rPr>
          <w:rFonts w:ascii="仿宋" w:hAnsi="仿宋" w:cs="仿宋"/>
          <w:b/>
          <w:color w:val="auto"/>
          <w:kern w:val="0"/>
          <w:sz w:val="32"/>
          <w:szCs w:val="32"/>
          <w:lang w:val="zh-CN"/>
        </w:rPr>
      </w:pPr>
    </w:p>
    <w:p w14:paraId="777D9E5F">
      <w:pPr>
        <w:snapToGrid w:val="0"/>
        <w:spacing w:line="360" w:lineRule="auto"/>
        <w:jc w:val="center"/>
        <w:rPr>
          <w:rFonts w:ascii="仿宋" w:hAnsi="仿宋" w:cs="仿宋"/>
          <w:b/>
          <w:color w:val="auto"/>
          <w:kern w:val="0"/>
          <w:sz w:val="32"/>
          <w:szCs w:val="32"/>
          <w:lang w:val="zh-CN"/>
        </w:rPr>
      </w:pPr>
    </w:p>
    <w:p w14:paraId="112A2DF4">
      <w:pPr>
        <w:snapToGrid w:val="0"/>
        <w:spacing w:line="360" w:lineRule="auto"/>
        <w:jc w:val="center"/>
        <w:rPr>
          <w:rFonts w:ascii="仿宋" w:hAnsi="仿宋" w:cs="仿宋"/>
          <w:b/>
          <w:color w:val="auto"/>
          <w:kern w:val="0"/>
          <w:sz w:val="32"/>
          <w:szCs w:val="32"/>
          <w:lang w:val="zh-CN"/>
        </w:rPr>
      </w:pPr>
    </w:p>
    <w:p w14:paraId="519AB7A2">
      <w:pPr>
        <w:snapToGrid w:val="0"/>
        <w:spacing w:line="360" w:lineRule="auto"/>
        <w:jc w:val="center"/>
        <w:rPr>
          <w:rFonts w:ascii="仿宋" w:hAnsi="仿宋" w:cs="仿宋"/>
          <w:b/>
          <w:color w:val="auto"/>
          <w:kern w:val="0"/>
          <w:sz w:val="32"/>
          <w:szCs w:val="32"/>
          <w:lang w:val="zh-CN"/>
        </w:rPr>
      </w:pPr>
    </w:p>
    <w:p w14:paraId="2DDD1DF6">
      <w:pPr>
        <w:snapToGrid w:val="0"/>
        <w:spacing w:line="360" w:lineRule="auto"/>
        <w:jc w:val="center"/>
        <w:rPr>
          <w:rFonts w:ascii="仿宋" w:hAnsi="仿宋" w:cs="仿宋"/>
          <w:b/>
          <w:color w:val="auto"/>
          <w:kern w:val="0"/>
          <w:sz w:val="32"/>
          <w:szCs w:val="32"/>
          <w:lang w:val="zh-CN"/>
        </w:rPr>
      </w:pPr>
    </w:p>
    <w:p w14:paraId="0DA2662C">
      <w:pPr>
        <w:snapToGrid w:val="0"/>
        <w:spacing w:line="360" w:lineRule="auto"/>
        <w:jc w:val="center"/>
        <w:rPr>
          <w:rFonts w:ascii="仿宋" w:hAnsi="仿宋" w:cs="仿宋"/>
          <w:b/>
          <w:color w:val="auto"/>
          <w:kern w:val="0"/>
          <w:sz w:val="32"/>
          <w:szCs w:val="32"/>
          <w:lang w:val="zh-CN"/>
        </w:rPr>
      </w:pPr>
    </w:p>
    <w:p w14:paraId="2CBD7AB0">
      <w:pPr>
        <w:snapToGrid w:val="0"/>
        <w:spacing w:line="360" w:lineRule="auto"/>
        <w:jc w:val="center"/>
        <w:rPr>
          <w:rFonts w:ascii="仿宋" w:hAnsi="仿宋" w:cs="仿宋"/>
          <w:b/>
          <w:color w:val="auto"/>
          <w:kern w:val="0"/>
          <w:sz w:val="32"/>
          <w:szCs w:val="32"/>
          <w:lang w:val="zh-CN"/>
        </w:rPr>
      </w:pPr>
    </w:p>
    <w:p w14:paraId="27F97597">
      <w:pPr>
        <w:snapToGrid w:val="0"/>
        <w:spacing w:line="360" w:lineRule="auto"/>
        <w:jc w:val="center"/>
        <w:rPr>
          <w:rFonts w:ascii="仿宋" w:hAnsi="仿宋" w:cs="仿宋"/>
          <w:b/>
          <w:color w:val="auto"/>
          <w:kern w:val="0"/>
          <w:sz w:val="32"/>
          <w:szCs w:val="32"/>
          <w:lang w:val="zh-CN"/>
        </w:rPr>
      </w:pPr>
    </w:p>
    <w:p w14:paraId="556724C9">
      <w:pPr>
        <w:widowControl/>
        <w:jc w:val="center"/>
        <w:outlineLvl w:val="1"/>
        <w:rPr>
          <w:rFonts w:ascii="仿宋" w:hAnsi="仿宋" w:cs="仿宋"/>
          <w:b/>
          <w:color w:val="auto"/>
          <w:kern w:val="0"/>
          <w:sz w:val="24"/>
          <w:szCs w:val="24"/>
        </w:rPr>
      </w:pPr>
      <w:r>
        <w:rPr>
          <w:rFonts w:hint="eastAsia" w:ascii="仿宋" w:hAnsi="仿宋" w:cs="仿宋"/>
          <w:b/>
          <w:color w:val="auto"/>
          <w:kern w:val="0"/>
          <w:sz w:val="32"/>
          <w:szCs w:val="32"/>
        </w:rPr>
        <w:br w:type="page"/>
      </w:r>
      <w:bookmarkStart w:id="104" w:name="_Toc14527"/>
      <w:r>
        <w:rPr>
          <w:rFonts w:hint="eastAsia" w:ascii="仿宋" w:hAnsi="仿宋" w:cs="仿宋"/>
          <w:b/>
          <w:color w:val="auto"/>
          <w:kern w:val="0"/>
          <w:sz w:val="32"/>
          <w:szCs w:val="32"/>
        </w:rPr>
        <w:t>一、 符合参加政府采购活动应当具备的一般条件的承诺函</w:t>
      </w:r>
      <w:bookmarkEnd w:id="104"/>
    </w:p>
    <w:p w14:paraId="255AF1C9">
      <w:pPr>
        <w:snapToGrid w:val="0"/>
        <w:spacing w:line="360" w:lineRule="auto"/>
        <w:rPr>
          <w:rFonts w:ascii="仿宋" w:hAnsi="仿宋" w:cs="仿宋"/>
          <w:color w:val="auto"/>
          <w:sz w:val="24"/>
          <w:szCs w:val="24"/>
        </w:rPr>
      </w:pPr>
    </w:p>
    <w:p w14:paraId="2098ED4C">
      <w:pPr>
        <w:snapToGrid w:val="0"/>
        <w:spacing w:line="360" w:lineRule="auto"/>
        <w:rPr>
          <w:rFonts w:ascii="仿宋" w:hAnsi="仿宋" w:cs="仿宋"/>
          <w:color w:val="auto"/>
          <w:sz w:val="24"/>
          <w:szCs w:val="24"/>
        </w:rPr>
      </w:pPr>
      <w:r>
        <w:rPr>
          <w:rFonts w:hint="eastAsia" w:ascii="仿宋" w:hAnsi="仿宋" w:cs="仿宋"/>
          <w:color w:val="auto"/>
          <w:sz w:val="24"/>
          <w:szCs w:val="24"/>
        </w:rPr>
        <w:t>（采购人）（采购代理机构）：</w:t>
      </w:r>
    </w:p>
    <w:p w14:paraId="3611AFE5">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我方参与（项目名称）【招标编号：（采购编号）】政府采购活动，郑重承诺：</w:t>
      </w:r>
    </w:p>
    <w:p w14:paraId="1C3B9268">
      <w:pPr>
        <w:snapToGrid w:val="0"/>
        <w:spacing w:line="360" w:lineRule="auto"/>
        <w:ind w:firstLine="360" w:firstLineChars="150"/>
        <w:rPr>
          <w:rFonts w:ascii="仿宋" w:hAnsi="仿宋" w:cs="仿宋"/>
          <w:color w:val="auto"/>
          <w:sz w:val="24"/>
          <w:szCs w:val="24"/>
        </w:rPr>
      </w:pPr>
      <w:r>
        <w:rPr>
          <w:rFonts w:hint="eastAsia" w:ascii="仿宋" w:hAnsi="仿宋" w:cs="仿宋"/>
          <w:color w:val="auto"/>
          <w:sz w:val="24"/>
          <w:szCs w:val="24"/>
        </w:rPr>
        <w:t>（一）具备《中华人民共和国政府采购法》第二十二条第一款规定的条件：</w:t>
      </w:r>
    </w:p>
    <w:p w14:paraId="3DA582BB">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1.具有独立承担民事责任的能力；</w:t>
      </w:r>
    </w:p>
    <w:p w14:paraId="46AA5189">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 xml:space="preserve">2.具有良好的商业信誉和健全的财务会计制度； </w:t>
      </w:r>
    </w:p>
    <w:p w14:paraId="2EBC5969">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3.具有履行合同所必需的设备和专业技术能力；</w:t>
      </w:r>
    </w:p>
    <w:p w14:paraId="1D99EDFB">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4.有依法缴纳税收和社会保障资金的良好记录；</w:t>
      </w:r>
    </w:p>
    <w:p w14:paraId="46491DC3">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5.参加政府采购活动前三年内，在经营活动中没有重大违法记录；</w:t>
      </w:r>
    </w:p>
    <w:p w14:paraId="5A488144">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6.具有法律、行政法规规定的其他条件。</w:t>
      </w:r>
    </w:p>
    <w:p w14:paraId="35BA252F">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（二）未被信用中国（www.creditchina.gov.cn)、中国政府采购网（www.ccgp.gov.cn）列入失信被执行人、重大税收违法失信主体、政府采购严重违法失信行为记录名单。</w:t>
      </w:r>
    </w:p>
    <w:p w14:paraId="74C7039A">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（三）不存在以下情况：</w:t>
      </w:r>
    </w:p>
    <w:p w14:paraId="27668054">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1.单位负责人为同一人或者存在直接控股、管理关系的不同供应商参加同一合同项下的政府采购活动的；</w:t>
      </w:r>
    </w:p>
    <w:p w14:paraId="28882DDB">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2.为采购项目提供整体设计、规范编制或者项目管理、监理、检测等服务后再参加该采购项目的其他采购活动的。</w:t>
      </w:r>
    </w:p>
    <w:p w14:paraId="50B01F35">
      <w:pPr>
        <w:snapToGrid w:val="0"/>
        <w:spacing w:line="360" w:lineRule="auto"/>
        <w:ind w:firstLine="5520" w:firstLineChars="2300"/>
        <w:rPr>
          <w:rFonts w:ascii="仿宋" w:hAnsi="仿宋" w:cs="仿宋"/>
          <w:color w:val="auto"/>
          <w:kern w:val="0"/>
          <w:sz w:val="24"/>
          <w:szCs w:val="24"/>
          <w:lang w:val="zh-CN"/>
        </w:rPr>
      </w:pPr>
    </w:p>
    <w:p w14:paraId="727899F8">
      <w:pPr>
        <w:snapToGrid w:val="0"/>
        <w:spacing w:line="360" w:lineRule="auto"/>
        <w:ind w:firstLine="5520" w:firstLineChars="2300"/>
        <w:rPr>
          <w:rFonts w:ascii="仿宋" w:hAnsi="仿宋" w:cs="仿宋"/>
          <w:color w:val="auto"/>
          <w:kern w:val="0"/>
          <w:sz w:val="24"/>
          <w:szCs w:val="24"/>
          <w:lang w:val="zh-CN"/>
        </w:rPr>
      </w:pPr>
    </w:p>
    <w:p w14:paraId="597AEFCA">
      <w:pPr>
        <w:snapToGrid w:val="0"/>
        <w:spacing w:line="360" w:lineRule="auto"/>
        <w:ind w:firstLine="5520" w:firstLineChars="2300"/>
        <w:rPr>
          <w:rFonts w:ascii="仿宋" w:hAnsi="仿宋" w:cs="仿宋"/>
          <w:color w:val="auto"/>
          <w:kern w:val="0"/>
          <w:sz w:val="24"/>
          <w:szCs w:val="24"/>
        </w:rPr>
      </w:pPr>
      <w:r>
        <w:rPr>
          <w:rFonts w:hint="eastAsia" w:ascii="仿宋" w:hAnsi="仿宋" w:cs="仿宋"/>
          <w:color w:val="auto"/>
          <w:kern w:val="0"/>
          <w:sz w:val="24"/>
          <w:szCs w:val="24"/>
          <w:lang w:val="zh-CN"/>
        </w:rPr>
        <w:t>投标人名称（电子签名)：</w:t>
      </w:r>
    </w:p>
    <w:p w14:paraId="65F71033">
      <w:pPr>
        <w:snapToGrid w:val="0"/>
        <w:spacing w:line="360" w:lineRule="auto"/>
        <w:rPr>
          <w:rFonts w:ascii="仿宋" w:hAnsi="仿宋" w:cs="仿宋"/>
          <w:color w:val="auto"/>
          <w:kern w:val="0"/>
          <w:sz w:val="24"/>
          <w:szCs w:val="24"/>
        </w:rPr>
      </w:pPr>
      <w:r>
        <w:rPr>
          <w:rFonts w:hint="eastAsia" w:ascii="仿宋" w:hAnsi="仿宋" w:cs="仿宋"/>
          <w:color w:val="auto"/>
          <w:kern w:val="0"/>
          <w:sz w:val="24"/>
          <w:szCs w:val="24"/>
          <w:lang w:val="zh-CN"/>
        </w:rPr>
        <w:t xml:space="preserve">                        </w:t>
      </w:r>
      <w:r>
        <w:rPr>
          <w:rFonts w:hint="eastAsia" w:ascii="仿宋" w:hAnsi="仿宋" w:cs="仿宋"/>
          <w:color w:val="auto"/>
          <w:kern w:val="0"/>
          <w:sz w:val="24"/>
          <w:szCs w:val="24"/>
        </w:rPr>
        <w:t xml:space="preserve">                      </w:t>
      </w:r>
    </w:p>
    <w:p w14:paraId="7CC04E7B">
      <w:pPr>
        <w:snapToGrid w:val="0"/>
        <w:spacing w:line="360" w:lineRule="auto"/>
        <w:jc w:val="right"/>
        <w:rPr>
          <w:rFonts w:ascii="仿宋" w:hAnsi="仿宋" w:cs="仿宋"/>
          <w:color w:val="auto"/>
          <w:sz w:val="24"/>
          <w:szCs w:val="24"/>
        </w:rPr>
      </w:pPr>
      <w:r>
        <w:rPr>
          <w:rFonts w:hint="eastAsia" w:ascii="仿宋" w:hAnsi="仿宋" w:cs="仿宋"/>
          <w:color w:val="auto"/>
          <w:kern w:val="0"/>
          <w:sz w:val="24"/>
          <w:szCs w:val="24"/>
          <w:lang w:val="zh-CN"/>
        </w:rPr>
        <w:t>日期</w:t>
      </w:r>
      <w:r>
        <w:rPr>
          <w:rFonts w:hint="eastAsia" w:ascii="仿宋" w:hAnsi="仿宋" w:cs="仿宋"/>
          <w:color w:val="auto"/>
          <w:kern w:val="0"/>
          <w:sz w:val="24"/>
          <w:szCs w:val="24"/>
        </w:rPr>
        <w:t xml:space="preserve">：  年  </w:t>
      </w:r>
      <w:r>
        <w:rPr>
          <w:rFonts w:hint="eastAsia" w:ascii="仿宋" w:hAnsi="仿宋" w:cs="仿宋"/>
          <w:color w:val="auto"/>
          <w:kern w:val="0"/>
          <w:sz w:val="24"/>
          <w:szCs w:val="24"/>
          <w:lang w:val="zh-CN"/>
        </w:rPr>
        <w:t>月</w:t>
      </w:r>
      <w:r>
        <w:rPr>
          <w:rFonts w:hint="eastAsia" w:ascii="仿宋" w:hAnsi="仿宋" w:cs="仿宋"/>
          <w:color w:val="auto"/>
          <w:kern w:val="0"/>
          <w:sz w:val="24"/>
          <w:szCs w:val="24"/>
        </w:rPr>
        <w:t xml:space="preserve">   </w:t>
      </w:r>
      <w:r>
        <w:rPr>
          <w:rFonts w:hint="eastAsia" w:ascii="仿宋" w:hAnsi="仿宋" w:cs="仿宋"/>
          <w:color w:val="auto"/>
          <w:kern w:val="0"/>
          <w:sz w:val="24"/>
          <w:szCs w:val="24"/>
          <w:lang w:val="zh-CN"/>
        </w:rPr>
        <w:t>日</w:t>
      </w:r>
    </w:p>
    <w:p w14:paraId="211892DE">
      <w:pPr>
        <w:snapToGrid w:val="0"/>
        <w:spacing w:line="360" w:lineRule="auto"/>
        <w:ind w:right="480"/>
        <w:jc w:val="center"/>
        <w:rPr>
          <w:rFonts w:ascii="仿宋" w:hAnsi="仿宋" w:cs="仿宋"/>
          <w:b/>
          <w:color w:val="auto"/>
          <w:kern w:val="0"/>
          <w:sz w:val="24"/>
          <w:szCs w:val="24"/>
        </w:rPr>
      </w:pPr>
    </w:p>
    <w:p w14:paraId="0172EFEC">
      <w:pPr>
        <w:snapToGrid w:val="0"/>
        <w:spacing w:line="360" w:lineRule="auto"/>
        <w:ind w:right="480"/>
        <w:jc w:val="center"/>
        <w:rPr>
          <w:rFonts w:ascii="仿宋" w:hAnsi="仿宋" w:cs="仿宋"/>
          <w:b/>
          <w:color w:val="auto"/>
          <w:kern w:val="0"/>
          <w:sz w:val="24"/>
          <w:szCs w:val="24"/>
        </w:rPr>
      </w:pPr>
    </w:p>
    <w:p w14:paraId="79238A2B">
      <w:pPr>
        <w:snapToGrid w:val="0"/>
        <w:spacing w:line="360" w:lineRule="auto"/>
        <w:ind w:right="480"/>
        <w:jc w:val="center"/>
        <w:rPr>
          <w:rFonts w:ascii="仿宋" w:hAnsi="仿宋" w:cs="仿宋"/>
          <w:b/>
          <w:color w:val="auto"/>
          <w:kern w:val="0"/>
          <w:sz w:val="24"/>
          <w:szCs w:val="24"/>
        </w:rPr>
      </w:pPr>
    </w:p>
    <w:p w14:paraId="711489F7">
      <w:pPr>
        <w:widowControl/>
        <w:spacing w:line="360" w:lineRule="auto"/>
        <w:jc w:val="center"/>
        <w:outlineLvl w:val="1"/>
        <w:rPr>
          <w:rFonts w:ascii="仿宋" w:hAnsi="仿宋" w:cs="仿宋"/>
          <w:b/>
          <w:color w:val="auto"/>
          <w:sz w:val="32"/>
          <w:szCs w:val="32"/>
        </w:rPr>
      </w:pPr>
      <w:r>
        <w:rPr>
          <w:rFonts w:hint="eastAsia" w:ascii="仿宋" w:hAnsi="仿宋" w:cs="仿宋"/>
          <w:b/>
          <w:color w:val="auto"/>
          <w:kern w:val="0"/>
          <w:sz w:val="24"/>
          <w:szCs w:val="24"/>
        </w:rPr>
        <w:br w:type="page"/>
      </w:r>
      <w:bookmarkStart w:id="105" w:name="_Toc11558"/>
      <w:r>
        <w:rPr>
          <w:rFonts w:hint="eastAsia" w:ascii="仿宋" w:hAnsi="仿宋" w:cs="仿宋"/>
          <w:b/>
          <w:color w:val="auto"/>
          <w:kern w:val="0"/>
          <w:sz w:val="32"/>
          <w:szCs w:val="32"/>
        </w:rPr>
        <w:t>二、投标</w:t>
      </w:r>
      <w:r>
        <w:rPr>
          <w:rFonts w:hint="eastAsia" w:ascii="仿宋" w:hAnsi="仿宋" w:cs="仿宋"/>
          <w:b/>
          <w:color w:val="auto"/>
          <w:sz w:val="32"/>
          <w:szCs w:val="32"/>
        </w:rPr>
        <w:t>函</w:t>
      </w:r>
      <w:bookmarkEnd w:id="105"/>
    </w:p>
    <w:p w14:paraId="1DDED1E3">
      <w:pPr>
        <w:snapToGrid w:val="0"/>
        <w:spacing w:line="360" w:lineRule="auto"/>
        <w:rPr>
          <w:rFonts w:ascii="仿宋" w:hAnsi="仿宋" w:cs="仿宋"/>
          <w:color w:val="auto"/>
          <w:sz w:val="24"/>
        </w:rPr>
      </w:pPr>
      <w:r>
        <w:rPr>
          <w:rFonts w:hint="eastAsia" w:ascii="仿宋" w:hAnsi="仿宋" w:cs="仿宋"/>
          <w:color w:val="auto"/>
          <w:sz w:val="24"/>
        </w:rPr>
        <w:t>（采购人）（采购代理机构）：</w:t>
      </w:r>
    </w:p>
    <w:p w14:paraId="0CE0572C">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我方参加你方组织的（项目名称）【招标编号：（采购编号）】招标的有关活动，并对此项目进行投标。为此：</w:t>
      </w:r>
    </w:p>
    <w:p w14:paraId="5107AC80">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1.我方承诺投标有效期从提交投标文件的截止之日起</w:t>
      </w:r>
      <w:r>
        <w:rPr>
          <w:rFonts w:hint="eastAsia" w:ascii="仿宋" w:hAnsi="仿宋" w:cs="仿宋"/>
          <w:color w:val="auto"/>
          <w:sz w:val="24"/>
          <w:u w:val="single"/>
        </w:rPr>
        <w:t xml:space="preserve">     </w:t>
      </w:r>
      <w:r>
        <w:rPr>
          <w:rFonts w:hint="eastAsia" w:ascii="仿宋" w:hAnsi="仿宋" w:cs="仿宋"/>
          <w:color w:val="auto"/>
          <w:sz w:val="24"/>
        </w:rPr>
        <w:t>天（不少于90天）</w:t>
      </w:r>
      <w:r>
        <w:rPr>
          <w:rFonts w:hint="eastAsia" w:ascii="仿宋" w:hAnsi="仿宋" w:cs="仿宋"/>
          <w:color w:val="auto"/>
        </w:rPr>
        <w:t>，</w:t>
      </w:r>
      <w:r>
        <w:rPr>
          <w:rFonts w:hint="eastAsia" w:ascii="仿宋" w:hAnsi="仿宋" w:cs="仿宋"/>
          <w:color w:val="auto"/>
          <w:sz w:val="24"/>
        </w:rPr>
        <w:t>本投标文件在投标有效期满之前均具有约束力。</w:t>
      </w:r>
    </w:p>
    <w:p w14:paraId="26650C47">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2.我方的投标文件包括以下内容：</w:t>
      </w:r>
    </w:p>
    <w:p w14:paraId="22A576FF">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商务技术投标文件</w:t>
      </w:r>
    </w:p>
    <w:p w14:paraId="1BFF36D0">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一、承诺函；</w:t>
      </w:r>
    </w:p>
    <w:p w14:paraId="0033AEA5">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二、投标函；</w:t>
      </w:r>
    </w:p>
    <w:p w14:paraId="291BF946">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三、法定代表人或主要负责人身份证明书（说明：主要负责人为供应商提供的其具有独立承担民事责任能力的证明材料中的主要负责人员）；</w:t>
      </w:r>
    </w:p>
    <w:p w14:paraId="16543F7D">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四、商务技术偏离表；</w:t>
      </w:r>
    </w:p>
    <w:p w14:paraId="578AA34F">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五、商务技术文件；</w:t>
      </w:r>
    </w:p>
    <w:p w14:paraId="192CCA1F">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六、报价单；</w:t>
      </w:r>
    </w:p>
    <w:p w14:paraId="785B84D4">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七、政府采购供应商廉洁自律承诺书；</w:t>
      </w:r>
    </w:p>
    <w:p w14:paraId="3B684360">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报价文件</w:t>
      </w:r>
    </w:p>
    <w:p w14:paraId="2148F4AB">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一、报价单；</w:t>
      </w:r>
    </w:p>
    <w:p w14:paraId="2A4BBE2C">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二、中小微企业声明函。3.我方承诺除商务技术偏离表列出的偏离外，我方响应采购文件的全部要求。</w:t>
      </w:r>
    </w:p>
    <w:p w14:paraId="5BD56DF0">
      <w:pPr>
        <w:snapToGrid w:val="0"/>
        <w:spacing w:line="360" w:lineRule="auto"/>
        <w:ind w:firstLine="480" w:firstLineChars="200"/>
        <w:rPr>
          <w:rFonts w:ascii="仿宋" w:hAnsi="仿宋" w:cs="仿宋"/>
          <w:color w:val="auto"/>
          <w:sz w:val="24"/>
        </w:rPr>
      </w:pPr>
      <w:r>
        <w:rPr>
          <w:rFonts w:hint="eastAsia" w:ascii="仿宋" w:hAnsi="仿宋" w:cs="仿宋"/>
          <w:color w:val="auto"/>
          <w:sz w:val="24"/>
        </w:rPr>
        <w:t>4.如我方中标，我方承诺：</w:t>
      </w:r>
    </w:p>
    <w:p w14:paraId="5A32DB24">
      <w:pPr>
        <w:snapToGrid w:val="0"/>
        <w:spacing w:line="360" w:lineRule="auto"/>
        <w:ind w:left="210" w:leftChars="100" w:firstLine="480" w:firstLineChars="200"/>
        <w:rPr>
          <w:rFonts w:ascii="仿宋" w:hAnsi="仿宋" w:cs="仿宋"/>
          <w:color w:val="auto"/>
          <w:sz w:val="24"/>
        </w:rPr>
      </w:pPr>
      <w:r>
        <w:rPr>
          <w:rFonts w:hint="eastAsia" w:ascii="仿宋" w:hAnsi="仿宋" w:cs="仿宋"/>
          <w:color w:val="auto"/>
          <w:sz w:val="24"/>
        </w:rPr>
        <w:t xml:space="preserve">4.1在收到中标通知书后，在中标通知书规定的期限内与你方签订合同； </w:t>
      </w:r>
    </w:p>
    <w:p w14:paraId="329E6086">
      <w:pPr>
        <w:snapToGrid w:val="0"/>
        <w:spacing w:line="360" w:lineRule="auto"/>
        <w:ind w:left="210" w:leftChars="100" w:firstLine="480" w:firstLineChars="200"/>
        <w:rPr>
          <w:rFonts w:ascii="仿宋" w:hAnsi="仿宋" w:cs="仿宋"/>
          <w:color w:val="auto"/>
          <w:sz w:val="24"/>
        </w:rPr>
      </w:pPr>
      <w:r>
        <w:rPr>
          <w:rFonts w:hint="eastAsia" w:ascii="仿宋" w:hAnsi="仿宋" w:cs="仿宋"/>
          <w:color w:val="auto"/>
          <w:sz w:val="24"/>
        </w:rPr>
        <w:t xml:space="preserve">4.2在签订合同时不向你方提出附加条件； </w:t>
      </w:r>
    </w:p>
    <w:p w14:paraId="31D8B988">
      <w:pPr>
        <w:snapToGrid w:val="0"/>
        <w:spacing w:line="360" w:lineRule="auto"/>
        <w:ind w:left="210" w:leftChars="100" w:firstLine="480" w:firstLineChars="200"/>
        <w:rPr>
          <w:rFonts w:ascii="仿宋" w:hAnsi="仿宋" w:cs="仿宋"/>
          <w:color w:val="auto"/>
          <w:sz w:val="24"/>
        </w:rPr>
      </w:pPr>
      <w:r>
        <w:rPr>
          <w:rFonts w:hint="eastAsia" w:ascii="仿宋" w:hAnsi="仿宋" w:cs="仿宋"/>
          <w:color w:val="auto"/>
          <w:sz w:val="24"/>
        </w:rPr>
        <w:t xml:space="preserve">4.3按照采购文件要求提交履约保证金； </w:t>
      </w:r>
    </w:p>
    <w:p w14:paraId="32BD9A19">
      <w:pPr>
        <w:snapToGrid w:val="0"/>
        <w:spacing w:line="360" w:lineRule="auto"/>
        <w:ind w:left="210" w:leftChars="100" w:firstLine="480" w:firstLineChars="200"/>
        <w:rPr>
          <w:rFonts w:ascii="仿宋" w:hAnsi="仿宋" w:cs="仿宋"/>
          <w:color w:val="auto"/>
          <w:sz w:val="24"/>
        </w:rPr>
      </w:pPr>
      <w:r>
        <w:rPr>
          <w:rFonts w:hint="eastAsia" w:ascii="仿宋" w:hAnsi="仿宋" w:cs="仿宋"/>
          <w:color w:val="auto"/>
          <w:sz w:val="24"/>
        </w:rPr>
        <w:t xml:space="preserve">4.4在合同约定的期限内完成合同规定的全部义务。 </w:t>
      </w:r>
    </w:p>
    <w:p w14:paraId="792B0ACD">
      <w:pPr>
        <w:snapToGrid w:val="0"/>
        <w:spacing w:line="360" w:lineRule="auto"/>
        <w:ind w:left="210" w:leftChars="100" w:firstLine="480" w:firstLineChars="200"/>
        <w:rPr>
          <w:rFonts w:ascii="仿宋" w:hAnsi="仿宋" w:cs="仿宋"/>
          <w:color w:val="auto"/>
          <w:sz w:val="24"/>
        </w:rPr>
      </w:pPr>
      <w:r>
        <w:rPr>
          <w:rFonts w:hint="eastAsia" w:ascii="仿宋" w:hAnsi="仿宋" w:cs="仿宋"/>
          <w:color w:val="auto"/>
          <w:sz w:val="24"/>
        </w:rPr>
        <w:t>5.其他补充说明：</w:t>
      </w:r>
      <w:r>
        <w:rPr>
          <w:rFonts w:hint="eastAsia" w:ascii="仿宋" w:hAnsi="仿宋" w:cs="仿宋"/>
          <w:color w:val="auto"/>
          <w:sz w:val="24"/>
          <w:u w:val="single"/>
        </w:rPr>
        <w:t xml:space="preserve">                                        </w:t>
      </w:r>
      <w:r>
        <w:rPr>
          <w:rFonts w:hint="eastAsia" w:ascii="仿宋" w:hAnsi="仿宋" w:cs="仿宋"/>
          <w:color w:val="auto"/>
          <w:sz w:val="24"/>
        </w:rPr>
        <w:t>。</w:t>
      </w:r>
    </w:p>
    <w:p w14:paraId="645F53EF">
      <w:pPr>
        <w:spacing w:line="360" w:lineRule="auto"/>
        <w:ind w:firstLine="3600" w:firstLineChars="1500"/>
        <w:rPr>
          <w:rFonts w:ascii="仿宋" w:hAnsi="仿宋" w:cs="仿宋"/>
          <w:color w:val="auto"/>
          <w:sz w:val="24"/>
        </w:rPr>
      </w:pPr>
      <w:r>
        <w:rPr>
          <w:rFonts w:hint="eastAsia" w:ascii="仿宋" w:hAnsi="仿宋" w:cs="仿宋"/>
          <w:color w:val="auto"/>
          <w:sz w:val="24"/>
        </w:rPr>
        <w:t xml:space="preserve">投标人名称（电子签名）：                          </w:t>
      </w:r>
    </w:p>
    <w:p w14:paraId="3C909FB3">
      <w:pPr>
        <w:spacing w:line="360" w:lineRule="auto"/>
        <w:jc w:val="center"/>
        <w:rPr>
          <w:rFonts w:ascii="仿宋" w:hAnsi="仿宋" w:cs="仿宋"/>
          <w:color w:val="auto"/>
          <w:sz w:val="24"/>
        </w:rPr>
      </w:pPr>
      <w:r>
        <w:rPr>
          <w:rFonts w:hint="eastAsia" w:ascii="仿宋" w:hAnsi="仿宋" w:cs="仿宋"/>
          <w:color w:val="auto"/>
          <w:sz w:val="24"/>
        </w:rPr>
        <w:t xml:space="preserve">           日期：  年   月   日</w:t>
      </w:r>
    </w:p>
    <w:p w14:paraId="07AE5CF8">
      <w:pPr>
        <w:spacing w:line="360" w:lineRule="auto"/>
        <w:ind w:right="420"/>
        <w:rPr>
          <w:rFonts w:ascii="仿宋" w:hAnsi="仿宋" w:cs="仿宋"/>
          <w:color w:val="auto"/>
          <w:sz w:val="24"/>
        </w:rPr>
      </w:pPr>
      <w:r>
        <w:rPr>
          <w:rFonts w:hint="eastAsia" w:ascii="仿宋" w:hAnsi="仿宋" w:cs="仿宋"/>
          <w:color w:val="auto"/>
          <w:sz w:val="24"/>
        </w:rPr>
        <w:t>注：按本格式和要求提供。</w:t>
      </w:r>
    </w:p>
    <w:p w14:paraId="73C7F437">
      <w:pPr>
        <w:rPr>
          <w:rFonts w:ascii="仿宋" w:hAnsi="仿宋" w:cs="仿宋"/>
          <w:b/>
          <w:color w:val="auto"/>
          <w:kern w:val="0"/>
          <w:sz w:val="32"/>
          <w:szCs w:val="32"/>
          <w:lang w:val="zh-CN"/>
        </w:rPr>
      </w:pPr>
      <w:r>
        <w:rPr>
          <w:rFonts w:hint="eastAsia" w:ascii="仿宋" w:hAnsi="仿宋" w:cs="仿宋"/>
          <w:color w:val="auto"/>
          <w:sz w:val="24"/>
        </w:rPr>
        <w:br w:type="page"/>
      </w:r>
      <w:bookmarkStart w:id="106" w:name="_Toc29851"/>
      <w:r>
        <w:rPr>
          <w:rFonts w:hint="eastAsia" w:ascii="仿宋" w:hAnsi="仿宋" w:cs="仿宋"/>
          <w:b/>
          <w:color w:val="auto"/>
          <w:kern w:val="0"/>
          <w:sz w:val="32"/>
          <w:szCs w:val="32"/>
        </w:rPr>
        <w:t>三</w:t>
      </w:r>
      <w:r>
        <w:rPr>
          <w:rFonts w:hint="eastAsia" w:ascii="仿宋" w:hAnsi="仿宋" w:cs="仿宋"/>
          <w:b/>
          <w:color w:val="auto"/>
          <w:kern w:val="0"/>
          <w:sz w:val="32"/>
          <w:szCs w:val="32"/>
          <w:lang w:val="zh-CN"/>
        </w:rPr>
        <w:t>、法定代表人（单位负责人、自然人本人）身份证明</w:t>
      </w:r>
      <w:bookmarkEnd w:id="106"/>
    </w:p>
    <w:p w14:paraId="33BA0004">
      <w:pPr>
        <w:widowControl/>
        <w:topLinePunct/>
        <w:spacing w:line="360" w:lineRule="auto"/>
        <w:ind w:firstLine="420"/>
        <w:rPr>
          <w:rFonts w:ascii="仿宋" w:hAnsi="仿宋" w:cs="仿宋"/>
          <w:color w:val="auto"/>
          <w:kern w:val="0"/>
          <w:szCs w:val="21"/>
        </w:rPr>
      </w:pPr>
    </w:p>
    <w:p w14:paraId="47DD9635">
      <w:pPr>
        <w:widowControl/>
        <w:topLinePunct/>
        <w:spacing w:line="360" w:lineRule="auto"/>
        <w:ind w:firstLine="420"/>
        <w:rPr>
          <w:rFonts w:ascii="仿宋" w:hAnsi="仿宋" w:cs="仿宋"/>
          <w:color w:val="auto"/>
          <w:kern w:val="0"/>
          <w:szCs w:val="21"/>
          <w:u w:val="single"/>
        </w:rPr>
      </w:pPr>
      <w:r>
        <w:rPr>
          <w:rFonts w:hint="eastAsia" w:ascii="仿宋" w:hAnsi="仿宋" w:cs="仿宋"/>
          <w:color w:val="auto"/>
          <w:kern w:val="0"/>
          <w:szCs w:val="21"/>
        </w:rPr>
        <w:t>供应商名称：</w:t>
      </w:r>
      <w:r>
        <w:rPr>
          <w:rFonts w:hint="eastAsia" w:ascii="仿宋" w:hAnsi="仿宋" w:cs="仿宋"/>
          <w:color w:val="auto"/>
          <w:kern w:val="0"/>
          <w:szCs w:val="21"/>
          <w:u w:val="single"/>
        </w:rPr>
        <w:t xml:space="preserve">                         </w:t>
      </w:r>
    </w:p>
    <w:p w14:paraId="0AEF64BA">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单位性质：</w:t>
      </w:r>
      <w:r>
        <w:rPr>
          <w:rFonts w:hint="eastAsia" w:ascii="仿宋" w:hAnsi="仿宋" w:cs="仿宋"/>
          <w:color w:val="auto"/>
          <w:kern w:val="0"/>
          <w:szCs w:val="21"/>
          <w:u w:val="single"/>
        </w:rPr>
        <w:t xml:space="preserve">                           </w:t>
      </w:r>
    </w:p>
    <w:p w14:paraId="37E9B374">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成立时间：</w:t>
      </w:r>
      <w:r>
        <w:rPr>
          <w:rFonts w:hint="eastAsia" w:ascii="仿宋" w:hAnsi="仿宋" w:cs="仿宋"/>
          <w:color w:val="auto"/>
          <w:kern w:val="0"/>
          <w:szCs w:val="21"/>
          <w:u w:val="single"/>
        </w:rPr>
        <w:t xml:space="preserve">       </w:t>
      </w:r>
      <w:r>
        <w:rPr>
          <w:rFonts w:hint="eastAsia" w:ascii="仿宋" w:hAnsi="仿宋" w:cs="仿宋"/>
          <w:color w:val="auto"/>
          <w:kern w:val="0"/>
          <w:szCs w:val="21"/>
        </w:rPr>
        <w:t>年</w:t>
      </w:r>
      <w:r>
        <w:rPr>
          <w:rFonts w:hint="eastAsia" w:ascii="仿宋" w:hAnsi="仿宋" w:cs="仿宋"/>
          <w:color w:val="auto"/>
          <w:kern w:val="0"/>
          <w:szCs w:val="21"/>
          <w:u w:val="single"/>
        </w:rPr>
        <w:t xml:space="preserve">       </w:t>
      </w:r>
      <w:r>
        <w:rPr>
          <w:rFonts w:hint="eastAsia" w:ascii="仿宋" w:hAnsi="仿宋" w:cs="仿宋"/>
          <w:color w:val="auto"/>
          <w:kern w:val="0"/>
          <w:szCs w:val="21"/>
        </w:rPr>
        <w:t>月</w:t>
      </w:r>
      <w:r>
        <w:rPr>
          <w:rFonts w:hint="eastAsia" w:ascii="仿宋" w:hAnsi="仿宋" w:cs="仿宋"/>
          <w:color w:val="auto"/>
          <w:kern w:val="0"/>
          <w:szCs w:val="21"/>
          <w:u w:val="single"/>
        </w:rPr>
        <w:t xml:space="preserve">       </w:t>
      </w:r>
      <w:r>
        <w:rPr>
          <w:rFonts w:hint="eastAsia" w:ascii="仿宋" w:hAnsi="仿宋" w:cs="仿宋"/>
          <w:color w:val="auto"/>
          <w:kern w:val="0"/>
          <w:szCs w:val="21"/>
        </w:rPr>
        <w:t>日</w:t>
      </w:r>
    </w:p>
    <w:p w14:paraId="03FF2C15">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经营期限：</w:t>
      </w:r>
      <w:r>
        <w:rPr>
          <w:rFonts w:hint="eastAsia" w:ascii="仿宋" w:hAnsi="仿宋" w:cs="仿宋"/>
          <w:color w:val="auto"/>
          <w:kern w:val="0"/>
          <w:szCs w:val="21"/>
          <w:u w:val="single"/>
        </w:rPr>
        <w:t xml:space="preserve">            </w:t>
      </w:r>
    </w:p>
    <w:p w14:paraId="5EB3F1B5">
      <w:pPr>
        <w:widowControl/>
        <w:topLinePunct/>
        <w:spacing w:line="360" w:lineRule="auto"/>
        <w:ind w:firstLine="420"/>
        <w:rPr>
          <w:rFonts w:ascii="仿宋" w:hAnsi="仿宋" w:cs="仿宋"/>
          <w:color w:val="auto"/>
          <w:kern w:val="0"/>
          <w:szCs w:val="21"/>
          <w:u w:val="single"/>
        </w:rPr>
      </w:pPr>
      <w:r>
        <w:rPr>
          <w:rFonts w:hint="eastAsia" w:ascii="仿宋" w:hAnsi="仿宋" w:cs="仿宋"/>
          <w:color w:val="auto"/>
          <w:kern w:val="0"/>
          <w:szCs w:val="21"/>
        </w:rPr>
        <w:t>姓名：</w:t>
      </w:r>
      <w:r>
        <w:rPr>
          <w:rFonts w:hint="eastAsia" w:ascii="仿宋" w:hAnsi="仿宋" w:cs="仿宋"/>
          <w:color w:val="auto"/>
          <w:kern w:val="0"/>
          <w:szCs w:val="21"/>
          <w:u w:val="single"/>
        </w:rPr>
        <w:t xml:space="preserve">         </w:t>
      </w:r>
      <w:r>
        <w:rPr>
          <w:rFonts w:hint="eastAsia" w:ascii="仿宋" w:hAnsi="仿宋" w:cs="仿宋"/>
          <w:color w:val="auto"/>
          <w:kern w:val="0"/>
          <w:szCs w:val="21"/>
        </w:rPr>
        <w:t>性别：</w:t>
      </w:r>
      <w:r>
        <w:rPr>
          <w:rFonts w:hint="eastAsia" w:ascii="仿宋" w:hAnsi="仿宋" w:cs="仿宋"/>
          <w:color w:val="auto"/>
          <w:kern w:val="0"/>
          <w:szCs w:val="21"/>
          <w:u w:val="single"/>
        </w:rPr>
        <w:t xml:space="preserve">          </w:t>
      </w:r>
      <w:r>
        <w:rPr>
          <w:rFonts w:hint="eastAsia" w:ascii="仿宋" w:hAnsi="仿宋" w:cs="仿宋"/>
          <w:color w:val="auto"/>
          <w:kern w:val="0"/>
          <w:szCs w:val="21"/>
        </w:rPr>
        <w:t>年龄：</w:t>
      </w:r>
      <w:r>
        <w:rPr>
          <w:rFonts w:hint="eastAsia" w:ascii="仿宋" w:hAnsi="仿宋" w:cs="仿宋"/>
          <w:color w:val="auto"/>
          <w:kern w:val="0"/>
          <w:szCs w:val="21"/>
          <w:u w:val="single"/>
        </w:rPr>
        <w:t xml:space="preserve">         </w:t>
      </w:r>
      <w:r>
        <w:rPr>
          <w:rFonts w:hint="eastAsia" w:ascii="仿宋" w:hAnsi="仿宋" w:cs="仿宋"/>
          <w:color w:val="auto"/>
          <w:kern w:val="0"/>
          <w:szCs w:val="21"/>
        </w:rPr>
        <w:t>职务：</w:t>
      </w:r>
      <w:r>
        <w:rPr>
          <w:rFonts w:hint="eastAsia" w:ascii="仿宋" w:hAnsi="仿宋" w:cs="仿宋"/>
          <w:color w:val="auto"/>
          <w:kern w:val="0"/>
          <w:szCs w:val="21"/>
          <w:u w:val="single"/>
        </w:rPr>
        <w:t xml:space="preserve">         </w:t>
      </w:r>
    </w:p>
    <w:p w14:paraId="4E8D9262">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系</w:t>
      </w:r>
      <w:r>
        <w:rPr>
          <w:rFonts w:hint="eastAsia" w:ascii="仿宋" w:hAnsi="仿宋" w:cs="仿宋"/>
          <w:color w:val="auto"/>
          <w:kern w:val="0"/>
          <w:szCs w:val="21"/>
          <w:u w:val="single"/>
        </w:rPr>
        <w:t xml:space="preserve">                   </w:t>
      </w:r>
      <w:r>
        <w:rPr>
          <w:rFonts w:hint="eastAsia" w:ascii="仿宋" w:hAnsi="仿宋" w:cs="仿宋"/>
          <w:color w:val="auto"/>
          <w:kern w:val="0"/>
          <w:szCs w:val="21"/>
        </w:rPr>
        <w:t>（供应商名称）的法定代表人。</w:t>
      </w:r>
    </w:p>
    <w:p w14:paraId="04A79956">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 xml:space="preserve">    特此证明。</w:t>
      </w:r>
    </w:p>
    <w:p w14:paraId="3FD1B48E">
      <w:pPr>
        <w:snapToGrid w:val="0"/>
        <w:spacing w:line="360" w:lineRule="auto"/>
        <w:rPr>
          <w:rFonts w:ascii="仿宋" w:hAnsi="仿宋" w:cs="仿宋"/>
          <w:color w:val="auto"/>
          <w:sz w:val="24"/>
        </w:rPr>
      </w:pPr>
      <w:r>
        <w:rPr>
          <w:rFonts w:hint="eastAsia" w:ascii="仿宋" w:hAnsi="仿宋" w:cs="仿宋"/>
          <w:color w:val="auto"/>
          <w:sz w:val="24"/>
        </w:rPr>
        <w:t xml:space="preserve">                             </w:t>
      </w:r>
    </w:p>
    <w:p w14:paraId="3620B67B">
      <w:pPr>
        <w:pStyle w:val="236"/>
        <w:spacing w:line="360" w:lineRule="auto"/>
        <w:ind w:firstLine="210" w:firstLineChars="100"/>
        <w:rPr>
          <w:rFonts w:ascii="仿宋" w:hAnsi="仿宋" w:eastAsia="仿宋" w:cs="仿宋"/>
          <w:color w:val="auto"/>
          <w:kern w:val="0"/>
        </w:rPr>
      </w:pPr>
      <w:r>
        <w:rPr>
          <w:rFonts w:hint="eastAsia" w:ascii="仿宋" w:hAnsi="仿宋" w:eastAsia="仿宋" w:cs="仿宋"/>
          <w:color w:val="auto"/>
          <w:kern w:val="0"/>
        </w:rPr>
        <w:t>身份证件扫描件：</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0D1D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62566B7">
            <w:pPr>
              <w:pStyle w:val="236"/>
              <w:adjustRightInd w:val="0"/>
              <w:spacing w:line="360" w:lineRule="auto"/>
              <w:rPr>
                <w:rFonts w:ascii="仿宋" w:hAnsi="仿宋" w:eastAsia="仿宋" w:cs="仿宋"/>
                <w:color w:val="auto"/>
                <w:kern w:val="0"/>
              </w:rPr>
            </w:pPr>
            <w:r>
              <w:rPr>
                <w:rFonts w:hint="eastAsia" w:ascii="仿宋" w:hAnsi="仿宋" w:eastAsia="仿宋" w:cs="仿宋"/>
                <w:color w:val="auto"/>
                <w:kern w:val="0"/>
              </w:rPr>
              <w:t>正面：                                 反面：</w:t>
            </w:r>
          </w:p>
          <w:p w14:paraId="0D9D8EFC">
            <w:pPr>
              <w:pStyle w:val="236"/>
              <w:adjustRightInd w:val="0"/>
              <w:spacing w:line="360" w:lineRule="auto"/>
              <w:rPr>
                <w:rFonts w:ascii="仿宋" w:hAnsi="仿宋" w:eastAsia="仿宋" w:cs="仿宋"/>
                <w:color w:val="auto"/>
                <w:kern w:val="0"/>
              </w:rPr>
            </w:pPr>
          </w:p>
        </w:tc>
      </w:tr>
    </w:tbl>
    <w:p w14:paraId="036B4D69">
      <w:pPr>
        <w:snapToGrid w:val="0"/>
        <w:spacing w:line="360" w:lineRule="auto"/>
        <w:ind w:firstLine="576"/>
        <w:jc w:val="center"/>
        <w:rPr>
          <w:rFonts w:ascii="仿宋" w:hAnsi="仿宋" w:cs="仿宋"/>
          <w:color w:val="auto"/>
          <w:kern w:val="0"/>
          <w:sz w:val="24"/>
          <w:lang w:val="zh-CN"/>
        </w:rPr>
      </w:pPr>
      <w:r>
        <w:rPr>
          <w:rFonts w:hint="eastAsia" w:ascii="仿宋" w:hAnsi="仿宋" w:cs="仿宋"/>
          <w:color w:val="auto"/>
          <w:kern w:val="0"/>
          <w:sz w:val="24"/>
          <w:lang w:val="zh-CN"/>
        </w:rPr>
        <w:t xml:space="preserve">                 </w:t>
      </w:r>
    </w:p>
    <w:p w14:paraId="15850669">
      <w:pPr>
        <w:snapToGrid w:val="0"/>
        <w:spacing w:line="360" w:lineRule="auto"/>
        <w:ind w:firstLine="576"/>
        <w:jc w:val="center"/>
        <w:rPr>
          <w:rFonts w:ascii="仿宋" w:hAnsi="仿宋" w:cs="仿宋"/>
          <w:color w:val="auto"/>
          <w:kern w:val="0"/>
          <w:sz w:val="24"/>
          <w:lang w:val="zh-CN"/>
        </w:rPr>
      </w:pPr>
      <w:r>
        <w:rPr>
          <w:rFonts w:hint="eastAsia" w:ascii="仿宋" w:hAnsi="仿宋" w:cs="仿宋"/>
          <w:color w:val="auto"/>
          <w:kern w:val="0"/>
          <w:sz w:val="24"/>
          <w:lang w:val="zh-CN"/>
        </w:rPr>
        <w:t xml:space="preserve">                  供应商名称（</w:t>
      </w:r>
      <w:r>
        <w:rPr>
          <w:rFonts w:hint="eastAsia" w:ascii="仿宋" w:hAnsi="仿宋" w:cs="仿宋"/>
          <w:color w:val="auto"/>
          <w:kern w:val="0"/>
          <w:sz w:val="24"/>
        </w:rPr>
        <w:t>签章）</w:t>
      </w:r>
      <w:r>
        <w:rPr>
          <w:rFonts w:hint="eastAsia" w:ascii="仿宋" w:hAnsi="仿宋" w:cs="仿宋"/>
          <w:color w:val="auto"/>
          <w:kern w:val="0"/>
          <w:sz w:val="24"/>
          <w:lang w:val="zh-CN"/>
        </w:rPr>
        <w:t xml:space="preserve">：                              </w:t>
      </w:r>
    </w:p>
    <w:p w14:paraId="28E16548">
      <w:pPr>
        <w:spacing w:line="360" w:lineRule="auto"/>
        <w:jc w:val="center"/>
        <w:rPr>
          <w:rFonts w:ascii="仿宋" w:hAnsi="仿宋" w:cs="仿宋"/>
          <w:color w:val="auto"/>
          <w:kern w:val="0"/>
          <w:sz w:val="24"/>
          <w:lang w:val="zh-CN"/>
        </w:rPr>
      </w:pPr>
      <w:r>
        <w:rPr>
          <w:rFonts w:hint="eastAsia" w:ascii="仿宋" w:hAnsi="仿宋" w:cs="仿宋"/>
          <w:color w:val="auto"/>
          <w:kern w:val="0"/>
          <w:sz w:val="24"/>
          <w:lang w:val="zh-CN"/>
        </w:rPr>
        <w:t xml:space="preserve">                   日期：  年  月  日</w:t>
      </w:r>
    </w:p>
    <w:p w14:paraId="2D20A7F8">
      <w:pPr>
        <w:jc w:val="center"/>
        <w:rPr>
          <w:rFonts w:ascii="仿宋" w:hAnsi="仿宋" w:cs="仿宋"/>
          <w:b/>
          <w:color w:val="auto"/>
          <w:kern w:val="0"/>
          <w:sz w:val="32"/>
          <w:szCs w:val="32"/>
        </w:rPr>
      </w:pPr>
    </w:p>
    <w:p w14:paraId="194CAC28">
      <w:pPr>
        <w:jc w:val="center"/>
        <w:rPr>
          <w:rFonts w:ascii="仿宋" w:hAnsi="仿宋" w:cs="仿宋"/>
          <w:b/>
          <w:color w:val="auto"/>
          <w:kern w:val="0"/>
          <w:sz w:val="32"/>
          <w:szCs w:val="32"/>
        </w:rPr>
      </w:pPr>
    </w:p>
    <w:p w14:paraId="0E813D0E">
      <w:pPr>
        <w:jc w:val="center"/>
        <w:rPr>
          <w:rFonts w:ascii="仿宋" w:hAnsi="仿宋" w:cs="仿宋"/>
          <w:b/>
          <w:color w:val="auto"/>
          <w:kern w:val="0"/>
          <w:sz w:val="32"/>
          <w:szCs w:val="32"/>
        </w:rPr>
      </w:pPr>
    </w:p>
    <w:p w14:paraId="5CAEF133">
      <w:pPr>
        <w:snapToGrid w:val="0"/>
        <w:spacing w:line="360" w:lineRule="auto"/>
        <w:jc w:val="center"/>
        <w:rPr>
          <w:rFonts w:ascii="仿宋" w:hAnsi="仿宋" w:cs="仿宋"/>
          <w:b/>
          <w:color w:val="auto"/>
          <w:kern w:val="0"/>
          <w:sz w:val="32"/>
          <w:szCs w:val="32"/>
          <w:lang w:val="zh-CN"/>
        </w:rPr>
        <w:sectPr>
          <w:footerReference r:id="rId7" w:type="default"/>
          <w:pgSz w:w="11906" w:h="16838"/>
          <w:pgMar w:top="1440" w:right="1797" w:bottom="1440" w:left="1797" w:header="851" w:footer="992" w:gutter="0"/>
          <w:pgNumType w:start="1"/>
          <w:cols w:space="720" w:num="1"/>
          <w:docGrid w:type="linesAndChars" w:linePitch="312" w:charSpace="0"/>
        </w:sectPr>
      </w:pPr>
    </w:p>
    <w:p w14:paraId="4D5F3832">
      <w:pPr>
        <w:snapToGrid w:val="0"/>
        <w:spacing w:line="360" w:lineRule="auto"/>
        <w:jc w:val="center"/>
        <w:rPr>
          <w:rFonts w:ascii="仿宋" w:hAnsi="仿宋" w:cs="仿宋"/>
          <w:b/>
          <w:color w:val="auto"/>
          <w:kern w:val="0"/>
          <w:sz w:val="32"/>
          <w:szCs w:val="32"/>
          <w:lang w:val="zh-CN"/>
        </w:rPr>
      </w:pPr>
      <w:r>
        <w:rPr>
          <w:rFonts w:hint="eastAsia" w:ascii="仿宋" w:hAnsi="仿宋" w:cs="仿宋"/>
          <w:b/>
          <w:color w:val="auto"/>
          <w:kern w:val="0"/>
          <w:sz w:val="32"/>
          <w:szCs w:val="32"/>
          <w:lang w:val="zh-CN"/>
        </w:rPr>
        <w:t>法定代表人授权委托书</w:t>
      </w:r>
    </w:p>
    <w:p w14:paraId="7EA14194">
      <w:pPr>
        <w:pStyle w:val="6"/>
        <w:tabs>
          <w:tab w:val="left" w:pos="567"/>
        </w:tabs>
        <w:rPr>
          <w:color w:val="auto"/>
          <w:sz w:val="28"/>
          <w:szCs w:val="28"/>
        </w:rPr>
      </w:pPr>
    </w:p>
    <w:p w14:paraId="66222258">
      <w:pPr>
        <w:pStyle w:val="25"/>
        <w:tabs>
          <w:tab w:val="left" w:pos="5580"/>
        </w:tabs>
        <w:spacing w:line="500" w:lineRule="exact"/>
        <w:rPr>
          <w:rFonts w:ascii="仿宋" w:hAnsi="仿宋" w:eastAsia="仿宋" w:cs="仿宋"/>
          <w:color w:val="auto"/>
          <w:sz w:val="21"/>
          <w:szCs w:val="21"/>
        </w:rPr>
      </w:pPr>
      <w:r>
        <w:rPr>
          <w:rFonts w:hint="eastAsia" w:ascii="仿宋" w:hAnsi="仿宋" w:eastAsia="仿宋" w:cs="仿宋"/>
          <w:color w:val="auto"/>
          <w:sz w:val="28"/>
          <w:szCs w:val="28"/>
        </w:rPr>
        <w:t xml:space="preserve">  </w:t>
      </w:r>
      <w:r>
        <w:rPr>
          <w:rFonts w:hint="eastAsia" w:ascii="仿宋" w:hAnsi="仿宋" w:eastAsia="仿宋" w:cs="仿宋"/>
          <w:color w:val="auto"/>
          <w:sz w:val="21"/>
          <w:szCs w:val="21"/>
        </w:rPr>
        <w:t xml:space="preserve">  本授权书声明：注册于</w:t>
      </w:r>
      <w:r>
        <w:rPr>
          <w:rFonts w:hint="eastAsia" w:ascii="仿宋" w:hAnsi="仿宋" w:eastAsia="仿宋" w:cs="仿宋"/>
          <w:color w:val="auto"/>
          <w:sz w:val="21"/>
          <w:szCs w:val="21"/>
          <w:u w:val="single"/>
        </w:rPr>
        <w:t>（国家或地区的名称）</w:t>
      </w:r>
      <w:r>
        <w:rPr>
          <w:rFonts w:hint="eastAsia" w:ascii="仿宋" w:hAnsi="仿宋" w:eastAsia="仿宋" w:cs="仿宋"/>
          <w:color w:val="auto"/>
          <w:sz w:val="21"/>
          <w:szCs w:val="21"/>
        </w:rPr>
        <w:t>的（</w:t>
      </w:r>
      <w:r>
        <w:rPr>
          <w:rFonts w:hint="eastAsia" w:ascii="仿宋" w:hAnsi="仿宋" w:eastAsia="仿宋" w:cs="仿宋"/>
          <w:color w:val="auto"/>
          <w:sz w:val="21"/>
          <w:szCs w:val="21"/>
          <w:u w:val="single"/>
        </w:rPr>
        <w:t>供应商</w:t>
      </w:r>
      <w:r>
        <w:rPr>
          <w:rFonts w:hint="eastAsia" w:ascii="仿宋" w:hAnsi="仿宋" w:eastAsia="仿宋" w:cs="仿宋"/>
          <w:color w:val="auto"/>
          <w:sz w:val="21"/>
          <w:szCs w:val="21"/>
        </w:rPr>
        <w:t>）的在下面签字的（</w:t>
      </w:r>
      <w:r>
        <w:rPr>
          <w:rFonts w:hint="eastAsia" w:ascii="仿宋" w:hAnsi="仿宋" w:eastAsia="仿宋" w:cs="仿宋"/>
          <w:color w:val="auto"/>
          <w:sz w:val="21"/>
          <w:szCs w:val="21"/>
          <w:u w:val="single"/>
        </w:rPr>
        <w:t>法人代表姓名、职务</w:t>
      </w:r>
      <w:r>
        <w:rPr>
          <w:rFonts w:hint="eastAsia" w:ascii="仿宋" w:hAnsi="仿宋" w:eastAsia="仿宋" w:cs="仿宋"/>
          <w:color w:val="auto"/>
          <w:sz w:val="21"/>
          <w:szCs w:val="21"/>
        </w:rPr>
        <w:t>）代表我单位授权（</w:t>
      </w:r>
      <w:r>
        <w:rPr>
          <w:rFonts w:hint="eastAsia" w:ascii="仿宋" w:hAnsi="仿宋" w:eastAsia="仿宋" w:cs="仿宋"/>
          <w:color w:val="auto"/>
          <w:sz w:val="21"/>
          <w:szCs w:val="21"/>
          <w:u w:val="single"/>
        </w:rPr>
        <w:t>单位名称</w:t>
      </w:r>
      <w:r>
        <w:rPr>
          <w:rFonts w:hint="eastAsia" w:ascii="仿宋" w:hAnsi="仿宋" w:eastAsia="仿宋" w:cs="仿宋"/>
          <w:color w:val="auto"/>
          <w:sz w:val="21"/>
          <w:szCs w:val="21"/>
        </w:rPr>
        <w:t>）的在下面签字的（</w:t>
      </w:r>
      <w:r>
        <w:rPr>
          <w:rFonts w:hint="eastAsia" w:ascii="仿宋" w:hAnsi="仿宋" w:eastAsia="仿宋" w:cs="仿宋"/>
          <w:color w:val="auto"/>
          <w:sz w:val="21"/>
          <w:szCs w:val="21"/>
          <w:u w:val="single"/>
        </w:rPr>
        <w:t>被授权人的姓名、职务</w:t>
      </w:r>
      <w:r>
        <w:rPr>
          <w:rFonts w:hint="eastAsia" w:ascii="仿宋" w:hAnsi="仿宋" w:eastAsia="仿宋" w:cs="仿宋"/>
          <w:color w:val="auto"/>
          <w:sz w:val="21"/>
          <w:szCs w:val="21"/>
        </w:rPr>
        <w:t>）为我单位的合法代理人，就（</w:t>
      </w:r>
      <w:r>
        <w:rPr>
          <w:rFonts w:hint="eastAsia" w:ascii="仿宋" w:hAnsi="仿宋" w:eastAsia="仿宋" w:cs="仿宋"/>
          <w:color w:val="auto"/>
          <w:sz w:val="21"/>
          <w:szCs w:val="21"/>
          <w:u w:val="single"/>
        </w:rPr>
        <w:t>项目名称）的</w:t>
      </w:r>
      <w:r>
        <w:rPr>
          <w:rFonts w:hint="eastAsia" w:ascii="仿宋" w:hAnsi="仿宋" w:eastAsia="仿宋" w:cs="仿宋"/>
          <w:color w:val="auto"/>
          <w:sz w:val="21"/>
          <w:szCs w:val="21"/>
        </w:rPr>
        <w:t>投标，以我单位名义处理一切与之有关的事务。</w:t>
      </w:r>
      <w:r>
        <w:rPr>
          <w:rFonts w:hint="eastAsia" w:ascii="仿宋" w:hAnsi="仿宋" w:eastAsia="仿宋" w:cs="仿宋"/>
          <w:color w:val="auto"/>
          <w:sz w:val="21"/>
          <w:szCs w:val="21"/>
        </w:rPr>
        <w:cr/>
      </w:r>
      <w:r>
        <w:rPr>
          <w:rFonts w:hint="eastAsia" w:ascii="仿宋" w:hAnsi="仿宋" w:eastAsia="仿宋" w:cs="仿宋"/>
          <w:color w:val="auto"/>
          <w:sz w:val="21"/>
          <w:szCs w:val="21"/>
        </w:rPr>
        <w:t>　　</w:t>
      </w:r>
    </w:p>
    <w:p w14:paraId="6323E988">
      <w:pPr>
        <w:pStyle w:val="25"/>
        <w:tabs>
          <w:tab w:val="left" w:pos="5580"/>
        </w:tabs>
        <w:spacing w:line="500" w:lineRule="exact"/>
        <w:ind w:left="-539" w:leftChars="-257" w:firstLine="787" w:firstLineChars="375"/>
        <w:rPr>
          <w:rFonts w:ascii="仿宋" w:hAnsi="仿宋" w:eastAsia="仿宋" w:cs="仿宋"/>
          <w:color w:val="auto"/>
          <w:sz w:val="21"/>
          <w:szCs w:val="21"/>
        </w:rPr>
      </w:pPr>
      <w:r>
        <w:rPr>
          <w:rFonts w:hint="eastAsia" w:ascii="仿宋" w:hAnsi="仿宋" w:eastAsia="仿宋" w:cs="仿宋"/>
          <w:color w:val="auto"/>
          <w:sz w:val="21"/>
          <w:szCs w:val="21"/>
        </w:rPr>
        <w:t>本授权书于</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日签字生效,特此声明。</w:t>
      </w:r>
    </w:p>
    <w:p w14:paraId="534A0929">
      <w:pPr>
        <w:pStyle w:val="25"/>
        <w:tabs>
          <w:tab w:val="left" w:pos="5580"/>
        </w:tabs>
        <w:spacing w:line="240" w:lineRule="atLeast"/>
        <w:ind w:left="-539" w:leftChars="-257" w:firstLine="787" w:firstLineChars="375"/>
        <w:rPr>
          <w:rFonts w:ascii="仿宋" w:hAnsi="仿宋" w:eastAsia="仿宋" w:cs="仿宋"/>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61312" behindDoc="0" locked="0" layoutInCell="1" allowOverlap="1">
                <wp:simplePos x="0" y="0"/>
                <wp:positionH relativeFrom="column">
                  <wp:posOffset>3039110</wp:posOffset>
                </wp:positionH>
                <wp:positionV relativeFrom="paragraph">
                  <wp:posOffset>110490</wp:posOffset>
                </wp:positionV>
                <wp:extent cx="2478405" cy="1167130"/>
                <wp:effectExtent l="7620" t="7620" r="9525" b="25400"/>
                <wp:wrapNone/>
                <wp:docPr id="4" name="自选图形 5"/>
                <wp:cNvGraphicFramePr/>
                <a:graphic xmlns:a="http://schemas.openxmlformats.org/drawingml/2006/main">
                  <a:graphicData uri="http://schemas.microsoft.com/office/word/2010/wordprocessingShape">
                    <wps:wsp>
                      <wps:cNvSpPr/>
                      <wps:spPr>
                        <a:xfrm>
                          <a:off x="0" y="0"/>
                          <a:ext cx="2478405" cy="116713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3FB63E09">
                            <w:pPr>
                              <w:rPr>
                                <w:rFonts w:hAnsi="宋体"/>
                              </w:rPr>
                            </w:pPr>
                          </w:p>
                          <w:p w14:paraId="41F8904A">
                            <w:pPr>
                              <w:rPr>
                                <w:rFonts w:hAnsi="宋体"/>
                              </w:rPr>
                            </w:pPr>
                          </w:p>
                          <w:p w14:paraId="01225BCA">
                            <w:pPr>
                              <w:rPr>
                                <w:rFonts w:hAnsi="宋体"/>
                              </w:rPr>
                            </w:pPr>
                          </w:p>
                          <w:p w14:paraId="03C955FE">
                            <w:r>
                              <w:rPr>
                                <w:rFonts w:hint="eastAsia" w:hAnsi="宋体"/>
                              </w:rPr>
                              <w:t>授权委托人身份证复印件反面</w:t>
                            </w:r>
                          </w:p>
                          <w:p w14:paraId="38569FE1"/>
                        </w:txbxContent>
                      </wps:txbx>
                      <wps:bodyPr wrap="square" upright="1"/>
                    </wps:wsp>
                  </a:graphicData>
                </a:graphic>
              </wp:anchor>
            </w:drawing>
          </mc:Choice>
          <mc:Fallback>
            <w:pict>
              <v:roundrect id="自选图形 5" o:spid="_x0000_s1026" o:spt="2" style="position:absolute;left:0pt;margin-left:239.3pt;margin-top:8.7pt;height:91.9pt;width:195.15pt;z-index:251661312;mso-width-relative:page;mso-height-relative:page;" fillcolor="#FFFFFF" filled="t" stroked="t" coordsize="21600,21600" arcsize="0.166666666666667" o:gfxdata="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JEffF/bAAAACgEAAA8AAAAAAAAAAQAgAAAAIgAAAGRycy9kb3du&#10;cmV2LnhtbFBLAQIUABQAAAAIAIdO4kByABkqNQIAAHQEAAAOAAAAAAAAAAEAIAAAACoBAABkcnMv&#10;ZTJvRG9jLnhtbFBLBQYAAAAABgAGAFkBAADRBQAAAAA=&#10;">
                <v:fill on="t" focussize="0,0"/>
                <v:stroke weight="1.25pt" color="#808080" joinstyle="round"/>
                <v:imagedata o:title=""/>
                <o:lock v:ext="edit" aspectratio="f"/>
                <v:textbox>
                  <w:txbxContent>
                    <w:p w14:paraId="3FB63E09">
                      <w:pPr>
                        <w:rPr>
                          <w:rFonts w:hAnsi="宋体"/>
                        </w:rPr>
                      </w:pPr>
                    </w:p>
                    <w:p w14:paraId="41F8904A">
                      <w:pPr>
                        <w:rPr>
                          <w:rFonts w:hAnsi="宋体"/>
                        </w:rPr>
                      </w:pPr>
                    </w:p>
                    <w:p w14:paraId="01225BCA">
                      <w:pPr>
                        <w:rPr>
                          <w:rFonts w:hAnsi="宋体"/>
                        </w:rPr>
                      </w:pPr>
                    </w:p>
                    <w:p w14:paraId="03C955FE">
                      <w:r>
                        <w:rPr>
                          <w:rFonts w:hint="eastAsia" w:hAnsi="宋体"/>
                        </w:rPr>
                        <w:t>授权委托人身份证复印件反面</w:t>
                      </w:r>
                    </w:p>
                    <w:p w14:paraId="38569FE1"/>
                  </w:txbxContent>
                </v:textbox>
              </v:roundrect>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0288" behindDoc="0" locked="0" layoutInCell="1" allowOverlap="1">
                <wp:simplePos x="0" y="0"/>
                <wp:positionH relativeFrom="column">
                  <wp:posOffset>20955</wp:posOffset>
                </wp:positionH>
                <wp:positionV relativeFrom="paragraph">
                  <wp:posOffset>135890</wp:posOffset>
                </wp:positionV>
                <wp:extent cx="2317750" cy="1126490"/>
                <wp:effectExtent l="4445" t="4445" r="20955" b="12065"/>
                <wp:wrapNone/>
                <wp:docPr id="5" name="自选图形 6"/>
                <wp:cNvGraphicFramePr/>
                <a:graphic xmlns:a="http://schemas.openxmlformats.org/drawingml/2006/main">
                  <a:graphicData uri="http://schemas.microsoft.com/office/word/2010/wordprocessingShape">
                    <wps:wsp>
                      <wps:cNvSpPr/>
                      <wps:spPr>
                        <a:xfrm>
                          <a:off x="0" y="0"/>
                          <a:ext cx="2317750" cy="112649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644BE837">
                            <w:pPr>
                              <w:jc w:val="center"/>
                              <w:rPr>
                                <w:rFonts w:hAnsi="宋体"/>
                              </w:rPr>
                            </w:pPr>
                          </w:p>
                          <w:p w14:paraId="2E4E09CC">
                            <w:pPr>
                              <w:jc w:val="center"/>
                              <w:rPr>
                                <w:rFonts w:hAnsi="宋体"/>
                              </w:rPr>
                            </w:pPr>
                          </w:p>
                          <w:p w14:paraId="295D0F30">
                            <w:pPr>
                              <w:jc w:val="center"/>
                              <w:rPr>
                                <w:rFonts w:hAnsi="宋体"/>
                              </w:rPr>
                            </w:pPr>
                          </w:p>
                          <w:p w14:paraId="094581C3">
                            <w:pPr>
                              <w:jc w:val="center"/>
                            </w:pPr>
                            <w:r>
                              <w:rPr>
                                <w:rFonts w:hint="eastAsia" w:hAnsi="宋体"/>
                              </w:rPr>
                              <w:t>授权委托人身份证复印件正面</w:t>
                            </w:r>
                          </w:p>
                        </w:txbxContent>
                      </wps:txbx>
                      <wps:bodyPr wrap="square" upright="1"/>
                    </wps:wsp>
                  </a:graphicData>
                </a:graphic>
              </wp:anchor>
            </w:drawing>
          </mc:Choice>
          <mc:Fallback>
            <w:pict>
              <v:shape id="自选图形 6" o:spid="_x0000_s1026" o:spt="176" type="#_x0000_t176" style="position:absolute;left:0pt;margin-left:1.65pt;margin-top:10.7pt;height:88.7pt;width:182.5pt;z-index:251660288;mso-width-relative:page;mso-height-relative:page;" fillcolor="#FFFFFF" filled="t" stroked="t" coordsize="21600,21600" o:gfxdata="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HgvYn1gAAAAgBAAAPAAAAAAAAAAEAIAAAACIAAABkcnMvZG93bnJldi54bWxQSwECFAAU&#10;AAAACACHTuJA6yEYNCwCAABhBAAADgAAAAAAAAABACAAAAAlAQAAZHJzL2Uyb0RvYy54bWxQSwUG&#10;AAAAAAYABgBZAQAAwwUAAAAA&#10;">
                <v:fill on="t" focussize="0,0"/>
                <v:stroke color="#000000" joinstyle="miter"/>
                <v:imagedata o:title=""/>
                <o:lock v:ext="edit" aspectratio="f"/>
                <v:textbox>
                  <w:txbxContent>
                    <w:p w14:paraId="644BE837">
                      <w:pPr>
                        <w:jc w:val="center"/>
                        <w:rPr>
                          <w:rFonts w:hAnsi="宋体"/>
                        </w:rPr>
                      </w:pPr>
                    </w:p>
                    <w:p w14:paraId="2E4E09CC">
                      <w:pPr>
                        <w:jc w:val="center"/>
                        <w:rPr>
                          <w:rFonts w:hAnsi="宋体"/>
                        </w:rPr>
                      </w:pPr>
                    </w:p>
                    <w:p w14:paraId="295D0F30">
                      <w:pPr>
                        <w:jc w:val="center"/>
                        <w:rPr>
                          <w:rFonts w:hAnsi="宋体"/>
                        </w:rPr>
                      </w:pPr>
                    </w:p>
                    <w:p w14:paraId="094581C3">
                      <w:pPr>
                        <w:jc w:val="center"/>
                      </w:pPr>
                      <w:r>
                        <w:rPr>
                          <w:rFonts w:hint="eastAsia" w:hAnsi="宋体"/>
                        </w:rPr>
                        <w:t>授权委托人身份证复印件正面</w:t>
                      </w:r>
                    </w:p>
                  </w:txbxContent>
                </v:textbox>
              </v:shape>
            </w:pict>
          </mc:Fallback>
        </mc:AlternateContent>
      </w:r>
    </w:p>
    <w:p w14:paraId="2994988F">
      <w:pPr>
        <w:spacing w:line="360" w:lineRule="auto"/>
        <w:ind w:firstLine="210" w:firstLineChars="100"/>
        <w:rPr>
          <w:rFonts w:ascii="仿宋" w:hAnsi="仿宋" w:cs="仿宋"/>
          <w:color w:val="auto"/>
          <w:szCs w:val="21"/>
        </w:rPr>
      </w:pPr>
    </w:p>
    <w:p w14:paraId="4742148C">
      <w:pPr>
        <w:spacing w:line="360" w:lineRule="auto"/>
        <w:ind w:firstLine="210" w:firstLineChars="100"/>
        <w:rPr>
          <w:rFonts w:ascii="仿宋" w:hAnsi="仿宋" w:cs="仿宋"/>
          <w:color w:val="auto"/>
          <w:szCs w:val="21"/>
        </w:rPr>
      </w:pPr>
    </w:p>
    <w:p w14:paraId="23BAD099">
      <w:pPr>
        <w:spacing w:line="360" w:lineRule="auto"/>
        <w:ind w:firstLine="210" w:firstLineChars="100"/>
        <w:rPr>
          <w:rFonts w:ascii="仿宋" w:hAnsi="仿宋" w:cs="仿宋"/>
          <w:color w:val="auto"/>
          <w:szCs w:val="21"/>
        </w:rPr>
      </w:pPr>
    </w:p>
    <w:p w14:paraId="49F24D92">
      <w:pPr>
        <w:spacing w:line="360" w:lineRule="auto"/>
        <w:ind w:firstLine="210" w:firstLineChars="100"/>
        <w:rPr>
          <w:rFonts w:ascii="仿宋" w:hAnsi="仿宋" w:cs="仿宋"/>
          <w:color w:val="auto"/>
          <w:szCs w:val="21"/>
        </w:rPr>
      </w:pPr>
    </w:p>
    <w:p w14:paraId="40B67E06">
      <w:pPr>
        <w:spacing w:line="360" w:lineRule="auto"/>
        <w:ind w:firstLine="210" w:firstLineChars="100"/>
        <w:rPr>
          <w:rFonts w:ascii="仿宋" w:hAnsi="仿宋" w:cs="仿宋"/>
          <w:color w:val="auto"/>
          <w:szCs w:val="21"/>
        </w:rPr>
      </w:pPr>
      <w:r>
        <w:rPr>
          <w:rFonts w:hint="eastAsia" w:ascii="仿宋" w:hAnsi="仿宋" w:cs="仿宋"/>
          <w:color w:val="auto"/>
          <w:szCs w:val="21"/>
        </w:rPr>
        <mc:AlternateContent>
          <mc:Choice Requires="wps">
            <w:drawing>
              <wp:anchor distT="0" distB="0" distL="114300" distR="114300" simplePos="0" relativeHeight="251663360" behindDoc="0" locked="0" layoutInCell="1" allowOverlap="1">
                <wp:simplePos x="0" y="0"/>
                <wp:positionH relativeFrom="column">
                  <wp:posOffset>3018155</wp:posOffset>
                </wp:positionH>
                <wp:positionV relativeFrom="paragraph">
                  <wp:posOffset>54610</wp:posOffset>
                </wp:positionV>
                <wp:extent cx="2535555" cy="1216660"/>
                <wp:effectExtent l="7620" t="7620" r="9525" b="13970"/>
                <wp:wrapNone/>
                <wp:docPr id="6" name="自选图形 7"/>
                <wp:cNvGraphicFramePr/>
                <a:graphic xmlns:a="http://schemas.openxmlformats.org/drawingml/2006/main">
                  <a:graphicData uri="http://schemas.microsoft.com/office/word/2010/wordprocessingShape">
                    <wps:wsp>
                      <wps:cNvSpPr/>
                      <wps:spPr>
                        <a:xfrm>
                          <a:off x="0" y="0"/>
                          <a:ext cx="2535555" cy="121666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6C5D4AF2">
                            <w:pPr>
                              <w:jc w:val="center"/>
                              <w:rPr>
                                <w:rFonts w:hAnsi="宋体"/>
                              </w:rPr>
                            </w:pPr>
                            <w:r>
                              <w:rPr>
                                <w:rFonts w:hint="eastAsia" w:hAnsi="宋体"/>
                              </w:rPr>
                              <w:t xml:space="preserve">  </w:t>
                            </w:r>
                          </w:p>
                          <w:p w14:paraId="68F2ABEE">
                            <w:pPr>
                              <w:rPr>
                                <w:rFonts w:hAnsi="宋体"/>
                              </w:rPr>
                            </w:pPr>
                          </w:p>
                          <w:p w14:paraId="1392642B">
                            <w:pPr>
                              <w:jc w:val="center"/>
                            </w:pPr>
                            <w:r>
                              <w:rPr>
                                <w:rFonts w:hint="eastAsia" w:hAnsi="宋体"/>
                              </w:rPr>
                              <w:t>法人身份证复印件反面</w:t>
                            </w:r>
                          </w:p>
                          <w:p w14:paraId="527B2A96"/>
                        </w:txbxContent>
                      </wps:txbx>
                      <wps:bodyPr wrap="square" upright="1"/>
                    </wps:wsp>
                  </a:graphicData>
                </a:graphic>
              </wp:anchor>
            </w:drawing>
          </mc:Choice>
          <mc:Fallback>
            <w:pict>
              <v:roundrect id="自选图形 7" o:spid="_x0000_s1026" o:spt="2" style="position:absolute;left:0pt;margin-left:237.65pt;margin-top:4.3pt;height:95.8pt;width:199.65pt;z-index:251663360;mso-width-relative:page;mso-height-relative:page;" fillcolor="#FFFFFF" filled="t" stroked="t" coordsize="21600,21600" arcsize="0.166666666666667" o:gfxdata="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jgVE6NoAAAAJAQAADwAAAAAAAAABACAAAAAiAAAAZHJzL2Rvd25yZXYu&#10;eG1sUEsBAhQAFAAAAAgAh07iQISWRyAyAgAAdAQAAA4AAAAAAAAAAQAgAAAAKQEAAGRycy9lMm9E&#10;b2MueG1sUEsFBgAAAAAGAAYAWQEAAM0FAAAAAA==&#10;">
                <v:fill on="t" focussize="0,0"/>
                <v:stroke weight="1.25pt" color="#808080" joinstyle="round"/>
                <v:imagedata o:title=""/>
                <o:lock v:ext="edit" aspectratio="f"/>
                <v:textbox>
                  <w:txbxContent>
                    <w:p w14:paraId="6C5D4AF2">
                      <w:pPr>
                        <w:jc w:val="center"/>
                        <w:rPr>
                          <w:rFonts w:hAnsi="宋体"/>
                        </w:rPr>
                      </w:pPr>
                      <w:r>
                        <w:rPr>
                          <w:rFonts w:hint="eastAsia" w:hAnsi="宋体"/>
                        </w:rPr>
                        <w:t xml:space="preserve">  </w:t>
                      </w:r>
                    </w:p>
                    <w:p w14:paraId="68F2ABEE">
                      <w:pPr>
                        <w:rPr>
                          <w:rFonts w:hAnsi="宋体"/>
                        </w:rPr>
                      </w:pPr>
                    </w:p>
                    <w:p w14:paraId="1392642B">
                      <w:pPr>
                        <w:jc w:val="center"/>
                      </w:pPr>
                      <w:r>
                        <w:rPr>
                          <w:rFonts w:hint="eastAsia" w:hAnsi="宋体"/>
                        </w:rPr>
                        <w:t>法人身份证复印件反面</w:t>
                      </w:r>
                    </w:p>
                    <w:p w14:paraId="527B2A96"/>
                  </w:txbxContent>
                </v:textbox>
              </v:roundrect>
            </w:pict>
          </mc:Fallback>
        </mc:AlternateContent>
      </w:r>
      <w:r>
        <w:rPr>
          <w:rFonts w:hint="eastAsia" w:ascii="仿宋" w:hAnsi="仿宋" w:cs="仿宋"/>
          <w:color w:val="auto"/>
          <w:szCs w:val="21"/>
        </w:rPr>
        <mc:AlternateContent>
          <mc:Choice Requires="wps">
            <w:drawing>
              <wp:anchor distT="0" distB="0" distL="114300" distR="114300" simplePos="0" relativeHeight="251662336" behindDoc="0" locked="0" layoutInCell="1" allowOverlap="1">
                <wp:simplePos x="0" y="0"/>
                <wp:positionH relativeFrom="column">
                  <wp:posOffset>-10795</wp:posOffset>
                </wp:positionH>
                <wp:positionV relativeFrom="paragraph">
                  <wp:posOffset>29845</wp:posOffset>
                </wp:positionV>
                <wp:extent cx="2399030" cy="1209675"/>
                <wp:effectExtent l="7620" t="7620" r="12700" b="20955"/>
                <wp:wrapNone/>
                <wp:docPr id="8" name="自选图形 8"/>
                <wp:cNvGraphicFramePr/>
                <a:graphic xmlns:a="http://schemas.openxmlformats.org/drawingml/2006/main">
                  <a:graphicData uri="http://schemas.microsoft.com/office/word/2010/wordprocessingShape">
                    <wps:wsp>
                      <wps:cNvSpPr/>
                      <wps:spPr>
                        <a:xfrm>
                          <a:off x="0" y="0"/>
                          <a:ext cx="2399030" cy="120967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6CC59B90">
                            <w:pPr>
                              <w:jc w:val="center"/>
                              <w:rPr>
                                <w:rFonts w:hAnsi="宋体"/>
                              </w:rPr>
                            </w:pPr>
                          </w:p>
                          <w:p w14:paraId="6A808047">
                            <w:pPr>
                              <w:rPr>
                                <w:rFonts w:hAnsi="宋体"/>
                              </w:rPr>
                            </w:pPr>
                          </w:p>
                          <w:p w14:paraId="7DBEC032">
                            <w:pPr>
                              <w:jc w:val="center"/>
                              <w:rPr>
                                <w:rFonts w:hAnsi="宋体"/>
                              </w:rPr>
                            </w:pPr>
                            <w:r>
                              <w:rPr>
                                <w:rFonts w:hint="eastAsia" w:hAnsi="宋体"/>
                              </w:rPr>
                              <w:t>法人身份证复印件正面</w:t>
                            </w:r>
                          </w:p>
                          <w:p w14:paraId="5D5BA22B"/>
                        </w:txbxContent>
                      </wps:txbx>
                      <wps:bodyPr wrap="square" upright="1"/>
                    </wps:wsp>
                  </a:graphicData>
                </a:graphic>
              </wp:anchor>
            </w:drawing>
          </mc:Choice>
          <mc:Fallback>
            <w:pict>
              <v:roundrect id="自选图形 8" o:spid="_x0000_s1026" o:spt="2" style="position:absolute;left:0pt;margin-left:-0.85pt;margin-top:2.35pt;height:95.25pt;width:188.9pt;z-index:251662336;mso-width-relative:page;mso-height-relative:page;" fillcolor="#FFFFFF" filled="t" stroked="t" coordsize="21600,21600" arcsize="0.166666666666667" o:gfxdata="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DGF6ky2QAAAAgBAAAPAAAAAAAAAAEAIAAAACIAAABkcnMvZG93bnJl&#10;di54bWxQSwECFAAUAAAACACHTuJA6Ux1GTUCAAB0BAAADgAAAAAAAAABACAAAAAoAQAAZHJzL2Uy&#10;b0RvYy54bWxQSwUGAAAAAAYABgBZAQAAzwUAAAAA&#10;">
                <v:fill on="t" focussize="0,0"/>
                <v:stroke weight="1.25pt" color="#808080" joinstyle="round"/>
                <v:imagedata o:title=""/>
                <o:lock v:ext="edit" aspectratio="f"/>
                <v:textbox>
                  <w:txbxContent>
                    <w:p w14:paraId="6CC59B90">
                      <w:pPr>
                        <w:jc w:val="center"/>
                        <w:rPr>
                          <w:rFonts w:hAnsi="宋体"/>
                        </w:rPr>
                      </w:pPr>
                    </w:p>
                    <w:p w14:paraId="6A808047">
                      <w:pPr>
                        <w:rPr>
                          <w:rFonts w:hAnsi="宋体"/>
                        </w:rPr>
                      </w:pPr>
                    </w:p>
                    <w:p w14:paraId="7DBEC032">
                      <w:pPr>
                        <w:jc w:val="center"/>
                        <w:rPr>
                          <w:rFonts w:hAnsi="宋体"/>
                        </w:rPr>
                      </w:pPr>
                      <w:r>
                        <w:rPr>
                          <w:rFonts w:hint="eastAsia" w:hAnsi="宋体"/>
                        </w:rPr>
                        <w:t>法人身份证复印件正面</w:t>
                      </w:r>
                    </w:p>
                    <w:p w14:paraId="5D5BA22B"/>
                  </w:txbxContent>
                </v:textbox>
              </v:roundrect>
            </w:pict>
          </mc:Fallback>
        </mc:AlternateContent>
      </w:r>
    </w:p>
    <w:p w14:paraId="13F118A1">
      <w:pPr>
        <w:spacing w:line="360" w:lineRule="auto"/>
        <w:ind w:firstLine="210" w:firstLineChars="100"/>
        <w:rPr>
          <w:rFonts w:ascii="仿宋" w:hAnsi="仿宋" w:cs="仿宋"/>
          <w:color w:val="auto"/>
          <w:szCs w:val="21"/>
        </w:rPr>
      </w:pPr>
    </w:p>
    <w:p w14:paraId="67B20AEA">
      <w:pPr>
        <w:spacing w:line="360" w:lineRule="auto"/>
        <w:ind w:firstLine="210" w:firstLineChars="100"/>
        <w:rPr>
          <w:rFonts w:ascii="仿宋" w:hAnsi="仿宋" w:cs="仿宋"/>
          <w:color w:val="auto"/>
          <w:szCs w:val="21"/>
        </w:rPr>
      </w:pPr>
    </w:p>
    <w:p w14:paraId="0E45CF07">
      <w:pPr>
        <w:pStyle w:val="25"/>
        <w:tabs>
          <w:tab w:val="left" w:pos="5580"/>
        </w:tabs>
        <w:spacing w:line="360" w:lineRule="exact"/>
        <w:rPr>
          <w:rFonts w:ascii="仿宋" w:hAnsi="仿宋" w:eastAsia="仿宋" w:cs="仿宋"/>
          <w:color w:val="auto"/>
          <w:sz w:val="21"/>
          <w:szCs w:val="21"/>
        </w:rPr>
      </w:pPr>
    </w:p>
    <w:p w14:paraId="30746E3C">
      <w:pPr>
        <w:pStyle w:val="25"/>
        <w:tabs>
          <w:tab w:val="left" w:pos="5580"/>
        </w:tabs>
        <w:spacing w:line="360" w:lineRule="exact"/>
        <w:rPr>
          <w:rFonts w:ascii="仿宋" w:hAnsi="仿宋" w:eastAsia="仿宋" w:cs="仿宋"/>
          <w:color w:val="auto"/>
          <w:sz w:val="21"/>
          <w:szCs w:val="21"/>
        </w:rPr>
      </w:pPr>
    </w:p>
    <w:p w14:paraId="46F8D6F4">
      <w:pPr>
        <w:pStyle w:val="25"/>
        <w:tabs>
          <w:tab w:val="left" w:pos="5580"/>
        </w:tabs>
        <w:spacing w:line="360" w:lineRule="exact"/>
        <w:rPr>
          <w:rFonts w:ascii="仿宋" w:hAnsi="仿宋" w:eastAsia="仿宋" w:cs="仿宋"/>
          <w:color w:val="auto"/>
          <w:sz w:val="21"/>
          <w:szCs w:val="21"/>
          <w:u w:val="single"/>
        </w:rPr>
      </w:pPr>
      <w:r>
        <w:rPr>
          <w:rFonts w:hint="eastAsia" w:ascii="仿宋" w:hAnsi="仿宋" w:eastAsia="仿宋" w:cs="仿宋"/>
          <w:color w:val="auto"/>
          <w:sz w:val="21"/>
          <w:szCs w:val="21"/>
          <w:lang w:val="zh-CN"/>
        </w:rPr>
        <w:t>供应商名称（</w:t>
      </w:r>
      <w:r>
        <w:rPr>
          <w:rFonts w:hint="eastAsia" w:ascii="仿宋" w:hAnsi="仿宋" w:eastAsia="仿宋" w:cs="仿宋"/>
          <w:color w:val="auto"/>
          <w:sz w:val="21"/>
          <w:szCs w:val="21"/>
        </w:rPr>
        <w:t>签章）</w:t>
      </w:r>
      <w:r>
        <w:rPr>
          <w:rFonts w:hint="eastAsia" w:ascii="仿宋" w:hAnsi="仿宋" w:eastAsia="仿宋" w:cs="仿宋"/>
          <w:color w:val="auto"/>
          <w:sz w:val="21"/>
          <w:szCs w:val="21"/>
          <w:lang w:val="zh-CN"/>
        </w:rPr>
        <w:t>：</w:t>
      </w:r>
      <w:r>
        <w:rPr>
          <w:rFonts w:hint="eastAsia" w:ascii="仿宋" w:hAnsi="仿宋" w:eastAsia="仿宋" w:cs="仿宋"/>
          <w:color w:val="auto"/>
          <w:sz w:val="21"/>
          <w:szCs w:val="21"/>
          <w:u w:val="single"/>
          <w:lang w:val="zh-CN"/>
        </w:rPr>
        <w:t xml:space="preserve"> </w:t>
      </w:r>
      <w:r>
        <w:rPr>
          <w:rFonts w:hint="eastAsia" w:ascii="仿宋" w:hAnsi="仿宋" w:eastAsia="仿宋" w:cs="仿宋"/>
          <w:color w:val="auto"/>
          <w:sz w:val="21"/>
          <w:szCs w:val="21"/>
          <w:u w:val="single"/>
        </w:rPr>
        <w:t xml:space="preserve">                           </w:t>
      </w:r>
    </w:p>
    <w:p w14:paraId="303B8B3C">
      <w:pPr>
        <w:pStyle w:val="25"/>
        <w:tabs>
          <w:tab w:val="left" w:pos="5580"/>
        </w:tabs>
        <w:spacing w:line="360" w:lineRule="exact"/>
        <w:rPr>
          <w:rFonts w:ascii="仿宋" w:hAnsi="仿宋" w:eastAsia="仿宋" w:cs="仿宋"/>
          <w:color w:val="auto"/>
          <w:sz w:val="21"/>
          <w:szCs w:val="21"/>
          <w:u w:val="single"/>
        </w:rPr>
      </w:pPr>
      <w:r>
        <w:rPr>
          <w:rFonts w:hint="eastAsia" w:ascii="仿宋" w:hAnsi="仿宋" w:eastAsia="仿宋" w:cs="仿宋"/>
          <w:color w:val="auto"/>
          <w:sz w:val="21"/>
          <w:szCs w:val="21"/>
        </w:rPr>
        <w:t xml:space="preserve">法定代表人（签/章）： </w:t>
      </w:r>
      <w:r>
        <w:rPr>
          <w:rFonts w:hint="eastAsia" w:ascii="仿宋" w:hAnsi="仿宋" w:eastAsia="仿宋" w:cs="仿宋"/>
          <w:color w:val="auto"/>
          <w:sz w:val="21"/>
          <w:szCs w:val="21"/>
          <w:u w:val="single"/>
        </w:rPr>
        <w:t xml:space="preserve">                     </w:t>
      </w:r>
    </w:p>
    <w:p w14:paraId="2A661AAC">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身份证号码：</w:t>
      </w:r>
      <w:r>
        <w:rPr>
          <w:rFonts w:hint="eastAsia" w:ascii="仿宋" w:hAnsi="仿宋" w:eastAsia="仿宋" w:cs="仿宋"/>
          <w:color w:val="auto"/>
          <w:sz w:val="21"/>
          <w:szCs w:val="21"/>
          <w:u w:val="single"/>
        </w:rPr>
        <w:t xml:space="preserve">                              </w:t>
      </w:r>
    </w:p>
    <w:p w14:paraId="3B8879FD">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委托代理人（签/章）：</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201660FE">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身份证号码：</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4B349977">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详细通讯地址：</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29BE5991">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邮 政 编 码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692DBA5C">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传　　　　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4A2B8B48">
      <w:pPr>
        <w:pStyle w:val="25"/>
        <w:tabs>
          <w:tab w:val="left" w:pos="5580"/>
        </w:tabs>
        <w:spacing w:line="360" w:lineRule="exact"/>
        <w:rPr>
          <w:rFonts w:ascii="仿宋" w:hAnsi="仿宋" w:eastAsia="仿宋" w:cs="仿宋"/>
          <w:color w:val="auto"/>
          <w:sz w:val="21"/>
          <w:szCs w:val="21"/>
        </w:rPr>
      </w:pPr>
      <w:r>
        <w:rPr>
          <w:rFonts w:hint="eastAsia" w:ascii="仿宋" w:hAnsi="仿宋" w:eastAsia="仿宋" w:cs="仿宋"/>
          <w:color w:val="auto"/>
          <w:sz w:val="21"/>
          <w:szCs w:val="21"/>
        </w:rPr>
        <w:t>电　　　　话：</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0E8B2785">
      <w:pPr>
        <w:pStyle w:val="25"/>
        <w:tabs>
          <w:tab w:val="left" w:pos="5580"/>
        </w:tabs>
        <w:spacing w:line="360" w:lineRule="exact"/>
        <w:jc w:val="right"/>
        <w:rPr>
          <w:rFonts w:ascii="仿宋" w:hAnsi="仿宋" w:eastAsia="仿宋" w:cs="仿宋"/>
          <w:color w:val="auto"/>
          <w:sz w:val="21"/>
          <w:szCs w:val="21"/>
        </w:rPr>
      </w:pPr>
    </w:p>
    <w:p w14:paraId="7FF8E4AF">
      <w:pPr>
        <w:pStyle w:val="25"/>
        <w:tabs>
          <w:tab w:val="left" w:pos="5580"/>
        </w:tabs>
        <w:spacing w:line="240" w:lineRule="atLeast"/>
        <w:rPr>
          <w:rFonts w:ascii="仿宋" w:hAnsi="仿宋" w:eastAsia="仿宋" w:cs="仿宋"/>
          <w:color w:val="auto"/>
          <w:sz w:val="21"/>
          <w:szCs w:val="21"/>
        </w:rPr>
      </w:pPr>
      <w:r>
        <w:rPr>
          <w:rFonts w:hint="eastAsia" w:ascii="仿宋" w:hAnsi="仿宋" w:eastAsia="仿宋" w:cs="仿宋"/>
          <w:color w:val="auto"/>
          <w:sz w:val="21"/>
          <w:szCs w:val="21"/>
        </w:rPr>
        <w:t>年   月   日</w:t>
      </w:r>
    </w:p>
    <w:p w14:paraId="5179769D">
      <w:pPr>
        <w:pStyle w:val="6"/>
        <w:tabs>
          <w:tab w:val="left" w:pos="567"/>
        </w:tabs>
        <w:rPr>
          <w:rFonts w:ascii="仿宋" w:hAnsi="仿宋" w:eastAsia="仿宋" w:cs="仿宋"/>
          <w:color w:val="auto"/>
          <w:sz w:val="21"/>
          <w:szCs w:val="21"/>
        </w:rPr>
        <w:sectPr>
          <w:pgSz w:w="11906" w:h="16838"/>
          <w:pgMar w:top="1440" w:right="1797" w:bottom="1440" w:left="1797" w:header="851" w:footer="992" w:gutter="0"/>
          <w:cols w:space="720" w:num="1"/>
          <w:docGrid w:type="linesAndChars" w:linePitch="312" w:charSpace="0"/>
        </w:sectPr>
      </w:pPr>
    </w:p>
    <w:p w14:paraId="5A3CF613">
      <w:pPr>
        <w:rPr>
          <w:rFonts w:ascii="仿宋" w:hAnsi="仿宋" w:cs="仿宋"/>
          <w:color w:val="auto"/>
          <w:sz w:val="24"/>
        </w:rPr>
      </w:pPr>
    </w:p>
    <w:p w14:paraId="60FE8B9F">
      <w:pPr>
        <w:snapToGrid w:val="0"/>
        <w:spacing w:line="360" w:lineRule="auto"/>
        <w:jc w:val="center"/>
        <w:outlineLvl w:val="1"/>
        <w:rPr>
          <w:rFonts w:ascii="仿宋" w:hAnsi="仿宋" w:cs="仿宋"/>
          <w:b/>
          <w:color w:val="auto"/>
          <w:kern w:val="0"/>
          <w:sz w:val="32"/>
          <w:szCs w:val="32"/>
        </w:rPr>
      </w:pPr>
      <w:bookmarkStart w:id="107" w:name="_Toc19890"/>
      <w:r>
        <w:rPr>
          <w:rFonts w:hint="eastAsia" w:ascii="仿宋" w:hAnsi="仿宋" w:cs="仿宋"/>
          <w:b/>
          <w:color w:val="auto"/>
          <w:kern w:val="0"/>
          <w:sz w:val="32"/>
          <w:szCs w:val="32"/>
        </w:rPr>
        <w:t>四、商务技术偏离表</w:t>
      </w:r>
      <w:bookmarkEnd w:id="107"/>
    </w:p>
    <w:tbl>
      <w:tblPr>
        <w:tblStyle w:val="4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5C414C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14:paraId="1528617A">
            <w:pPr>
              <w:jc w:val="center"/>
              <w:rPr>
                <w:rFonts w:ascii="仿宋" w:hAnsi="仿宋" w:cs="仿宋"/>
                <w:b/>
                <w:bCs/>
                <w:color w:val="auto"/>
                <w:sz w:val="24"/>
              </w:rPr>
            </w:pPr>
            <w:r>
              <w:rPr>
                <w:rFonts w:hint="eastAsia" w:ascii="仿宋" w:hAnsi="仿宋" w:cs="仿宋"/>
                <w:b/>
                <w:bCs/>
                <w:color w:val="auto"/>
                <w:sz w:val="24"/>
              </w:rPr>
              <w:t>序号</w:t>
            </w:r>
          </w:p>
        </w:tc>
        <w:tc>
          <w:tcPr>
            <w:tcW w:w="3683" w:type="dxa"/>
          </w:tcPr>
          <w:p w14:paraId="63C016E7">
            <w:pPr>
              <w:jc w:val="center"/>
              <w:rPr>
                <w:rFonts w:ascii="仿宋" w:hAnsi="仿宋" w:cs="仿宋"/>
                <w:b/>
                <w:bCs/>
                <w:color w:val="auto"/>
                <w:sz w:val="24"/>
              </w:rPr>
            </w:pPr>
            <w:r>
              <w:rPr>
                <w:rFonts w:hint="eastAsia" w:ascii="仿宋" w:hAnsi="仿宋" w:cs="仿宋"/>
                <w:b/>
                <w:bCs/>
                <w:color w:val="auto"/>
                <w:sz w:val="24"/>
              </w:rPr>
              <w:t>采购文件章节及具体内容</w:t>
            </w:r>
          </w:p>
        </w:tc>
        <w:tc>
          <w:tcPr>
            <w:tcW w:w="3546" w:type="dxa"/>
          </w:tcPr>
          <w:p w14:paraId="24AA0F7B">
            <w:pPr>
              <w:jc w:val="center"/>
              <w:rPr>
                <w:rFonts w:ascii="仿宋" w:hAnsi="仿宋" w:cs="仿宋"/>
                <w:b/>
                <w:bCs/>
                <w:color w:val="auto"/>
                <w:sz w:val="24"/>
              </w:rPr>
            </w:pPr>
            <w:r>
              <w:rPr>
                <w:rFonts w:hint="eastAsia" w:ascii="仿宋" w:hAnsi="仿宋" w:cs="仿宋"/>
                <w:b/>
                <w:bCs/>
                <w:color w:val="auto"/>
                <w:sz w:val="24"/>
              </w:rPr>
              <w:t>投标文件章节及具体内容</w:t>
            </w:r>
          </w:p>
        </w:tc>
        <w:tc>
          <w:tcPr>
            <w:tcW w:w="1276" w:type="dxa"/>
          </w:tcPr>
          <w:p w14:paraId="1D5DDC0B">
            <w:pPr>
              <w:jc w:val="center"/>
              <w:rPr>
                <w:rFonts w:ascii="仿宋" w:hAnsi="仿宋" w:cs="仿宋"/>
                <w:b/>
                <w:bCs/>
                <w:color w:val="auto"/>
                <w:sz w:val="24"/>
              </w:rPr>
            </w:pPr>
            <w:r>
              <w:rPr>
                <w:rFonts w:hint="eastAsia" w:ascii="仿宋" w:hAnsi="仿宋" w:cs="仿宋"/>
                <w:b/>
                <w:bCs/>
                <w:color w:val="auto"/>
                <w:sz w:val="24"/>
              </w:rPr>
              <w:t>偏离说明</w:t>
            </w:r>
          </w:p>
        </w:tc>
      </w:tr>
      <w:tr w14:paraId="06BCD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E4824F2">
            <w:pPr>
              <w:jc w:val="center"/>
              <w:rPr>
                <w:rFonts w:ascii="仿宋" w:hAnsi="仿宋" w:cs="仿宋"/>
                <w:color w:val="auto"/>
                <w:kern w:val="0"/>
                <w:sz w:val="24"/>
              </w:rPr>
            </w:pPr>
            <w:r>
              <w:rPr>
                <w:rFonts w:hint="eastAsia" w:ascii="仿宋" w:hAnsi="仿宋" w:cs="仿宋"/>
                <w:color w:val="auto"/>
                <w:kern w:val="0"/>
                <w:sz w:val="24"/>
              </w:rPr>
              <w:t>1</w:t>
            </w:r>
          </w:p>
        </w:tc>
        <w:tc>
          <w:tcPr>
            <w:tcW w:w="3683" w:type="dxa"/>
          </w:tcPr>
          <w:p w14:paraId="2E8B238F">
            <w:pPr>
              <w:jc w:val="center"/>
              <w:rPr>
                <w:rFonts w:ascii="仿宋" w:hAnsi="仿宋" w:cs="仿宋"/>
                <w:b/>
                <w:color w:val="auto"/>
                <w:kern w:val="0"/>
                <w:sz w:val="32"/>
                <w:szCs w:val="32"/>
              </w:rPr>
            </w:pPr>
          </w:p>
        </w:tc>
        <w:tc>
          <w:tcPr>
            <w:tcW w:w="3546" w:type="dxa"/>
          </w:tcPr>
          <w:p w14:paraId="1051D9A0">
            <w:pPr>
              <w:jc w:val="center"/>
              <w:rPr>
                <w:rFonts w:ascii="仿宋" w:hAnsi="仿宋" w:cs="仿宋"/>
                <w:b/>
                <w:color w:val="auto"/>
                <w:kern w:val="0"/>
                <w:sz w:val="32"/>
                <w:szCs w:val="32"/>
              </w:rPr>
            </w:pPr>
          </w:p>
        </w:tc>
        <w:tc>
          <w:tcPr>
            <w:tcW w:w="1276" w:type="dxa"/>
          </w:tcPr>
          <w:p w14:paraId="36AB9986">
            <w:pPr>
              <w:jc w:val="center"/>
              <w:rPr>
                <w:rFonts w:ascii="仿宋" w:hAnsi="仿宋" w:cs="仿宋"/>
                <w:b/>
                <w:color w:val="auto"/>
                <w:kern w:val="0"/>
                <w:sz w:val="32"/>
                <w:szCs w:val="32"/>
              </w:rPr>
            </w:pPr>
          </w:p>
        </w:tc>
      </w:tr>
      <w:tr w14:paraId="6A1109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95B33DE">
            <w:pPr>
              <w:jc w:val="center"/>
              <w:rPr>
                <w:rFonts w:ascii="仿宋" w:hAnsi="仿宋" w:cs="仿宋"/>
                <w:color w:val="auto"/>
                <w:kern w:val="0"/>
                <w:sz w:val="24"/>
              </w:rPr>
            </w:pPr>
            <w:r>
              <w:rPr>
                <w:rFonts w:hint="eastAsia" w:ascii="仿宋" w:hAnsi="仿宋" w:cs="仿宋"/>
                <w:color w:val="auto"/>
                <w:kern w:val="0"/>
                <w:sz w:val="24"/>
              </w:rPr>
              <w:t>2</w:t>
            </w:r>
          </w:p>
        </w:tc>
        <w:tc>
          <w:tcPr>
            <w:tcW w:w="3683" w:type="dxa"/>
          </w:tcPr>
          <w:p w14:paraId="25A30CA5">
            <w:pPr>
              <w:jc w:val="center"/>
              <w:rPr>
                <w:rFonts w:ascii="仿宋" w:hAnsi="仿宋" w:cs="仿宋"/>
                <w:b/>
                <w:color w:val="auto"/>
                <w:kern w:val="0"/>
                <w:sz w:val="32"/>
                <w:szCs w:val="32"/>
              </w:rPr>
            </w:pPr>
          </w:p>
        </w:tc>
        <w:tc>
          <w:tcPr>
            <w:tcW w:w="3546" w:type="dxa"/>
          </w:tcPr>
          <w:p w14:paraId="21D9E9F7">
            <w:pPr>
              <w:jc w:val="center"/>
              <w:rPr>
                <w:rFonts w:ascii="仿宋" w:hAnsi="仿宋" w:cs="仿宋"/>
                <w:b/>
                <w:color w:val="auto"/>
                <w:kern w:val="0"/>
                <w:sz w:val="32"/>
                <w:szCs w:val="32"/>
              </w:rPr>
            </w:pPr>
          </w:p>
        </w:tc>
        <w:tc>
          <w:tcPr>
            <w:tcW w:w="1276" w:type="dxa"/>
          </w:tcPr>
          <w:p w14:paraId="2E25399C">
            <w:pPr>
              <w:jc w:val="center"/>
              <w:rPr>
                <w:rFonts w:ascii="仿宋" w:hAnsi="仿宋" w:cs="仿宋"/>
                <w:b/>
                <w:color w:val="auto"/>
                <w:kern w:val="0"/>
                <w:sz w:val="32"/>
                <w:szCs w:val="32"/>
              </w:rPr>
            </w:pPr>
          </w:p>
        </w:tc>
      </w:tr>
      <w:tr w14:paraId="2AE11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1D5740C">
            <w:pPr>
              <w:jc w:val="center"/>
              <w:rPr>
                <w:rFonts w:ascii="仿宋" w:hAnsi="仿宋" w:cs="仿宋"/>
                <w:color w:val="auto"/>
                <w:kern w:val="0"/>
                <w:sz w:val="24"/>
              </w:rPr>
            </w:pPr>
            <w:r>
              <w:rPr>
                <w:rFonts w:hint="eastAsia" w:ascii="仿宋" w:hAnsi="仿宋" w:cs="仿宋"/>
                <w:color w:val="auto"/>
                <w:kern w:val="0"/>
                <w:sz w:val="24"/>
              </w:rPr>
              <w:t>……</w:t>
            </w:r>
          </w:p>
        </w:tc>
        <w:tc>
          <w:tcPr>
            <w:tcW w:w="3683" w:type="dxa"/>
          </w:tcPr>
          <w:p w14:paraId="3E529551">
            <w:pPr>
              <w:jc w:val="center"/>
              <w:rPr>
                <w:rFonts w:ascii="仿宋" w:hAnsi="仿宋" w:cs="仿宋"/>
                <w:b/>
                <w:color w:val="auto"/>
                <w:kern w:val="0"/>
                <w:sz w:val="32"/>
                <w:szCs w:val="32"/>
              </w:rPr>
            </w:pPr>
          </w:p>
        </w:tc>
        <w:tc>
          <w:tcPr>
            <w:tcW w:w="3546" w:type="dxa"/>
          </w:tcPr>
          <w:p w14:paraId="7CDE25C7">
            <w:pPr>
              <w:jc w:val="center"/>
              <w:rPr>
                <w:rFonts w:ascii="仿宋" w:hAnsi="仿宋" w:cs="仿宋"/>
                <w:b/>
                <w:color w:val="auto"/>
                <w:kern w:val="0"/>
                <w:sz w:val="32"/>
                <w:szCs w:val="32"/>
              </w:rPr>
            </w:pPr>
          </w:p>
        </w:tc>
        <w:tc>
          <w:tcPr>
            <w:tcW w:w="1276" w:type="dxa"/>
          </w:tcPr>
          <w:p w14:paraId="64A82C75">
            <w:pPr>
              <w:jc w:val="center"/>
              <w:rPr>
                <w:rFonts w:ascii="仿宋" w:hAnsi="仿宋" w:cs="仿宋"/>
                <w:b/>
                <w:color w:val="auto"/>
                <w:kern w:val="0"/>
                <w:sz w:val="32"/>
                <w:szCs w:val="32"/>
              </w:rPr>
            </w:pPr>
          </w:p>
        </w:tc>
      </w:tr>
    </w:tbl>
    <w:p w14:paraId="63005164">
      <w:pPr>
        <w:jc w:val="left"/>
        <w:rPr>
          <w:rFonts w:ascii="仿宋" w:hAnsi="仿宋" w:cs="仿宋"/>
          <w:color w:val="auto"/>
          <w:kern w:val="0"/>
          <w:sz w:val="24"/>
        </w:rPr>
      </w:pPr>
      <w:r>
        <w:rPr>
          <w:rFonts w:hint="eastAsia" w:ascii="仿宋" w:hAnsi="仿宋" w:cs="仿宋"/>
          <w:color w:val="auto"/>
          <w:kern w:val="0"/>
          <w:sz w:val="24"/>
        </w:rPr>
        <w:t>投标人保证：除商务技术偏离表列出的偏离外，投标人响应采购文件的全部要求</w:t>
      </w:r>
    </w:p>
    <w:p w14:paraId="69AAC180">
      <w:pPr>
        <w:jc w:val="center"/>
        <w:rPr>
          <w:rFonts w:ascii="仿宋" w:hAnsi="仿宋" w:cs="仿宋"/>
          <w:b/>
          <w:color w:val="auto"/>
          <w:kern w:val="0"/>
          <w:sz w:val="32"/>
          <w:szCs w:val="32"/>
        </w:rPr>
      </w:pPr>
    </w:p>
    <w:p w14:paraId="20A1545E">
      <w:pPr>
        <w:spacing w:line="360" w:lineRule="auto"/>
        <w:ind w:right="420"/>
        <w:rPr>
          <w:rFonts w:ascii="仿宋" w:hAnsi="仿宋" w:cs="仿宋"/>
          <w:color w:val="auto"/>
          <w:sz w:val="24"/>
        </w:rPr>
      </w:pPr>
      <w:r>
        <w:rPr>
          <w:rFonts w:hint="eastAsia" w:ascii="仿宋" w:hAnsi="仿宋" w:cs="仿宋"/>
          <w:color w:val="auto"/>
          <w:sz w:val="24"/>
        </w:rPr>
        <w:t>注：按本格式和要求提供。</w:t>
      </w:r>
    </w:p>
    <w:p w14:paraId="23049499">
      <w:pPr>
        <w:ind w:firstLine="1911" w:firstLineChars="595"/>
        <w:rPr>
          <w:rFonts w:ascii="仿宋" w:hAnsi="仿宋" w:cs="仿宋"/>
          <w:b/>
          <w:bCs/>
          <w:color w:val="auto"/>
          <w:sz w:val="32"/>
          <w:szCs w:val="32"/>
        </w:rPr>
      </w:pPr>
    </w:p>
    <w:p w14:paraId="7C5DEE5E">
      <w:pPr>
        <w:ind w:firstLine="1911" w:firstLineChars="595"/>
        <w:rPr>
          <w:rFonts w:ascii="仿宋" w:hAnsi="仿宋" w:cs="仿宋"/>
          <w:b/>
          <w:bCs/>
          <w:color w:val="auto"/>
          <w:sz w:val="32"/>
          <w:szCs w:val="32"/>
        </w:rPr>
      </w:pPr>
    </w:p>
    <w:p w14:paraId="37B0C4DB">
      <w:pPr>
        <w:snapToGrid w:val="0"/>
        <w:spacing w:line="360" w:lineRule="auto"/>
        <w:jc w:val="center"/>
        <w:outlineLvl w:val="1"/>
        <w:rPr>
          <w:rFonts w:ascii="仿宋" w:hAnsi="仿宋" w:cs="仿宋"/>
          <w:b/>
          <w:color w:val="auto"/>
          <w:kern w:val="0"/>
          <w:sz w:val="32"/>
          <w:szCs w:val="32"/>
        </w:rPr>
        <w:sectPr>
          <w:headerReference r:id="rId9" w:type="first"/>
          <w:footerReference r:id="rId11" w:type="first"/>
          <w:headerReference r:id="rId8" w:type="default"/>
          <w:footerReference r:id="rId10" w:type="default"/>
          <w:pgSz w:w="11906" w:h="16838"/>
          <w:pgMar w:top="1247" w:right="1418" w:bottom="1276" w:left="1418" w:header="851" w:footer="992" w:gutter="0"/>
          <w:cols w:space="720" w:num="1"/>
          <w:titlePg/>
          <w:docGrid w:linePitch="312" w:charSpace="0"/>
        </w:sectPr>
      </w:pPr>
      <w:bookmarkStart w:id="108" w:name="_Toc7099"/>
    </w:p>
    <w:p w14:paraId="10652015">
      <w:pPr>
        <w:snapToGrid w:val="0"/>
        <w:spacing w:line="360" w:lineRule="auto"/>
        <w:jc w:val="center"/>
        <w:outlineLvl w:val="1"/>
        <w:rPr>
          <w:rFonts w:ascii="仿宋" w:hAnsi="仿宋" w:cs="仿宋"/>
          <w:b/>
          <w:color w:val="auto"/>
          <w:kern w:val="0"/>
          <w:sz w:val="32"/>
          <w:szCs w:val="32"/>
        </w:rPr>
      </w:pPr>
      <w:r>
        <w:rPr>
          <w:rFonts w:hint="eastAsia" w:ascii="仿宋" w:hAnsi="仿宋" w:cs="仿宋"/>
          <w:b/>
          <w:color w:val="auto"/>
          <w:kern w:val="0"/>
          <w:sz w:val="32"/>
          <w:szCs w:val="32"/>
        </w:rPr>
        <w:t>五、评标标准相应的商务技术资料</w:t>
      </w:r>
      <w:bookmarkEnd w:id="108"/>
    </w:p>
    <w:p w14:paraId="02020B86">
      <w:pPr>
        <w:snapToGrid w:val="0"/>
        <w:spacing w:line="360" w:lineRule="auto"/>
        <w:jc w:val="left"/>
        <w:rPr>
          <w:rFonts w:ascii="仿宋" w:hAnsi="仿宋" w:cs="仿宋"/>
          <w:b/>
          <w:color w:val="auto"/>
          <w:sz w:val="24"/>
        </w:rPr>
      </w:pPr>
      <w:r>
        <w:rPr>
          <w:rFonts w:hint="eastAsia" w:ascii="仿宋" w:hAnsi="仿宋" w:cs="仿宋"/>
          <w:b/>
          <w:color w:val="auto"/>
          <w:sz w:val="24"/>
        </w:rPr>
        <w:t>（按采购文件第6章评标办法提供资料。）</w:t>
      </w:r>
    </w:p>
    <w:p w14:paraId="12F8835A">
      <w:pPr>
        <w:ind w:firstLine="1911" w:firstLineChars="595"/>
        <w:rPr>
          <w:rFonts w:ascii="宋体" w:hAnsi="宋体" w:cs="宋体"/>
          <w:b/>
          <w:bCs/>
          <w:color w:val="auto"/>
          <w:sz w:val="32"/>
          <w:szCs w:val="32"/>
        </w:rPr>
      </w:pPr>
    </w:p>
    <w:p w14:paraId="02F16AA5">
      <w:pPr>
        <w:widowControl/>
        <w:jc w:val="center"/>
        <w:rPr>
          <w:rFonts w:ascii="仿宋" w:hAnsi="仿宋" w:cs="仿宋"/>
          <w:b/>
          <w:color w:val="auto"/>
          <w:kern w:val="0"/>
          <w:sz w:val="32"/>
          <w:szCs w:val="32"/>
        </w:rPr>
      </w:pPr>
      <w:r>
        <w:rPr>
          <w:rFonts w:ascii="宋体" w:hAnsi="宋体" w:cs="宋体"/>
          <w:b/>
          <w:bCs/>
          <w:color w:val="auto"/>
          <w:sz w:val="32"/>
          <w:szCs w:val="32"/>
        </w:rPr>
        <w:br w:type="page"/>
      </w:r>
      <w:r>
        <w:rPr>
          <w:rFonts w:hint="eastAsia" w:ascii="仿宋" w:hAnsi="仿宋" w:cs="仿宋"/>
          <w:b/>
          <w:color w:val="auto"/>
          <w:kern w:val="0"/>
          <w:sz w:val="32"/>
          <w:szCs w:val="32"/>
        </w:rPr>
        <w:t>六、报价单</w:t>
      </w:r>
    </w:p>
    <w:p w14:paraId="52D3668F">
      <w:pPr>
        <w:snapToGrid w:val="0"/>
        <w:spacing w:line="360" w:lineRule="auto"/>
        <w:rPr>
          <w:rFonts w:ascii="仿宋" w:hAnsi="仿宋" w:cs="仿宋"/>
          <w:color w:val="auto"/>
          <w:kern w:val="0"/>
          <w:sz w:val="24"/>
        </w:rPr>
      </w:pPr>
      <w:r>
        <w:rPr>
          <w:rFonts w:hint="eastAsia" w:ascii="仿宋" w:hAnsi="仿宋" w:cs="仿宋"/>
          <w:color w:val="auto"/>
          <w:sz w:val="24"/>
        </w:rPr>
        <w:t>（采购人）（采购代理机构）</w:t>
      </w:r>
      <w:r>
        <w:rPr>
          <w:rFonts w:hint="eastAsia" w:ascii="仿宋" w:hAnsi="仿宋" w:cs="仿宋"/>
          <w:color w:val="auto"/>
          <w:kern w:val="0"/>
          <w:sz w:val="24"/>
          <w:lang w:val="zh-CN"/>
        </w:rPr>
        <w:t>：</w:t>
      </w:r>
    </w:p>
    <w:p w14:paraId="4D9C130D">
      <w:pPr>
        <w:snapToGrid w:val="0"/>
        <w:spacing w:line="360" w:lineRule="auto"/>
        <w:ind w:firstLine="482"/>
        <w:rPr>
          <w:rFonts w:ascii="仿宋" w:hAnsi="仿宋" w:cs="仿宋"/>
          <w:color w:val="auto"/>
          <w:kern w:val="0"/>
          <w:sz w:val="24"/>
          <w:lang w:val="zh-CN"/>
        </w:rPr>
      </w:pPr>
      <w:r>
        <w:rPr>
          <w:rFonts w:hint="eastAsia" w:ascii="仿宋" w:hAnsi="仿宋" w:cs="仿宋"/>
          <w:color w:val="auto"/>
          <w:kern w:val="0"/>
          <w:sz w:val="24"/>
          <w:lang w:val="zh-CN"/>
        </w:rPr>
        <w:t>按你方采购文件要求，我们，本投标文件签字方，谨此向你方发出要约如下：如你方接受本投标，我方承诺按照如下报价单的价格完成</w:t>
      </w:r>
      <w:r>
        <w:rPr>
          <w:rFonts w:hint="eastAsia" w:ascii="仿宋" w:hAnsi="仿宋" w:cs="仿宋"/>
          <w:color w:val="auto"/>
          <w:sz w:val="24"/>
        </w:rPr>
        <w:t>（项目名称）</w:t>
      </w:r>
      <w:r>
        <w:rPr>
          <w:rFonts w:hint="eastAsia" w:ascii="仿宋" w:hAnsi="仿宋" w:cs="仿宋"/>
          <w:color w:val="auto"/>
          <w:kern w:val="0"/>
          <w:sz w:val="24"/>
          <w:lang w:val="zh-CN"/>
        </w:rPr>
        <w:t>【招标编号：</w:t>
      </w:r>
      <w:r>
        <w:rPr>
          <w:rFonts w:hint="eastAsia" w:ascii="仿宋" w:hAnsi="仿宋" w:cs="仿宋"/>
          <w:color w:val="auto"/>
          <w:sz w:val="24"/>
        </w:rPr>
        <w:t>（采购编号）】的实施</w:t>
      </w:r>
      <w:r>
        <w:rPr>
          <w:rFonts w:hint="eastAsia" w:ascii="仿宋" w:hAnsi="仿宋" w:cs="仿宋"/>
          <w:color w:val="auto"/>
          <w:kern w:val="0"/>
          <w:sz w:val="24"/>
          <w:lang w:val="zh-CN"/>
        </w:rPr>
        <w:t>。</w:t>
      </w:r>
    </w:p>
    <w:p w14:paraId="09E34C76">
      <w:pPr>
        <w:pStyle w:val="294"/>
        <w:spacing w:line="360" w:lineRule="auto"/>
        <w:rPr>
          <w:rFonts w:ascii="仿宋_GB2312" w:hAnsi="仿宋" w:eastAsia="仿宋_GB2312"/>
          <w:color w:val="auto"/>
          <w:kern w:val="0"/>
          <w:sz w:val="32"/>
          <w:szCs w:val="20"/>
          <w:u w:val="single"/>
        </w:rPr>
      </w:pPr>
    </w:p>
    <w:tbl>
      <w:tblPr>
        <w:tblStyle w:val="49"/>
        <w:tblpPr w:leftFromText="180" w:rightFromText="180" w:vertAnchor="text" w:horzAnchor="page" w:tblpX="1416" w:tblpY="222"/>
        <w:tblOverlap w:val="never"/>
        <w:tblW w:w="94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835"/>
        <w:gridCol w:w="2716"/>
        <w:gridCol w:w="2173"/>
        <w:gridCol w:w="1765"/>
        <w:gridCol w:w="928"/>
      </w:tblGrid>
      <w:tr w14:paraId="51440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11" w:hRule="atLeast"/>
        </w:trPr>
        <w:tc>
          <w:tcPr>
            <w:tcW w:w="1835" w:type="dxa"/>
            <w:tcBorders>
              <w:top w:val="single" w:color="auto" w:sz="4" w:space="0"/>
              <w:left w:val="single" w:color="auto" w:sz="4" w:space="0"/>
              <w:bottom w:val="single" w:color="auto" w:sz="4" w:space="0"/>
              <w:right w:val="single" w:color="auto" w:sz="4" w:space="0"/>
            </w:tcBorders>
            <w:vAlign w:val="center"/>
          </w:tcPr>
          <w:p w14:paraId="1E0E5E40">
            <w:pPr>
              <w:snapToGrid w:val="0"/>
              <w:spacing w:line="312" w:lineRule="auto"/>
              <w:jc w:val="center"/>
              <w:rPr>
                <w:rFonts w:ascii="仿宋_GB2312" w:hAnsi="仿宋" w:eastAsia="仿宋_GB2312"/>
                <w:color w:val="auto"/>
                <w:sz w:val="28"/>
                <w:szCs w:val="28"/>
              </w:rPr>
            </w:pPr>
            <w:r>
              <w:rPr>
                <w:rFonts w:hint="eastAsia" w:ascii="仿宋_GB2312" w:hAnsi="仿宋" w:eastAsia="仿宋_GB2312"/>
                <w:color w:val="auto"/>
                <w:sz w:val="28"/>
                <w:szCs w:val="28"/>
              </w:rPr>
              <w:t>项目名称</w:t>
            </w:r>
          </w:p>
        </w:tc>
        <w:tc>
          <w:tcPr>
            <w:tcW w:w="2716" w:type="dxa"/>
            <w:tcBorders>
              <w:top w:val="single" w:color="auto" w:sz="4" w:space="0"/>
              <w:left w:val="single" w:color="auto" w:sz="4" w:space="0"/>
              <w:bottom w:val="single" w:color="auto" w:sz="4" w:space="0"/>
              <w:right w:val="single" w:color="auto" w:sz="4" w:space="0"/>
            </w:tcBorders>
            <w:vAlign w:val="center"/>
          </w:tcPr>
          <w:p w14:paraId="271601D0">
            <w:pPr>
              <w:snapToGrid w:val="0"/>
              <w:spacing w:line="312" w:lineRule="auto"/>
              <w:jc w:val="center"/>
              <w:rPr>
                <w:rFonts w:ascii="仿宋_GB2312" w:hAnsi="仿宋" w:eastAsia="仿宋_GB2312"/>
                <w:color w:val="auto"/>
                <w:sz w:val="28"/>
                <w:szCs w:val="28"/>
              </w:rPr>
            </w:pPr>
            <w:r>
              <w:rPr>
                <w:rFonts w:hint="eastAsia" w:ascii="仿宋_GB2312" w:hAnsi="仿宋" w:eastAsia="仿宋_GB2312"/>
                <w:color w:val="auto"/>
                <w:sz w:val="28"/>
                <w:szCs w:val="28"/>
              </w:rPr>
              <w:t>项目负责人</w:t>
            </w:r>
          </w:p>
        </w:tc>
        <w:tc>
          <w:tcPr>
            <w:tcW w:w="2173" w:type="dxa"/>
            <w:tcBorders>
              <w:top w:val="single" w:color="auto" w:sz="4" w:space="0"/>
              <w:left w:val="single" w:color="auto" w:sz="4" w:space="0"/>
              <w:bottom w:val="single" w:color="auto" w:sz="4" w:space="0"/>
              <w:right w:val="single" w:color="auto" w:sz="4" w:space="0"/>
            </w:tcBorders>
            <w:vAlign w:val="center"/>
          </w:tcPr>
          <w:p w14:paraId="659DD28A">
            <w:pPr>
              <w:snapToGrid w:val="0"/>
              <w:spacing w:line="312" w:lineRule="auto"/>
              <w:jc w:val="center"/>
              <w:rPr>
                <w:rFonts w:ascii="仿宋_GB2312" w:hAnsi="仿宋" w:eastAsia="仿宋_GB2312"/>
                <w:color w:val="auto"/>
                <w:sz w:val="28"/>
                <w:szCs w:val="28"/>
              </w:rPr>
            </w:pPr>
            <w:r>
              <w:rPr>
                <w:rFonts w:hint="eastAsia" w:ascii="仿宋_GB2312" w:hAnsi="仿宋" w:eastAsia="仿宋_GB2312"/>
                <w:color w:val="auto"/>
                <w:sz w:val="28"/>
                <w:szCs w:val="28"/>
              </w:rPr>
              <w:t>交付期</w:t>
            </w:r>
          </w:p>
        </w:tc>
        <w:tc>
          <w:tcPr>
            <w:tcW w:w="1765" w:type="dxa"/>
            <w:tcBorders>
              <w:top w:val="single" w:color="auto" w:sz="4" w:space="0"/>
              <w:left w:val="single" w:color="auto" w:sz="4" w:space="0"/>
              <w:bottom w:val="single" w:color="auto" w:sz="4" w:space="0"/>
              <w:right w:val="single" w:color="auto" w:sz="4" w:space="0"/>
            </w:tcBorders>
            <w:vAlign w:val="center"/>
          </w:tcPr>
          <w:p w14:paraId="556421BF">
            <w:pPr>
              <w:snapToGrid w:val="0"/>
              <w:spacing w:line="312" w:lineRule="auto"/>
              <w:jc w:val="center"/>
              <w:rPr>
                <w:rFonts w:ascii="仿宋_GB2312" w:hAnsi="仿宋" w:eastAsia="仿宋_GB2312"/>
                <w:color w:val="auto"/>
                <w:sz w:val="28"/>
                <w:szCs w:val="28"/>
              </w:rPr>
            </w:pPr>
            <w:r>
              <w:rPr>
                <w:rFonts w:hint="eastAsia" w:ascii="仿宋_GB2312" w:hAnsi="仿宋" w:eastAsia="仿宋_GB2312"/>
                <w:color w:val="auto"/>
                <w:sz w:val="28"/>
                <w:szCs w:val="28"/>
              </w:rPr>
              <w:t>服务期</w:t>
            </w:r>
          </w:p>
        </w:tc>
        <w:tc>
          <w:tcPr>
            <w:tcW w:w="928" w:type="dxa"/>
            <w:tcBorders>
              <w:top w:val="single" w:color="auto" w:sz="4" w:space="0"/>
              <w:left w:val="single" w:color="auto" w:sz="4" w:space="0"/>
              <w:bottom w:val="single" w:color="auto" w:sz="4" w:space="0"/>
              <w:right w:val="single" w:color="auto" w:sz="4" w:space="0"/>
            </w:tcBorders>
            <w:vAlign w:val="center"/>
          </w:tcPr>
          <w:p w14:paraId="19E19F1F">
            <w:pPr>
              <w:snapToGrid w:val="0"/>
              <w:spacing w:line="312" w:lineRule="auto"/>
              <w:jc w:val="center"/>
              <w:rPr>
                <w:rFonts w:ascii="仿宋_GB2312" w:hAnsi="仿宋" w:eastAsia="仿宋_GB2312"/>
                <w:color w:val="auto"/>
                <w:sz w:val="28"/>
                <w:szCs w:val="28"/>
              </w:rPr>
            </w:pPr>
            <w:r>
              <w:rPr>
                <w:rFonts w:hint="eastAsia" w:ascii="仿宋_GB2312" w:hAnsi="仿宋" w:eastAsia="仿宋_GB2312"/>
                <w:color w:val="auto"/>
                <w:sz w:val="28"/>
                <w:szCs w:val="28"/>
              </w:rPr>
              <w:t>备注</w:t>
            </w:r>
          </w:p>
        </w:tc>
      </w:tr>
      <w:tr w14:paraId="43E80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11" w:hRule="atLeast"/>
        </w:trPr>
        <w:tc>
          <w:tcPr>
            <w:tcW w:w="1835" w:type="dxa"/>
            <w:tcBorders>
              <w:top w:val="single" w:color="auto" w:sz="4" w:space="0"/>
              <w:left w:val="single" w:color="auto" w:sz="4" w:space="0"/>
              <w:bottom w:val="single" w:color="auto" w:sz="4" w:space="0"/>
              <w:right w:val="single" w:color="auto" w:sz="4" w:space="0"/>
            </w:tcBorders>
            <w:vAlign w:val="center"/>
          </w:tcPr>
          <w:p w14:paraId="05EC85BF">
            <w:pPr>
              <w:spacing w:line="240" w:lineRule="atLeast"/>
              <w:jc w:val="center"/>
              <w:rPr>
                <w:rFonts w:ascii="仿宋_GB2312" w:hAnsi="仿宋" w:eastAsia="仿宋_GB2312"/>
                <w:color w:val="auto"/>
                <w:sz w:val="28"/>
                <w:szCs w:val="28"/>
              </w:rPr>
            </w:pPr>
          </w:p>
        </w:tc>
        <w:tc>
          <w:tcPr>
            <w:tcW w:w="2716" w:type="dxa"/>
            <w:tcBorders>
              <w:top w:val="single" w:color="auto" w:sz="4" w:space="0"/>
              <w:left w:val="single" w:color="auto" w:sz="4" w:space="0"/>
              <w:bottom w:val="single" w:color="auto" w:sz="4" w:space="0"/>
              <w:right w:val="single" w:color="auto" w:sz="4" w:space="0"/>
            </w:tcBorders>
            <w:vAlign w:val="center"/>
          </w:tcPr>
          <w:p w14:paraId="45F6E348">
            <w:pPr>
              <w:jc w:val="center"/>
              <w:rPr>
                <w:rFonts w:ascii="仿宋_GB2312" w:hAnsi="仿宋" w:eastAsia="仿宋_GB2312"/>
                <w:color w:val="auto"/>
                <w:sz w:val="28"/>
                <w:szCs w:val="28"/>
              </w:rPr>
            </w:pPr>
          </w:p>
        </w:tc>
        <w:tc>
          <w:tcPr>
            <w:tcW w:w="2173" w:type="dxa"/>
            <w:tcBorders>
              <w:top w:val="single" w:color="auto" w:sz="4" w:space="0"/>
              <w:left w:val="single" w:color="auto" w:sz="4" w:space="0"/>
              <w:bottom w:val="single" w:color="auto" w:sz="4" w:space="0"/>
              <w:right w:val="single" w:color="auto" w:sz="4" w:space="0"/>
            </w:tcBorders>
            <w:vAlign w:val="center"/>
          </w:tcPr>
          <w:p w14:paraId="36C7AC7B">
            <w:pPr>
              <w:snapToGrid w:val="0"/>
              <w:spacing w:line="312" w:lineRule="auto"/>
              <w:jc w:val="center"/>
              <w:rPr>
                <w:rFonts w:ascii="仿宋_GB2312" w:hAnsi="仿宋" w:eastAsia="仿宋_GB2312"/>
                <w:color w:val="auto"/>
                <w:sz w:val="28"/>
                <w:szCs w:val="28"/>
              </w:rPr>
            </w:pPr>
          </w:p>
        </w:tc>
        <w:tc>
          <w:tcPr>
            <w:tcW w:w="1765" w:type="dxa"/>
            <w:tcBorders>
              <w:top w:val="single" w:color="auto" w:sz="4" w:space="0"/>
              <w:left w:val="single" w:color="auto" w:sz="4" w:space="0"/>
              <w:bottom w:val="single" w:color="auto" w:sz="4" w:space="0"/>
              <w:right w:val="single" w:color="auto" w:sz="4" w:space="0"/>
            </w:tcBorders>
            <w:vAlign w:val="center"/>
          </w:tcPr>
          <w:p w14:paraId="78B6D0F2">
            <w:pPr>
              <w:snapToGrid w:val="0"/>
              <w:spacing w:line="312" w:lineRule="auto"/>
              <w:jc w:val="center"/>
              <w:rPr>
                <w:rFonts w:ascii="仿宋_GB2312" w:hAnsi="仿宋" w:eastAsia="仿宋_GB2312"/>
                <w:color w:val="auto"/>
                <w:sz w:val="28"/>
                <w:szCs w:val="28"/>
              </w:rPr>
            </w:pPr>
          </w:p>
        </w:tc>
        <w:tc>
          <w:tcPr>
            <w:tcW w:w="928" w:type="dxa"/>
            <w:tcBorders>
              <w:top w:val="single" w:color="auto" w:sz="4" w:space="0"/>
              <w:left w:val="single" w:color="auto" w:sz="4" w:space="0"/>
              <w:bottom w:val="single" w:color="auto" w:sz="4" w:space="0"/>
              <w:right w:val="single" w:color="auto" w:sz="4" w:space="0"/>
            </w:tcBorders>
            <w:vAlign w:val="center"/>
          </w:tcPr>
          <w:p w14:paraId="5E718E6E">
            <w:pPr>
              <w:snapToGrid w:val="0"/>
              <w:spacing w:line="312" w:lineRule="auto"/>
              <w:jc w:val="center"/>
              <w:rPr>
                <w:rFonts w:ascii="仿宋_GB2312" w:hAnsi="仿宋" w:eastAsia="仿宋_GB2312"/>
                <w:color w:val="auto"/>
                <w:sz w:val="28"/>
                <w:szCs w:val="28"/>
              </w:rPr>
            </w:pPr>
          </w:p>
        </w:tc>
      </w:tr>
      <w:tr w14:paraId="008FD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46" w:hRule="atLeast"/>
        </w:trPr>
        <w:tc>
          <w:tcPr>
            <w:tcW w:w="1835" w:type="dxa"/>
            <w:vMerge w:val="restart"/>
            <w:tcBorders>
              <w:top w:val="single" w:color="auto" w:sz="4" w:space="0"/>
              <w:left w:val="single" w:color="auto" w:sz="4" w:space="0"/>
              <w:right w:val="single" w:color="auto" w:sz="4" w:space="0"/>
            </w:tcBorders>
            <w:vAlign w:val="center"/>
          </w:tcPr>
          <w:p w14:paraId="6955272C">
            <w:pPr>
              <w:snapToGrid w:val="0"/>
              <w:spacing w:line="312" w:lineRule="auto"/>
              <w:jc w:val="center"/>
              <w:rPr>
                <w:rFonts w:ascii="仿宋_GB2312" w:hAnsi="仿宋" w:eastAsia="仿宋_GB2312"/>
                <w:color w:val="auto"/>
                <w:sz w:val="28"/>
                <w:szCs w:val="28"/>
              </w:rPr>
            </w:pPr>
            <w:r>
              <w:rPr>
                <w:rFonts w:hint="eastAsia" w:ascii="仿宋_GB2312" w:hAnsi="仿宋" w:eastAsia="仿宋_GB2312"/>
                <w:b/>
                <w:color w:val="auto"/>
                <w:sz w:val="28"/>
                <w:szCs w:val="28"/>
              </w:rPr>
              <w:t>单价（元）</w:t>
            </w:r>
          </w:p>
        </w:tc>
        <w:tc>
          <w:tcPr>
            <w:tcW w:w="7582" w:type="dxa"/>
            <w:gridSpan w:val="4"/>
            <w:tcBorders>
              <w:top w:val="single" w:color="auto" w:sz="4" w:space="0"/>
              <w:left w:val="single" w:color="auto" w:sz="4" w:space="0"/>
              <w:bottom w:val="single" w:color="auto" w:sz="4" w:space="0"/>
              <w:right w:val="single" w:color="auto" w:sz="4" w:space="0"/>
            </w:tcBorders>
            <w:vAlign w:val="center"/>
          </w:tcPr>
          <w:p w14:paraId="01E866A7">
            <w:pPr>
              <w:snapToGrid w:val="0"/>
              <w:spacing w:line="312" w:lineRule="auto"/>
              <w:rPr>
                <w:rFonts w:ascii="仿宋_GB2312" w:hAnsi="仿宋" w:eastAsia="仿宋_GB2312"/>
                <w:color w:val="auto"/>
                <w:sz w:val="28"/>
                <w:szCs w:val="28"/>
              </w:rPr>
            </w:pPr>
          </w:p>
        </w:tc>
      </w:tr>
      <w:tr w14:paraId="021B1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11" w:hRule="atLeast"/>
        </w:trPr>
        <w:tc>
          <w:tcPr>
            <w:tcW w:w="1835" w:type="dxa"/>
            <w:vMerge w:val="restart"/>
            <w:tcBorders>
              <w:top w:val="single" w:color="auto" w:sz="4" w:space="0"/>
              <w:left w:val="single" w:color="auto" w:sz="4" w:space="0"/>
              <w:right w:val="single" w:color="auto" w:sz="4" w:space="0"/>
            </w:tcBorders>
            <w:vAlign w:val="center"/>
          </w:tcPr>
          <w:p w14:paraId="5C55B2E9">
            <w:pPr>
              <w:snapToGrid w:val="0"/>
              <w:spacing w:line="312" w:lineRule="auto"/>
              <w:jc w:val="center"/>
              <w:rPr>
                <w:rFonts w:ascii="仿宋_GB2312" w:hAnsi="仿宋" w:eastAsia="仿宋_GB2312"/>
                <w:b/>
                <w:color w:val="auto"/>
                <w:sz w:val="28"/>
                <w:szCs w:val="28"/>
              </w:rPr>
            </w:pPr>
            <w:r>
              <w:rPr>
                <w:rFonts w:hint="eastAsia" w:ascii="仿宋_GB2312" w:hAnsi="仿宋" w:eastAsia="仿宋_GB2312"/>
                <w:b/>
                <w:color w:val="auto"/>
                <w:sz w:val="28"/>
                <w:szCs w:val="28"/>
              </w:rPr>
              <w:t>总报价（元）</w:t>
            </w:r>
          </w:p>
        </w:tc>
        <w:tc>
          <w:tcPr>
            <w:tcW w:w="7582" w:type="dxa"/>
            <w:gridSpan w:val="4"/>
            <w:tcBorders>
              <w:top w:val="single" w:color="auto" w:sz="4" w:space="0"/>
              <w:left w:val="single" w:color="auto" w:sz="4" w:space="0"/>
              <w:bottom w:val="single" w:color="auto" w:sz="4" w:space="0"/>
              <w:right w:val="single" w:color="auto" w:sz="4" w:space="0"/>
            </w:tcBorders>
            <w:vAlign w:val="center"/>
          </w:tcPr>
          <w:p w14:paraId="23CC72BE">
            <w:pPr>
              <w:snapToGrid w:val="0"/>
              <w:spacing w:line="312" w:lineRule="auto"/>
              <w:rPr>
                <w:rFonts w:ascii="仿宋_GB2312" w:hAnsi="仿宋" w:eastAsia="仿宋_GB2312"/>
                <w:color w:val="auto"/>
                <w:sz w:val="28"/>
                <w:szCs w:val="28"/>
              </w:rPr>
            </w:pPr>
            <w:r>
              <w:rPr>
                <w:rFonts w:hint="eastAsia" w:ascii="仿宋_GB2312" w:hAnsi="仿宋" w:eastAsia="仿宋_GB2312"/>
                <w:color w:val="auto"/>
                <w:sz w:val="28"/>
                <w:szCs w:val="28"/>
              </w:rPr>
              <w:t>小写：</w:t>
            </w:r>
          </w:p>
        </w:tc>
      </w:tr>
      <w:tr w14:paraId="3D747C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21" w:hRule="atLeast"/>
        </w:trPr>
        <w:tc>
          <w:tcPr>
            <w:tcW w:w="1835" w:type="dxa"/>
            <w:vMerge w:val="continue"/>
            <w:tcBorders>
              <w:left w:val="single" w:color="auto" w:sz="4" w:space="0"/>
              <w:bottom w:val="single" w:color="auto" w:sz="4" w:space="0"/>
              <w:right w:val="single" w:color="auto" w:sz="4" w:space="0"/>
            </w:tcBorders>
            <w:vAlign w:val="center"/>
          </w:tcPr>
          <w:p w14:paraId="6A6E18DA">
            <w:pPr>
              <w:snapToGrid w:val="0"/>
              <w:spacing w:line="312" w:lineRule="auto"/>
              <w:jc w:val="center"/>
              <w:rPr>
                <w:rFonts w:ascii="仿宋_GB2312" w:hAnsi="仿宋" w:eastAsia="仿宋_GB2312"/>
                <w:b/>
                <w:color w:val="auto"/>
                <w:sz w:val="28"/>
                <w:szCs w:val="28"/>
              </w:rPr>
            </w:pPr>
          </w:p>
        </w:tc>
        <w:tc>
          <w:tcPr>
            <w:tcW w:w="7582" w:type="dxa"/>
            <w:gridSpan w:val="4"/>
            <w:tcBorders>
              <w:top w:val="single" w:color="auto" w:sz="4" w:space="0"/>
              <w:left w:val="single" w:color="auto" w:sz="4" w:space="0"/>
              <w:bottom w:val="single" w:color="auto" w:sz="4" w:space="0"/>
              <w:right w:val="single" w:color="auto" w:sz="4" w:space="0"/>
            </w:tcBorders>
            <w:vAlign w:val="center"/>
          </w:tcPr>
          <w:p w14:paraId="12046C6C">
            <w:pPr>
              <w:snapToGrid w:val="0"/>
              <w:spacing w:line="312" w:lineRule="auto"/>
              <w:rPr>
                <w:rFonts w:ascii="仿宋_GB2312" w:hAnsi="仿宋" w:eastAsia="仿宋_GB2312"/>
                <w:color w:val="auto"/>
                <w:sz w:val="28"/>
                <w:szCs w:val="28"/>
              </w:rPr>
            </w:pPr>
            <w:r>
              <w:rPr>
                <w:rFonts w:hint="eastAsia" w:ascii="仿宋_GB2312" w:hAnsi="仿宋" w:eastAsia="仿宋_GB2312"/>
                <w:color w:val="auto"/>
                <w:sz w:val="28"/>
                <w:szCs w:val="28"/>
              </w:rPr>
              <w:t>大写：</w:t>
            </w:r>
          </w:p>
        </w:tc>
      </w:tr>
    </w:tbl>
    <w:p w14:paraId="57E06740">
      <w:pPr>
        <w:pStyle w:val="294"/>
        <w:spacing w:line="360" w:lineRule="auto"/>
        <w:rPr>
          <w:rFonts w:ascii="仿宋_GB2312" w:hAnsi="仿宋" w:eastAsia="仿宋_GB2312"/>
          <w:b/>
          <w:color w:val="auto"/>
          <w:sz w:val="24"/>
        </w:rPr>
      </w:pPr>
    </w:p>
    <w:p w14:paraId="40851279">
      <w:pPr>
        <w:pStyle w:val="294"/>
        <w:spacing w:line="360" w:lineRule="auto"/>
        <w:rPr>
          <w:rFonts w:ascii="仿宋_GB2312" w:hAnsi="仿宋" w:eastAsia="仿宋_GB2312"/>
          <w:b/>
          <w:color w:val="auto"/>
          <w:sz w:val="24"/>
        </w:rPr>
      </w:pPr>
      <w:r>
        <w:rPr>
          <w:rFonts w:hint="eastAsia" w:ascii="仿宋_GB2312" w:hAnsi="仿宋" w:eastAsia="仿宋_GB2312"/>
          <w:b/>
          <w:color w:val="auto"/>
          <w:sz w:val="24"/>
        </w:rPr>
        <w:t>说明：1.投标单位严格按照规定的格式填写，并须经法定代表人或法人授权代表签字并加盖公章，否则，投标无效。</w:t>
      </w:r>
    </w:p>
    <w:p w14:paraId="4D68F423">
      <w:pPr>
        <w:pStyle w:val="294"/>
        <w:spacing w:line="360" w:lineRule="auto"/>
        <w:rPr>
          <w:rFonts w:ascii="仿宋_GB2312" w:hAnsi="仿宋" w:eastAsia="仿宋_GB2312"/>
          <w:b/>
          <w:color w:val="auto"/>
          <w:sz w:val="24"/>
        </w:rPr>
      </w:pPr>
      <w:r>
        <w:rPr>
          <w:rFonts w:hint="eastAsia" w:ascii="仿宋_GB2312" w:hAnsi="仿宋" w:eastAsia="仿宋_GB2312"/>
          <w:b/>
          <w:color w:val="auto"/>
          <w:sz w:val="24"/>
        </w:rPr>
        <w:t>2.符合采购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7C35156">
      <w:pPr>
        <w:pStyle w:val="294"/>
        <w:spacing w:line="360" w:lineRule="auto"/>
        <w:rPr>
          <w:rFonts w:ascii="仿宋_GB2312" w:hAnsi="仿宋" w:eastAsia="仿宋_GB2312"/>
          <w:color w:val="auto"/>
          <w:sz w:val="24"/>
        </w:rPr>
      </w:pPr>
      <w:r>
        <w:rPr>
          <w:rFonts w:hint="eastAsia" w:ascii="仿宋_GB2312" w:hAnsi="仿宋" w:eastAsia="仿宋_GB2312"/>
          <w:color w:val="auto"/>
          <w:sz w:val="24"/>
        </w:rPr>
        <w:t xml:space="preserve">    </w:t>
      </w:r>
    </w:p>
    <w:p w14:paraId="3034DEFE">
      <w:pPr>
        <w:pStyle w:val="294"/>
        <w:spacing w:line="360" w:lineRule="auto"/>
        <w:rPr>
          <w:rFonts w:ascii="仿宋_GB2312" w:hAnsi="仿宋" w:eastAsia="仿宋_GB2312"/>
          <w:b/>
          <w:color w:val="auto"/>
          <w:sz w:val="24"/>
        </w:rPr>
      </w:pPr>
    </w:p>
    <w:p w14:paraId="69116361">
      <w:pPr>
        <w:pStyle w:val="294"/>
        <w:spacing w:line="360" w:lineRule="auto"/>
        <w:rPr>
          <w:rFonts w:ascii="仿宋_GB2312" w:hAnsi="仿宋" w:eastAsia="仿宋_GB2312"/>
          <w:color w:val="auto"/>
          <w:sz w:val="24"/>
        </w:rPr>
      </w:pPr>
      <w:r>
        <w:rPr>
          <w:rFonts w:hint="eastAsia" w:ascii="仿宋_GB2312" w:hAnsi="仿宋" w:eastAsia="仿宋_GB2312"/>
          <w:color w:val="auto"/>
          <w:sz w:val="24"/>
        </w:rPr>
        <w:t xml:space="preserve">    </w:t>
      </w:r>
    </w:p>
    <w:p w14:paraId="2D850FBA">
      <w:pPr>
        <w:pStyle w:val="232"/>
        <w:spacing w:line="500" w:lineRule="exact"/>
        <w:rPr>
          <w:rFonts w:ascii="仿宋_GB2312" w:hAnsi="仿宋" w:eastAsia="仿宋_GB2312"/>
          <w:color w:val="auto"/>
          <w:sz w:val="24"/>
          <w:szCs w:val="24"/>
        </w:rPr>
      </w:pPr>
      <w:r>
        <w:rPr>
          <w:rFonts w:hint="eastAsia" w:ascii="仿宋_GB2312" w:hAnsi="仿宋" w:eastAsia="仿宋_GB2312"/>
          <w:color w:val="auto"/>
          <w:sz w:val="24"/>
          <w:szCs w:val="24"/>
        </w:rPr>
        <w:t>投标单位（电子签章）：</w:t>
      </w:r>
      <w:r>
        <w:rPr>
          <w:rFonts w:hint="eastAsia" w:ascii="仿宋_GB2312" w:hAnsi="仿宋" w:eastAsia="仿宋_GB2312"/>
          <w:color w:val="auto"/>
          <w:sz w:val="24"/>
          <w:szCs w:val="24"/>
          <w:u w:val="single"/>
        </w:rPr>
        <w:t xml:space="preserve">               </w:t>
      </w:r>
    </w:p>
    <w:p w14:paraId="5346EB77">
      <w:pPr>
        <w:pStyle w:val="232"/>
        <w:spacing w:line="500" w:lineRule="exact"/>
        <w:rPr>
          <w:rFonts w:ascii="仿宋_GB2312" w:hAnsi="仿宋" w:eastAsia="仿宋_GB2312"/>
          <w:color w:val="auto"/>
          <w:sz w:val="24"/>
          <w:szCs w:val="24"/>
        </w:rPr>
      </w:pPr>
      <w:r>
        <w:rPr>
          <w:rFonts w:hint="eastAsia" w:ascii="仿宋_GB2312" w:hAnsi="仿宋" w:eastAsia="仿宋_GB2312"/>
          <w:color w:val="auto"/>
          <w:sz w:val="24"/>
          <w:szCs w:val="24"/>
        </w:rPr>
        <w:t>法定代表人（电子签名）：</w:t>
      </w:r>
      <w:r>
        <w:rPr>
          <w:rFonts w:hint="eastAsia" w:ascii="仿宋_GB2312" w:hAnsi="仿宋" w:eastAsia="仿宋_GB2312"/>
          <w:color w:val="auto"/>
          <w:sz w:val="24"/>
          <w:szCs w:val="24"/>
          <w:u w:val="single"/>
        </w:rPr>
        <w:t xml:space="preserve">       </w:t>
      </w:r>
    </w:p>
    <w:p w14:paraId="3D178991">
      <w:pPr>
        <w:pStyle w:val="232"/>
        <w:spacing w:line="500" w:lineRule="exact"/>
        <w:rPr>
          <w:rFonts w:ascii="仿宋_GB2312" w:hAnsi="仿宋" w:eastAsia="仿宋_GB2312"/>
          <w:color w:val="auto"/>
          <w:sz w:val="24"/>
          <w:szCs w:val="24"/>
        </w:rPr>
      </w:pPr>
      <w:r>
        <w:rPr>
          <w:rFonts w:hint="eastAsia" w:ascii="仿宋_GB2312" w:hAnsi="仿宋" w:eastAsia="仿宋_GB2312"/>
          <w:color w:val="auto"/>
          <w:sz w:val="24"/>
          <w:szCs w:val="24"/>
        </w:rPr>
        <w:t>签发日期：</w:t>
      </w:r>
      <w:r>
        <w:rPr>
          <w:rFonts w:hint="eastAsia" w:ascii="仿宋_GB2312" w:hAnsi="仿宋" w:eastAsia="仿宋_GB2312"/>
          <w:color w:val="auto"/>
          <w:sz w:val="24"/>
          <w:szCs w:val="24"/>
          <w:u w:val="single"/>
        </w:rPr>
        <w:t xml:space="preserve">       </w:t>
      </w:r>
      <w:r>
        <w:rPr>
          <w:rFonts w:hint="eastAsia" w:ascii="仿宋_GB2312" w:hAnsi="仿宋" w:eastAsia="仿宋_GB2312"/>
          <w:color w:val="auto"/>
          <w:sz w:val="24"/>
          <w:szCs w:val="24"/>
        </w:rPr>
        <w:t>年</w:t>
      </w:r>
      <w:r>
        <w:rPr>
          <w:rFonts w:hint="eastAsia" w:ascii="仿宋_GB2312" w:hAnsi="仿宋" w:eastAsia="仿宋_GB2312"/>
          <w:color w:val="auto"/>
          <w:sz w:val="24"/>
          <w:szCs w:val="24"/>
          <w:u w:val="single"/>
        </w:rPr>
        <w:t xml:space="preserve">     </w:t>
      </w:r>
      <w:r>
        <w:rPr>
          <w:rFonts w:hint="eastAsia" w:ascii="仿宋_GB2312" w:hAnsi="仿宋" w:eastAsia="仿宋_GB2312"/>
          <w:color w:val="auto"/>
          <w:sz w:val="24"/>
          <w:szCs w:val="24"/>
        </w:rPr>
        <w:t>月</w:t>
      </w:r>
      <w:r>
        <w:rPr>
          <w:rFonts w:hint="eastAsia" w:ascii="仿宋_GB2312" w:hAnsi="仿宋" w:eastAsia="仿宋_GB2312"/>
          <w:color w:val="auto"/>
          <w:sz w:val="24"/>
          <w:szCs w:val="24"/>
          <w:u w:val="single"/>
        </w:rPr>
        <w:t xml:space="preserve">     </w:t>
      </w:r>
      <w:r>
        <w:rPr>
          <w:rFonts w:hint="eastAsia" w:ascii="仿宋_GB2312" w:hAnsi="仿宋" w:eastAsia="仿宋_GB2312"/>
          <w:color w:val="auto"/>
          <w:sz w:val="24"/>
          <w:szCs w:val="24"/>
        </w:rPr>
        <w:t>日</w:t>
      </w:r>
    </w:p>
    <w:p w14:paraId="39F86E2D">
      <w:pPr>
        <w:pStyle w:val="288"/>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sectPr>
          <w:pgSz w:w="11906" w:h="16838"/>
          <w:pgMar w:top="1247" w:right="1418" w:bottom="1276" w:left="1418" w:header="851" w:footer="992" w:gutter="0"/>
          <w:cols w:space="720" w:num="1"/>
          <w:titlePg/>
          <w:docGrid w:linePitch="312" w:charSpace="0"/>
        </w:sectPr>
      </w:pPr>
    </w:p>
    <w:p w14:paraId="49811116">
      <w:pPr>
        <w:pStyle w:val="288"/>
        <w:keepNext w:val="0"/>
        <w:pageBreakBefore w:val="0"/>
        <w:tabs>
          <w:tab w:val="clear" w:pos="720"/>
        </w:tabs>
        <w:adjustRightInd w:val="0"/>
        <w:snapToGrid w:val="0"/>
        <w:spacing w:before="120" w:after="120"/>
        <w:outlineLvl w:val="9"/>
        <w:rPr>
          <w:rFonts w:ascii="仿宋" w:hAnsi="仿宋" w:eastAsia="仿宋" w:cs="仿宋"/>
          <w:color w:val="auto"/>
          <w:kern w:val="0"/>
          <w:sz w:val="32"/>
          <w:szCs w:val="32"/>
        </w:rPr>
      </w:pPr>
      <w:r>
        <w:rPr>
          <w:rFonts w:hint="eastAsia" w:ascii="仿宋" w:hAnsi="仿宋" w:eastAsia="仿宋" w:cs="仿宋"/>
          <w:color w:val="auto"/>
          <w:kern w:val="0"/>
          <w:sz w:val="32"/>
          <w:szCs w:val="32"/>
        </w:rPr>
        <w:t>中小企业声明函</w:t>
      </w:r>
    </w:p>
    <w:p w14:paraId="7F56A21B">
      <w:pPr>
        <w:widowControl/>
        <w:spacing w:line="360" w:lineRule="auto"/>
        <w:ind w:firstLine="361" w:firstLineChars="150"/>
        <w:jc w:val="left"/>
        <w:rPr>
          <w:rFonts w:ascii="仿宋" w:hAnsi="仿宋" w:cs="仿宋"/>
          <w:b/>
          <w:color w:val="auto"/>
          <w:kern w:val="0"/>
          <w:sz w:val="36"/>
          <w:szCs w:val="36"/>
        </w:rPr>
      </w:pPr>
      <w:r>
        <w:rPr>
          <w:rFonts w:hint="eastAsia" w:ascii="仿宋" w:hAnsi="仿宋" w:cs="仿宋"/>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w:t>
      </w:r>
    </w:p>
    <w:p w14:paraId="339F0BA9">
      <w:pPr>
        <w:jc w:val="center"/>
        <w:rPr>
          <w:rFonts w:ascii="仿宋" w:hAnsi="仿宋" w:cs="仿宋"/>
          <w:b/>
          <w:color w:val="auto"/>
          <w:kern w:val="0"/>
          <w:sz w:val="32"/>
          <w:szCs w:val="32"/>
        </w:rPr>
      </w:pPr>
      <w:r>
        <w:rPr>
          <w:rFonts w:hint="eastAsia" w:ascii="宋体" w:hAnsi="宋体"/>
          <w:b/>
          <w:bCs/>
          <w:color w:val="auto"/>
          <w:sz w:val="28"/>
          <w:szCs w:val="28"/>
        </w:rPr>
        <w:br w:type="page"/>
      </w:r>
      <w:r>
        <w:rPr>
          <w:rFonts w:hint="eastAsia" w:ascii="仿宋" w:hAnsi="仿宋" w:cs="仿宋"/>
          <w:b/>
          <w:color w:val="auto"/>
          <w:kern w:val="0"/>
          <w:sz w:val="32"/>
          <w:szCs w:val="32"/>
        </w:rPr>
        <w:t>七、</w:t>
      </w:r>
      <w:r>
        <w:rPr>
          <w:rFonts w:hint="eastAsia" w:ascii="仿宋" w:hAnsi="仿宋" w:cs="仿宋"/>
          <w:b/>
          <w:color w:val="auto"/>
          <w:kern w:val="0"/>
          <w:sz w:val="32"/>
          <w:szCs w:val="32"/>
          <w:lang w:val="zh-CN"/>
        </w:rPr>
        <w:t>政府采购供应商廉洁自律承诺书</w:t>
      </w:r>
    </w:p>
    <w:p w14:paraId="5432C368">
      <w:pPr>
        <w:snapToGrid w:val="0"/>
        <w:spacing w:line="360" w:lineRule="auto"/>
        <w:rPr>
          <w:rFonts w:ascii="仿宋" w:hAnsi="仿宋" w:cs="仿宋"/>
          <w:color w:val="auto"/>
          <w:sz w:val="24"/>
        </w:rPr>
      </w:pPr>
    </w:p>
    <w:p w14:paraId="53957B05">
      <w:pPr>
        <w:snapToGrid w:val="0"/>
        <w:spacing w:line="360" w:lineRule="auto"/>
        <w:rPr>
          <w:rFonts w:ascii="仿宋" w:hAnsi="仿宋" w:cs="仿宋"/>
          <w:color w:val="auto"/>
          <w:kern w:val="0"/>
          <w:sz w:val="24"/>
        </w:rPr>
      </w:pPr>
      <w:r>
        <w:rPr>
          <w:rFonts w:hint="eastAsia" w:ascii="仿宋" w:hAnsi="仿宋" w:cs="仿宋"/>
          <w:color w:val="auto"/>
          <w:sz w:val="24"/>
        </w:rPr>
        <w:t>（采购人）（采购代理机构）</w:t>
      </w:r>
      <w:r>
        <w:rPr>
          <w:rFonts w:hint="eastAsia" w:ascii="仿宋" w:hAnsi="仿宋" w:cs="仿宋"/>
          <w:color w:val="auto"/>
          <w:kern w:val="0"/>
          <w:sz w:val="24"/>
          <w:lang w:val="zh-CN"/>
        </w:rPr>
        <w:t>：</w:t>
      </w:r>
    </w:p>
    <w:p w14:paraId="4F5560D5">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我单位响应你</w:t>
      </w:r>
      <w:r>
        <w:rPr>
          <w:rFonts w:hint="eastAsia" w:ascii="仿宋" w:hAnsi="仿宋" w:cs="仿宋"/>
          <w:color w:val="auto"/>
          <w:sz w:val="24"/>
        </w:rPr>
        <w:t>单位</w:t>
      </w:r>
      <w:r>
        <w:rPr>
          <w:rFonts w:hint="eastAsia" w:ascii="仿宋" w:hAnsi="仿宋" w:cs="仿宋"/>
          <w:color w:val="auto"/>
          <w:kern w:val="0"/>
          <w:sz w:val="24"/>
          <w:lang w:val="zh-CN"/>
        </w:rPr>
        <w:t>项目招标要求参加投标。在这次投标过程中和中标后，我们将严格遵守国家法律法规要求，并郑重承诺：</w:t>
      </w:r>
    </w:p>
    <w:p w14:paraId="3460ABA2">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 xml:space="preserve">一、不向项目有关人员及部门赠送礼金礼物、有价证券、回扣以及中介费、介绍费、咨询费等好处费； </w:t>
      </w:r>
    </w:p>
    <w:p w14:paraId="7BFEC543">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 xml:space="preserve">二、不为项目有关人员及部门报销应由你方单位或个人支付的费用； </w:t>
      </w:r>
    </w:p>
    <w:p w14:paraId="69F2381D">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 xml:space="preserve">三、不向项目有关人员及部门提供有可能影响公正的宴请和健身娱乐等活动； </w:t>
      </w:r>
    </w:p>
    <w:p w14:paraId="286B7722">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四、不为项目有关人员及部门出国（境）、旅游等提供方便；</w:t>
      </w:r>
    </w:p>
    <w:p w14:paraId="6824AB98">
      <w:pPr>
        <w:autoSpaceDE w:val="0"/>
        <w:autoSpaceDN w:val="0"/>
        <w:spacing w:line="360" w:lineRule="auto"/>
        <w:ind w:left="481" w:leftChars="229"/>
        <w:jc w:val="left"/>
        <w:rPr>
          <w:rFonts w:ascii="仿宋" w:hAnsi="仿宋" w:cs="仿宋"/>
          <w:color w:val="auto"/>
          <w:kern w:val="0"/>
          <w:sz w:val="24"/>
          <w:lang w:val="zh-CN"/>
        </w:rPr>
      </w:pPr>
      <w:r>
        <w:rPr>
          <w:rFonts w:hint="eastAsia" w:ascii="仿宋" w:hAnsi="仿宋" w:cs="仿宋"/>
          <w:color w:val="auto"/>
          <w:kern w:val="0"/>
          <w:sz w:val="24"/>
          <w:lang w:val="zh-CN"/>
        </w:rPr>
        <w:t>五、不为项目有关人员个人装修住房、婚丧嫁娶、配偶子女工作安排等提供</w:t>
      </w:r>
    </w:p>
    <w:p w14:paraId="5BF83D63">
      <w:pPr>
        <w:autoSpaceDE w:val="0"/>
        <w:autoSpaceDN w:val="0"/>
        <w:spacing w:line="560" w:lineRule="exact"/>
        <w:jc w:val="left"/>
        <w:rPr>
          <w:rFonts w:ascii="仿宋" w:hAnsi="仿宋" w:cs="仿宋"/>
          <w:color w:val="auto"/>
          <w:kern w:val="0"/>
          <w:sz w:val="24"/>
          <w:lang w:val="zh-CN"/>
        </w:rPr>
      </w:pPr>
      <w:r>
        <w:rPr>
          <w:rFonts w:hint="eastAsia" w:ascii="仿宋" w:hAnsi="仿宋" w:cs="仿宋"/>
          <w:color w:val="auto"/>
          <w:kern w:val="0"/>
          <w:sz w:val="24"/>
          <w:lang w:val="zh-CN"/>
        </w:rPr>
        <w:t>好处；</w:t>
      </w:r>
    </w:p>
    <w:p w14:paraId="34B37FCF">
      <w:pPr>
        <w:autoSpaceDE w:val="0"/>
        <w:autoSpaceDN w:val="0"/>
        <w:spacing w:line="560" w:lineRule="exact"/>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六、严格遵守《</w:t>
      </w:r>
      <w:r>
        <w:rPr>
          <w:rFonts w:hint="eastAsia" w:ascii="仿宋" w:hAnsi="仿宋" w:cs="仿宋"/>
          <w:color w:val="auto"/>
          <w:sz w:val="24"/>
          <w:lang w:val="zh-CN"/>
        </w:rPr>
        <w:t>中华人民共和国</w:t>
      </w:r>
      <w:r>
        <w:rPr>
          <w:rFonts w:hint="eastAsia" w:ascii="仿宋" w:hAnsi="仿宋" w:cs="仿宋"/>
          <w:color w:val="auto"/>
          <w:kern w:val="0"/>
          <w:sz w:val="24"/>
          <w:lang w:val="zh-CN"/>
        </w:rPr>
        <w:t>政府采购法》《</w:t>
      </w:r>
      <w:r>
        <w:rPr>
          <w:rFonts w:hint="eastAsia" w:ascii="仿宋" w:hAnsi="仿宋" w:cs="仿宋"/>
          <w:color w:val="auto"/>
          <w:sz w:val="24"/>
          <w:lang w:val="zh-CN"/>
        </w:rPr>
        <w:t>中华人民共和国</w:t>
      </w:r>
      <w:r>
        <w:rPr>
          <w:rFonts w:hint="eastAsia" w:ascii="仿宋" w:hAnsi="仿宋" w:cs="仿宋"/>
          <w:color w:val="auto"/>
          <w:kern w:val="0"/>
          <w:sz w:val="24"/>
          <w:lang w:val="zh-CN"/>
        </w:rPr>
        <w:t>招标投标法》</w:t>
      </w:r>
      <w:r>
        <w:rPr>
          <w:rFonts w:hint="eastAsia" w:ascii="仿宋" w:hAnsi="仿宋" w:cs="仿宋"/>
          <w:color w:val="auto"/>
          <w:sz w:val="24"/>
          <w:lang w:val="zh-CN"/>
        </w:rPr>
        <w:t>《中</w:t>
      </w:r>
      <w:r>
        <w:rPr>
          <w:rFonts w:hint="eastAsia" w:ascii="仿宋" w:hAnsi="仿宋" w:cs="仿宋"/>
          <w:color w:val="auto"/>
          <w:kern w:val="0"/>
          <w:sz w:val="24"/>
          <w:lang w:val="zh-CN"/>
        </w:rPr>
        <w:t xml:space="preserve">华人民共和国民法典》等法律法规，诚实守信，合法经营，坚决抵制各种违法违纪行为。 </w:t>
      </w:r>
    </w:p>
    <w:p w14:paraId="48C0CC33">
      <w:pPr>
        <w:autoSpaceDE w:val="0"/>
        <w:autoSpaceDN w:val="0"/>
        <w:spacing w:line="560" w:lineRule="exact"/>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14:paraId="7669A22F">
      <w:pPr>
        <w:autoSpaceDE w:val="0"/>
        <w:autoSpaceDN w:val="0"/>
        <w:spacing w:line="360" w:lineRule="auto"/>
        <w:ind w:left="2"/>
        <w:jc w:val="left"/>
        <w:rPr>
          <w:rFonts w:ascii="仿宋" w:hAnsi="仿宋" w:cs="仿宋"/>
          <w:color w:val="auto"/>
          <w:kern w:val="0"/>
          <w:sz w:val="24"/>
          <w:lang w:val="zh-CN"/>
        </w:rPr>
      </w:pPr>
    </w:p>
    <w:p w14:paraId="058F0EA3">
      <w:pPr>
        <w:autoSpaceDE w:val="0"/>
        <w:autoSpaceDN w:val="0"/>
        <w:spacing w:line="360" w:lineRule="auto"/>
        <w:ind w:left="2"/>
        <w:jc w:val="left"/>
        <w:rPr>
          <w:rFonts w:ascii="仿宋" w:hAnsi="仿宋" w:cs="仿宋"/>
          <w:color w:val="auto"/>
          <w:kern w:val="0"/>
          <w:sz w:val="24"/>
          <w:lang w:val="zh-CN"/>
        </w:rPr>
      </w:pPr>
    </w:p>
    <w:p w14:paraId="65184134">
      <w:pPr>
        <w:autoSpaceDE w:val="0"/>
        <w:autoSpaceDN w:val="0"/>
        <w:spacing w:line="360" w:lineRule="auto"/>
        <w:ind w:left="2"/>
        <w:jc w:val="left"/>
        <w:rPr>
          <w:rFonts w:ascii="仿宋" w:hAnsi="仿宋" w:cs="仿宋"/>
          <w:color w:val="auto"/>
          <w:kern w:val="0"/>
          <w:sz w:val="24"/>
          <w:lang w:val="zh-CN"/>
        </w:rPr>
      </w:pPr>
    </w:p>
    <w:p w14:paraId="790C4224">
      <w:pPr>
        <w:autoSpaceDE w:val="0"/>
        <w:autoSpaceDN w:val="0"/>
        <w:spacing w:line="360" w:lineRule="auto"/>
        <w:ind w:left="2" w:leftChars="1" w:right="1120" w:firstLine="4560" w:firstLineChars="1900"/>
        <w:jc w:val="left"/>
        <w:rPr>
          <w:rFonts w:ascii="仿宋" w:hAnsi="仿宋" w:cs="仿宋"/>
          <w:color w:val="auto"/>
          <w:kern w:val="0"/>
          <w:sz w:val="24"/>
          <w:lang w:val="zh-CN"/>
        </w:rPr>
      </w:pPr>
      <w:r>
        <w:rPr>
          <w:rFonts w:hint="eastAsia" w:ascii="仿宋" w:hAnsi="仿宋" w:cs="仿宋"/>
          <w:color w:val="auto"/>
          <w:kern w:val="0"/>
          <w:sz w:val="24"/>
          <w:lang w:val="zh-CN"/>
        </w:rPr>
        <w:t>投标人名称（</w:t>
      </w:r>
      <w:r>
        <w:rPr>
          <w:rFonts w:hint="eastAsia" w:ascii="仿宋" w:hAnsi="仿宋" w:cs="仿宋"/>
          <w:color w:val="auto"/>
          <w:sz w:val="24"/>
        </w:rPr>
        <w:t>电子签名</w:t>
      </w:r>
      <w:r>
        <w:rPr>
          <w:rFonts w:hint="eastAsia" w:ascii="仿宋" w:hAnsi="仿宋" w:cs="仿宋"/>
          <w:color w:val="auto"/>
          <w:kern w:val="0"/>
          <w:sz w:val="24"/>
          <w:lang w:val="zh-CN"/>
        </w:rPr>
        <w:t xml:space="preserve">）：                                                                                                                                                                                                               </w:t>
      </w:r>
    </w:p>
    <w:p w14:paraId="35DD5C8D">
      <w:pPr>
        <w:spacing w:line="360" w:lineRule="auto"/>
        <w:ind w:left="4620" w:leftChars="2200"/>
        <w:rPr>
          <w:rFonts w:ascii="仿宋" w:hAnsi="仿宋" w:cs="仿宋"/>
          <w:color w:val="auto"/>
          <w:sz w:val="24"/>
        </w:rPr>
      </w:pPr>
      <w:r>
        <w:rPr>
          <w:rFonts w:hint="eastAsia" w:ascii="仿宋" w:hAnsi="仿宋" w:cs="仿宋"/>
          <w:color w:val="auto"/>
          <w:kern w:val="0"/>
          <w:sz w:val="24"/>
          <w:lang w:val="zh-CN"/>
        </w:rPr>
        <w:t>日期</w:t>
      </w:r>
      <w:r>
        <w:rPr>
          <w:rFonts w:hint="eastAsia" w:ascii="仿宋" w:hAnsi="仿宋" w:cs="仿宋"/>
          <w:color w:val="auto"/>
          <w:kern w:val="0"/>
          <w:sz w:val="24"/>
        </w:rPr>
        <w:t>：</w:t>
      </w:r>
      <w:r>
        <w:rPr>
          <w:rFonts w:hint="eastAsia" w:ascii="仿宋" w:hAnsi="仿宋" w:cs="仿宋"/>
          <w:color w:val="auto"/>
          <w:kern w:val="0"/>
          <w:sz w:val="24"/>
          <w:lang w:val="zh-CN"/>
        </w:rPr>
        <w:t xml:space="preserve">   年   月   日</w:t>
      </w:r>
    </w:p>
    <w:p w14:paraId="2D5CA7B1">
      <w:pPr>
        <w:spacing w:line="360" w:lineRule="auto"/>
        <w:jc w:val="center"/>
        <w:rPr>
          <w:rFonts w:ascii="仿宋" w:hAnsi="仿宋" w:cs="仿宋"/>
          <w:b/>
          <w:bCs/>
          <w:color w:val="auto"/>
          <w:sz w:val="24"/>
        </w:rPr>
      </w:pPr>
    </w:p>
    <w:p w14:paraId="241B2BAC">
      <w:pPr>
        <w:spacing w:line="360" w:lineRule="auto"/>
        <w:ind w:right="420"/>
        <w:rPr>
          <w:rFonts w:ascii="仿宋" w:hAnsi="仿宋" w:cs="仿宋"/>
          <w:color w:val="auto"/>
          <w:sz w:val="24"/>
        </w:rPr>
      </w:pPr>
      <w:r>
        <w:rPr>
          <w:rFonts w:hint="eastAsia" w:ascii="仿宋" w:hAnsi="仿宋" w:cs="仿宋"/>
          <w:color w:val="auto"/>
          <w:sz w:val="24"/>
        </w:rPr>
        <w:t>注：按本格式和要求提供。</w:t>
      </w:r>
    </w:p>
    <w:p w14:paraId="66BC1763">
      <w:pPr>
        <w:spacing w:line="360" w:lineRule="auto"/>
        <w:jc w:val="center"/>
        <w:rPr>
          <w:rFonts w:ascii="仿宋" w:hAnsi="仿宋" w:cs="仿宋"/>
          <w:b/>
          <w:bCs/>
          <w:color w:val="auto"/>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41F1E070">
      <w:pPr>
        <w:jc w:val="center"/>
        <w:outlineLvl w:val="0"/>
        <w:rPr>
          <w:rFonts w:ascii="仿宋" w:hAnsi="仿宋" w:cs="仿宋"/>
          <w:b/>
          <w:bCs/>
          <w:color w:val="auto"/>
          <w:sz w:val="44"/>
          <w:szCs w:val="44"/>
        </w:rPr>
      </w:pPr>
      <w:bookmarkStart w:id="109" w:name="_Toc217446093"/>
      <w:bookmarkStart w:id="110" w:name="_Toc11942"/>
      <w:bookmarkStart w:id="111" w:name="_Toc5241"/>
      <w:bookmarkStart w:id="112" w:name="_Toc32736"/>
      <w:bookmarkStart w:id="113" w:name="_Toc321382057"/>
      <w:bookmarkStart w:id="114" w:name="_Toc316292231"/>
      <w:r>
        <w:rPr>
          <w:rFonts w:hint="eastAsia" w:ascii="仿宋" w:hAnsi="仿宋" w:cs="仿宋"/>
          <w:b/>
          <w:bCs/>
          <w:color w:val="auto"/>
          <w:sz w:val="44"/>
          <w:szCs w:val="44"/>
        </w:rPr>
        <w:t>第4章 采购需求</w:t>
      </w:r>
      <w:bookmarkEnd w:id="109"/>
      <w:bookmarkEnd w:id="110"/>
      <w:bookmarkEnd w:id="111"/>
      <w:bookmarkEnd w:id="112"/>
      <w:bookmarkStart w:id="115" w:name="_Toc513796936"/>
      <w:bookmarkStart w:id="116" w:name="_Toc533672602"/>
      <w:bookmarkStart w:id="117" w:name="_Toc529173741"/>
    </w:p>
    <w:bookmarkEnd w:id="115"/>
    <w:bookmarkEnd w:id="116"/>
    <w:bookmarkEnd w:id="117"/>
    <w:p w14:paraId="27C65A66">
      <w:pPr>
        <w:pStyle w:val="15"/>
        <w:spacing w:after="0" w:line="400" w:lineRule="exact"/>
        <w:ind w:firstLine="562" w:firstLineChars="200"/>
        <w:rPr>
          <w:rFonts w:ascii="仿宋" w:hAnsi="仿宋" w:eastAsia="仿宋" w:cs="仿宋"/>
          <w:b/>
          <w:bCs/>
          <w:color w:val="auto"/>
          <w:sz w:val="28"/>
          <w:szCs w:val="28"/>
        </w:rPr>
      </w:pPr>
      <w:bookmarkStart w:id="118" w:name="_Toc3973"/>
      <w:r>
        <w:rPr>
          <w:rFonts w:hint="eastAsia" w:ascii="仿宋" w:hAnsi="仿宋" w:eastAsia="仿宋" w:cs="仿宋"/>
          <w:b/>
          <w:bCs/>
          <w:color w:val="auto"/>
          <w:sz w:val="28"/>
          <w:szCs w:val="28"/>
        </w:rPr>
        <w:t>一、项目概况及目标、任务</w:t>
      </w:r>
    </w:p>
    <w:p w14:paraId="4D3DA660">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（一）项目概况</w:t>
      </w:r>
    </w:p>
    <w:p w14:paraId="5E6C8B68">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1、项目名称：新疆和田县康西瓦东金矿调查评价项目（钻探）</w:t>
      </w:r>
    </w:p>
    <w:p w14:paraId="58D0FB4A">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2、采购人：新疆维吾尔自治区地质研究院</w:t>
      </w:r>
    </w:p>
    <w:p w14:paraId="2BC5CD8A">
      <w:pPr>
        <w:spacing w:line="400" w:lineRule="exact"/>
        <w:ind w:firstLine="560" w:firstLineChars="200"/>
        <w:rPr>
          <w:rFonts w:hint="eastAsia" w:ascii="仿宋" w:hAnsi="仿宋" w:eastAsia="仿宋" w:cs="仿宋"/>
          <w:color w:val="auto"/>
          <w:sz w:val="28"/>
          <w:szCs w:val="28"/>
          <w:lang w:eastAsia="zh-CN"/>
        </w:rPr>
      </w:pPr>
      <w:r>
        <w:rPr>
          <w:rFonts w:hint="eastAsia" w:ascii="仿宋" w:hAnsi="仿宋" w:cs="仿宋"/>
          <w:color w:val="auto"/>
          <w:sz w:val="28"/>
          <w:szCs w:val="28"/>
        </w:rPr>
        <w:t>3、工作地点：新疆和田县康西瓦一带</w:t>
      </w:r>
      <w:r>
        <w:rPr>
          <w:rFonts w:hint="eastAsia" w:ascii="仿宋" w:hAnsi="仿宋" w:cs="仿宋"/>
          <w:color w:val="auto"/>
          <w:sz w:val="28"/>
          <w:szCs w:val="28"/>
          <w:lang w:eastAsia="zh-CN"/>
        </w:rPr>
        <w:t>，</w:t>
      </w:r>
      <w:r>
        <w:rPr>
          <w:rFonts w:hint="eastAsia" w:ascii="仿宋" w:hAnsi="仿宋" w:cs="仿宋"/>
          <w:color w:val="auto"/>
          <w:sz w:val="28"/>
          <w:szCs w:val="28"/>
          <w:lang w:val="en-US" w:eastAsia="zh-CN"/>
        </w:rPr>
        <w:t>工作</w:t>
      </w:r>
      <w:r>
        <w:rPr>
          <w:rFonts w:hint="eastAsia" w:ascii="仿宋" w:hAnsi="仿宋" w:cs="仿宋"/>
          <w:color w:val="auto"/>
          <w:sz w:val="28"/>
          <w:szCs w:val="28"/>
          <w:lang w:eastAsia="zh-CN"/>
        </w:rPr>
        <w:t>区地处西昆仑山脉中部，地形陡峻，最高海拔5600米，最低海拔4380米，相对高差一般300-1200米。总体地势为北高南低。地貌形态山势陡峭、切割强烈、高差极大。本区属典型的高原寒带干旱气候，阴晴无常，昼夜温差大，降水量稀少。</w:t>
      </w:r>
    </w:p>
    <w:p w14:paraId="5593C42D">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4、项目来源：财政资金</w:t>
      </w:r>
    </w:p>
    <w:p w14:paraId="2A651043">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5、项目预（概）算：117.65万元；最高限价：117.65万元</w:t>
      </w:r>
    </w:p>
    <w:p w14:paraId="776BB21A">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（二）项目总体目标任务</w:t>
      </w:r>
    </w:p>
    <w:p w14:paraId="49ECF124">
      <w:pPr>
        <w:pStyle w:val="25"/>
        <w:spacing w:line="40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本项目钻探控制总工作量1000m，其中650m工作量主要部署于Ⅰ号、Ⅱ号金矿（化）带，机动工作量350m。具体钻探工程布置如下：</w:t>
      </w:r>
    </w:p>
    <w:p w14:paraId="67C75868">
      <w:pPr>
        <w:pStyle w:val="25"/>
        <w:spacing w:line="40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在Ⅰ号金矿（化）带可圈定矿(化)体的基础上，拟在0线布置钻孔ZK0001，验证矿体深部特征，控制矿体斜深80m。若见矿情况较好，可沿倾向和走向继续对矿体追索控制。沿倾向在0线布置钻孔ZK0002,控制矿体斜深160m；沿走向在3线、4线处布置钻孔ZK0301、ZK0401。如果钻孔ZK0001见矿成果不理想，根据实际情况对钻孔施工方案进行调整。</w:t>
      </w:r>
    </w:p>
    <w:p w14:paraId="5DFA5A5E">
      <w:pPr>
        <w:pStyle w:val="25"/>
        <w:spacing w:line="40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在Ⅱ号金矿（化）带可圈定矿(化)体的基础上，拟在10线布置钻孔ZK1001，验证矿体深部特征，控制矿体斜深80m。若见矿情况较好，可沿倾向和走向继续对矿体追索控制。如见矿成果不理想，根据实际情况对后续施工钻孔行调整。</w:t>
      </w:r>
    </w:p>
    <w:p w14:paraId="64D536C3">
      <w:pPr>
        <w:pStyle w:val="25"/>
        <w:spacing w:line="40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钻孔的布设施工是在地质测量、物化探剖面测量、槽探工程及激电测深取得成果的基础上，初步推测矿（化）体在地表走向延伸和深部倾向延伸；结合电测深，确定矿（化）体在深部的产出形态，经综合研究确定钻孔的位置及天顶角、倾角和开孔位置。根据实际情况，以最小的投入达到最大的找矿效果。</w:t>
      </w:r>
    </w:p>
    <w:p w14:paraId="70C0D170">
      <w:pPr>
        <w:pStyle w:val="25"/>
        <w:spacing w:line="40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预留少量机动钻探工作量，主要针对物化探异常有利地段及新发现矿(化)体开展钻探验证。</w:t>
      </w:r>
    </w:p>
    <w:p w14:paraId="2C1E5106">
      <w:pPr>
        <w:pStyle w:val="25"/>
        <w:spacing w:line="40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拟设计钻孔参数见（表2-1），最终将依据地质成果具体布设。</w:t>
      </w:r>
    </w:p>
    <w:p w14:paraId="318A7C3C">
      <w:pPr>
        <w:pStyle w:val="25"/>
        <w:spacing w:line="40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本次工作区各类岩石工作量（见表2-2）</w:t>
      </w:r>
    </w:p>
    <w:p w14:paraId="2EF379A9">
      <w:pPr>
        <w:jc w:val="center"/>
        <w:rPr>
          <w:rFonts w:ascii="仿宋" w:hAnsi="仿宋" w:cs="仿宋"/>
          <w:b/>
          <w:color w:val="auto"/>
          <w:sz w:val="24"/>
          <w:szCs w:val="24"/>
        </w:rPr>
      </w:pPr>
    </w:p>
    <w:p w14:paraId="253D4225">
      <w:pPr>
        <w:jc w:val="center"/>
        <w:rPr>
          <w:rFonts w:ascii="仿宋" w:hAnsi="仿宋" w:cs="仿宋"/>
          <w:b/>
          <w:color w:val="auto"/>
          <w:sz w:val="24"/>
          <w:szCs w:val="24"/>
        </w:rPr>
      </w:pPr>
    </w:p>
    <w:p w14:paraId="45498B7F">
      <w:pPr>
        <w:jc w:val="center"/>
        <w:rPr>
          <w:rFonts w:ascii="仿宋" w:hAnsi="仿宋" w:cs="仿宋"/>
          <w:b/>
          <w:color w:val="auto"/>
          <w:sz w:val="24"/>
          <w:szCs w:val="24"/>
        </w:rPr>
      </w:pPr>
    </w:p>
    <w:p w14:paraId="1D83B9DA">
      <w:pPr>
        <w:jc w:val="center"/>
        <w:rPr>
          <w:rFonts w:ascii="仿宋" w:hAnsi="仿宋" w:cs="仿宋"/>
          <w:b/>
          <w:color w:val="auto"/>
          <w:sz w:val="24"/>
          <w:szCs w:val="24"/>
        </w:rPr>
      </w:pPr>
    </w:p>
    <w:p w14:paraId="14427BCF">
      <w:pPr>
        <w:ind w:firstLine="562" w:firstLineChars="200"/>
        <w:jc w:val="center"/>
        <w:rPr>
          <w:rFonts w:ascii="仿宋" w:hAnsi="仿宋" w:cs="仿宋"/>
          <w:b/>
          <w:color w:val="auto"/>
          <w:sz w:val="28"/>
          <w:szCs w:val="28"/>
        </w:rPr>
      </w:pPr>
      <w:r>
        <w:rPr>
          <w:rFonts w:hint="eastAsia" w:ascii="仿宋" w:hAnsi="仿宋" w:cs="仿宋"/>
          <w:b/>
          <w:color w:val="auto"/>
          <w:sz w:val="28"/>
          <w:szCs w:val="28"/>
        </w:rPr>
        <w:t>表2-1  设计钻孔特征参数表</w:t>
      </w:r>
    </w:p>
    <w:tbl>
      <w:tblPr>
        <w:tblStyle w:val="49"/>
        <w:tblW w:w="480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5"/>
        <w:gridCol w:w="988"/>
        <w:gridCol w:w="1272"/>
        <w:gridCol w:w="1130"/>
        <w:gridCol w:w="849"/>
        <w:gridCol w:w="989"/>
        <w:gridCol w:w="1272"/>
        <w:gridCol w:w="847"/>
      </w:tblGrid>
      <w:tr w14:paraId="10234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00" w:type="pct"/>
            <w:vMerge w:val="restart"/>
            <w:shd w:val="clear" w:color="auto" w:fill="auto"/>
            <w:vAlign w:val="center"/>
          </w:tcPr>
          <w:p w14:paraId="66AECEF7">
            <w:pPr>
              <w:jc w:val="center"/>
              <w:rPr>
                <w:rFonts w:ascii="仿宋" w:hAnsi="仿宋" w:cs="仿宋"/>
                <w:color w:val="auto"/>
                <w:sz w:val="24"/>
                <w:szCs w:val="24"/>
              </w:rPr>
            </w:pPr>
            <w:r>
              <w:rPr>
                <w:rFonts w:ascii="仿宋" w:hAnsi="仿宋" w:cs="仿宋"/>
                <w:color w:val="auto"/>
                <w:sz w:val="24"/>
                <w:szCs w:val="24"/>
              </w:rPr>
              <w:t>序号</w:t>
            </w:r>
          </w:p>
        </w:tc>
        <w:tc>
          <w:tcPr>
            <w:tcW w:w="605" w:type="pct"/>
            <w:vMerge w:val="restart"/>
            <w:shd w:val="clear" w:color="auto" w:fill="auto"/>
            <w:vAlign w:val="center"/>
          </w:tcPr>
          <w:p w14:paraId="3C7F648D">
            <w:pPr>
              <w:jc w:val="center"/>
              <w:rPr>
                <w:rFonts w:ascii="仿宋" w:hAnsi="仿宋" w:cs="仿宋"/>
                <w:color w:val="auto"/>
                <w:sz w:val="24"/>
                <w:szCs w:val="24"/>
              </w:rPr>
            </w:pPr>
            <w:r>
              <w:rPr>
                <w:rFonts w:ascii="仿宋" w:hAnsi="仿宋" w:cs="仿宋"/>
                <w:color w:val="auto"/>
                <w:sz w:val="24"/>
                <w:szCs w:val="24"/>
              </w:rPr>
              <w:t>孔号</w:t>
            </w:r>
          </w:p>
        </w:tc>
        <w:tc>
          <w:tcPr>
            <w:tcW w:w="1471" w:type="pct"/>
            <w:gridSpan w:val="2"/>
            <w:shd w:val="clear" w:color="auto" w:fill="auto"/>
            <w:vAlign w:val="center"/>
          </w:tcPr>
          <w:p w14:paraId="019A32BE">
            <w:pPr>
              <w:jc w:val="center"/>
              <w:rPr>
                <w:rFonts w:ascii="仿宋" w:hAnsi="仿宋" w:cs="仿宋"/>
                <w:color w:val="auto"/>
                <w:sz w:val="24"/>
                <w:szCs w:val="24"/>
              </w:rPr>
            </w:pPr>
            <w:r>
              <w:rPr>
                <w:rFonts w:ascii="仿宋" w:hAnsi="仿宋" w:cs="仿宋"/>
                <w:color w:val="auto"/>
                <w:sz w:val="24"/>
                <w:szCs w:val="24"/>
              </w:rPr>
              <w:t>控制矿体</w:t>
            </w:r>
          </w:p>
        </w:tc>
        <w:tc>
          <w:tcPr>
            <w:tcW w:w="520" w:type="pct"/>
            <w:shd w:val="clear" w:color="auto" w:fill="auto"/>
            <w:vAlign w:val="center"/>
          </w:tcPr>
          <w:p w14:paraId="12D4E29D">
            <w:pPr>
              <w:jc w:val="center"/>
              <w:rPr>
                <w:rFonts w:ascii="仿宋" w:hAnsi="仿宋" w:cs="仿宋"/>
                <w:color w:val="auto"/>
                <w:sz w:val="24"/>
                <w:szCs w:val="24"/>
              </w:rPr>
            </w:pPr>
            <w:r>
              <w:rPr>
                <w:rFonts w:ascii="仿宋" w:hAnsi="仿宋" w:cs="仿宋"/>
                <w:color w:val="auto"/>
                <w:sz w:val="24"/>
                <w:szCs w:val="24"/>
              </w:rPr>
              <w:t>倾角</w:t>
            </w:r>
          </w:p>
        </w:tc>
        <w:tc>
          <w:tcPr>
            <w:tcW w:w="606" w:type="pct"/>
            <w:shd w:val="clear" w:color="auto" w:fill="auto"/>
            <w:vAlign w:val="center"/>
          </w:tcPr>
          <w:p w14:paraId="6C366959">
            <w:pPr>
              <w:jc w:val="center"/>
              <w:rPr>
                <w:rFonts w:ascii="仿宋" w:hAnsi="仿宋" w:cs="仿宋"/>
                <w:color w:val="auto"/>
                <w:sz w:val="24"/>
                <w:szCs w:val="24"/>
              </w:rPr>
            </w:pPr>
            <w:r>
              <w:rPr>
                <w:rFonts w:ascii="仿宋" w:hAnsi="仿宋" w:cs="仿宋"/>
                <w:color w:val="auto"/>
                <w:sz w:val="24"/>
                <w:szCs w:val="24"/>
              </w:rPr>
              <w:t>方位</w:t>
            </w:r>
          </w:p>
        </w:tc>
        <w:tc>
          <w:tcPr>
            <w:tcW w:w="779" w:type="pct"/>
            <w:shd w:val="clear" w:color="auto" w:fill="auto"/>
            <w:vAlign w:val="center"/>
          </w:tcPr>
          <w:p w14:paraId="3EF5FA2A">
            <w:pPr>
              <w:jc w:val="center"/>
              <w:rPr>
                <w:rFonts w:ascii="仿宋" w:hAnsi="仿宋" w:cs="仿宋"/>
                <w:color w:val="auto"/>
                <w:sz w:val="24"/>
                <w:szCs w:val="24"/>
              </w:rPr>
            </w:pPr>
            <w:r>
              <w:rPr>
                <w:rFonts w:ascii="仿宋" w:hAnsi="仿宋" w:cs="仿宋"/>
                <w:color w:val="auto"/>
                <w:sz w:val="24"/>
                <w:szCs w:val="24"/>
              </w:rPr>
              <w:t>设计孔深(</w:t>
            </w:r>
            <w:r>
              <w:rPr>
                <w:rFonts w:hint="eastAsia" w:ascii="仿宋" w:hAnsi="仿宋" w:cs="仿宋"/>
                <w:color w:val="auto"/>
                <w:sz w:val="24"/>
                <w:szCs w:val="24"/>
              </w:rPr>
              <w:t>m</w:t>
            </w:r>
            <w:r>
              <w:rPr>
                <w:rFonts w:ascii="仿宋" w:hAnsi="仿宋" w:cs="仿宋"/>
                <w:color w:val="auto"/>
                <w:sz w:val="24"/>
                <w:szCs w:val="24"/>
              </w:rPr>
              <w:t>)</w:t>
            </w:r>
          </w:p>
        </w:tc>
        <w:tc>
          <w:tcPr>
            <w:tcW w:w="519" w:type="pct"/>
            <w:shd w:val="clear" w:color="auto" w:fill="auto"/>
            <w:vAlign w:val="center"/>
          </w:tcPr>
          <w:p w14:paraId="3ADF29F2">
            <w:pPr>
              <w:jc w:val="center"/>
              <w:rPr>
                <w:rFonts w:ascii="仿宋" w:hAnsi="仿宋" w:cs="仿宋"/>
                <w:color w:val="auto"/>
                <w:sz w:val="24"/>
                <w:szCs w:val="24"/>
              </w:rPr>
            </w:pPr>
            <w:r>
              <w:rPr>
                <w:rFonts w:ascii="仿宋" w:hAnsi="仿宋" w:cs="仿宋"/>
                <w:color w:val="auto"/>
                <w:sz w:val="24"/>
                <w:szCs w:val="24"/>
              </w:rPr>
              <w:t>施工顺序</w:t>
            </w:r>
          </w:p>
        </w:tc>
      </w:tr>
      <w:tr w14:paraId="218DB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00" w:type="pct"/>
            <w:vMerge w:val="continue"/>
            <w:vAlign w:val="center"/>
          </w:tcPr>
          <w:p w14:paraId="4CDA8640">
            <w:pPr>
              <w:rPr>
                <w:rFonts w:ascii="仿宋" w:hAnsi="仿宋" w:cs="仿宋"/>
                <w:color w:val="auto"/>
                <w:sz w:val="24"/>
                <w:szCs w:val="24"/>
              </w:rPr>
            </w:pPr>
          </w:p>
        </w:tc>
        <w:tc>
          <w:tcPr>
            <w:tcW w:w="605" w:type="pct"/>
            <w:vMerge w:val="continue"/>
            <w:vAlign w:val="center"/>
          </w:tcPr>
          <w:p w14:paraId="26FF0765">
            <w:pPr>
              <w:rPr>
                <w:rFonts w:ascii="仿宋" w:hAnsi="仿宋" w:cs="仿宋"/>
                <w:color w:val="auto"/>
                <w:sz w:val="24"/>
                <w:szCs w:val="24"/>
              </w:rPr>
            </w:pPr>
          </w:p>
        </w:tc>
        <w:tc>
          <w:tcPr>
            <w:tcW w:w="779" w:type="pct"/>
            <w:shd w:val="clear" w:color="auto" w:fill="auto"/>
            <w:vAlign w:val="center"/>
          </w:tcPr>
          <w:p w14:paraId="1371F65A">
            <w:pPr>
              <w:jc w:val="center"/>
              <w:rPr>
                <w:rFonts w:ascii="仿宋" w:hAnsi="仿宋" w:cs="仿宋"/>
                <w:color w:val="auto"/>
                <w:sz w:val="24"/>
                <w:szCs w:val="24"/>
              </w:rPr>
            </w:pPr>
            <w:r>
              <w:rPr>
                <w:rFonts w:ascii="仿宋" w:hAnsi="仿宋" w:cs="仿宋"/>
                <w:color w:val="auto"/>
                <w:sz w:val="24"/>
                <w:szCs w:val="24"/>
              </w:rPr>
              <w:t>矿体编号</w:t>
            </w:r>
          </w:p>
        </w:tc>
        <w:tc>
          <w:tcPr>
            <w:tcW w:w="692" w:type="pct"/>
            <w:shd w:val="clear" w:color="auto" w:fill="auto"/>
            <w:vAlign w:val="center"/>
          </w:tcPr>
          <w:p w14:paraId="22B78D2D">
            <w:pPr>
              <w:jc w:val="center"/>
              <w:rPr>
                <w:rFonts w:ascii="仿宋" w:hAnsi="仿宋" w:cs="仿宋"/>
                <w:color w:val="auto"/>
                <w:sz w:val="24"/>
                <w:szCs w:val="24"/>
              </w:rPr>
            </w:pPr>
            <w:r>
              <w:rPr>
                <w:rFonts w:ascii="仿宋" w:hAnsi="仿宋" w:cs="仿宋"/>
                <w:color w:val="auto"/>
                <w:sz w:val="24"/>
                <w:szCs w:val="24"/>
              </w:rPr>
              <w:t>斜深(</w:t>
            </w:r>
            <w:r>
              <w:rPr>
                <w:rFonts w:hint="eastAsia" w:ascii="仿宋" w:hAnsi="仿宋" w:cs="仿宋"/>
                <w:color w:val="auto"/>
                <w:sz w:val="24"/>
                <w:szCs w:val="24"/>
              </w:rPr>
              <w:t>m</w:t>
            </w:r>
            <w:r>
              <w:rPr>
                <w:rFonts w:ascii="仿宋" w:hAnsi="仿宋" w:cs="仿宋"/>
                <w:color w:val="auto"/>
                <w:sz w:val="24"/>
                <w:szCs w:val="24"/>
              </w:rPr>
              <w:t>)</w:t>
            </w:r>
          </w:p>
        </w:tc>
        <w:tc>
          <w:tcPr>
            <w:tcW w:w="1125" w:type="pct"/>
            <w:gridSpan w:val="2"/>
            <w:shd w:val="clear" w:color="auto" w:fill="auto"/>
            <w:vAlign w:val="center"/>
          </w:tcPr>
          <w:p w14:paraId="60BE82B4">
            <w:pPr>
              <w:jc w:val="center"/>
              <w:rPr>
                <w:rFonts w:ascii="仿宋" w:hAnsi="仿宋" w:cs="仿宋"/>
                <w:color w:val="auto"/>
                <w:sz w:val="24"/>
                <w:szCs w:val="24"/>
              </w:rPr>
            </w:pPr>
            <w:r>
              <w:rPr>
                <w:rFonts w:ascii="仿宋" w:hAnsi="仿宋" w:cs="仿宋"/>
                <w:color w:val="auto"/>
                <w:sz w:val="24"/>
                <w:szCs w:val="24"/>
              </w:rPr>
              <w:t>(°)</w:t>
            </w:r>
          </w:p>
        </w:tc>
        <w:tc>
          <w:tcPr>
            <w:tcW w:w="779" w:type="pct"/>
            <w:vAlign w:val="center"/>
          </w:tcPr>
          <w:p w14:paraId="0A4E8F78">
            <w:pPr>
              <w:rPr>
                <w:rFonts w:ascii="仿宋" w:hAnsi="仿宋" w:cs="仿宋"/>
                <w:color w:val="auto"/>
                <w:sz w:val="24"/>
                <w:szCs w:val="24"/>
              </w:rPr>
            </w:pPr>
          </w:p>
        </w:tc>
        <w:tc>
          <w:tcPr>
            <w:tcW w:w="519" w:type="pct"/>
            <w:shd w:val="clear" w:color="auto" w:fill="auto"/>
            <w:vAlign w:val="center"/>
          </w:tcPr>
          <w:p w14:paraId="762CA621">
            <w:pPr>
              <w:jc w:val="center"/>
              <w:rPr>
                <w:rFonts w:ascii="仿宋" w:hAnsi="仿宋" w:cs="仿宋"/>
                <w:color w:val="auto"/>
                <w:sz w:val="24"/>
                <w:szCs w:val="24"/>
              </w:rPr>
            </w:pPr>
          </w:p>
        </w:tc>
      </w:tr>
      <w:tr w14:paraId="5B79F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00" w:type="pct"/>
            <w:shd w:val="clear" w:color="auto" w:fill="auto"/>
            <w:vAlign w:val="center"/>
          </w:tcPr>
          <w:p w14:paraId="31BF6AA9">
            <w:pPr>
              <w:ind w:left="161" w:hanging="160" w:hangingChars="67"/>
              <w:jc w:val="center"/>
              <w:rPr>
                <w:rFonts w:ascii="仿宋" w:hAnsi="仿宋" w:cs="仿宋"/>
                <w:color w:val="auto"/>
                <w:sz w:val="24"/>
                <w:szCs w:val="24"/>
              </w:rPr>
            </w:pPr>
            <w:r>
              <w:rPr>
                <w:rFonts w:hint="eastAsia" w:ascii="仿宋" w:hAnsi="仿宋" w:cs="仿宋"/>
                <w:color w:val="auto"/>
                <w:sz w:val="24"/>
                <w:szCs w:val="24"/>
              </w:rPr>
              <w:t>1</w:t>
            </w:r>
          </w:p>
        </w:tc>
        <w:tc>
          <w:tcPr>
            <w:tcW w:w="605" w:type="pct"/>
            <w:shd w:val="clear" w:color="auto" w:fill="auto"/>
            <w:vAlign w:val="center"/>
          </w:tcPr>
          <w:p w14:paraId="54F579DC">
            <w:pPr>
              <w:jc w:val="center"/>
              <w:rPr>
                <w:rFonts w:ascii="仿宋" w:hAnsi="仿宋" w:cs="仿宋"/>
                <w:color w:val="auto"/>
                <w:sz w:val="24"/>
                <w:szCs w:val="24"/>
              </w:rPr>
            </w:pPr>
            <w:r>
              <w:rPr>
                <w:rFonts w:hint="eastAsia" w:ascii="仿宋" w:hAnsi="仿宋" w:cs="仿宋"/>
                <w:color w:val="auto"/>
                <w:sz w:val="24"/>
                <w:szCs w:val="24"/>
              </w:rPr>
              <w:t>ZK0001</w:t>
            </w:r>
          </w:p>
        </w:tc>
        <w:tc>
          <w:tcPr>
            <w:tcW w:w="779" w:type="pct"/>
            <w:shd w:val="clear" w:color="auto" w:fill="auto"/>
            <w:vAlign w:val="center"/>
          </w:tcPr>
          <w:p w14:paraId="442DC372">
            <w:pPr>
              <w:jc w:val="center"/>
              <w:rPr>
                <w:rFonts w:ascii="仿宋" w:hAnsi="仿宋" w:cs="仿宋"/>
                <w:color w:val="auto"/>
                <w:sz w:val="24"/>
                <w:szCs w:val="24"/>
              </w:rPr>
            </w:pPr>
            <w:r>
              <w:rPr>
                <w:rFonts w:hint="eastAsia" w:ascii="仿宋" w:hAnsi="仿宋" w:cs="仿宋"/>
                <w:color w:val="auto"/>
                <w:sz w:val="24"/>
                <w:szCs w:val="24"/>
              </w:rPr>
              <w:t>Ⅰ</w:t>
            </w:r>
          </w:p>
        </w:tc>
        <w:tc>
          <w:tcPr>
            <w:tcW w:w="692" w:type="pct"/>
            <w:shd w:val="clear" w:color="auto" w:fill="auto"/>
            <w:vAlign w:val="center"/>
          </w:tcPr>
          <w:p w14:paraId="2C79BFA3">
            <w:pPr>
              <w:jc w:val="center"/>
              <w:rPr>
                <w:rFonts w:ascii="仿宋" w:hAnsi="仿宋" w:cs="仿宋"/>
                <w:color w:val="auto"/>
                <w:sz w:val="24"/>
                <w:szCs w:val="24"/>
              </w:rPr>
            </w:pPr>
            <w:r>
              <w:rPr>
                <w:rFonts w:hint="eastAsia" w:ascii="仿宋" w:hAnsi="仿宋" w:cs="仿宋"/>
                <w:color w:val="auto"/>
                <w:sz w:val="24"/>
                <w:szCs w:val="24"/>
              </w:rPr>
              <w:t>80</w:t>
            </w:r>
          </w:p>
        </w:tc>
        <w:tc>
          <w:tcPr>
            <w:tcW w:w="520" w:type="pct"/>
            <w:shd w:val="clear" w:color="auto" w:fill="auto"/>
            <w:vAlign w:val="center"/>
          </w:tcPr>
          <w:p w14:paraId="08CC1357">
            <w:pPr>
              <w:jc w:val="center"/>
              <w:rPr>
                <w:rFonts w:ascii="仿宋" w:hAnsi="仿宋" w:cs="仿宋"/>
                <w:color w:val="auto"/>
                <w:sz w:val="24"/>
                <w:szCs w:val="24"/>
              </w:rPr>
            </w:pPr>
            <w:r>
              <w:rPr>
                <w:rFonts w:hint="eastAsia" w:ascii="仿宋" w:hAnsi="仿宋" w:cs="仿宋"/>
                <w:color w:val="auto"/>
                <w:sz w:val="24"/>
                <w:szCs w:val="24"/>
              </w:rPr>
              <w:t>80</w:t>
            </w:r>
          </w:p>
        </w:tc>
        <w:tc>
          <w:tcPr>
            <w:tcW w:w="606" w:type="pct"/>
            <w:shd w:val="clear" w:color="auto" w:fill="auto"/>
            <w:vAlign w:val="center"/>
          </w:tcPr>
          <w:p w14:paraId="15C25DE9">
            <w:pPr>
              <w:jc w:val="center"/>
              <w:rPr>
                <w:rFonts w:ascii="仿宋" w:hAnsi="仿宋" w:cs="仿宋"/>
                <w:color w:val="auto"/>
                <w:sz w:val="24"/>
                <w:szCs w:val="24"/>
              </w:rPr>
            </w:pPr>
            <w:r>
              <w:rPr>
                <w:rFonts w:hint="eastAsia" w:ascii="仿宋" w:hAnsi="仿宋" w:cs="仿宋"/>
                <w:color w:val="auto"/>
                <w:sz w:val="24"/>
                <w:szCs w:val="24"/>
              </w:rPr>
              <w:t>195</w:t>
            </w:r>
          </w:p>
        </w:tc>
        <w:tc>
          <w:tcPr>
            <w:tcW w:w="779" w:type="pct"/>
            <w:shd w:val="clear" w:color="auto" w:fill="auto"/>
            <w:vAlign w:val="center"/>
          </w:tcPr>
          <w:p w14:paraId="3B9F2380">
            <w:pPr>
              <w:jc w:val="center"/>
              <w:rPr>
                <w:rFonts w:ascii="仿宋" w:hAnsi="仿宋" w:cs="仿宋"/>
                <w:color w:val="auto"/>
                <w:sz w:val="24"/>
                <w:szCs w:val="24"/>
              </w:rPr>
            </w:pPr>
            <w:r>
              <w:rPr>
                <w:rFonts w:hint="eastAsia" w:ascii="仿宋" w:hAnsi="仿宋" w:cs="仿宋"/>
                <w:color w:val="auto"/>
                <w:sz w:val="24"/>
                <w:szCs w:val="24"/>
              </w:rPr>
              <w:t>110</w:t>
            </w:r>
          </w:p>
        </w:tc>
        <w:tc>
          <w:tcPr>
            <w:tcW w:w="519" w:type="pct"/>
            <w:shd w:val="clear" w:color="auto" w:fill="auto"/>
            <w:vAlign w:val="center"/>
          </w:tcPr>
          <w:p w14:paraId="5C189EDD">
            <w:pPr>
              <w:jc w:val="center"/>
              <w:rPr>
                <w:rFonts w:ascii="仿宋" w:hAnsi="仿宋" w:cs="仿宋"/>
                <w:color w:val="auto"/>
                <w:sz w:val="24"/>
                <w:szCs w:val="24"/>
              </w:rPr>
            </w:pPr>
            <w:r>
              <w:rPr>
                <w:rFonts w:ascii="仿宋" w:hAnsi="仿宋" w:cs="仿宋"/>
                <w:color w:val="auto"/>
                <w:sz w:val="24"/>
                <w:szCs w:val="24"/>
              </w:rPr>
              <w:t>1</w:t>
            </w:r>
          </w:p>
        </w:tc>
      </w:tr>
      <w:tr w14:paraId="4ECAD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00" w:type="pct"/>
            <w:shd w:val="clear" w:color="auto" w:fill="auto"/>
            <w:vAlign w:val="center"/>
          </w:tcPr>
          <w:p w14:paraId="001499BA">
            <w:pPr>
              <w:ind w:left="161" w:hanging="160" w:hangingChars="67"/>
              <w:jc w:val="center"/>
              <w:rPr>
                <w:rFonts w:ascii="仿宋" w:hAnsi="仿宋" w:cs="仿宋"/>
                <w:color w:val="auto"/>
                <w:sz w:val="24"/>
                <w:szCs w:val="24"/>
              </w:rPr>
            </w:pPr>
            <w:r>
              <w:rPr>
                <w:rFonts w:hint="eastAsia" w:ascii="仿宋" w:hAnsi="仿宋" w:cs="仿宋"/>
                <w:color w:val="auto"/>
                <w:sz w:val="24"/>
                <w:szCs w:val="24"/>
              </w:rPr>
              <w:t>2</w:t>
            </w:r>
          </w:p>
        </w:tc>
        <w:tc>
          <w:tcPr>
            <w:tcW w:w="605" w:type="pct"/>
            <w:shd w:val="clear" w:color="auto" w:fill="auto"/>
            <w:vAlign w:val="center"/>
          </w:tcPr>
          <w:p w14:paraId="050865AA">
            <w:pPr>
              <w:jc w:val="center"/>
              <w:rPr>
                <w:rFonts w:ascii="仿宋" w:hAnsi="仿宋" w:cs="仿宋"/>
                <w:color w:val="auto"/>
                <w:sz w:val="24"/>
                <w:szCs w:val="24"/>
              </w:rPr>
            </w:pPr>
            <w:r>
              <w:rPr>
                <w:rFonts w:hint="eastAsia" w:ascii="仿宋" w:hAnsi="仿宋" w:cs="仿宋"/>
                <w:color w:val="auto"/>
                <w:sz w:val="24"/>
                <w:szCs w:val="24"/>
              </w:rPr>
              <w:t>ZK0002</w:t>
            </w:r>
          </w:p>
        </w:tc>
        <w:tc>
          <w:tcPr>
            <w:tcW w:w="779" w:type="pct"/>
            <w:shd w:val="clear" w:color="auto" w:fill="auto"/>
            <w:vAlign w:val="center"/>
          </w:tcPr>
          <w:p w14:paraId="27E5758F">
            <w:pPr>
              <w:jc w:val="center"/>
              <w:rPr>
                <w:rFonts w:ascii="仿宋" w:hAnsi="仿宋" w:cs="仿宋"/>
                <w:color w:val="auto"/>
                <w:sz w:val="24"/>
                <w:szCs w:val="24"/>
              </w:rPr>
            </w:pPr>
            <w:r>
              <w:rPr>
                <w:rFonts w:hint="eastAsia" w:ascii="仿宋" w:hAnsi="仿宋" w:cs="仿宋"/>
                <w:color w:val="auto"/>
                <w:sz w:val="24"/>
                <w:szCs w:val="24"/>
              </w:rPr>
              <w:t>Ⅰ</w:t>
            </w:r>
          </w:p>
        </w:tc>
        <w:tc>
          <w:tcPr>
            <w:tcW w:w="692" w:type="pct"/>
            <w:shd w:val="clear" w:color="auto" w:fill="auto"/>
            <w:vAlign w:val="center"/>
          </w:tcPr>
          <w:p w14:paraId="7DE50890">
            <w:pPr>
              <w:jc w:val="center"/>
              <w:rPr>
                <w:rFonts w:ascii="仿宋" w:hAnsi="仿宋" w:cs="仿宋"/>
                <w:color w:val="auto"/>
                <w:sz w:val="24"/>
                <w:szCs w:val="24"/>
              </w:rPr>
            </w:pPr>
            <w:r>
              <w:rPr>
                <w:rFonts w:hint="eastAsia" w:ascii="仿宋" w:hAnsi="仿宋" w:cs="仿宋"/>
                <w:color w:val="auto"/>
                <w:sz w:val="24"/>
                <w:szCs w:val="24"/>
              </w:rPr>
              <w:t>160</w:t>
            </w:r>
          </w:p>
        </w:tc>
        <w:tc>
          <w:tcPr>
            <w:tcW w:w="520" w:type="pct"/>
            <w:shd w:val="clear" w:color="auto" w:fill="auto"/>
            <w:vAlign w:val="center"/>
          </w:tcPr>
          <w:p w14:paraId="4D725FBB">
            <w:pPr>
              <w:jc w:val="center"/>
              <w:rPr>
                <w:rFonts w:ascii="仿宋" w:hAnsi="仿宋" w:cs="仿宋"/>
                <w:color w:val="auto"/>
                <w:sz w:val="24"/>
                <w:szCs w:val="24"/>
              </w:rPr>
            </w:pPr>
            <w:r>
              <w:rPr>
                <w:rFonts w:hint="eastAsia" w:ascii="仿宋" w:hAnsi="仿宋" w:cs="仿宋"/>
                <w:color w:val="auto"/>
                <w:sz w:val="24"/>
                <w:szCs w:val="24"/>
              </w:rPr>
              <w:t>80</w:t>
            </w:r>
          </w:p>
        </w:tc>
        <w:tc>
          <w:tcPr>
            <w:tcW w:w="606" w:type="pct"/>
            <w:shd w:val="clear" w:color="auto" w:fill="auto"/>
            <w:vAlign w:val="center"/>
          </w:tcPr>
          <w:p w14:paraId="01CE5EDE">
            <w:pPr>
              <w:jc w:val="center"/>
              <w:rPr>
                <w:rFonts w:ascii="仿宋" w:hAnsi="仿宋" w:cs="仿宋"/>
                <w:color w:val="auto"/>
                <w:sz w:val="24"/>
                <w:szCs w:val="24"/>
              </w:rPr>
            </w:pPr>
            <w:r>
              <w:rPr>
                <w:rFonts w:hint="eastAsia" w:ascii="仿宋" w:hAnsi="仿宋" w:cs="仿宋"/>
                <w:color w:val="auto"/>
                <w:sz w:val="24"/>
                <w:szCs w:val="24"/>
              </w:rPr>
              <w:t>195</w:t>
            </w:r>
          </w:p>
        </w:tc>
        <w:tc>
          <w:tcPr>
            <w:tcW w:w="779" w:type="pct"/>
            <w:shd w:val="clear" w:color="auto" w:fill="auto"/>
            <w:vAlign w:val="center"/>
          </w:tcPr>
          <w:p w14:paraId="527331D6">
            <w:pPr>
              <w:jc w:val="center"/>
              <w:rPr>
                <w:rFonts w:ascii="仿宋" w:hAnsi="仿宋" w:cs="仿宋"/>
                <w:color w:val="auto"/>
                <w:sz w:val="24"/>
                <w:szCs w:val="24"/>
              </w:rPr>
            </w:pPr>
            <w:r>
              <w:rPr>
                <w:rFonts w:hint="eastAsia" w:ascii="仿宋" w:hAnsi="仿宋" w:cs="仿宋"/>
                <w:color w:val="auto"/>
                <w:sz w:val="24"/>
                <w:szCs w:val="24"/>
              </w:rPr>
              <w:t>220</w:t>
            </w:r>
          </w:p>
        </w:tc>
        <w:tc>
          <w:tcPr>
            <w:tcW w:w="519" w:type="pct"/>
            <w:shd w:val="clear" w:color="auto" w:fill="auto"/>
            <w:vAlign w:val="center"/>
          </w:tcPr>
          <w:p w14:paraId="70721633">
            <w:pPr>
              <w:jc w:val="center"/>
              <w:rPr>
                <w:rFonts w:ascii="仿宋" w:hAnsi="仿宋" w:cs="仿宋"/>
                <w:color w:val="auto"/>
                <w:sz w:val="24"/>
                <w:szCs w:val="24"/>
              </w:rPr>
            </w:pPr>
            <w:r>
              <w:rPr>
                <w:rFonts w:ascii="仿宋" w:hAnsi="仿宋" w:cs="仿宋"/>
                <w:color w:val="auto"/>
                <w:sz w:val="24"/>
                <w:szCs w:val="24"/>
              </w:rPr>
              <w:t>2</w:t>
            </w:r>
          </w:p>
        </w:tc>
      </w:tr>
      <w:tr w14:paraId="44A73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00" w:type="pct"/>
            <w:shd w:val="clear" w:color="auto" w:fill="auto"/>
            <w:vAlign w:val="center"/>
          </w:tcPr>
          <w:p w14:paraId="0A1E3448">
            <w:pPr>
              <w:ind w:left="161" w:hanging="160" w:hangingChars="67"/>
              <w:jc w:val="center"/>
              <w:rPr>
                <w:rFonts w:ascii="仿宋" w:hAnsi="仿宋" w:cs="仿宋"/>
                <w:color w:val="auto"/>
                <w:sz w:val="24"/>
                <w:szCs w:val="24"/>
              </w:rPr>
            </w:pPr>
            <w:r>
              <w:rPr>
                <w:rFonts w:hint="eastAsia" w:ascii="仿宋" w:hAnsi="仿宋" w:cs="仿宋"/>
                <w:color w:val="auto"/>
                <w:sz w:val="24"/>
                <w:szCs w:val="24"/>
              </w:rPr>
              <w:t>3</w:t>
            </w:r>
          </w:p>
        </w:tc>
        <w:tc>
          <w:tcPr>
            <w:tcW w:w="605" w:type="pct"/>
            <w:shd w:val="clear" w:color="auto" w:fill="auto"/>
            <w:vAlign w:val="center"/>
          </w:tcPr>
          <w:p w14:paraId="6F482BBC">
            <w:pPr>
              <w:jc w:val="center"/>
              <w:rPr>
                <w:rFonts w:ascii="仿宋" w:hAnsi="仿宋" w:cs="仿宋"/>
                <w:color w:val="auto"/>
                <w:sz w:val="24"/>
                <w:szCs w:val="24"/>
              </w:rPr>
            </w:pPr>
            <w:r>
              <w:rPr>
                <w:rFonts w:hint="eastAsia" w:ascii="仿宋" w:hAnsi="仿宋" w:cs="仿宋"/>
                <w:color w:val="auto"/>
                <w:sz w:val="24"/>
                <w:szCs w:val="24"/>
              </w:rPr>
              <w:t>ZK0301</w:t>
            </w:r>
          </w:p>
        </w:tc>
        <w:tc>
          <w:tcPr>
            <w:tcW w:w="779" w:type="pct"/>
            <w:shd w:val="clear" w:color="auto" w:fill="auto"/>
            <w:vAlign w:val="center"/>
          </w:tcPr>
          <w:p w14:paraId="69F2C047">
            <w:pPr>
              <w:jc w:val="center"/>
              <w:rPr>
                <w:rFonts w:ascii="仿宋" w:hAnsi="仿宋" w:cs="仿宋"/>
                <w:color w:val="auto"/>
                <w:sz w:val="24"/>
                <w:szCs w:val="24"/>
              </w:rPr>
            </w:pPr>
            <w:r>
              <w:rPr>
                <w:rFonts w:hint="eastAsia" w:ascii="仿宋" w:hAnsi="仿宋" w:cs="仿宋"/>
                <w:color w:val="auto"/>
                <w:sz w:val="24"/>
                <w:szCs w:val="24"/>
              </w:rPr>
              <w:t>Ⅰ</w:t>
            </w:r>
          </w:p>
        </w:tc>
        <w:tc>
          <w:tcPr>
            <w:tcW w:w="692" w:type="pct"/>
            <w:shd w:val="clear" w:color="auto" w:fill="auto"/>
            <w:vAlign w:val="center"/>
          </w:tcPr>
          <w:p w14:paraId="56A5244F">
            <w:pPr>
              <w:jc w:val="center"/>
              <w:rPr>
                <w:rFonts w:ascii="仿宋" w:hAnsi="仿宋" w:cs="仿宋"/>
                <w:color w:val="auto"/>
                <w:sz w:val="24"/>
                <w:szCs w:val="24"/>
              </w:rPr>
            </w:pPr>
            <w:r>
              <w:rPr>
                <w:rFonts w:hint="eastAsia" w:ascii="仿宋" w:hAnsi="仿宋" w:cs="仿宋"/>
                <w:color w:val="auto"/>
                <w:sz w:val="24"/>
                <w:szCs w:val="24"/>
              </w:rPr>
              <w:t>80</w:t>
            </w:r>
          </w:p>
        </w:tc>
        <w:tc>
          <w:tcPr>
            <w:tcW w:w="520" w:type="pct"/>
            <w:shd w:val="clear" w:color="auto" w:fill="auto"/>
            <w:vAlign w:val="center"/>
          </w:tcPr>
          <w:p w14:paraId="28E05AE2">
            <w:pPr>
              <w:jc w:val="center"/>
              <w:rPr>
                <w:rFonts w:ascii="仿宋" w:hAnsi="仿宋" w:cs="仿宋"/>
                <w:color w:val="auto"/>
                <w:sz w:val="24"/>
                <w:szCs w:val="24"/>
              </w:rPr>
            </w:pPr>
            <w:r>
              <w:rPr>
                <w:rFonts w:hint="eastAsia" w:ascii="仿宋" w:hAnsi="仿宋" w:cs="仿宋"/>
                <w:color w:val="auto"/>
                <w:sz w:val="24"/>
                <w:szCs w:val="24"/>
              </w:rPr>
              <w:t>80</w:t>
            </w:r>
          </w:p>
        </w:tc>
        <w:tc>
          <w:tcPr>
            <w:tcW w:w="606" w:type="pct"/>
            <w:shd w:val="clear" w:color="auto" w:fill="auto"/>
            <w:vAlign w:val="center"/>
          </w:tcPr>
          <w:p w14:paraId="508D2EE0">
            <w:pPr>
              <w:jc w:val="center"/>
              <w:rPr>
                <w:rFonts w:ascii="仿宋" w:hAnsi="仿宋" w:cs="仿宋"/>
                <w:color w:val="auto"/>
                <w:sz w:val="24"/>
                <w:szCs w:val="24"/>
              </w:rPr>
            </w:pPr>
            <w:r>
              <w:rPr>
                <w:rFonts w:hint="eastAsia" w:ascii="仿宋" w:hAnsi="仿宋" w:cs="仿宋"/>
                <w:color w:val="auto"/>
                <w:sz w:val="24"/>
                <w:szCs w:val="24"/>
              </w:rPr>
              <w:t>195</w:t>
            </w:r>
          </w:p>
        </w:tc>
        <w:tc>
          <w:tcPr>
            <w:tcW w:w="779" w:type="pct"/>
            <w:shd w:val="clear" w:color="auto" w:fill="auto"/>
            <w:vAlign w:val="center"/>
          </w:tcPr>
          <w:p w14:paraId="6E1AD27F">
            <w:pPr>
              <w:jc w:val="center"/>
              <w:rPr>
                <w:rFonts w:ascii="仿宋" w:hAnsi="仿宋" w:cs="仿宋"/>
                <w:color w:val="auto"/>
                <w:sz w:val="24"/>
                <w:szCs w:val="24"/>
              </w:rPr>
            </w:pPr>
            <w:r>
              <w:rPr>
                <w:rFonts w:hint="eastAsia" w:ascii="仿宋" w:hAnsi="仿宋" w:cs="仿宋"/>
                <w:color w:val="auto"/>
                <w:sz w:val="24"/>
                <w:szCs w:val="24"/>
              </w:rPr>
              <w:t>100</w:t>
            </w:r>
          </w:p>
        </w:tc>
        <w:tc>
          <w:tcPr>
            <w:tcW w:w="519" w:type="pct"/>
            <w:shd w:val="clear" w:color="auto" w:fill="auto"/>
            <w:vAlign w:val="center"/>
          </w:tcPr>
          <w:p w14:paraId="105650E7">
            <w:pPr>
              <w:jc w:val="center"/>
              <w:rPr>
                <w:rFonts w:ascii="仿宋" w:hAnsi="仿宋" w:cs="仿宋"/>
                <w:color w:val="auto"/>
                <w:sz w:val="24"/>
                <w:szCs w:val="24"/>
              </w:rPr>
            </w:pPr>
            <w:r>
              <w:rPr>
                <w:rFonts w:ascii="仿宋" w:hAnsi="仿宋" w:cs="仿宋"/>
                <w:color w:val="auto"/>
                <w:sz w:val="24"/>
                <w:szCs w:val="24"/>
              </w:rPr>
              <w:t>3</w:t>
            </w:r>
          </w:p>
        </w:tc>
      </w:tr>
      <w:tr w14:paraId="5867F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00" w:type="pct"/>
            <w:shd w:val="clear" w:color="auto" w:fill="auto"/>
            <w:vAlign w:val="center"/>
          </w:tcPr>
          <w:p w14:paraId="0394D72A">
            <w:pPr>
              <w:ind w:left="161" w:hanging="160" w:hangingChars="67"/>
              <w:jc w:val="center"/>
              <w:rPr>
                <w:rFonts w:ascii="仿宋" w:hAnsi="仿宋" w:cs="仿宋"/>
                <w:color w:val="auto"/>
                <w:sz w:val="24"/>
                <w:szCs w:val="24"/>
              </w:rPr>
            </w:pPr>
            <w:r>
              <w:rPr>
                <w:rFonts w:hint="eastAsia" w:ascii="仿宋" w:hAnsi="仿宋" w:cs="仿宋"/>
                <w:color w:val="auto"/>
                <w:sz w:val="24"/>
                <w:szCs w:val="24"/>
              </w:rPr>
              <w:t>4</w:t>
            </w:r>
          </w:p>
        </w:tc>
        <w:tc>
          <w:tcPr>
            <w:tcW w:w="605" w:type="pct"/>
            <w:shd w:val="clear" w:color="auto" w:fill="auto"/>
            <w:vAlign w:val="center"/>
          </w:tcPr>
          <w:p w14:paraId="3248D977">
            <w:pPr>
              <w:jc w:val="center"/>
              <w:rPr>
                <w:rFonts w:ascii="仿宋" w:hAnsi="仿宋" w:cs="仿宋"/>
                <w:color w:val="auto"/>
                <w:sz w:val="24"/>
                <w:szCs w:val="24"/>
              </w:rPr>
            </w:pPr>
            <w:r>
              <w:rPr>
                <w:rFonts w:hint="eastAsia" w:ascii="仿宋" w:hAnsi="仿宋" w:cs="仿宋"/>
                <w:color w:val="auto"/>
                <w:sz w:val="24"/>
                <w:szCs w:val="24"/>
              </w:rPr>
              <w:t>ZK0401</w:t>
            </w:r>
          </w:p>
        </w:tc>
        <w:tc>
          <w:tcPr>
            <w:tcW w:w="779" w:type="pct"/>
            <w:shd w:val="clear" w:color="auto" w:fill="auto"/>
            <w:vAlign w:val="center"/>
          </w:tcPr>
          <w:p w14:paraId="67B9426C">
            <w:pPr>
              <w:jc w:val="center"/>
              <w:rPr>
                <w:rFonts w:ascii="仿宋" w:hAnsi="仿宋" w:cs="仿宋"/>
                <w:color w:val="auto"/>
                <w:sz w:val="24"/>
                <w:szCs w:val="24"/>
              </w:rPr>
            </w:pPr>
            <w:r>
              <w:rPr>
                <w:rFonts w:hint="eastAsia" w:ascii="仿宋" w:hAnsi="仿宋" w:cs="仿宋"/>
                <w:color w:val="auto"/>
                <w:sz w:val="24"/>
                <w:szCs w:val="24"/>
              </w:rPr>
              <w:t>Ⅰ</w:t>
            </w:r>
          </w:p>
        </w:tc>
        <w:tc>
          <w:tcPr>
            <w:tcW w:w="692" w:type="pct"/>
            <w:shd w:val="clear" w:color="auto" w:fill="auto"/>
            <w:vAlign w:val="center"/>
          </w:tcPr>
          <w:p w14:paraId="6122AE16">
            <w:pPr>
              <w:jc w:val="center"/>
              <w:rPr>
                <w:rFonts w:ascii="仿宋" w:hAnsi="仿宋" w:cs="仿宋"/>
                <w:color w:val="auto"/>
                <w:sz w:val="24"/>
                <w:szCs w:val="24"/>
              </w:rPr>
            </w:pPr>
            <w:r>
              <w:rPr>
                <w:rFonts w:hint="eastAsia" w:ascii="仿宋" w:hAnsi="仿宋" w:cs="仿宋"/>
                <w:color w:val="auto"/>
                <w:sz w:val="24"/>
                <w:szCs w:val="24"/>
              </w:rPr>
              <w:t>80</w:t>
            </w:r>
          </w:p>
        </w:tc>
        <w:tc>
          <w:tcPr>
            <w:tcW w:w="520" w:type="pct"/>
            <w:shd w:val="clear" w:color="auto" w:fill="auto"/>
            <w:vAlign w:val="center"/>
          </w:tcPr>
          <w:p w14:paraId="113762D1">
            <w:pPr>
              <w:jc w:val="center"/>
              <w:rPr>
                <w:rFonts w:ascii="仿宋" w:hAnsi="仿宋" w:cs="仿宋"/>
                <w:color w:val="auto"/>
                <w:sz w:val="24"/>
                <w:szCs w:val="24"/>
              </w:rPr>
            </w:pPr>
            <w:r>
              <w:rPr>
                <w:rFonts w:hint="eastAsia" w:ascii="仿宋" w:hAnsi="仿宋" w:cs="仿宋"/>
                <w:color w:val="auto"/>
                <w:sz w:val="24"/>
                <w:szCs w:val="24"/>
              </w:rPr>
              <w:t>80</w:t>
            </w:r>
          </w:p>
        </w:tc>
        <w:tc>
          <w:tcPr>
            <w:tcW w:w="606" w:type="pct"/>
            <w:shd w:val="clear" w:color="auto" w:fill="auto"/>
            <w:vAlign w:val="center"/>
          </w:tcPr>
          <w:p w14:paraId="1D39D09F">
            <w:pPr>
              <w:jc w:val="center"/>
              <w:rPr>
                <w:rFonts w:ascii="仿宋" w:hAnsi="仿宋" w:cs="仿宋"/>
                <w:color w:val="auto"/>
                <w:sz w:val="24"/>
                <w:szCs w:val="24"/>
              </w:rPr>
            </w:pPr>
            <w:r>
              <w:rPr>
                <w:rFonts w:hint="eastAsia" w:ascii="仿宋" w:hAnsi="仿宋" w:cs="仿宋"/>
                <w:color w:val="auto"/>
                <w:sz w:val="24"/>
                <w:szCs w:val="24"/>
              </w:rPr>
              <w:t>195</w:t>
            </w:r>
          </w:p>
        </w:tc>
        <w:tc>
          <w:tcPr>
            <w:tcW w:w="779" w:type="pct"/>
            <w:shd w:val="clear" w:color="auto" w:fill="auto"/>
            <w:vAlign w:val="center"/>
          </w:tcPr>
          <w:p w14:paraId="51802774">
            <w:pPr>
              <w:jc w:val="center"/>
              <w:rPr>
                <w:rFonts w:ascii="仿宋" w:hAnsi="仿宋" w:cs="仿宋"/>
                <w:color w:val="auto"/>
                <w:sz w:val="24"/>
                <w:szCs w:val="24"/>
              </w:rPr>
            </w:pPr>
            <w:r>
              <w:rPr>
                <w:rFonts w:hint="eastAsia" w:ascii="仿宋" w:hAnsi="仿宋" w:cs="仿宋"/>
                <w:color w:val="auto"/>
                <w:sz w:val="24"/>
                <w:szCs w:val="24"/>
              </w:rPr>
              <w:t>100</w:t>
            </w:r>
          </w:p>
        </w:tc>
        <w:tc>
          <w:tcPr>
            <w:tcW w:w="519" w:type="pct"/>
            <w:shd w:val="clear" w:color="auto" w:fill="auto"/>
            <w:vAlign w:val="center"/>
          </w:tcPr>
          <w:p w14:paraId="3341EF7E">
            <w:pPr>
              <w:jc w:val="center"/>
              <w:rPr>
                <w:rFonts w:ascii="仿宋" w:hAnsi="仿宋" w:cs="仿宋"/>
                <w:color w:val="auto"/>
                <w:sz w:val="24"/>
                <w:szCs w:val="24"/>
              </w:rPr>
            </w:pPr>
            <w:r>
              <w:rPr>
                <w:rFonts w:ascii="仿宋" w:hAnsi="仿宋" w:cs="仿宋"/>
                <w:color w:val="auto"/>
                <w:sz w:val="24"/>
                <w:szCs w:val="24"/>
              </w:rPr>
              <w:t>3</w:t>
            </w:r>
          </w:p>
        </w:tc>
      </w:tr>
      <w:tr w14:paraId="6E876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00" w:type="pct"/>
            <w:shd w:val="clear" w:color="auto" w:fill="auto"/>
            <w:vAlign w:val="center"/>
          </w:tcPr>
          <w:p w14:paraId="1A95F42C">
            <w:pPr>
              <w:ind w:left="161" w:hanging="160" w:hangingChars="67"/>
              <w:jc w:val="center"/>
              <w:rPr>
                <w:rFonts w:ascii="仿宋" w:hAnsi="仿宋" w:cs="仿宋"/>
                <w:color w:val="auto"/>
                <w:sz w:val="24"/>
                <w:szCs w:val="24"/>
              </w:rPr>
            </w:pPr>
            <w:r>
              <w:rPr>
                <w:rFonts w:hint="eastAsia" w:ascii="仿宋" w:hAnsi="仿宋" w:cs="仿宋"/>
                <w:color w:val="auto"/>
                <w:sz w:val="24"/>
                <w:szCs w:val="24"/>
              </w:rPr>
              <w:t>5</w:t>
            </w:r>
          </w:p>
        </w:tc>
        <w:tc>
          <w:tcPr>
            <w:tcW w:w="605" w:type="pct"/>
            <w:shd w:val="clear" w:color="auto" w:fill="auto"/>
            <w:vAlign w:val="center"/>
          </w:tcPr>
          <w:p w14:paraId="0CD49317">
            <w:pPr>
              <w:jc w:val="center"/>
              <w:rPr>
                <w:rFonts w:ascii="仿宋" w:hAnsi="仿宋" w:cs="仿宋"/>
                <w:color w:val="auto"/>
                <w:sz w:val="24"/>
                <w:szCs w:val="24"/>
              </w:rPr>
            </w:pPr>
            <w:r>
              <w:rPr>
                <w:rFonts w:hint="eastAsia" w:ascii="仿宋" w:hAnsi="仿宋" w:cs="仿宋"/>
                <w:color w:val="auto"/>
                <w:sz w:val="24"/>
                <w:szCs w:val="24"/>
              </w:rPr>
              <w:t>ZK1001</w:t>
            </w:r>
          </w:p>
        </w:tc>
        <w:tc>
          <w:tcPr>
            <w:tcW w:w="779" w:type="pct"/>
            <w:shd w:val="clear" w:color="auto" w:fill="auto"/>
            <w:vAlign w:val="center"/>
          </w:tcPr>
          <w:p w14:paraId="7B8EFCC8">
            <w:pPr>
              <w:jc w:val="center"/>
              <w:rPr>
                <w:rFonts w:ascii="仿宋" w:hAnsi="仿宋" w:cs="仿宋"/>
                <w:color w:val="auto"/>
                <w:sz w:val="24"/>
                <w:szCs w:val="24"/>
              </w:rPr>
            </w:pPr>
            <w:r>
              <w:rPr>
                <w:rFonts w:hint="eastAsia" w:ascii="仿宋" w:hAnsi="仿宋" w:cs="仿宋"/>
                <w:color w:val="auto"/>
                <w:sz w:val="24"/>
                <w:szCs w:val="24"/>
              </w:rPr>
              <w:t>Ⅱ</w:t>
            </w:r>
          </w:p>
        </w:tc>
        <w:tc>
          <w:tcPr>
            <w:tcW w:w="692" w:type="pct"/>
            <w:shd w:val="clear" w:color="auto" w:fill="auto"/>
            <w:vAlign w:val="center"/>
          </w:tcPr>
          <w:p w14:paraId="71631FBD">
            <w:pPr>
              <w:jc w:val="center"/>
              <w:rPr>
                <w:rFonts w:ascii="仿宋" w:hAnsi="仿宋" w:cs="仿宋"/>
                <w:color w:val="auto"/>
                <w:sz w:val="24"/>
                <w:szCs w:val="24"/>
              </w:rPr>
            </w:pPr>
            <w:r>
              <w:rPr>
                <w:rFonts w:hint="eastAsia" w:ascii="仿宋" w:hAnsi="仿宋" w:cs="仿宋"/>
                <w:color w:val="auto"/>
                <w:sz w:val="24"/>
                <w:szCs w:val="24"/>
              </w:rPr>
              <w:t>80</w:t>
            </w:r>
          </w:p>
        </w:tc>
        <w:tc>
          <w:tcPr>
            <w:tcW w:w="520" w:type="pct"/>
            <w:shd w:val="clear" w:color="auto" w:fill="auto"/>
            <w:vAlign w:val="center"/>
          </w:tcPr>
          <w:p w14:paraId="3E9D4405">
            <w:pPr>
              <w:jc w:val="center"/>
              <w:rPr>
                <w:rFonts w:ascii="仿宋" w:hAnsi="仿宋" w:cs="仿宋"/>
                <w:color w:val="auto"/>
                <w:sz w:val="24"/>
                <w:szCs w:val="24"/>
              </w:rPr>
            </w:pPr>
            <w:r>
              <w:rPr>
                <w:rFonts w:hint="eastAsia" w:ascii="仿宋" w:hAnsi="仿宋" w:cs="仿宋"/>
                <w:color w:val="auto"/>
                <w:sz w:val="24"/>
                <w:szCs w:val="24"/>
              </w:rPr>
              <w:t>80</w:t>
            </w:r>
          </w:p>
        </w:tc>
        <w:tc>
          <w:tcPr>
            <w:tcW w:w="606" w:type="pct"/>
            <w:shd w:val="clear" w:color="auto" w:fill="auto"/>
            <w:vAlign w:val="center"/>
          </w:tcPr>
          <w:p w14:paraId="63B97A48">
            <w:pPr>
              <w:jc w:val="center"/>
              <w:rPr>
                <w:rFonts w:ascii="仿宋" w:hAnsi="仿宋" w:cs="仿宋"/>
                <w:color w:val="auto"/>
                <w:sz w:val="24"/>
                <w:szCs w:val="24"/>
              </w:rPr>
            </w:pPr>
            <w:r>
              <w:rPr>
                <w:rFonts w:hint="eastAsia" w:ascii="仿宋" w:hAnsi="仿宋" w:cs="仿宋"/>
                <w:color w:val="auto"/>
                <w:sz w:val="24"/>
                <w:szCs w:val="24"/>
              </w:rPr>
              <w:t>195</w:t>
            </w:r>
          </w:p>
        </w:tc>
        <w:tc>
          <w:tcPr>
            <w:tcW w:w="779" w:type="pct"/>
            <w:shd w:val="clear" w:color="auto" w:fill="auto"/>
            <w:vAlign w:val="center"/>
          </w:tcPr>
          <w:p w14:paraId="591007BB">
            <w:pPr>
              <w:jc w:val="center"/>
              <w:rPr>
                <w:rFonts w:ascii="仿宋" w:hAnsi="仿宋" w:cs="仿宋"/>
                <w:color w:val="auto"/>
                <w:sz w:val="24"/>
                <w:szCs w:val="24"/>
              </w:rPr>
            </w:pPr>
            <w:r>
              <w:rPr>
                <w:rFonts w:hint="eastAsia" w:ascii="仿宋" w:hAnsi="仿宋" w:cs="仿宋"/>
                <w:color w:val="auto"/>
                <w:sz w:val="24"/>
                <w:szCs w:val="24"/>
              </w:rPr>
              <w:t>120</w:t>
            </w:r>
          </w:p>
        </w:tc>
        <w:tc>
          <w:tcPr>
            <w:tcW w:w="519" w:type="pct"/>
            <w:shd w:val="clear" w:color="auto" w:fill="auto"/>
            <w:vAlign w:val="center"/>
          </w:tcPr>
          <w:p w14:paraId="2C8669E1">
            <w:pPr>
              <w:jc w:val="center"/>
              <w:rPr>
                <w:rFonts w:ascii="仿宋" w:hAnsi="仿宋" w:cs="仿宋"/>
                <w:color w:val="auto"/>
                <w:sz w:val="24"/>
                <w:szCs w:val="24"/>
              </w:rPr>
            </w:pPr>
            <w:r>
              <w:rPr>
                <w:rFonts w:ascii="仿宋" w:hAnsi="仿宋" w:cs="仿宋"/>
                <w:color w:val="auto"/>
                <w:sz w:val="24"/>
                <w:szCs w:val="24"/>
              </w:rPr>
              <w:t>1</w:t>
            </w:r>
          </w:p>
        </w:tc>
      </w:tr>
      <w:tr w14:paraId="3D0CA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2576" w:type="pct"/>
            <w:gridSpan w:val="4"/>
            <w:shd w:val="clear" w:color="auto" w:fill="auto"/>
            <w:vAlign w:val="center"/>
          </w:tcPr>
          <w:p w14:paraId="426BB7FB">
            <w:pPr>
              <w:jc w:val="center"/>
              <w:rPr>
                <w:rFonts w:ascii="仿宋" w:hAnsi="仿宋" w:cs="仿宋"/>
                <w:color w:val="auto"/>
                <w:sz w:val="24"/>
                <w:szCs w:val="24"/>
              </w:rPr>
            </w:pPr>
            <w:r>
              <w:rPr>
                <w:rFonts w:ascii="仿宋" w:hAnsi="仿宋" w:cs="仿宋"/>
                <w:color w:val="auto"/>
                <w:sz w:val="24"/>
                <w:szCs w:val="24"/>
              </w:rPr>
              <w:t>小计</w:t>
            </w:r>
          </w:p>
        </w:tc>
        <w:tc>
          <w:tcPr>
            <w:tcW w:w="1125" w:type="pct"/>
            <w:gridSpan w:val="2"/>
            <w:shd w:val="clear" w:color="auto" w:fill="auto"/>
            <w:vAlign w:val="center"/>
          </w:tcPr>
          <w:p w14:paraId="3616EC20">
            <w:pPr>
              <w:jc w:val="center"/>
              <w:rPr>
                <w:rFonts w:ascii="仿宋" w:hAnsi="仿宋" w:cs="仿宋"/>
                <w:color w:val="auto"/>
                <w:sz w:val="24"/>
                <w:szCs w:val="24"/>
              </w:rPr>
            </w:pPr>
          </w:p>
        </w:tc>
        <w:tc>
          <w:tcPr>
            <w:tcW w:w="779" w:type="pct"/>
            <w:shd w:val="clear" w:color="auto" w:fill="auto"/>
            <w:vAlign w:val="center"/>
          </w:tcPr>
          <w:p w14:paraId="44BBBFD4">
            <w:pPr>
              <w:jc w:val="center"/>
              <w:rPr>
                <w:rFonts w:ascii="仿宋" w:hAnsi="仿宋" w:cs="仿宋"/>
                <w:color w:val="auto"/>
                <w:sz w:val="24"/>
                <w:szCs w:val="24"/>
              </w:rPr>
            </w:pPr>
            <w:r>
              <w:rPr>
                <w:rFonts w:hint="eastAsia" w:ascii="仿宋" w:hAnsi="仿宋" w:cs="仿宋"/>
                <w:color w:val="auto"/>
                <w:sz w:val="24"/>
                <w:szCs w:val="24"/>
              </w:rPr>
              <w:t>650</w:t>
            </w:r>
          </w:p>
        </w:tc>
        <w:tc>
          <w:tcPr>
            <w:tcW w:w="519" w:type="pct"/>
            <w:shd w:val="clear" w:color="auto" w:fill="auto"/>
            <w:vAlign w:val="center"/>
          </w:tcPr>
          <w:p w14:paraId="1E172750">
            <w:pPr>
              <w:jc w:val="center"/>
              <w:rPr>
                <w:rFonts w:ascii="仿宋" w:hAnsi="仿宋" w:cs="仿宋"/>
                <w:color w:val="auto"/>
                <w:sz w:val="24"/>
                <w:szCs w:val="24"/>
              </w:rPr>
            </w:pPr>
          </w:p>
        </w:tc>
      </w:tr>
      <w:tr w14:paraId="75178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2576" w:type="pct"/>
            <w:gridSpan w:val="4"/>
            <w:shd w:val="clear" w:color="auto" w:fill="auto"/>
            <w:vAlign w:val="center"/>
          </w:tcPr>
          <w:p w14:paraId="6DAF02D6">
            <w:pPr>
              <w:jc w:val="center"/>
              <w:rPr>
                <w:rFonts w:ascii="仿宋" w:hAnsi="仿宋" w:cs="仿宋"/>
                <w:color w:val="auto"/>
                <w:sz w:val="24"/>
                <w:szCs w:val="24"/>
              </w:rPr>
            </w:pPr>
            <w:r>
              <w:rPr>
                <w:rFonts w:ascii="仿宋" w:hAnsi="仿宋" w:cs="仿宋"/>
                <w:color w:val="auto"/>
                <w:sz w:val="24"/>
                <w:szCs w:val="24"/>
              </w:rPr>
              <w:t>累计进尺(</w:t>
            </w:r>
            <w:r>
              <w:rPr>
                <w:rFonts w:hint="eastAsia" w:ascii="仿宋" w:hAnsi="仿宋" w:cs="仿宋"/>
                <w:color w:val="auto"/>
                <w:sz w:val="24"/>
                <w:szCs w:val="24"/>
              </w:rPr>
              <w:t>米</w:t>
            </w:r>
            <w:r>
              <w:rPr>
                <w:rFonts w:ascii="仿宋" w:hAnsi="仿宋" w:cs="仿宋"/>
                <w:color w:val="auto"/>
                <w:sz w:val="24"/>
                <w:szCs w:val="24"/>
              </w:rPr>
              <w:t>)</w:t>
            </w:r>
          </w:p>
        </w:tc>
        <w:tc>
          <w:tcPr>
            <w:tcW w:w="1125" w:type="pct"/>
            <w:gridSpan w:val="2"/>
            <w:shd w:val="clear" w:color="auto" w:fill="auto"/>
            <w:vAlign w:val="center"/>
          </w:tcPr>
          <w:p w14:paraId="18414332">
            <w:pPr>
              <w:jc w:val="center"/>
              <w:rPr>
                <w:rFonts w:ascii="仿宋" w:hAnsi="仿宋" w:cs="仿宋"/>
                <w:color w:val="auto"/>
                <w:sz w:val="24"/>
                <w:szCs w:val="24"/>
              </w:rPr>
            </w:pPr>
            <w:r>
              <w:rPr>
                <w:rFonts w:hint="eastAsia" w:ascii="仿宋" w:hAnsi="仿宋" w:cs="仿宋"/>
                <w:color w:val="auto"/>
                <w:sz w:val="24"/>
                <w:szCs w:val="24"/>
              </w:rPr>
              <w:t>预留350米</w:t>
            </w:r>
          </w:p>
        </w:tc>
        <w:tc>
          <w:tcPr>
            <w:tcW w:w="779" w:type="pct"/>
            <w:shd w:val="clear" w:color="auto" w:fill="auto"/>
            <w:vAlign w:val="center"/>
          </w:tcPr>
          <w:p w14:paraId="135A4065">
            <w:pPr>
              <w:jc w:val="center"/>
              <w:rPr>
                <w:rFonts w:ascii="仿宋" w:hAnsi="仿宋" w:cs="仿宋"/>
                <w:color w:val="auto"/>
                <w:sz w:val="24"/>
                <w:szCs w:val="24"/>
              </w:rPr>
            </w:pPr>
            <w:r>
              <w:rPr>
                <w:rFonts w:hint="eastAsia" w:ascii="仿宋" w:hAnsi="仿宋" w:cs="仿宋"/>
                <w:color w:val="auto"/>
                <w:sz w:val="24"/>
                <w:szCs w:val="24"/>
              </w:rPr>
              <w:t>1000</w:t>
            </w:r>
          </w:p>
        </w:tc>
        <w:tc>
          <w:tcPr>
            <w:tcW w:w="519" w:type="pct"/>
            <w:shd w:val="clear" w:color="auto" w:fill="auto"/>
            <w:vAlign w:val="center"/>
          </w:tcPr>
          <w:p w14:paraId="27325910">
            <w:pPr>
              <w:jc w:val="center"/>
              <w:rPr>
                <w:rFonts w:ascii="仿宋" w:hAnsi="仿宋" w:cs="仿宋"/>
                <w:color w:val="auto"/>
                <w:sz w:val="24"/>
                <w:szCs w:val="24"/>
              </w:rPr>
            </w:pPr>
            <w:r>
              <w:rPr>
                <w:rFonts w:ascii="仿宋" w:hAnsi="仿宋" w:cs="仿宋"/>
                <w:color w:val="auto"/>
                <w:sz w:val="24"/>
                <w:szCs w:val="24"/>
              </w:rPr>
              <w:t>　</w:t>
            </w:r>
          </w:p>
        </w:tc>
      </w:tr>
    </w:tbl>
    <w:p w14:paraId="673A31C5">
      <w:pPr>
        <w:pStyle w:val="25"/>
        <w:spacing w:line="400" w:lineRule="exact"/>
        <w:ind w:firstLine="560" w:firstLineChars="200"/>
        <w:rPr>
          <w:rFonts w:ascii="仿宋" w:hAnsi="仿宋" w:eastAsia="仿宋" w:cs="仿宋"/>
          <w:color w:val="auto"/>
          <w:sz w:val="28"/>
          <w:szCs w:val="28"/>
        </w:rPr>
      </w:pPr>
    </w:p>
    <w:p w14:paraId="603118B0">
      <w:pPr>
        <w:ind w:firstLine="562" w:firstLineChars="200"/>
        <w:jc w:val="center"/>
        <w:rPr>
          <w:rFonts w:ascii="仿宋" w:hAnsi="仿宋" w:cs="仿宋"/>
          <w:b/>
          <w:color w:val="auto"/>
          <w:sz w:val="28"/>
          <w:szCs w:val="28"/>
        </w:rPr>
      </w:pPr>
      <w:r>
        <w:rPr>
          <w:rFonts w:hint="eastAsia" w:ascii="仿宋" w:hAnsi="仿宋" w:cs="仿宋"/>
          <w:b/>
          <w:color w:val="auto"/>
          <w:sz w:val="28"/>
          <w:szCs w:val="28"/>
        </w:rPr>
        <w:t>表2-2  各类岩石进尺表</w:t>
      </w:r>
    </w:p>
    <w:tbl>
      <w:tblPr>
        <w:tblStyle w:val="49"/>
        <w:tblW w:w="4998" w:type="pct"/>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502"/>
        <w:gridCol w:w="1041"/>
        <w:gridCol w:w="985"/>
        <w:gridCol w:w="3697"/>
        <w:gridCol w:w="1267"/>
      </w:tblGrid>
      <w:tr w14:paraId="785E707C">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1502" w:type="dxa"/>
            <w:tcBorders>
              <w:left w:val="single" w:color="auto" w:sz="4" w:space="0"/>
            </w:tcBorders>
            <w:vAlign w:val="center"/>
          </w:tcPr>
          <w:p w14:paraId="2CECA6D7">
            <w:pPr>
              <w:jc w:val="center"/>
              <w:rPr>
                <w:rFonts w:ascii="仿宋" w:hAnsi="仿宋" w:cs="仿宋"/>
                <w:color w:val="auto"/>
                <w:sz w:val="24"/>
                <w:szCs w:val="24"/>
              </w:rPr>
            </w:pPr>
            <w:r>
              <w:rPr>
                <w:rFonts w:hint="eastAsia" w:ascii="宋体" w:hAnsi="宋体" w:eastAsia="宋体"/>
                <w:color w:val="auto"/>
              </w:rPr>
              <w:t>岩石名称</w:t>
            </w:r>
          </w:p>
        </w:tc>
        <w:tc>
          <w:tcPr>
            <w:tcW w:w="1041" w:type="dxa"/>
            <w:vAlign w:val="center"/>
          </w:tcPr>
          <w:p w14:paraId="40089CA0">
            <w:pPr>
              <w:jc w:val="center"/>
              <w:rPr>
                <w:rFonts w:ascii="仿宋" w:hAnsi="仿宋" w:cs="仿宋"/>
                <w:color w:val="auto"/>
                <w:sz w:val="24"/>
                <w:szCs w:val="24"/>
              </w:rPr>
            </w:pPr>
            <w:r>
              <w:rPr>
                <w:rFonts w:hint="eastAsia" w:ascii="宋体" w:hAnsi="宋体" w:eastAsia="宋体"/>
                <w:color w:val="auto"/>
              </w:rPr>
              <w:t>/</w:t>
            </w:r>
          </w:p>
        </w:tc>
        <w:tc>
          <w:tcPr>
            <w:tcW w:w="985" w:type="dxa"/>
            <w:vAlign w:val="center"/>
          </w:tcPr>
          <w:p w14:paraId="5E940229">
            <w:pPr>
              <w:jc w:val="center"/>
              <w:rPr>
                <w:rFonts w:ascii="仿宋" w:hAnsi="仿宋" w:cs="仿宋"/>
                <w:color w:val="auto"/>
                <w:sz w:val="24"/>
                <w:szCs w:val="24"/>
              </w:rPr>
            </w:pPr>
            <w:r>
              <w:rPr>
                <w:rFonts w:hint="eastAsia" w:ascii="宋体" w:hAnsi="宋体" w:eastAsia="宋体"/>
                <w:color w:val="auto"/>
              </w:rPr>
              <w:t>/</w:t>
            </w:r>
          </w:p>
        </w:tc>
        <w:tc>
          <w:tcPr>
            <w:tcW w:w="3697" w:type="dxa"/>
            <w:vAlign w:val="center"/>
          </w:tcPr>
          <w:p w14:paraId="1A37E40A">
            <w:pPr>
              <w:jc w:val="center"/>
              <w:rPr>
                <w:rFonts w:ascii="仿宋" w:hAnsi="仿宋" w:cs="仿宋"/>
                <w:color w:val="auto"/>
                <w:sz w:val="24"/>
                <w:szCs w:val="24"/>
              </w:rPr>
            </w:pPr>
            <w:r>
              <w:rPr>
                <w:rFonts w:hint="eastAsia" w:ascii="宋体" w:hAnsi="宋体" w:eastAsia="宋体"/>
                <w:color w:val="auto"/>
              </w:rPr>
              <w:t>斜长</w:t>
            </w:r>
            <w:r>
              <w:rPr>
                <w:rFonts w:ascii="宋体" w:hAnsi="宋体" w:eastAsia="宋体"/>
                <w:color w:val="auto"/>
              </w:rPr>
              <w:t>石英片岩</w:t>
            </w:r>
            <w:r>
              <w:rPr>
                <w:rFonts w:hint="eastAsia" w:ascii="宋体" w:hAnsi="宋体" w:eastAsia="宋体"/>
                <w:color w:val="auto"/>
              </w:rPr>
              <w:t>、石英脉、蚀变岩等</w:t>
            </w:r>
          </w:p>
        </w:tc>
        <w:tc>
          <w:tcPr>
            <w:tcW w:w="1267" w:type="dxa"/>
            <w:tcBorders>
              <w:right w:val="single" w:color="auto" w:sz="4" w:space="0"/>
            </w:tcBorders>
            <w:vAlign w:val="center"/>
          </w:tcPr>
          <w:p w14:paraId="2E1826FC">
            <w:pPr>
              <w:jc w:val="center"/>
              <w:rPr>
                <w:rFonts w:ascii="仿宋" w:hAnsi="仿宋" w:cs="仿宋"/>
                <w:color w:val="auto"/>
                <w:sz w:val="24"/>
                <w:szCs w:val="24"/>
              </w:rPr>
            </w:pPr>
            <w:r>
              <w:rPr>
                <w:rFonts w:hint="eastAsia" w:ascii="宋体" w:hAnsi="宋体" w:eastAsia="宋体"/>
                <w:color w:val="auto"/>
              </w:rPr>
              <w:t>/</w:t>
            </w:r>
          </w:p>
        </w:tc>
      </w:tr>
      <w:tr w14:paraId="1E970B68">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1502" w:type="dxa"/>
            <w:tcBorders>
              <w:left w:val="single" w:color="auto" w:sz="4" w:space="0"/>
            </w:tcBorders>
            <w:vAlign w:val="center"/>
          </w:tcPr>
          <w:p w14:paraId="242A5BA1">
            <w:pPr>
              <w:jc w:val="center"/>
              <w:rPr>
                <w:rFonts w:ascii="仿宋" w:hAnsi="仿宋" w:cs="仿宋"/>
                <w:color w:val="auto"/>
                <w:sz w:val="24"/>
                <w:szCs w:val="24"/>
              </w:rPr>
            </w:pPr>
            <w:r>
              <w:rPr>
                <w:rFonts w:hint="eastAsia" w:ascii="宋体" w:hAnsi="宋体" w:eastAsia="宋体"/>
                <w:color w:val="auto"/>
              </w:rPr>
              <w:t>岩石可钻性</w:t>
            </w:r>
          </w:p>
        </w:tc>
        <w:tc>
          <w:tcPr>
            <w:tcW w:w="1041" w:type="dxa"/>
            <w:vAlign w:val="center"/>
          </w:tcPr>
          <w:p w14:paraId="028EDF33">
            <w:pPr>
              <w:jc w:val="center"/>
              <w:rPr>
                <w:rFonts w:ascii="仿宋" w:hAnsi="仿宋" w:cs="仿宋"/>
                <w:color w:val="auto"/>
                <w:sz w:val="24"/>
                <w:szCs w:val="24"/>
              </w:rPr>
            </w:pPr>
            <w:r>
              <w:rPr>
                <w:rFonts w:hint="eastAsia" w:ascii="宋体" w:hAnsi="宋体" w:eastAsia="宋体"/>
                <w:color w:val="auto"/>
              </w:rPr>
              <w:t>1～3级</w:t>
            </w:r>
          </w:p>
        </w:tc>
        <w:tc>
          <w:tcPr>
            <w:tcW w:w="985" w:type="dxa"/>
            <w:vAlign w:val="center"/>
          </w:tcPr>
          <w:p w14:paraId="38011D60">
            <w:pPr>
              <w:jc w:val="center"/>
              <w:rPr>
                <w:rFonts w:ascii="仿宋" w:hAnsi="仿宋" w:cs="仿宋"/>
                <w:color w:val="auto"/>
                <w:sz w:val="24"/>
                <w:szCs w:val="24"/>
              </w:rPr>
            </w:pPr>
            <w:r>
              <w:rPr>
                <w:rFonts w:hint="eastAsia" w:ascii="宋体" w:hAnsi="宋体" w:eastAsia="宋体"/>
                <w:color w:val="auto"/>
              </w:rPr>
              <w:t>4～6级</w:t>
            </w:r>
          </w:p>
        </w:tc>
        <w:tc>
          <w:tcPr>
            <w:tcW w:w="3697" w:type="dxa"/>
            <w:vAlign w:val="center"/>
          </w:tcPr>
          <w:p w14:paraId="44CAC83A">
            <w:pPr>
              <w:jc w:val="center"/>
              <w:rPr>
                <w:rFonts w:ascii="仿宋" w:hAnsi="仿宋" w:cs="仿宋"/>
                <w:color w:val="auto"/>
                <w:sz w:val="24"/>
                <w:szCs w:val="24"/>
              </w:rPr>
            </w:pPr>
            <w:r>
              <w:rPr>
                <w:rFonts w:hint="eastAsia" w:ascii="宋体" w:hAnsi="宋体" w:eastAsia="宋体"/>
                <w:color w:val="auto"/>
              </w:rPr>
              <w:t>7～9级</w:t>
            </w:r>
          </w:p>
        </w:tc>
        <w:tc>
          <w:tcPr>
            <w:tcW w:w="1267" w:type="dxa"/>
            <w:tcBorders>
              <w:right w:val="single" w:color="auto" w:sz="4" w:space="0"/>
            </w:tcBorders>
            <w:vAlign w:val="center"/>
          </w:tcPr>
          <w:p w14:paraId="1B22B2BC">
            <w:pPr>
              <w:jc w:val="center"/>
              <w:rPr>
                <w:rFonts w:ascii="仿宋" w:hAnsi="仿宋" w:cs="仿宋"/>
                <w:color w:val="auto"/>
                <w:sz w:val="24"/>
                <w:szCs w:val="24"/>
              </w:rPr>
            </w:pPr>
            <w:r>
              <w:rPr>
                <w:rFonts w:hint="eastAsia" w:ascii="宋体" w:hAnsi="宋体" w:eastAsia="宋体"/>
                <w:color w:val="auto"/>
              </w:rPr>
              <w:t>10～12级</w:t>
            </w:r>
          </w:p>
        </w:tc>
      </w:tr>
      <w:tr w14:paraId="32B703AC">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1502" w:type="dxa"/>
            <w:tcBorders>
              <w:left w:val="single" w:color="auto" w:sz="4" w:space="0"/>
            </w:tcBorders>
            <w:vAlign w:val="center"/>
          </w:tcPr>
          <w:p w14:paraId="23575917">
            <w:pPr>
              <w:jc w:val="center"/>
              <w:rPr>
                <w:rFonts w:ascii="仿宋" w:hAnsi="仿宋" w:cs="仿宋"/>
                <w:color w:val="auto"/>
                <w:sz w:val="24"/>
                <w:szCs w:val="24"/>
              </w:rPr>
            </w:pPr>
            <w:r>
              <w:rPr>
                <w:rFonts w:hint="eastAsia" w:ascii="宋体" w:hAnsi="宋体" w:eastAsia="宋体"/>
                <w:color w:val="auto"/>
              </w:rPr>
              <w:t>工作量(米)</w:t>
            </w:r>
          </w:p>
        </w:tc>
        <w:tc>
          <w:tcPr>
            <w:tcW w:w="1041" w:type="dxa"/>
            <w:vAlign w:val="center"/>
          </w:tcPr>
          <w:p w14:paraId="3B9A58E8">
            <w:pPr>
              <w:jc w:val="center"/>
              <w:rPr>
                <w:rFonts w:ascii="仿宋" w:hAnsi="仿宋" w:cs="仿宋"/>
                <w:color w:val="auto"/>
                <w:sz w:val="24"/>
                <w:szCs w:val="24"/>
              </w:rPr>
            </w:pPr>
            <w:r>
              <w:rPr>
                <w:rFonts w:hint="eastAsia" w:ascii="宋体" w:hAnsi="宋体" w:eastAsia="宋体"/>
                <w:color w:val="auto"/>
              </w:rPr>
              <w:t>/</w:t>
            </w:r>
          </w:p>
        </w:tc>
        <w:tc>
          <w:tcPr>
            <w:tcW w:w="985" w:type="dxa"/>
            <w:vAlign w:val="center"/>
          </w:tcPr>
          <w:p w14:paraId="60830382">
            <w:pPr>
              <w:jc w:val="center"/>
              <w:rPr>
                <w:rFonts w:ascii="仿宋" w:hAnsi="仿宋" w:cs="仿宋"/>
                <w:color w:val="auto"/>
                <w:sz w:val="24"/>
                <w:szCs w:val="24"/>
              </w:rPr>
            </w:pPr>
            <w:r>
              <w:rPr>
                <w:rFonts w:hint="eastAsia" w:ascii="宋体" w:hAnsi="宋体" w:eastAsia="宋体"/>
                <w:color w:val="auto"/>
              </w:rPr>
              <w:t>/</w:t>
            </w:r>
          </w:p>
        </w:tc>
        <w:tc>
          <w:tcPr>
            <w:tcW w:w="3697" w:type="dxa"/>
            <w:vAlign w:val="center"/>
          </w:tcPr>
          <w:p w14:paraId="11C001FF">
            <w:pPr>
              <w:jc w:val="center"/>
              <w:rPr>
                <w:rFonts w:ascii="仿宋" w:hAnsi="仿宋" w:cs="仿宋"/>
                <w:color w:val="auto"/>
                <w:sz w:val="24"/>
                <w:szCs w:val="24"/>
              </w:rPr>
            </w:pPr>
            <w:r>
              <w:rPr>
                <w:rFonts w:hint="eastAsia" w:ascii="宋体" w:hAnsi="宋体" w:eastAsia="宋体"/>
                <w:color w:val="auto"/>
              </w:rPr>
              <w:t>1000</w:t>
            </w:r>
          </w:p>
        </w:tc>
        <w:tc>
          <w:tcPr>
            <w:tcW w:w="1267" w:type="dxa"/>
            <w:tcBorders>
              <w:right w:val="single" w:color="auto" w:sz="4" w:space="0"/>
            </w:tcBorders>
            <w:vAlign w:val="center"/>
          </w:tcPr>
          <w:p w14:paraId="30CD5EEE">
            <w:pPr>
              <w:jc w:val="center"/>
              <w:rPr>
                <w:rFonts w:ascii="仿宋" w:hAnsi="仿宋" w:cs="仿宋"/>
                <w:color w:val="auto"/>
                <w:sz w:val="24"/>
                <w:szCs w:val="24"/>
              </w:rPr>
            </w:pPr>
            <w:r>
              <w:rPr>
                <w:rFonts w:hint="eastAsia" w:ascii="宋体" w:hAnsi="宋体" w:eastAsia="宋体"/>
                <w:color w:val="auto"/>
              </w:rPr>
              <w:t>/</w:t>
            </w:r>
          </w:p>
        </w:tc>
      </w:tr>
    </w:tbl>
    <w:p w14:paraId="65E911AE">
      <w:pPr>
        <w:pStyle w:val="15"/>
        <w:spacing w:after="0" w:line="400" w:lineRule="exact"/>
        <w:ind w:firstLine="562" w:firstLineChars="200"/>
        <w:rPr>
          <w:rFonts w:ascii="仿宋" w:hAnsi="仿宋" w:eastAsia="仿宋" w:cs="仿宋"/>
          <w:b/>
          <w:bCs/>
          <w:color w:val="auto"/>
          <w:sz w:val="28"/>
          <w:szCs w:val="28"/>
        </w:rPr>
      </w:pPr>
      <w:bookmarkStart w:id="119" w:name="_Toc29865"/>
      <w:bookmarkStart w:id="120" w:name="_Toc289356236"/>
      <w:bookmarkStart w:id="121" w:name="_Toc11372"/>
      <w:bookmarkStart w:id="122" w:name="_Toc289355592"/>
      <w:bookmarkStart w:id="123" w:name="_Toc289355797"/>
      <w:bookmarkStart w:id="124" w:name="_Toc288731316"/>
      <w:bookmarkStart w:id="125" w:name="_Toc497499725"/>
      <w:bookmarkStart w:id="126" w:name="_Toc22928"/>
      <w:r>
        <w:rPr>
          <w:rFonts w:hint="eastAsia" w:ascii="仿宋" w:hAnsi="仿宋" w:eastAsia="仿宋" w:cs="仿宋"/>
          <w:b/>
          <w:bCs/>
          <w:color w:val="auto"/>
          <w:sz w:val="28"/>
          <w:szCs w:val="28"/>
        </w:rPr>
        <w:t>二、工程质量要求</w:t>
      </w:r>
      <w:bookmarkEnd w:id="119"/>
      <w:bookmarkEnd w:id="120"/>
      <w:bookmarkEnd w:id="121"/>
      <w:bookmarkEnd w:id="122"/>
      <w:bookmarkEnd w:id="123"/>
      <w:bookmarkEnd w:id="124"/>
      <w:bookmarkEnd w:id="125"/>
      <w:bookmarkEnd w:id="126"/>
    </w:p>
    <w:p w14:paraId="48E24881">
      <w:pPr>
        <w:tabs>
          <w:tab w:val="left" w:pos="3240"/>
        </w:tabs>
        <w:spacing w:line="400" w:lineRule="exact"/>
        <w:ind w:firstLine="560" w:firstLineChars="200"/>
        <w:jc w:val="left"/>
        <w:rPr>
          <w:rFonts w:ascii="仿宋" w:hAnsi="仿宋" w:cs="仿宋"/>
          <w:color w:val="auto"/>
          <w:sz w:val="28"/>
          <w:szCs w:val="28"/>
        </w:rPr>
      </w:pPr>
      <w:bookmarkStart w:id="127" w:name="_Toc289355594"/>
      <w:bookmarkStart w:id="128" w:name="_Toc289356238"/>
      <w:bookmarkStart w:id="129" w:name="_Toc5274"/>
      <w:bookmarkStart w:id="130" w:name="_Toc289355799"/>
      <w:bookmarkStart w:id="131" w:name="_Toc288731318"/>
      <w:r>
        <w:rPr>
          <w:rFonts w:hint="eastAsia" w:ascii="仿宋" w:hAnsi="仿宋" w:cs="仿宋"/>
          <w:color w:val="auto"/>
          <w:sz w:val="28"/>
          <w:szCs w:val="28"/>
        </w:rPr>
        <w:t>钻孔质量包括岩矿心采取率、钻孔弯曲测量、孔深误差测量与校正、原始报表、简易水文观测和封孔等六项指标。各项指标应严格执行《地质岩心钻探规程》。</w:t>
      </w:r>
    </w:p>
    <w:p w14:paraId="728A11B1">
      <w:pPr>
        <w:tabs>
          <w:tab w:val="left" w:pos="3240"/>
        </w:tabs>
        <w:spacing w:line="400" w:lineRule="exact"/>
        <w:ind w:firstLine="562" w:firstLineChars="200"/>
        <w:jc w:val="center"/>
        <w:rPr>
          <w:rFonts w:ascii="仿宋" w:hAnsi="仿宋" w:cs="仿宋"/>
          <w:b/>
          <w:bCs/>
          <w:color w:val="auto"/>
          <w:sz w:val="28"/>
          <w:szCs w:val="28"/>
        </w:rPr>
      </w:pPr>
      <w:r>
        <w:rPr>
          <w:rFonts w:hint="eastAsia" w:ascii="仿宋" w:hAnsi="仿宋" w:cs="仿宋"/>
          <w:b/>
          <w:bCs/>
          <w:color w:val="auto"/>
          <w:sz w:val="28"/>
          <w:szCs w:val="28"/>
        </w:rPr>
        <w:t>第一节  岩矿心采取率要求及保证措施</w:t>
      </w:r>
      <w:bookmarkEnd w:id="127"/>
      <w:bookmarkEnd w:id="128"/>
      <w:bookmarkEnd w:id="129"/>
      <w:bookmarkEnd w:id="130"/>
      <w:bookmarkEnd w:id="131"/>
    </w:p>
    <w:p w14:paraId="60130D63">
      <w:pPr>
        <w:tabs>
          <w:tab w:val="left" w:pos="3240"/>
        </w:tabs>
        <w:spacing w:line="400" w:lineRule="exact"/>
        <w:ind w:firstLine="560" w:firstLineChars="200"/>
        <w:jc w:val="left"/>
        <w:rPr>
          <w:rFonts w:ascii="仿宋" w:hAnsi="仿宋" w:cs="仿宋"/>
          <w:color w:val="auto"/>
          <w:sz w:val="28"/>
          <w:szCs w:val="28"/>
        </w:rPr>
      </w:pPr>
      <w:bookmarkStart w:id="132" w:name="_Toc289355595"/>
      <w:bookmarkStart w:id="133" w:name="_Toc289355800"/>
      <w:bookmarkStart w:id="134" w:name="_Toc289356239"/>
      <w:bookmarkStart w:id="135" w:name="_Toc288731319"/>
      <w:bookmarkStart w:id="136" w:name="_Toc15368"/>
      <w:r>
        <w:rPr>
          <w:rFonts w:hint="eastAsia" w:ascii="仿宋" w:hAnsi="仿宋" w:cs="仿宋"/>
          <w:color w:val="auto"/>
          <w:sz w:val="28"/>
          <w:szCs w:val="28"/>
        </w:rPr>
        <w:t>钻孔矿心采取率（包括顶、底板上下5米范围内的岩石），一般岩石不得低于80%，软岩及破碎岩石不得低于65%，当矿心采取率连续5米低于80%或软岩、破碎低于65%时，要查明原因，并采取补救措施。围岩岩心的分层采取率不得低于65%。</w:t>
      </w:r>
    </w:p>
    <w:p w14:paraId="4A9EBE22">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岩矿心采取与整理质量保证措施：</w:t>
      </w:r>
    </w:p>
    <w:p w14:paraId="7C538D5E">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1.岩矿芯要按顺序入箱避免倒置。回次编号清晰，岩芯要用清水洗净。</w:t>
      </w:r>
    </w:p>
    <w:p w14:paraId="62106A19">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2.保证钻具的单动性能，每班由记录员检查钻具一次。</w:t>
      </w:r>
    </w:p>
    <w:p w14:paraId="19AC8962">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3.钻进压力要合适，防止钻具在孔内长时间磨损造成岩矿心采取率降低。</w:t>
      </w:r>
    </w:p>
    <w:p w14:paraId="479282C0">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4.钻进转速要合适，防止钻具弯曲振动造成岩矿心采取率的降低。</w:t>
      </w:r>
    </w:p>
    <w:p w14:paraId="15953DBC">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 xml:space="preserve">5.严格超管钻进，防止岩矿心堵塞重复破碎造成岩矿心采取率的降低。 </w:t>
      </w:r>
    </w:p>
    <w:p w14:paraId="3A2E41A0">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6.钻进中遇钻进速度突然降低，必须及时捞取岩心，防止岩矿心堵塞重复破碎造成岩矿心采取率的降低。</w:t>
      </w:r>
    </w:p>
    <w:p w14:paraId="3662DA9A">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7.捞取的岩矿心从内管中取出时，内管要靠在岩心盒上，防止岩矿心突然下降造成岩矿心混乱。</w:t>
      </w:r>
    </w:p>
    <w:p w14:paraId="09E99200">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8.取出的岩矿心要清洗干净按顺序装入岩心盒内，不得颠倒和任意拉长。</w:t>
      </w:r>
    </w:p>
    <w:p w14:paraId="4714D0BC">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9.等待岩矿心干了以后用红色油漆编号，要求字体工整、清楚。长度达5厘米的岩矿心要求编号。</w:t>
      </w:r>
    </w:p>
    <w:p w14:paraId="45EB6B19">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10.每回次要填写岩心牌，按要求写明岩心牌上的内容。</w:t>
      </w:r>
    </w:p>
    <w:p w14:paraId="0825A5BA">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11.岩心盒装满后，用红油漆在岩心盒上写明矿区、机号、孔号、回次起始数。</w:t>
      </w:r>
    </w:p>
    <w:p w14:paraId="6888A2B2">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12.岩矿心的编号、整理由记录员负责。</w:t>
      </w:r>
    </w:p>
    <w:p w14:paraId="2BD6143A">
      <w:pPr>
        <w:tabs>
          <w:tab w:val="left" w:pos="3240"/>
        </w:tabs>
        <w:spacing w:line="400" w:lineRule="exact"/>
        <w:ind w:firstLine="562" w:firstLineChars="200"/>
        <w:jc w:val="center"/>
        <w:rPr>
          <w:rFonts w:ascii="仿宋" w:hAnsi="仿宋" w:cs="仿宋"/>
          <w:b/>
          <w:bCs/>
          <w:color w:val="auto"/>
          <w:sz w:val="28"/>
          <w:szCs w:val="28"/>
        </w:rPr>
      </w:pPr>
      <w:r>
        <w:rPr>
          <w:rFonts w:hint="eastAsia" w:ascii="仿宋" w:hAnsi="仿宋" w:cs="仿宋"/>
          <w:b/>
          <w:bCs/>
          <w:color w:val="auto"/>
          <w:sz w:val="28"/>
          <w:szCs w:val="28"/>
        </w:rPr>
        <w:t>第二节  测斜要求及预防钻孔弯曲的措施</w:t>
      </w:r>
      <w:bookmarkEnd w:id="132"/>
      <w:bookmarkEnd w:id="133"/>
      <w:bookmarkEnd w:id="134"/>
      <w:bookmarkEnd w:id="135"/>
      <w:bookmarkEnd w:id="136"/>
    </w:p>
    <w:p w14:paraId="3705A3CC">
      <w:pPr>
        <w:tabs>
          <w:tab w:val="left" w:pos="3240"/>
        </w:tabs>
        <w:spacing w:line="400" w:lineRule="exact"/>
        <w:ind w:firstLine="560" w:firstLineChars="200"/>
        <w:jc w:val="left"/>
        <w:rPr>
          <w:rFonts w:ascii="仿宋" w:hAnsi="仿宋" w:cs="仿宋"/>
          <w:color w:val="auto"/>
          <w:sz w:val="28"/>
          <w:szCs w:val="28"/>
        </w:rPr>
      </w:pPr>
      <w:bookmarkStart w:id="137" w:name="_Toc2366"/>
      <w:bookmarkStart w:id="138" w:name="_Toc289355802"/>
      <w:bookmarkStart w:id="139" w:name="_Toc289356241"/>
      <w:bookmarkStart w:id="140" w:name="_Toc289355597"/>
      <w:r>
        <w:rPr>
          <w:rFonts w:hint="eastAsia" w:ascii="仿宋" w:hAnsi="仿宋" w:cs="仿宋"/>
          <w:color w:val="auto"/>
          <w:sz w:val="28"/>
          <w:szCs w:val="28"/>
        </w:rPr>
        <w:t>钻孔弯曲度：直孔每100米不超过2°；斜孔每100米不超过3°。</w:t>
      </w:r>
    </w:p>
    <w:p w14:paraId="62A028F2">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预防钻孔弯曲的措施：</w:t>
      </w:r>
    </w:p>
    <w:p w14:paraId="0C737BDA">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1.地表机械设备应经过检验，稳固可靠。</w:t>
      </w:r>
    </w:p>
    <w:p w14:paraId="167F23A3">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2.确保安装质量，保证“天车、回转器、孔口”三点一线。</w:t>
      </w:r>
    </w:p>
    <w:p w14:paraId="7C1172DC">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3.在易斜岩层施工，应根据地层、见矿深度等条件，与甲方积极沟通，合理设计开孔角度和弯曲强度，己掌握钻孔自然弯曲规律的矿区应设计初级定向孔。</w:t>
      </w:r>
    </w:p>
    <w:p w14:paraId="21D4663A">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4.合理选择钻具结构和级配，尽量采用满眼钻进。</w:t>
      </w:r>
    </w:p>
    <w:p w14:paraId="519C7DF6">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5.开孔应选用锋利的钻头，钻杆不得有偏摆，钻压要均匀，要随钻孔加深加长岩心管。</w:t>
      </w:r>
    </w:p>
    <w:p w14:paraId="228CF0E8">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6.深孔钻进时，应尽量采用钻铤加压。</w:t>
      </w:r>
    </w:p>
    <w:p w14:paraId="51C9A334">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7.遇到片岩地层、倾斜岩层、破碎带、软硬互层时，应使用锋利的钻头和长、直、重、厚、刚的钻具。有条件时可采用冲击回转钻进。</w:t>
      </w:r>
    </w:p>
    <w:p w14:paraId="63C2C32D">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8.扩孔时要带内导正器，换径时要带外导正器。粗径钻具要用综合式异径接头连接，其中心线应一致。</w:t>
      </w:r>
    </w:p>
    <w:p w14:paraId="40C16B9A">
      <w:pPr>
        <w:tabs>
          <w:tab w:val="left" w:pos="3240"/>
        </w:tabs>
        <w:spacing w:line="400" w:lineRule="exact"/>
        <w:ind w:firstLine="560" w:firstLineChars="200"/>
        <w:jc w:val="left"/>
        <w:rPr>
          <w:rFonts w:ascii="仿宋" w:hAnsi="仿宋" w:cs="仿宋"/>
          <w:color w:val="auto"/>
          <w:sz w:val="28"/>
          <w:szCs w:val="28"/>
        </w:rPr>
      </w:pPr>
      <w:r>
        <w:rPr>
          <w:rFonts w:hint="eastAsia" w:ascii="仿宋" w:hAnsi="仿宋" w:cs="仿宋"/>
          <w:color w:val="auto"/>
          <w:sz w:val="28"/>
          <w:szCs w:val="28"/>
        </w:rPr>
        <w:t>9.换径时导正管长度要大于4m，第一回次的小径岩心管长度要小于1m。</w:t>
      </w:r>
    </w:p>
    <w:p w14:paraId="7A888B11">
      <w:pPr>
        <w:tabs>
          <w:tab w:val="left" w:pos="3240"/>
        </w:tabs>
        <w:spacing w:line="400" w:lineRule="exact"/>
        <w:ind w:firstLine="562" w:firstLineChars="200"/>
        <w:jc w:val="center"/>
        <w:rPr>
          <w:rFonts w:ascii="仿宋" w:hAnsi="仿宋" w:cs="仿宋"/>
          <w:b/>
          <w:bCs/>
          <w:color w:val="auto"/>
          <w:sz w:val="28"/>
          <w:szCs w:val="28"/>
        </w:rPr>
      </w:pPr>
      <w:r>
        <w:rPr>
          <w:rFonts w:hint="eastAsia" w:ascii="仿宋" w:hAnsi="仿宋" w:cs="仿宋"/>
          <w:b/>
          <w:bCs/>
          <w:color w:val="auto"/>
          <w:sz w:val="28"/>
          <w:szCs w:val="28"/>
        </w:rPr>
        <w:t>第三节  孔深校正要求及降低孔深误差的措施</w:t>
      </w:r>
      <w:bookmarkEnd w:id="137"/>
      <w:bookmarkEnd w:id="138"/>
      <w:bookmarkEnd w:id="139"/>
      <w:bookmarkEnd w:id="140"/>
    </w:p>
    <w:p w14:paraId="45024D80">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每钻进50米或见主矿层、重要标志层和终孔后，均要用钢卷尺丈量钻具、验证孔深。孔深校正最大允许误差为千分之一，超出允许误差时，查找原因并及时清除。</w:t>
      </w:r>
    </w:p>
    <w:p w14:paraId="294E2894">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降低孔深误差的措施：</w:t>
      </w:r>
    </w:p>
    <w:p w14:paraId="62E12E62">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1.机场使用的铁尺应保持两端平齐，刻度准确、清楚，并定期校正。</w:t>
      </w:r>
    </w:p>
    <w:p w14:paraId="1C8CFFA2">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2.丈量机上余尺时钻柱应停止回转，基准点要一致，并应准确丈量，及时记录。</w:t>
      </w:r>
    </w:p>
    <w:p w14:paraId="1335D114">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3.应用钢卷尺丈量下入孔内钻具的长度，并准确记录数据。</w:t>
      </w:r>
    </w:p>
    <w:p w14:paraId="323FD4AD">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4.处理事故后应校正孔深。</w:t>
      </w:r>
    </w:p>
    <w:p w14:paraId="769D7437">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5.刮大风时不应校正防止误差。</w:t>
      </w:r>
    </w:p>
    <w:p w14:paraId="4179BCEC">
      <w:pPr>
        <w:tabs>
          <w:tab w:val="left" w:pos="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6.孔深误差小于1/1000时不修正孔深，大于1/1000时要修正孔深，按标准不能超过1/1000，但及时校正可继续施工。</w:t>
      </w:r>
    </w:p>
    <w:p w14:paraId="01E86561">
      <w:pPr>
        <w:tabs>
          <w:tab w:val="left" w:pos="3240"/>
        </w:tabs>
        <w:spacing w:line="400" w:lineRule="exact"/>
        <w:ind w:firstLine="562" w:firstLineChars="200"/>
        <w:jc w:val="center"/>
        <w:rPr>
          <w:rFonts w:ascii="仿宋" w:hAnsi="仿宋" w:cs="仿宋"/>
          <w:b/>
          <w:bCs/>
          <w:color w:val="auto"/>
          <w:sz w:val="28"/>
          <w:szCs w:val="28"/>
        </w:rPr>
      </w:pPr>
      <w:bookmarkStart w:id="141" w:name="_Toc20998"/>
      <w:bookmarkStart w:id="142" w:name="_Toc288731321"/>
      <w:bookmarkStart w:id="143" w:name="_Toc289355598"/>
      <w:bookmarkStart w:id="144" w:name="_Toc289356242"/>
      <w:bookmarkStart w:id="145" w:name="_Toc289355803"/>
      <w:r>
        <w:rPr>
          <w:rFonts w:hint="eastAsia" w:ascii="仿宋" w:hAnsi="仿宋" w:cs="仿宋"/>
          <w:b/>
          <w:bCs/>
          <w:color w:val="auto"/>
          <w:sz w:val="28"/>
          <w:szCs w:val="28"/>
        </w:rPr>
        <w:t>第四节  做好原始记录的措施</w:t>
      </w:r>
      <w:bookmarkEnd w:id="141"/>
      <w:bookmarkEnd w:id="142"/>
      <w:bookmarkEnd w:id="143"/>
      <w:bookmarkEnd w:id="144"/>
      <w:bookmarkEnd w:id="145"/>
    </w:p>
    <w:p w14:paraId="38F7A11E">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1.必须使用碳素墨水填写，要求字体工整、数据准确、及时、保持清洁、不得丢失。不允许下班后追记、补记。</w:t>
      </w:r>
    </w:p>
    <w:p w14:paraId="536A215E">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2.遇涌水、漏水、掉块、坍塌、缩径、溶洞、钻具掉落现象，应及时在班报表中并记录其深度。</w:t>
      </w:r>
    </w:p>
    <w:p w14:paraId="5C7C5F62">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3.开孔的口径，换径位置，下入的套管根数、每根套管长度均应记录在班报表中。</w:t>
      </w:r>
    </w:p>
    <w:p w14:paraId="48A68C72">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4.停钻、修理、刮风均应连续写在班报表中。</w:t>
      </w:r>
    </w:p>
    <w:p w14:paraId="2AAF9A02">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5.处理事故时班报表每次下入的工具和长度，所遇的现象，处理效果特别是孔内事故头子的位置（孔深、机余）必须计算清楚，写在报表中。</w:t>
      </w:r>
    </w:p>
    <w:p w14:paraId="4F7CA9D4">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6.终孔后孔内残留物必须注明在班报表中。</w:t>
      </w:r>
    </w:p>
    <w:p w14:paraId="7FC99F4D">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7.班报表由机长、班长、记录员亲自签名，不得代签。</w:t>
      </w:r>
    </w:p>
    <w:p w14:paraId="18A54833">
      <w:pPr>
        <w:tabs>
          <w:tab w:val="left" w:pos="697"/>
        </w:tabs>
        <w:jc w:val="center"/>
        <w:rPr>
          <w:rFonts w:ascii="仿宋" w:hAnsi="仿宋" w:cs="仿宋"/>
          <w:b/>
          <w:bCs/>
          <w:color w:val="auto"/>
          <w:sz w:val="28"/>
          <w:szCs w:val="28"/>
        </w:rPr>
      </w:pPr>
      <w:bookmarkStart w:id="146" w:name="_Toc13729"/>
      <w:r>
        <w:rPr>
          <w:rFonts w:hint="eastAsia" w:ascii="仿宋" w:hAnsi="仿宋" w:cs="仿宋"/>
          <w:b/>
          <w:bCs/>
          <w:color w:val="auto"/>
          <w:sz w:val="28"/>
          <w:szCs w:val="28"/>
        </w:rPr>
        <w:t>第五节  简易水文观测</w:t>
      </w:r>
      <w:bookmarkEnd w:id="146"/>
    </w:p>
    <w:p w14:paraId="041E8214">
      <w:pPr>
        <w:tabs>
          <w:tab w:val="left" w:pos="3240"/>
        </w:tabs>
        <w:spacing w:line="400" w:lineRule="exact"/>
        <w:ind w:firstLine="560" w:firstLineChars="200"/>
        <w:jc w:val="left"/>
        <w:rPr>
          <w:rFonts w:ascii="仿宋" w:hAnsi="仿宋" w:cs="仿宋"/>
          <w:color w:val="auto"/>
          <w:sz w:val="28"/>
          <w:szCs w:val="28"/>
        </w:rPr>
      </w:pPr>
      <w:bookmarkStart w:id="147" w:name="_Toc289355599"/>
      <w:bookmarkStart w:id="148" w:name="_Toc288731322"/>
      <w:bookmarkStart w:id="149" w:name="_Toc9067"/>
      <w:bookmarkStart w:id="150" w:name="_Toc289356243"/>
      <w:bookmarkStart w:id="151" w:name="_Toc289355804"/>
      <w:r>
        <w:rPr>
          <w:rFonts w:hint="eastAsia" w:ascii="仿宋" w:hAnsi="仿宋" w:cs="仿宋"/>
          <w:color w:val="auto"/>
          <w:sz w:val="28"/>
          <w:szCs w:val="28"/>
        </w:rPr>
        <w:t>钻进过程中遇到漏水、掉块、坍塌、缩径及钻具掉落等异常现象时，应及时记录其深度，作好简易水文观测。及时观测孔内静止水位，冲洗液消耗量，涌水位置、涌水量及水头高度，漏失位置及漏失量等。每回次观测水位一次，一般要求按回次进行冲洗液消耗量和上下钻水位的观测，其间隔时间应大于5分钟，观测率不低于80％。钻进时遇有涌水、漏水、溶洞等现象应及时记录其孔深。</w:t>
      </w:r>
    </w:p>
    <w:p w14:paraId="372C71D4">
      <w:pPr>
        <w:tabs>
          <w:tab w:val="left" w:pos="3240"/>
        </w:tabs>
        <w:spacing w:line="400" w:lineRule="exact"/>
        <w:ind w:firstLine="562" w:firstLineChars="200"/>
        <w:jc w:val="center"/>
        <w:rPr>
          <w:rFonts w:ascii="仿宋" w:hAnsi="仿宋" w:cs="仿宋"/>
          <w:b/>
          <w:bCs/>
          <w:color w:val="auto"/>
          <w:sz w:val="28"/>
          <w:szCs w:val="28"/>
        </w:rPr>
      </w:pPr>
      <w:r>
        <w:rPr>
          <w:rFonts w:hint="eastAsia" w:ascii="仿宋" w:hAnsi="仿宋" w:cs="仿宋"/>
          <w:b/>
          <w:bCs/>
          <w:color w:val="auto"/>
          <w:sz w:val="28"/>
          <w:szCs w:val="28"/>
        </w:rPr>
        <w:t>第六节  封孔要求及提高封孔质量的措施</w:t>
      </w:r>
      <w:bookmarkEnd w:id="147"/>
      <w:bookmarkEnd w:id="148"/>
      <w:bookmarkEnd w:id="149"/>
      <w:bookmarkEnd w:id="150"/>
      <w:bookmarkEnd w:id="151"/>
    </w:p>
    <w:p w14:paraId="305C3E3F">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严格按设计书进行封孔，钻孔用325#水泥封闭，孔口树立明显易长期保存的标志，并注明孔号、孔深、施工单位及日期。</w:t>
      </w:r>
    </w:p>
    <w:p w14:paraId="7A3DC801">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提高封孔质量的措施：</w:t>
      </w:r>
    </w:p>
    <w:p w14:paraId="00C52F9A">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1.使用冲洗液做冲洗液的钻孔，应自下而上清洗封闭段孔壁上的泥皮。</w:t>
      </w:r>
    </w:p>
    <w:p w14:paraId="60237F80">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2.正确选用有一定强度的架桥材料做隔离塞，并将其牢靠地固定在预定孔深。</w:t>
      </w:r>
    </w:p>
    <w:p w14:paraId="4A929A98">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3.水泥应用清水搅拌均匀，水灰比应小于0.5。</w:t>
      </w:r>
    </w:p>
    <w:p w14:paraId="027963E8">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4.宜采用泵送、导管和注送器注入水冲洗液；水冲洗液下端出口位置距隔离塞顶端的距离应小于0.5m。</w:t>
      </w:r>
    </w:p>
    <w:p w14:paraId="7872F561">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5.注浆过程应连续完成，封闭长度5m以内不得提动钻具；要准确计算替浆的清水用量，替浆水量不得过多或过少。</w:t>
      </w:r>
    </w:p>
    <w:p w14:paraId="60DE8BFE">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6.用套管护壁的钻孔，应先封好套管下部各封闭段再起拔套管。</w:t>
      </w:r>
    </w:p>
    <w:p w14:paraId="157D8F16">
      <w:pPr>
        <w:spacing w:line="400" w:lineRule="exact"/>
        <w:ind w:firstLine="643" w:firstLineChars="200"/>
        <w:jc w:val="left"/>
        <w:rPr>
          <w:rFonts w:ascii="仿宋" w:hAnsi="仿宋" w:cs="仿宋"/>
          <w:b/>
          <w:bCs/>
          <w:color w:val="auto"/>
          <w:sz w:val="32"/>
          <w:szCs w:val="32"/>
        </w:rPr>
      </w:pPr>
      <w:r>
        <w:rPr>
          <w:rFonts w:hint="eastAsia" w:ascii="仿宋" w:hAnsi="仿宋" w:cs="仿宋"/>
          <w:b/>
          <w:bCs/>
          <w:color w:val="auto"/>
          <w:sz w:val="32"/>
          <w:szCs w:val="32"/>
        </w:rPr>
        <w:t>三、钻探技术设计</w:t>
      </w:r>
    </w:p>
    <w:p w14:paraId="5C44D502">
      <w:pPr>
        <w:tabs>
          <w:tab w:val="left" w:pos="3240"/>
        </w:tabs>
        <w:spacing w:line="400" w:lineRule="exact"/>
        <w:ind w:firstLine="562" w:firstLineChars="200"/>
        <w:jc w:val="center"/>
        <w:rPr>
          <w:rFonts w:ascii="仿宋" w:hAnsi="仿宋" w:cs="仿宋"/>
          <w:b/>
          <w:bCs/>
          <w:color w:val="auto"/>
          <w:sz w:val="28"/>
          <w:szCs w:val="28"/>
        </w:rPr>
      </w:pPr>
      <w:bookmarkStart w:id="152" w:name="_Toc289355587"/>
      <w:bookmarkStart w:id="153" w:name="_Toc289356231"/>
      <w:bookmarkStart w:id="154" w:name="_Toc288731311"/>
      <w:bookmarkStart w:id="155" w:name="_Toc289355792"/>
      <w:bookmarkStart w:id="156" w:name="_Toc8630"/>
      <w:r>
        <w:rPr>
          <w:rFonts w:hint="eastAsia" w:ascii="仿宋" w:hAnsi="仿宋" w:cs="仿宋"/>
          <w:b/>
          <w:bCs/>
          <w:color w:val="auto"/>
          <w:sz w:val="28"/>
          <w:szCs w:val="28"/>
        </w:rPr>
        <w:t>第一节  钻孔结构</w:t>
      </w:r>
      <w:bookmarkEnd w:id="152"/>
      <w:bookmarkEnd w:id="153"/>
      <w:bookmarkEnd w:id="154"/>
      <w:bookmarkEnd w:id="155"/>
      <w:bookmarkEnd w:id="156"/>
    </w:p>
    <w:p w14:paraId="3DA1A911">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根据矿区岩性并结合地质等方面要求，确立钻孔结构如下：</w:t>
      </w:r>
    </w:p>
    <w:p w14:paraId="0F3C5B0F">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采用φ110mm开孔，穿过覆盖层3-5米到达完整基岩后下入井口管，换φ78mm金刚石钻头钻进至终孔。见图3-1。</w:t>
      </w:r>
    </w:p>
    <w:p w14:paraId="69ABDC74">
      <w:pPr>
        <w:jc w:val="center"/>
        <w:rPr>
          <w:rFonts w:ascii="仿宋" w:hAnsi="仿宋" w:cs="仿宋"/>
          <w:color w:val="auto"/>
          <w:sz w:val="28"/>
          <w:szCs w:val="28"/>
        </w:rPr>
      </w:pPr>
      <w:r>
        <w:rPr>
          <w:rFonts w:hint="eastAsia" w:ascii="仿宋" w:hAnsi="仿宋" w:cs="仿宋"/>
          <w:color w:val="auto"/>
          <w:sz w:val="28"/>
          <w:szCs w:val="28"/>
        </w:rPr>
        <w:drawing>
          <wp:inline distT="0" distB="0" distL="114300" distR="114300">
            <wp:extent cx="2437765" cy="3412490"/>
            <wp:effectExtent l="0" t="0" r="635" b="16510"/>
            <wp:docPr id="2" name="图片 1" descr="图片1副本"/>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图片1副本"/>
                    <pic:cNvPicPr>
                      <a:picLocks noChangeAspect="1"/>
                    </pic:cNvPicPr>
                  </pic:nvPicPr>
                  <pic:blipFill>
                    <a:blip r:embed="rId21"/>
                    <a:srcRect l="4024" t="124" r="3517" b="6874"/>
                    <a:stretch>
                      <a:fillRect/>
                    </a:stretch>
                  </pic:blipFill>
                  <pic:spPr>
                    <a:xfrm>
                      <a:off x="0" y="0"/>
                      <a:ext cx="2437765" cy="3412490"/>
                    </a:xfrm>
                    <a:prstGeom prst="rect">
                      <a:avLst/>
                    </a:prstGeom>
                    <a:noFill/>
                    <a:ln>
                      <a:noFill/>
                    </a:ln>
                  </pic:spPr>
                </pic:pic>
              </a:graphicData>
            </a:graphic>
          </wp:inline>
        </w:drawing>
      </w:r>
    </w:p>
    <w:p w14:paraId="48021592">
      <w:pPr>
        <w:pStyle w:val="5"/>
        <w:spacing w:after="0"/>
        <w:ind w:firstLine="562" w:firstLineChars="200"/>
        <w:jc w:val="center"/>
        <w:rPr>
          <w:rFonts w:ascii="仿宋" w:hAnsi="仿宋" w:eastAsia="仿宋" w:cs="仿宋"/>
          <w:b/>
          <w:bCs/>
          <w:color w:val="auto"/>
          <w:sz w:val="28"/>
          <w:szCs w:val="28"/>
        </w:rPr>
      </w:pPr>
      <w:r>
        <w:rPr>
          <w:rFonts w:hint="eastAsia" w:ascii="仿宋" w:hAnsi="仿宋" w:eastAsia="仿宋" w:cs="仿宋"/>
          <w:b/>
          <w:bCs/>
          <w:color w:val="auto"/>
          <w:sz w:val="28"/>
          <w:szCs w:val="28"/>
        </w:rPr>
        <w:t>图3-1钻孔结构示意图</w:t>
      </w:r>
    </w:p>
    <w:p w14:paraId="52945325">
      <w:pPr>
        <w:tabs>
          <w:tab w:val="left" w:pos="3240"/>
        </w:tabs>
        <w:ind w:firstLine="562" w:firstLineChars="200"/>
        <w:jc w:val="center"/>
        <w:rPr>
          <w:rFonts w:ascii="仿宋" w:hAnsi="仿宋" w:cs="仿宋"/>
          <w:b/>
          <w:bCs/>
          <w:color w:val="auto"/>
          <w:sz w:val="28"/>
          <w:szCs w:val="28"/>
        </w:rPr>
      </w:pPr>
      <w:bookmarkStart w:id="157" w:name="_Toc289355588"/>
      <w:bookmarkStart w:id="158" w:name="_Toc6561"/>
      <w:bookmarkStart w:id="159" w:name="_Toc289356232"/>
      <w:bookmarkStart w:id="160" w:name="_Toc289355793"/>
      <w:bookmarkStart w:id="161" w:name="_Toc288731312"/>
      <w:r>
        <w:rPr>
          <w:rFonts w:hint="eastAsia" w:ascii="仿宋" w:hAnsi="仿宋" w:cs="仿宋"/>
          <w:b/>
          <w:bCs/>
          <w:color w:val="auto"/>
          <w:sz w:val="28"/>
          <w:szCs w:val="28"/>
        </w:rPr>
        <w:t>第二节  钻进方法</w:t>
      </w:r>
      <w:bookmarkEnd w:id="157"/>
      <w:bookmarkEnd w:id="158"/>
      <w:bookmarkEnd w:id="159"/>
      <w:bookmarkEnd w:id="160"/>
      <w:bookmarkEnd w:id="161"/>
    </w:p>
    <w:p w14:paraId="13016A24">
      <w:pPr>
        <w:spacing w:line="400" w:lineRule="exact"/>
        <w:ind w:firstLine="562" w:firstLineChars="200"/>
        <w:rPr>
          <w:rFonts w:ascii="仿宋" w:hAnsi="仿宋" w:cs="仿宋"/>
          <w:b/>
          <w:bCs/>
          <w:color w:val="auto"/>
          <w:sz w:val="28"/>
          <w:szCs w:val="28"/>
        </w:rPr>
      </w:pPr>
      <w:r>
        <w:rPr>
          <w:rFonts w:hint="eastAsia" w:ascii="仿宋" w:hAnsi="仿宋" w:cs="仿宋"/>
          <w:b/>
          <w:bCs/>
          <w:color w:val="auto"/>
          <w:sz w:val="28"/>
          <w:szCs w:val="28"/>
        </w:rPr>
        <w:t>（一）钻进参数</w:t>
      </w:r>
    </w:p>
    <w:p w14:paraId="57DB546F">
      <w:pPr>
        <w:pStyle w:val="25"/>
        <w:spacing w:line="400" w:lineRule="exact"/>
        <w:ind w:firstLine="560" w:firstLineChars="200"/>
        <w:jc w:val="center"/>
        <w:rPr>
          <w:rFonts w:ascii="仿宋" w:hAnsi="仿宋" w:eastAsia="仿宋" w:cs="仿宋"/>
          <w:color w:val="auto"/>
          <w:sz w:val="28"/>
          <w:szCs w:val="28"/>
        </w:rPr>
      </w:pPr>
      <w:r>
        <w:rPr>
          <w:rFonts w:hint="eastAsia" w:ascii="仿宋" w:hAnsi="仿宋" w:eastAsia="仿宋" w:cs="仿宋"/>
          <w:color w:val="auto"/>
          <w:sz w:val="28"/>
          <w:szCs w:val="28"/>
        </w:rPr>
        <w:t>换径后使用φ78毫米绳索取心钻进，钻进参数见表3-1。</w:t>
      </w:r>
    </w:p>
    <w:p w14:paraId="05D59026">
      <w:pPr>
        <w:pStyle w:val="25"/>
        <w:spacing w:line="400" w:lineRule="exact"/>
        <w:ind w:firstLine="562" w:firstLineChars="200"/>
        <w:jc w:val="center"/>
        <w:rPr>
          <w:rFonts w:ascii="仿宋" w:hAnsi="仿宋" w:eastAsia="仿宋" w:cs="仿宋"/>
          <w:b/>
          <w:color w:val="auto"/>
          <w:sz w:val="28"/>
          <w:szCs w:val="28"/>
        </w:rPr>
      </w:pPr>
      <w:r>
        <w:rPr>
          <w:rFonts w:hint="eastAsia" w:ascii="仿宋" w:hAnsi="仿宋" w:eastAsia="仿宋" w:cs="仿宋"/>
          <w:b/>
          <w:color w:val="auto"/>
          <w:sz w:val="28"/>
          <w:szCs w:val="28"/>
        </w:rPr>
        <w:t>表3-1  钻进参数表</w:t>
      </w:r>
    </w:p>
    <w:tbl>
      <w:tblPr>
        <w:tblStyle w:val="49"/>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92"/>
        <w:gridCol w:w="2949"/>
        <w:gridCol w:w="2851"/>
      </w:tblGrid>
      <w:tr w14:paraId="2B1F5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92" w:type="dxa"/>
            <w:shd w:val="clear" w:color="auto" w:fill="auto"/>
            <w:vAlign w:val="center"/>
          </w:tcPr>
          <w:p w14:paraId="2D20A3D1">
            <w:pPr>
              <w:jc w:val="center"/>
              <w:rPr>
                <w:rFonts w:ascii="仿宋" w:hAnsi="仿宋" w:cs="仿宋"/>
                <w:bCs/>
                <w:color w:val="auto"/>
                <w:sz w:val="24"/>
                <w:szCs w:val="24"/>
              </w:rPr>
            </w:pPr>
            <w:r>
              <w:rPr>
                <w:rFonts w:hint="eastAsia" w:ascii="仿宋" w:hAnsi="仿宋" w:cs="仿宋"/>
                <w:bCs/>
                <w:color w:val="auto"/>
                <w:sz w:val="24"/>
                <w:szCs w:val="24"/>
              </w:rPr>
              <w:t>钻    压</w:t>
            </w:r>
          </w:p>
        </w:tc>
        <w:tc>
          <w:tcPr>
            <w:tcW w:w="2949" w:type="dxa"/>
            <w:shd w:val="clear" w:color="auto" w:fill="auto"/>
            <w:vAlign w:val="center"/>
          </w:tcPr>
          <w:p w14:paraId="3B102156">
            <w:pPr>
              <w:jc w:val="center"/>
              <w:rPr>
                <w:rFonts w:ascii="仿宋" w:hAnsi="仿宋" w:cs="仿宋"/>
                <w:bCs/>
                <w:color w:val="auto"/>
                <w:sz w:val="24"/>
                <w:szCs w:val="24"/>
              </w:rPr>
            </w:pPr>
            <w:r>
              <w:rPr>
                <w:rFonts w:hint="eastAsia" w:ascii="仿宋" w:hAnsi="仿宋" w:cs="仿宋"/>
                <w:bCs/>
                <w:color w:val="auto"/>
                <w:sz w:val="24"/>
                <w:szCs w:val="24"/>
              </w:rPr>
              <w:t>转      速</w:t>
            </w:r>
          </w:p>
        </w:tc>
        <w:tc>
          <w:tcPr>
            <w:tcW w:w="2851" w:type="dxa"/>
            <w:shd w:val="clear" w:color="auto" w:fill="auto"/>
            <w:vAlign w:val="center"/>
          </w:tcPr>
          <w:p w14:paraId="7A6236D9">
            <w:pPr>
              <w:jc w:val="center"/>
              <w:rPr>
                <w:rFonts w:ascii="仿宋" w:hAnsi="仿宋" w:cs="仿宋"/>
                <w:bCs/>
                <w:color w:val="auto"/>
                <w:sz w:val="24"/>
                <w:szCs w:val="24"/>
              </w:rPr>
            </w:pPr>
            <w:r>
              <w:rPr>
                <w:rFonts w:hint="eastAsia" w:ascii="仿宋" w:hAnsi="仿宋" w:cs="仿宋"/>
                <w:bCs/>
                <w:color w:val="auto"/>
                <w:sz w:val="24"/>
                <w:szCs w:val="24"/>
              </w:rPr>
              <w:t>泵     量</w:t>
            </w:r>
          </w:p>
        </w:tc>
      </w:tr>
      <w:tr w14:paraId="093F8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92" w:type="dxa"/>
            <w:shd w:val="clear" w:color="auto" w:fill="auto"/>
            <w:vAlign w:val="center"/>
          </w:tcPr>
          <w:p w14:paraId="6E577682">
            <w:pPr>
              <w:jc w:val="center"/>
              <w:rPr>
                <w:rFonts w:ascii="仿宋" w:hAnsi="仿宋" w:cs="仿宋"/>
                <w:bCs/>
                <w:color w:val="auto"/>
                <w:sz w:val="24"/>
                <w:szCs w:val="24"/>
              </w:rPr>
            </w:pPr>
            <w:r>
              <w:rPr>
                <w:rFonts w:hint="eastAsia" w:ascii="仿宋" w:hAnsi="仿宋" w:cs="仿宋"/>
                <w:bCs/>
                <w:color w:val="auto"/>
                <w:sz w:val="24"/>
                <w:szCs w:val="24"/>
              </w:rPr>
              <w:t>800----1200公斤</w:t>
            </w:r>
          </w:p>
        </w:tc>
        <w:tc>
          <w:tcPr>
            <w:tcW w:w="2949" w:type="dxa"/>
            <w:shd w:val="clear" w:color="auto" w:fill="auto"/>
            <w:vAlign w:val="center"/>
          </w:tcPr>
          <w:p w14:paraId="4049CEDF">
            <w:pPr>
              <w:jc w:val="center"/>
              <w:rPr>
                <w:rFonts w:ascii="仿宋" w:hAnsi="仿宋" w:cs="仿宋"/>
                <w:bCs/>
                <w:color w:val="auto"/>
                <w:sz w:val="24"/>
                <w:szCs w:val="24"/>
              </w:rPr>
            </w:pPr>
            <w:r>
              <w:rPr>
                <w:rFonts w:hint="eastAsia" w:ascii="仿宋" w:hAnsi="仿宋" w:cs="仿宋"/>
                <w:bCs/>
                <w:color w:val="auto"/>
                <w:sz w:val="24"/>
                <w:szCs w:val="24"/>
              </w:rPr>
              <w:t>500----800转/分</w:t>
            </w:r>
          </w:p>
        </w:tc>
        <w:tc>
          <w:tcPr>
            <w:tcW w:w="2851" w:type="dxa"/>
            <w:shd w:val="clear" w:color="auto" w:fill="auto"/>
            <w:vAlign w:val="center"/>
          </w:tcPr>
          <w:p w14:paraId="6CB9C2A4">
            <w:pPr>
              <w:jc w:val="center"/>
              <w:rPr>
                <w:rFonts w:ascii="仿宋" w:hAnsi="仿宋" w:cs="仿宋"/>
                <w:bCs/>
                <w:color w:val="auto"/>
                <w:sz w:val="24"/>
                <w:szCs w:val="24"/>
              </w:rPr>
            </w:pPr>
            <w:r>
              <w:rPr>
                <w:rFonts w:hint="eastAsia" w:ascii="仿宋" w:hAnsi="仿宋" w:cs="仿宋"/>
                <w:bCs/>
                <w:color w:val="auto"/>
                <w:sz w:val="24"/>
                <w:szCs w:val="24"/>
              </w:rPr>
              <w:t>30----60升/分钟</w:t>
            </w:r>
          </w:p>
        </w:tc>
      </w:tr>
    </w:tbl>
    <w:p w14:paraId="6BA350E2">
      <w:pPr>
        <w:tabs>
          <w:tab w:val="left" w:pos="392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在下列情况应考虑调整钻进参数：</w:t>
      </w:r>
    </w:p>
    <w:p w14:paraId="18BC66B4">
      <w:pPr>
        <w:tabs>
          <w:tab w:val="left" w:pos="392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1.在软－硬互层，岩石十分破碎、漏失等地层钻进时，应根据具体情况合理选择钻进参数，钻压转速应取下限。</w:t>
      </w:r>
    </w:p>
    <w:p w14:paraId="5B14CDDF">
      <w:pPr>
        <w:tabs>
          <w:tab w:val="left" w:pos="3920"/>
        </w:tabs>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2.钻速太快或钻进松散岩层时要降低钻压，控制钻速。</w:t>
      </w:r>
    </w:p>
    <w:p w14:paraId="5E7CAD67">
      <w:pPr>
        <w:tabs>
          <w:tab w:val="left" w:pos="3920"/>
        </w:tabs>
        <w:spacing w:line="400" w:lineRule="exact"/>
        <w:ind w:firstLine="562" w:firstLineChars="200"/>
        <w:rPr>
          <w:rFonts w:ascii="仿宋" w:hAnsi="仿宋" w:cs="仿宋"/>
          <w:b/>
          <w:bCs/>
          <w:color w:val="auto"/>
          <w:sz w:val="28"/>
          <w:szCs w:val="28"/>
        </w:rPr>
      </w:pPr>
      <w:r>
        <w:rPr>
          <w:rFonts w:hint="eastAsia" w:ascii="仿宋" w:hAnsi="仿宋" w:cs="仿宋"/>
          <w:b/>
          <w:bCs/>
          <w:color w:val="auto"/>
          <w:sz w:val="28"/>
          <w:szCs w:val="28"/>
        </w:rPr>
        <w:t>（二）金刚石钻头类型</w:t>
      </w:r>
    </w:p>
    <w:p w14:paraId="2F9E8C0B">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岩层可钻性一般为4-6级，研磨性较强，因此选用金刚石钻头胎体硬度HRC15－25，齿轮或尖齿钻头，金刚石浓度75%，目数60－80目，水口10个。</w:t>
      </w:r>
    </w:p>
    <w:p w14:paraId="3B559CB1">
      <w:pPr>
        <w:tabs>
          <w:tab w:val="left" w:pos="3240"/>
        </w:tabs>
        <w:spacing w:line="400" w:lineRule="exact"/>
        <w:ind w:firstLine="562" w:firstLineChars="200"/>
        <w:jc w:val="center"/>
        <w:rPr>
          <w:rFonts w:ascii="仿宋" w:hAnsi="仿宋" w:cs="仿宋"/>
          <w:b/>
          <w:bCs/>
          <w:color w:val="auto"/>
          <w:sz w:val="28"/>
          <w:szCs w:val="28"/>
        </w:rPr>
      </w:pPr>
      <w:bookmarkStart w:id="162" w:name="_Toc20605"/>
      <w:bookmarkStart w:id="163" w:name="_Toc323379651"/>
      <w:bookmarkStart w:id="164" w:name="_Toc384897345"/>
      <w:r>
        <w:rPr>
          <w:rFonts w:hint="eastAsia" w:ascii="仿宋" w:hAnsi="仿宋" w:cs="仿宋"/>
          <w:b/>
          <w:bCs/>
          <w:color w:val="auto"/>
          <w:sz w:val="28"/>
          <w:szCs w:val="28"/>
        </w:rPr>
        <w:t>第三节  冲洗液类型与护壁堵漏</w:t>
      </w:r>
      <w:bookmarkEnd w:id="162"/>
      <w:bookmarkEnd w:id="163"/>
      <w:bookmarkEnd w:id="164"/>
    </w:p>
    <w:p w14:paraId="2C68BE28">
      <w:pPr>
        <w:pStyle w:val="15"/>
        <w:spacing w:after="0" w:line="400" w:lineRule="exact"/>
        <w:ind w:firstLine="562" w:firstLineChars="200"/>
        <w:rPr>
          <w:rFonts w:ascii="仿宋" w:hAnsi="仿宋" w:eastAsia="仿宋" w:cs="仿宋"/>
          <w:b/>
          <w:bCs/>
          <w:color w:val="auto"/>
          <w:sz w:val="28"/>
          <w:szCs w:val="28"/>
        </w:rPr>
      </w:pPr>
      <w:bookmarkStart w:id="165" w:name="_Toc37940578"/>
      <w:bookmarkStart w:id="166" w:name="_Toc323379652"/>
      <w:r>
        <w:rPr>
          <w:rFonts w:hint="eastAsia" w:ascii="仿宋" w:hAnsi="仿宋" w:eastAsia="仿宋" w:cs="仿宋"/>
          <w:b/>
          <w:color w:val="auto"/>
          <w:sz w:val="28"/>
          <w:szCs w:val="28"/>
        </w:rPr>
        <w:t>一、</w:t>
      </w:r>
      <w:bookmarkEnd w:id="165"/>
      <w:bookmarkEnd w:id="166"/>
      <w:bookmarkStart w:id="167" w:name="_Toc37940579"/>
      <w:bookmarkStart w:id="168" w:name="_Toc323379653"/>
      <w:r>
        <w:rPr>
          <w:rFonts w:hint="eastAsia" w:ascii="仿宋" w:hAnsi="仿宋" w:eastAsia="仿宋" w:cs="仿宋"/>
          <w:b/>
          <w:bCs/>
          <w:color w:val="auto"/>
          <w:sz w:val="28"/>
          <w:szCs w:val="28"/>
        </w:rPr>
        <w:t>冲洗液配方和性能</w:t>
      </w:r>
      <w:bookmarkEnd w:id="167"/>
      <w:bookmarkEnd w:id="168"/>
    </w:p>
    <w:p w14:paraId="36BBDB59">
      <w:pPr>
        <w:pStyle w:val="15"/>
        <w:spacing w:after="0" w:line="400" w:lineRule="exact"/>
        <w:ind w:firstLine="560" w:firstLineChars="200"/>
        <w:rPr>
          <w:rFonts w:ascii="仿宋" w:hAnsi="仿宋" w:eastAsia="仿宋" w:cs="仿宋"/>
          <w:bCs/>
          <w:color w:val="auto"/>
          <w:sz w:val="28"/>
          <w:szCs w:val="28"/>
        </w:rPr>
      </w:pPr>
      <w:r>
        <w:rPr>
          <w:rFonts w:hint="eastAsia" w:ascii="仿宋" w:hAnsi="仿宋" w:eastAsia="仿宋" w:cs="仿宋"/>
          <w:bCs/>
          <w:color w:val="auto"/>
          <w:sz w:val="28"/>
          <w:szCs w:val="28"/>
        </w:rPr>
        <w:t>1.φ110mm孔段</w:t>
      </w:r>
    </w:p>
    <w:p w14:paraId="5153A1BD">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1m</w:t>
      </w:r>
      <w:r>
        <w:rPr>
          <w:rFonts w:hint="eastAsia" w:ascii="仿宋" w:hAnsi="仿宋" w:cs="仿宋"/>
          <w:color w:val="auto"/>
          <w:sz w:val="28"/>
          <w:szCs w:val="28"/>
          <w:vertAlign w:val="superscript"/>
        </w:rPr>
        <w:t>3</w:t>
      </w:r>
      <w:r>
        <w:rPr>
          <w:rFonts w:hint="eastAsia" w:ascii="仿宋" w:hAnsi="仿宋" w:cs="仿宋"/>
          <w:color w:val="auto"/>
          <w:sz w:val="28"/>
          <w:szCs w:val="28"/>
        </w:rPr>
        <w:t>清水+ 0.5%纯碱+ 8%膨润土（重量比），冲洗液性能指标见表3-2。</w:t>
      </w:r>
    </w:p>
    <w:p w14:paraId="2186D5E3">
      <w:pPr>
        <w:pStyle w:val="25"/>
        <w:ind w:firstLine="562" w:firstLineChars="200"/>
        <w:jc w:val="center"/>
        <w:rPr>
          <w:rFonts w:ascii="仿宋" w:hAnsi="仿宋" w:eastAsia="仿宋" w:cs="仿宋"/>
          <w:b/>
          <w:color w:val="auto"/>
          <w:sz w:val="28"/>
          <w:szCs w:val="28"/>
        </w:rPr>
      </w:pPr>
      <w:r>
        <w:rPr>
          <w:rFonts w:hint="eastAsia" w:ascii="仿宋" w:hAnsi="仿宋" w:eastAsia="仿宋" w:cs="仿宋"/>
          <w:b/>
          <w:color w:val="auto"/>
          <w:sz w:val="28"/>
          <w:szCs w:val="28"/>
        </w:rPr>
        <w:t>表3-2  冲洗液性能表</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88"/>
        <w:gridCol w:w="4415"/>
      </w:tblGrid>
      <w:tr w14:paraId="6F868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88" w:type="dxa"/>
            <w:vAlign w:val="center"/>
          </w:tcPr>
          <w:p w14:paraId="06A77EE6">
            <w:pPr>
              <w:ind w:firstLine="560" w:firstLineChars="200"/>
              <w:jc w:val="center"/>
              <w:rPr>
                <w:rFonts w:ascii="仿宋" w:hAnsi="仿宋" w:cs="仿宋"/>
                <w:color w:val="auto"/>
                <w:sz w:val="28"/>
                <w:szCs w:val="28"/>
              </w:rPr>
            </w:pPr>
            <w:r>
              <w:rPr>
                <w:rFonts w:hint="eastAsia" w:ascii="仿宋" w:hAnsi="仿宋" w:cs="仿宋"/>
                <w:color w:val="auto"/>
                <w:sz w:val="28"/>
                <w:szCs w:val="28"/>
              </w:rPr>
              <w:t>胶体率99%</w:t>
            </w:r>
          </w:p>
        </w:tc>
        <w:tc>
          <w:tcPr>
            <w:tcW w:w="4415" w:type="dxa"/>
            <w:vAlign w:val="center"/>
          </w:tcPr>
          <w:p w14:paraId="16E6361F">
            <w:pPr>
              <w:ind w:firstLine="560" w:firstLineChars="200"/>
              <w:jc w:val="center"/>
              <w:rPr>
                <w:rFonts w:ascii="仿宋" w:hAnsi="仿宋" w:cs="仿宋"/>
                <w:color w:val="auto"/>
                <w:sz w:val="28"/>
                <w:szCs w:val="28"/>
              </w:rPr>
            </w:pPr>
            <w:r>
              <w:rPr>
                <w:rFonts w:hint="eastAsia" w:ascii="仿宋" w:hAnsi="仿宋" w:cs="仿宋"/>
                <w:color w:val="auto"/>
                <w:sz w:val="28"/>
                <w:szCs w:val="28"/>
              </w:rPr>
              <w:t>失水量10亳升/30分钟</w:t>
            </w:r>
          </w:p>
        </w:tc>
      </w:tr>
      <w:tr w14:paraId="05D3B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88" w:type="dxa"/>
            <w:vAlign w:val="center"/>
          </w:tcPr>
          <w:p w14:paraId="560B0F3D">
            <w:pPr>
              <w:ind w:firstLine="560" w:firstLineChars="200"/>
              <w:jc w:val="center"/>
              <w:rPr>
                <w:rFonts w:ascii="仿宋" w:hAnsi="仿宋" w:cs="仿宋"/>
                <w:color w:val="auto"/>
                <w:sz w:val="28"/>
                <w:szCs w:val="28"/>
              </w:rPr>
            </w:pPr>
            <w:r>
              <w:rPr>
                <w:rFonts w:hint="eastAsia" w:ascii="仿宋" w:hAnsi="仿宋" w:cs="仿宋"/>
                <w:color w:val="auto"/>
                <w:sz w:val="28"/>
                <w:szCs w:val="28"/>
              </w:rPr>
              <w:t>PH值10-11</w:t>
            </w:r>
          </w:p>
        </w:tc>
        <w:tc>
          <w:tcPr>
            <w:tcW w:w="4415" w:type="dxa"/>
            <w:vAlign w:val="center"/>
          </w:tcPr>
          <w:p w14:paraId="77D1BF75">
            <w:pPr>
              <w:ind w:firstLine="560" w:firstLineChars="200"/>
              <w:jc w:val="center"/>
              <w:rPr>
                <w:rFonts w:ascii="仿宋" w:hAnsi="仿宋" w:cs="仿宋"/>
                <w:color w:val="auto"/>
                <w:sz w:val="28"/>
                <w:szCs w:val="28"/>
              </w:rPr>
            </w:pPr>
            <w:r>
              <w:rPr>
                <w:rFonts w:hint="eastAsia" w:ascii="仿宋" w:hAnsi="仿宋" w:cs="仿宋"/>
                <w:color w:val="auto"/>
                <w:sz w:val="28"/>
                <w:szCs w:val="28"/>
              </w:rPr>
              <w:t>泥饼厚度2毫米</w:t>
            </w:r>
          </w:p>
        </w:tc>
      </w:tr>
      <w:tr w14:paraId="4C21E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88" w:type="dxa"/>
            <w:vAlign w:val="center"/>
          </w:tcPr>
          <w:p w14:paraId="32BCC7BD">
            <w:pPr>
              <w:ind w:firstLine="560" w:firstLineChars="200"/>
              <w:jc w:val="center"/>
              <w:rPr>
                <w:rFonts w:ascii="仿宋" w:hAnsi="仿宋" w:cs="仿宋"/>
                <w:color w:val="auto"/>
                <w:sz w:val="28"/>
                <w:szCs w:val="28"/>
              </w:rPr>
            </w:pPr>
            <w:r>
              <w:rPr>
                <w:rFonts w:hint="eastAsia" w:ascii="仿宋" w:hAnsi="仿宋" w:cs="仿宋"/>
                <w:color w:val="auto"/>
                <w:sz w:val="28"/>
                <w:szCs w:val="28"/>
              </w:rPr>
              <w:t>漏斗粘度28秒</w:t>
            </w:r>
          </w:p>
        </w:tc>
        <w:tc>
          <w:tcPr>
            <w:tcW w:w="4415" w:type="dxa"/>
            <w:vAlign w:val="center"/>
          </w:tcPr>
          <w:p w14:paraId="092B9814">
            <w:pPr>
              <w:ind w:firstLine="560" w:firstLineChars="200"/>
              <w:jc w:val="center"/>
              <w:rPr>
                <w:rFonts w:ascii="仿宋" w:hAnsi="仿宋" w:cs="仿宋"/>
                <w:color w:val="auto"/>
                <w:sz w:val="28"/>
                <w:szCs w:val="28"/>
              </w:rPr>
            </w:pPr>
            <w:r>
              <w:rPr>
                <w:rFonts w:hint="eastAsia" w:ascii="仿宋" w:hAnsi="仿宋" w:cs="仿宋"/>
                <w:color w:val="auto"/>
                <w:sz w:val="28"/>
                <w:szCs w:val="28"/>
              </w:rPr>
              <w:t>比重1.10</w:t>
            </w:r>
          </w:p>
        </w:tc>
      </w:tr>
    </w:tbl>
    <w:p w14:paraId="716829A8">
      <w:pPr>
        <w:pStyle w:val="15"/>
        <w:spacing w:after="0" w:line="400" w:lineRule="exact"/>
        <w:ind w:firstLine="560" w:firstLineChars="200"/>
        <w:rPr>
          <w:rFonts w:ascii="仿宋" w:hAnsi="仿宋" w:eastAsia="仿宋" w:cs="仿宋"/>
          <w:bCs/>
          <w:color w:val="auto"/>
          <w:sz w:val="28"/>
          <w:szCs w:val="28"/>
        </w:rPr>
      </w:pPr>
      <w:r>
        <w:rPr>
          <w:rFonts w:hint="eastAsia" w:ascii="仿宋" w:hAnsi="仿宋" w:eastAsia="仿宋" w:cs="仿宋"/>
          <w:bCs/>
          <w:color w:val="auto"/>
          <w:sz w:val="28"/>
          <w:szCs w:val="28"/>
        </w:rPr>
        <w:t>2.φ78mm孔段</w:t>
      </w:r>
    </w:p>
    <w:p w14:paraId="7C241E39">
      <w:pPr>
        <w:pStyle w:val="15"/>
        <w:spacing w:after="0" w:line="400" w:lineRule="exact"/>
        <w:ind w:firstLine="504" w:firstLineChars="200"/>
        <w:rPr>
          <w:rFonts w:ascii="仿宋" w:hAnsi="仿宋" w:eastAsia="仿宋" w:cs="仿宋"/>
          <w:color w:val="auto"/>
          <w:w w:val="90"/>
          <w:sz w:val="28"/>
          <w:szCs w:val="28"/>
        </w:rPr>
      </w:pPr>
      <w:r>
        <w:rPr>
          <w:rFonts w:hint="eastAsia" w:ascii="仿宋" w:hAnsi="仿宋" w:eastAsia="仿宋" w:cs="仿宋"/>
          <w:color w:val="auto"/>
          <w:w w:val="90"/>
          <w:sz w:val="28"/>
          <w:szCs w:val="28"/>
        </w:rPr>
        <w:t>1方清水+</w:t>
      </w:r>
      <w:r>
        <w:rPr>
          <w:rFonts w:hint="eastAsia" w:ascii="仿宋" w:hAnsi="仿宋" w:eastAsia="仿宋" w:cs="仿宋"/>
          <w:color w:val="auto"/>
          <w:sz w:val="28"/>
          <w:szCs w:val="28"/>
        </w:rPr>
        <w:t>聚丙烯酰胺</w:t>
      </w:r>
      <w:r>
        <w:rPr>
          <w:rFonts w:hint="eastAsia" w:ascii="仿宋" w:hAnsi="仿宋" w:eastAsia="仿宋" w:cs="仿宋"/>
          <w:color w:val="auto"/>
          <w:w w:val="90"/>
          <w:sz w:val="28"/>
          <w:szCs w:val="28"/>
        </w:rPr>
        <w:t>0.01%(重量比)</w:t>
      </w:r>
    </w:p>
    <w:p w14:paraId="7B8AE0A2">
      <w:pPr>
        <w:pStyle w:val="15"/>
        <w:spacing w:after="0" w:line="40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注：聚丙烯酰胺必须提前配成1%溶液。</w:t>
      </w:r>
    </w:p>
    <w:p w14:paraId="5063C948">
      <w:pPr>
        <w:pStyle w:val="15"/>
        <w:spacing w:after="0" w:line="400" w:lineRule="exact"/>
        <w:ind w:firstLine="562" w:firstLineChars="200"/>
        <w:rPr>
          <w:rFonts w:ascii="仿宋" w:hAnsi="仿宋" w:eastAsia="仿宋" w:cs="仿宋"/>
          <w:b/>
          <w:bCs/>
          <w:color w:val="auto"/>
          <w:sz w:val="28"/>
          <w:szCs w:val="28"/>
        </w:rPr>
      </w:pPr>
      <w:bookmarkStart w:id="169" w:name="_Toc323379654"/>
      <w:r>
        <w:rPr>
          <w:rFonts w:hint="eastAsia" w:ascii="仿宋" w:hAnsi="仿宋" w:eastAsia="仿宋" w:cs="仿宋"/>
          <w:b/>
          <w:bCs/>
          <w:color w:val="auto"/>
          <w:sz w:val="28"/>
          <w:szCs w:val="28"/>
        </w:rPr>
        <w:t>二、冲洗液的要求及维护</w:t>
      </w:r>
      <w:bookmarkEnd w:id="169"/>
    </w:p>
    <w:p w14:paraId="61D6E603">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1.冲洗液体系必须满足以下要求：</w:t>
      </w:r>
    </w:p>
    <w:p w14:paraId="24C237A9">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（1）能形成薄而致密的泥饼，并且韧性好，失水量低，具有优良的防塌性能。</w:t>
      </w:r>
    </w:p>
    <w:p w14:paraId="5A4C6F4D">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（2）具有良好的保护岩心的作用，以满足地层取芯质量要求；</w:t>
      </w:r>
    </w:p>
    <w:p w14:paraId="51CC2A91">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（3）具有优良的流变性能，能很好地携带和悬浮岩屑，减少循环压力损失，减轻冲洗液造成的压力和孔壁的冲刷，防止孔塌和孔漏的发生。</w:t>
      </w:r>
    </w:p>
    <w:p w14:paraId="39A9E280">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（4）具有优良的润滑性能，减小管材机具的磨损。</w:t>
      </w:r>
    </w:p>
    <w:p w14:paraId="297002A7">
      <w:pPr>
        <w:spacing w:line="400" w:lineRule="exact"/>
        <w:ind w:firstLine="560" w:firstLineChars="200"/>
        <w:rPr>
          <w:rFonts w:ascii="仿宋" w:hAnsi="仿宋" w:cs="仿宋"/>
          <w:color w:val="auto"/>
          <w:sz w:val="28"/>
          <w:szCs w:val="28"/>
        </w:rPr>
      </w:pPr>
      <w:r>
        <w:rPr>
          <w:rFonts w:hint="eastAsia" w:ascii="仿宋" w:hAnsi="仿宋" w:cs="仿宋"/>
          <w:color w:val="auto"/>
          <w:sz w:val="28"/>
          <w:szCs w:val="28"/>
        </w:rPr>
        <w:t>2.冲洗液的维护</w:t>
      </w:r>
    </w:p>
    <w:p w14:paraId="487D7EFC">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 xml:space="preserve">（1）冲洗液的配制 </w:t>
      </w:r>
    </w:p>
    <w:p w14:paraId="4B7A5C7C">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专人指导并监督检查各班现场施工人员按照设计配方、搅拌顺序和规定的搅拌时间搅拌冲洗液（每种冲洗液材料加入后搅拌时间不低于15分钟、最后一次搅拌时间不低于45分钟。搅拌速度不高于300转/分钟。难溶的冲洗液材料必须提前水化，以充分溶解），同时负责现场冲洗液性能的测试记录，以保证冲洗液性能符合要求。</w:t>
      </w:r>
    </w:p>
    <w:p w14:paraId="1A05817D">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（2）冲洗液维护</w:t>
      </w:r>
    </w:p>
    <w:p w14:paraId="209093EF">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钻进中，各班设有专人负责对冲洗液的维护，做好循环系统岩粉的清理工作，莲蓬头周围更要及时清理，当冲洗液岩粉过多无法清除时及时换浆。技术人员要针对地层变化，及时调整冲洗液性能。并指导冲洗液岗认真做好处理剂的水化工作。废浆不能乱排乱放，以免对水源和生态环境造成污染。</w:t>
      </w:r>
    </w:p>
    <w:p w14:paraId="0F8ADD23">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通过增大沉淀坑体积和增长循环槽长度的方式来加强沉砂作用。冲洗液坑及沉淀坑规格不应小于2m×2m×1.5m。其余执行《地质岩心钻探规程》的要求。</w:t>
      </w:r>
    </w:p>
    <w:p w14:paraId="69CBAED5">
      <w:pPr>
        <w:tabs>
          <w:tab w:val="left" w:pos="3240"/>
        </w:tabs>
        <w:spacing w:line="400" w:lineRule="exact"/>
        <w:ind w:firstLine="562" w:firstLineChars="200"/>
        <w:jc w:val="center"/>
        <w:rPr>
          <w:rFonts w:ascii="仿宋" w:hAnsi="仿宋" w:cs="仿宋"/>
          <w:b/>
          <w:bCs/>
          <w:color w:val="auto"/>
          <w:sz w:val="28"/>
          <w:szCs w:val="28"/>
        </w:rPr>
      </w:pPr>
      <w:bookmarkStart w:id="170" w:name="_Toc20420"/>
      <w:bookmarkStart w:id="171" w:name="_Toc289356233"/>
      <w:bookmarkStart w:id="172" w:name="_Toc289355794"/>
      <w:bookmarkStart w:id="173" w:name="_Toc289355589"/>
      <w:bookmarkStart w:id="174" w:name="_Toc288731313"/>
      <w:r>
        <w:rPr>
          <w:rFonts w:hint="eastAsia" w:ascii="仿宋" w:hAnsi="仿宋" w:cs="仿宋"/>
          <w:b/>
          <w:bCs/>
          <w:color w:val="auto"/>
          <w:sz w:val="28"/>
          <w:szCs w:val="28"/>
        </w:rPr>
        <w:t>第四节  钻头使用及注意事项</w:t>
      </w:r>
      <w:bookmarkEnd w:id="170"/>
      <w:bookmarkEnd w:id="171"/>
      <w:bookmarkEnd w:id="172"/>
      <w:bookmarkEnd w:id="173"/>
      <w:bookmarkEnd w:id="174"/>
    </w:p>
    <w:p w14:paraId="3CDF0853">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根据矿区岩石的硬度、完整度、研磨性和可钻性选择钻头。深孔钻进应采用高胎体长效，保径效果较好的金刚石钻头。</w:t>
      </w:r>
    </w:p>
    <w:p w14:paraId="420DE655">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钻头使用注意事项：</w:t>
      </w:r>
    </w:p>
    <w:p w14:paraId="1C83549E">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1.根据设计孔深，按钻头和扩孔器外径尺寸，由大到小排序，排队使用。</w:t>
      </w:r>
    </w:p>
    <w:p w14:paraId="5913BCCB">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2.钻头与扩孔器及卡簧间要合理配合,要求如下：</w:t>
      </w:r>
    </w:p>
    <w:p w14:paraId="7D56689B">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（1）扩孔器的外径应比钻头外径大0.3mm～0.5mm，岩层坚硬时应采用下限数值；</w:t>
      </w:r>
    </w:p>
    <w:p w14:paraId="7AB4DE53">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（2）卡簧的自由内径应比钻头内径小0.3mm～0.5mm。卡簧应在上一回次岩心上测试，以不脱落、不卡死为宜。</w:t>
      </w:r>
    </w:p>
    <w:p w14:paraId="55169257">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（3）新钻头到达孔底后，应进行“初磨”，即轻压（正常钻压的1/3左右)，慢转（100r/min左右)，钻进10min左右，再采用正常参数继续钻进。</w:t>
      </w:r>
    </w:p>
    <w:p w14:paraId="688AA6AD">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（4）不宜用新钻头扫孔和残留岩心。</w:t>
      </w:r>
    </w:p>
    <w:p w14:paraId="2483FC16">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（5）钻头出现以下情况时，不得再下入孔内：</w:t>
      </w:r>
    </w:p>
    <w:p w14:paraId="1DDC1864">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①孕镶钻头内外径尺寸较标准尺寸磨耗0.4mm以上；</w:t>
      </w:r>
    </w:p>
    <w:p w14:paraId="3C94025A">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②钻头出现异常磨损；</w:t>
      </w:r>
    </w:p>
    <w:p w14:paraId="747F82A2">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③钻头水口和水槽高度严重磨损；</w:t>
      </w:r>
    </w:p>
    <w:p w14:paraId="4EB5BD26">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④胎体有明显裂纹、掉块及唇面出现沟槽、微烧、台阶或被严重冲蚀；</w:t>
      </w:r>
    </w:p>
    <w:p w14:paraId="4352FE69">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⑤钻头体变形，螺纹损坏。</w:t>
      </w:r>
    </w:p>
    <w:p w14:paraId="789F698E">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3.避免钻头非正常损坏的措施：</w:t>
      </w:r>
    </w:p>
    <w:p w14:paraId="1928D970">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①孔底要保持清洁，当发现有硬质合金、胎块、金刚石、金属块、脱落岩心及孔壁掉块时，应采用冲、捞、抓、粘、套、磨、吸等方法加以清除；后采用正常参数继续钻进。</w:t>
      </w:r>
    </w:p>
    <w:p w14:paraId="42C18E56">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②钻具通过换径、探头石、孔壁掉块等部位以及在斜孔和干孔中下钻时，应放慢下降速度；</w:t>
      </w:r>
    </w:p>
    <w:p w14:paraId="6FC0CAE7">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③地层由硬变软时应减压并控制钻速；</w:t>
      </w:r>
    </w:p>
    <w:p w14:paraId="26D03A19">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④钻进中，操作人员应随时观察冲洗液消耗和泵压的变化情况，发现异常应立即停钻查明原因；</w:t>
      </w:r>
    </w:p>
    <w:p w14:paraId="1F69E1C4">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⑤不允许使用弯曲度超过规定的钻杆和钻具。</w:t>
      </w:r>
    </w:p>
    <w:p w14:paraId="4D7BF9AD">
      <w:pPr>
        <w:spacing w:line="400" w:lineRule="exact"/>
        <w:ind w:firstLine="560" w:firstLineChars="200"/>
        <w:rPr>
          <w:rFonts w:ascii="仿宋" w:hAnsi="仿宋" w:cs="仿宋"/>
          <w:bCs/>
          <w:color w:val="auto"/>
          <w:sz w:val="28"/>
          <w:szCs w:val="28"/>
        </w:rPr>
      </w:pPr>
      <w:r>
        <w:rPr>
          <w:rFonts w:hint="eastAsia" w:ascii="仿宋" w:hAnsi="仿宋" w:cs="仿宋"/>
          <w:bCs/>
          <w:color w:val="auto"/>
          <w:sz w:val="28"/>
          <w:szCs w:val="28"/>
        </w:rPr>
        <w:t>4.钻头或扩孔器停用后，应及时做出评述，并对未报废的钻头进行标记，以备下次使用。</w:t>
      </w:r>
    </w:p>
    <w:p w14:paraId="5DBA5832">
      <w:pPr>
        <w:spacing w:line="400" w:lineRule="exact"/>
        <w:ind w:firstLine="420" w:firstLineChars="200"/>
        <w:rPr>
          <w:rFonts w:ascii="仿宋" w:hAnsi="仿宋" w:cs="仿宋"/>
          <w:b/>
          <w:bCs/>
          <w:color w:val="auto"/>
          <w:sz w:val="32"/>
          <w:szCs w:val="28"/>
        </w:rPr>
        <w:sectPr>
          <w:headerReference r:id="rId16" w:type="default"/>
          <w:footerReference r:id="rId17" w:type="default"/>
          <w:pgSz w:w="11907" w:h="16840"/>
          <w:pgMar w:top="1474" w:right="1814" w:bottom="1474" w:left="1814" w:header="851" w:footer="851" w:gutter="0"/>
          <w:cols w:space="720" w:num="1"/>
        </w:sectPr>
      </w:pPr>
      <w:r>
        <w:rPr>
          <w:rFonts w:hint="eastAsia" w:ascii="仿宋" w:hAnsi="仿宋" w:cs="仿宋"/>
          <w:color w:val="auto"/>
          <w:szCs w:val="28"/>
        </w:rPr>
        <w:t xml:space="preserve">               </w:t>
      </w:r>
      <w:r>
        <w:rPr>
          <w:rFonts w:hint="eastAsia" w:ascii="仿宋" w:hAnsi="仿宋" w:cs="仿宋"/>
          <w:b/>
          <w:bCs/>
          <w:color w:val="auto"/>
          <w:sz w:val="32"/>
          <w:szCs w:val="28"/>
        </w:rPr>
        <w:t xml:space="preserve">    </w:t>
      </w:r>
    </w:p>
    <w:bookmarkEnd w:id="118"/>
    <w:p w14:paraId="6F1B4C8C">
      <w:pPr>
        <w:ind w:firstLine="643" w:firstLineChars="200"/>
        <w:jc w:val="center"/>
        <w:outlineLvl w:val="0"/>
        <w:rPr>
          <w:color w:val="auto"/>
        </w:rPr>
      </w:pPr>
      <w:bookmarkStart w:id="175" w:name="_Toc30018"/>
      <w:bookmarkStart w:id="176" w:name="_Toc28612"/>
      <w:r>
        <w:rPr>
          <w:rFonts w:hint="eastAsia" w:ascii="仿宋" w:hAnsi="仿宋" w:cs="仿宋"/>
          <w:b/>
          <w:bCs/>
          <w:color w:val="auto"/>
          <w:sz w:val="32"/>
          <w:szCs w:val="28"/>
        </w:rPr>
        <w:t>第5章 资格性审查</w:t>
      </w:r>
      <w:bookmarkEnd w:id="175"/>
      <w:bookmarkEnd w:id="176"/>
    </w:p>
    <w:p w14:paraId="2E93E088">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资格性审查由采购人组建的资格审查小组依据法律法规和采购文件的规定，对投标文件中的资格证明等进行审查，以确定投标人是否具备投标资格，并出具资格性审查报告。</w:t>
      </w:r>
    </w:p>
    <w:p w14:paraId="6A8E23F6">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资格性审查时因断电、断网、系统故障或其他不可抗力等因素，导致资格审查小组无法通过系统阅读投标文件进行审查的，待系统恢复后继续审查。出现上述情况时，采购人或采购代理机构将以电子邮件形式通知各投标人。资格性审查标准见下表：</w:t>
      </w:r>
    </w:p>
    <w:tbl>
      <w:tblPr>
        <w:tblStyle w:val="49"/>
        <w:tblW w:w="8809" w:type="dxa"/>
        <w:tblInd w:w="0" w:type="dxa"/>
        <w:tblLayout w:type="fixed"/>
        <w:tblCellMar>
          <w:top w:w="0" w:type="dxa"/>
          <w:left w:w="108" w:type="dxa"/>
          <w:bottom w:w="0" w:type="dxa"/>
          <w:right w:w="108" w:type="dxa"/>
        </w:tblCellMar>
      </w:tblPr>
      <w:tblGrid>
        <w:gridCol w:w="486"/>
        <w:gridCol w:w="7091"/>
        <w:gridCol w:w="459"/>
        <w:gridCol w:w="773"/>
      </w:tblGrid>
      <w:tr w14:paraId="19298E4F">
        <w:tblPrEx>
          <w:tblCellMar>
            <w:top w:w="0" w:type="dxa"/>
            <w:left w:w="108" w:type="dxa"/>
            <w:bottom w:w="0" w:type="dxa"/>
            <w:right w:w="108" w:type="dxa"/>
          </w:tblCellMar>
        </w:tblPrEx>
        <w:trPr>
          <w:trHeight w:val="410" w:hRule="atLeast"/>
        </w:trPr>
        <w:tc>
          <w:tcPr>
            <w:tcW w:w="486" w:type="dxa"/>
            <w:vMerge w:val="restart"/>
            <w:tcBorders>
              <w:top w:val="single" w:color="auto" w:sz="4" w:space="0"/>
              <w:left w:val="single" w:color="auto" w:sz="4" w:space="0"/>
              <w:bottom w:val="single" w:color="000000" w:sz="4" w:space="0"/>
              <w:right w:val="single" w:color="auto" w:sz="4" w:space="0"/>
            </w:tcBorders>
            <w:shd w:val="clear" w:color="000000" w:fill="E2EFDA"/>
            <w:vAlign w:val="center"/>
          </w:tcPr>
          <w:p w14:paraId="2BE98E9E">
            <w:pPr>
              <w:widowControl/>
              <w:spacing w:line="480" w:lineRule="exact"/>
              <w:jc w:val="center"/>
              <w:rPr>
                <w:rFonts w:ascii="仿宋" w:hAnsi="仿宋" w:cs="仿宋"/>
                <w:b/>
                <w:bCs/>
                <w:color w:val="auto"/>
                <w:kern w:val="0"/>
                <w:sz w:val="24"/>
                <w:szCs w:val="24"/>
              </w:rPr>
            </w:pPr>
            <w:r>
              <w:rPr>
                <w:rFonts w:hint="eastAsia" w:ascii="仿宋" w:hAnsi="仿宋" w:cs="仿宋"/>
                <w:b/>
                <w:bCs/>
                <w:color w:val="auto"/>
                <w:kern w:val="0"/>
                <w:sz w:val="24"/>
                <w:szCs w:val="24"/>
              </w:rPr>
              <w:t>序号</w:t>
            </w:r>
          </w:p>
        </w:tc>
        <w:tc>
          <w:tcPr>
            <w:tcW w:w="7091" w:type="dxa"/>
            <w:vMerge w:val="restart"/>
            <w:tcBorders>
              <w:top w:val="single" w:color="auto" w:sz="4" w:space="0"/>
              <w:left w:val="single" w:color="auto" w:sz="4" w:space="0"/>
              <w:bottom w:val="single" w:color="000000" w:sz="4" w:space="0"/>
              <w:right w:val="single" w:color="auto" w:sz="4" w:space="0"/>
            </w:tcBorders>
            <w:shd w:val="clear" w:color="000000" w:fill="E2EFDA"/>
            <w:vAlign w:val="center"/>
          </w:tcPr>
          <w:p w14:paraId="3BF16905">
            <w:pPr>
              <w:widowControl/>
              <w:spacing w:line="480" w:lineRule="exact"/>
              <w:jc w:val="center"/>
              <w:rPr>
                <w:rFonts w:ascii="仿宋" w:hAnsi="仿宋" w:cs="仿宋"/>
                <w:b/>
                <w:bCs/>
                <w:color w:val="auto"/>
                <w:kern w:val="0"/>
                <w:sz w:val="24"/>
                <w:szCs w:val="24"/>
              </w:rPr>
            </w:pPr>
            <w:r>
              <w:rPr>
                <w:rFonts w:hint="eastAsia" w:ascii="仿宋" w:hAnsi="仿宋" w:cs="仿宋"/>
                <w:b/>
                <w:bCs/>
                <w:color w:val="auto"/>
                <w:kern w:val="0"/>
                <w:sz w:val="24"/>
                <w:szCs w:val="24"/>
              </w:rPr>
              <w:t>审核项目</w:t>
            </w:r>
          </w:p>
        </w:tc>
        <w:tc>
          <w:tcPr>
            <w:tcW w:w="1232" w:type="dxa"/>
            <w:gridSpan w:val="2"/>
            <w:tcBorders>
              <w:top w:val="single" w:color="auto" w:sz="4" w:space="0"/>
              <w:left w:val="nil"/>
              <w:bottom w:val="single" w:color="auto" w:sz="4" w:space="0"/>
              <w:right w:val="single" w:color="auto" w:sz="4" w:space="0"/>
            </w:tcBorders>
            <w:shd w:val="clear" w:color="000000" w:fill="E2EFDA"/>
            <w:vAlign w:val="center"/>
          </w:tcPr>
          <w:p w14:paraId="228C1D67">
            <w:pPr>
              <w:widowControl/>
              <w:spacing w:line="480" w:lineRule="exact"/>
              <w:jc w:val="center"/>
              <w:rPr>
                <w:rFonts w:ascii="仿宋" w:hAnsi="仿宋" w:cs="仿宋"/>
                <w:b/>
                <w:bCs/>
                <w:color w:val="auto"/>
                <w:kern w:val="0"/>
                <w:sz w:val="24"/>
                <w:szCs w:val="24"/>
              </w:rPr>
            </w:pPr>
            <w:r>
              <w:rPr>
                <w:rFonts w:hint="eastAsia" w:ascii="仿宋" w:hAnsi="仿宋" w:cs="仿宋"/>
                <w:b/>
                <w:bCs/>
                <w:color w:val="auto"/>
                <w:kern w:val="0"/>
                <w:sz w:val="24"/>
                <w:szCs w:val="24"/>
              </w:rPr>
              <w:t>供应商</w:t>
            </w:r>
          </w:p>
        </w:tc>
      </w:tr>
      <w:tr w14:paraId="0A2B2474">
        <w:tblPrEx>
          <w:tblCellMar>
            <w:top w:w="0" w:type="dxa"/>
            <w:left w:w="108" w:type="dxa"/>
            <w:bottom w:w="0" w:type="dxa"/>
            <w:right w:w="108" w:type="dxa"/>
          </w:tblCellMar>
        </w:tblPrEx>
        <w:trPr>
          <w:trHeight w:val="90" w:hRule="atLeast"/>
        </w:trPr>
        <w:tc>
          <w:tcPr>
            <w:tcW w:w="486" w:type="dxa"/>
            <w:vMerge w:val="continue"/>
            <w:tcBorders>
              <w:top w:val="single" w:color="auto" w:sz="4" w:space="0"/>
              <w:left w:val="single" w:color="auto" w:sz="4" w:space="0"/>
              <w:bottom w:val="single" w:color="000000" w:sz="4" w:space="0"/>
              <w:right w:val="single" w:color="auto" w:sz="4" w:space="0"/>
            </w:tcBorders>
            <w:shd w:val="clear" w:color="auto" w:fill="auto"/>
            <w:vAlign w:val="center"/>
          </w:tcPr>
          <w:p w14:paraId="0B80873D">
            <w:pPr>
              <w:widowControl/>
              <w:spacing w:line="480" w:lineRule="exact"/>
              <w:jc w:val="left"/>
              <w:rPr>
                <w:rFonts w:ascii="仿宋" w:hAnsi="仿宋" w:cs="仿宋"/>
                <w:b/>
                <w:bCs/>
                <w:color w:val="auto"/>
                <w:kern w:val="0"/>
                <w:sz w:val="24"/>
                <w:szCs w:val="24"/>
              </w:rPr>
            </w:pPr>
          </w:p>
        </w:tc>
        <w:tc>
          <w:tcPr>
            <w:tcW w:w="7091" w:type="dxa"/>
            <w:vMerge w:val="continue"/>
            <w:tcBorders>
              <w:top w:val="single" w:color="auto" w:sz="4" w:space="0"/>
              <w:left w:val="single" w:color="auto" w:sz="4" w:space="0"/>
              <w:bottom w:val="single" w:color="000000" w:sz="4" w:space="0"/>
              <w:right w:val="single" w:color="auto" w:sz="4" w:space="0"/>
            </w:tcBorders>
            <w:shd w:val="clear" w:color="auto" w:fill="auto"/>
            <w:vAlign w:val="center"/>
          </w:tcPr>
          <w:p w14:paraId="5C594536">
            <w:pPr>
              <w:widowControl/>
              <w:spacing w:line="480" w:lineRule="exact"/>
              <w:jc w:val="left"/>
              <w:rPr>
                <w:rFonts w:ascii="仿宋" w:hAnsi="仿宋" w:cs="仿宋"/>
                <w:b/>
                <w:bCs/>
                <w:color w:val="auto"/>
                <w:kern w:val="0"/>
                <w:sz w:val="24"/>
                <w:szCs w:val="24"/>
              </w:rPr>
            </w:pPr>
          </w:p>
        </w:tc>
        <w:tc>
          <w:tcPr>
            <w:tcW w:w="459" w:type="dxa"/>
            <w:tcBorders>
              <w:top w:val="nil"/>
              <w:left w:val="nil"/>
              <w:bottom w:val="single" w:color="auto" w:sz="4" w:space="0"/>
              <w:right w:val="single" w:color="auto" w:sz="4" w:space="0"/>
            </w:tcBorders>
            <w:shd w:val="clear" w:color="000000" w:fill="E2EFDA"/>
            <w:vAlign w:val="center"/>
          </w:tcPr>
          <w:p w14:paraId="5A92B960">
            <w:pPr>
              <w:widowControl/>
              <w:spacing w:line="480" w:lineRule="exact"/>
              <w:jc w:val="center"/>
              <w:rPr>
                <w:rFonts w:ascii="仿宋" w:hAnsi="仿宋" w:cs="仿宋"/>
                <w:b/>
                <w:bCs/>
                <w:color w:val="auto"/>
                <w:kern w:val="0"/>
                <w:sz w:val="24"/>
                <w:szCs w:val="24"/>
              </w:rPr>
            </w:pPr>
            <w:r>
              <w:rPr>
                <w:rFonts w:hint="eastAsia" w:ascii="仿宋" w:hAnsi="仿宋" w:cs="仿宋"/>
                <w:b/>
                <w:bCs/>
                <w:color w:val="auto"/>
                <w:kern w:val="0"/>
                <w:sz w:val="24"/>
                <w:szCs w:val="24"/>
              </w:rPr>
              <w:t>是</w:t>
            </w:r>
          </w:p>
        </w:tc>
        <w:tc>
          <w:tcPr>
            <w:tcW w:w="773" w:type="dxa"/>
            <w:tcBorders>
              <w:top w:val="nil"/>
              <w:left w:val="nil"/>
              <w:bottom w:val="single" w:color="auto" w:sz="4" w:space="0"/>
              <w:right w:val="single" w:color="auto" w:sz="4" w:space="0"/>
            </w:tcBorders>
            <w:shd w:val="clear" w:color="000000" w:fill="E2EFDA"/>
            <w:vAlign w:val="center"/>
          </w:tcPr>
          <w:p w14:paraId="6E7B205E">
            <w:pPr>
              <w:widowControl/>
              <w:spacing w:line="480" w:lineRule="exact"/>
              <w:jc w:val="center"/>
              <w:rPr>
                <w:rFonts w:ascii="仿宋" w:hAnsi="仿宋" w:cs="仿宋"/>
                <w:b/>
                <w:bCs/>
                <w:color w:val="auto"/>
                <w:kern w:val="0"/>
                <w:sz w:val="24"/>
                <w:szCs w:val="24"/>
              </w:rPr>
            </w:pPr>
            <w:r>
              <w:rPr>
                <w:rFonts w:hint="eastAsia" w:ascii="仿宋" w:hAnsi="仿宋" w:cs="仿宋"/>
                <w:b/>
                <w:bCs/>
                <w:color w:val="auto"/>
                <w:kern w:val="0"/>
                <w:sz w:val="24"/>
                <w:szCs w:val="24"/>
              </w:rPr>
              <w:t>否</w:t>
            </w:r>
          </w:p>
        </w:tc>
      </w:tr>
      <w:tr w14:paraId="77E474EA">
        <w:tblPrEx>
          <w:tblCellMar>
            <w:top w:w="0" w:type="dxa"/>
            <w:left w:w="108" w:type="dxa"/>
            <w:bottom w:w="0" w:type="dxa"/>
            <w:right w:w="108" w:type="dxa"/>
          </w:tblCellMar>
        </w:tblPrEx>
        <w:trPr>
          <w:trHeight w:val="90" w:hRule="atLeast"/>
        </w:trPr>
        <w:tc>
          <w:tcPr>
            <w:tcW w:w="486" w:type="dxa"/>
            <w:tcBorders>
              <w:top w:val="nil"/>
              <w:left w:val="single" w:color="auto" w:sz="4" w:space="0"/>
              <w:bottom w:val="single" w:color="auto" w:sz="4" w:space="0"/>
              <w:right w:val="single" w:color="auto" w:sz="4" w:space="0"/>
            </w:tcBorders>
            <w:vAlign w:val="center"/>
          </w:tcPr>
          <w:p w14:paraId="4E4DECE3">
            <w:pPr>
              <w:widowControl/>
              <w:spacing w:line="480" w:lineRule="exact"/>
              <w:jc w:val="center"/>
              <w:rPr>
                <w:rFonts w:ascii="仿宋" w:hAnsi="仿宋" w:cs="仿宋"/>
                <w:color w:val="auto"/>
                <w:kern w:val="0"/>
                <w:sz w:val="24"/>
                <w:szCs w:val="24"/>
              </w:rPr>
            </w:pPr>
            <w:r>
              <w:rPr>
                <w:rFonts w:ascii="仿宋" w:hAnsi="仿宋" w:cs="仿宋"/>
                <w:color w:val="auto"/>
                <w:kern w:val="0"/>
                <w:sz w:val="24"/>
                <w:szCs w:val="24"/>
              </w:rPr>
              <w:t>1</w:t>
            </w:r>
          </w:p>
        </w:tc>
        <w:tc>
          <w:tcPr>
            <w:tcW w:w="7091" w:type="dxa"/>
            <w:tcBorders>
              <w:top w:val="nil"/>
              <w:left w:val="nil"/>
              <w:bottom w:val="single" w:color="auto" w:sz="4" w:space="0"/>
              <w:right w:val="single" w:color="auto" w:sz="4" w:space="0"/>
            </w:tcBorders>
            <w:vAlign w:val="center"/>
          </w:tcPr>
          <w:p w14:paraId="14B5F515">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有效的营业执照/事业单位法人证书正本或副本；</w:t>
            </w:r>
          </w:p>
        </w:tc>
        <w:tc>
          <w:tcPr>
            <w:tcW w:w="459" w:type="dxa"/>
            <w:tcBorders>
              <w:top w:val="nil"/>
              <w:left w:val="nil"/>
              <w:bottom w:val="single" w:color="auto" w:sz="4" w:space="0"/>
              <w:right w:val="single" w:color="auto" w:sz="4" w:space="0"/>
            </w:tcBorders>
            <w:vAlign w:val="center"/>
          </w:tcPr>
          <w:p w14:paraId="311DB90E">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 xml:space="preserve">  </w:t>
            </w:r>
          </w:p>
        </w:tc>
        <w:tc>
          <w:tcPr>
            <w:tcW w:w="773" w:type="dxa"/>
            <w:tcBorders>
              <w:top w:val="nil"/>
              <w:left w:val="nil"/>
              <w:bottom w:val="single" w:color="auto" w:sz="4" w:space="0"/>
              <w:right w:val="single" w:color="auto" w:sz="4" w:space="0"/>
            </w:tcBorders>
            <w:vAlign w:val="center"/>
          </w:tcPr>
          <w:p w14:paraId="2AE4671C">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 xml:space="preserve">  </w:t>
            </w:r>
          </w:p>
        </w:tc>
      </w:tr>
      <w:tr w14:paraId="4406FC09">
        <w:tblPrEx>
          <w:tblCellMar>
            <w:top w:w="0" w:type="dxa"/>
            <w:left w:w="108" w:type="dxa"/>
            <w:bottom w:w="0" w:type="dxa"/>
            <w:right w:w="108" w:type="dxa"/>
          </w:tblCellMar>
        </w:tblPrEx>
        <w:trPr>
          <w:trHeight w:val="1478" w:hRule="atLeast"/>
        </w:trPr>
        <w:tc>
          <w:tcPr>
            <w:tcW w:w="486" w:type="dxa"/>
            <w:tcBorders>
              <w:top w:val="nil"/>
              <w:left w:val="single" w:color="auto" w:sz="4" w:space="0"/>
              <w:bottom w:val="single" w:color="auto" w:sz="4" w:space="0"/>
              <w:right w:val="single" w:color="auto" w:sz="4" w:space="0"/>
            </w:tcBorders>
            <w:vAlign w:val="center"/>
          </w:tcPr>
          <w:p w14:paraId="03BFFD8A">
            <w:pPr>
              <w:widowControl/>
              <w:spacing w:line="480" w:lineRule="exact"/>
              <w:jc w:val="center"/>
              <w:rPr>
                <w:rFonts w:ascii="仿宋" w:hAnsi="仿宋" w:cs="仿宋"/>
                <w:color w:val="auto"/>
                <w:kern w:val="0"/>
                <w:sz w:val="24"/>
                <w:szCs w:val="24"/>
              </w:rPr>
            </w:pPr>
            <w:r>
              <w:rPr>
                <w:rFonts w:hint="eastAsia" w:ascii="仿宋" w:hAnsi="仿宋" w:cs="仿宋"/>
                <w:color w:val="auto"/>
                <w:kern w:val="0"/>
                <w:sz w:val="24"/>
                <w:szCs w:val="24"/>
              </w:rPr>
              <w:t>2</w:t>
            </w:r>
          </w:p>
        </w:tc>
        <w:tc>
          <w:tcPr>
            <w:tcW w:w="7091" w:type="dxa"/>
            <w:tcBorders>
              <w:top w:val="nil"/>
              <w:left w:val="nil"/>
              <w:bottom w:val="single" w:color="auto" w:sz="4" w:space="0"/>
              <w:right w:val="single" w:color="auto" w:sz="4" w:space="0"/>
            </w:tcBorders>
            <w:vAlign w:val="center"/>
          </w:tcPr>
          <w:p w14:paraId="0360CD90">
            <w:pPr>
              <w:widowControl/>
              <w:spacing w:line="480" w:lineRule="exact"/>
              <w:jc w:val="left"/>
              <w:rPr>
                <w:rFonts w:ascii="仿宋" w:hAnsi="仿宋" w:cs="仿宋"/>
                <w:color w:val="auto"/>
                <w:kern w:val="0"/>
                <w:sz w:val="24"/>
                <w:szCs w:val="24"/>
              </w:rPr>
            </w:pPr>
            <w:r>
              <w:rPr>
                <w:rFonts w:ascii="仿宋" w:hAnsi="仿宋"/>
                <w:color w:val="auto"/>
                <w:kern w:val="0"/>
                <w:sz w:val="24"/>
                <w:szCs w:val="24"/>
              </w:rPr>
              <w:t>供应商未被列入“信用中国”网站</w:t>
            </w:r>
            <w:r>
              <w:rPr>
                <w:rFonts w:hint="eastAsia" w:ascii="仿宋" w:hAnsi="仿宋"/>
                <w:color w:val="auto"/>
                <w:kern w:val="0"/>
                <w:sz w:val="24"/>
                <w:szCs w:val="24"/>
              </w:rPr>
              <w:t>（</w:t>
            </w:r>
            <w:r>
              <w:rPr>
                <w:rFonts w:ascii="仿宋" w:hAnsi="仿宋"/>
                <w:color w:val="auto"/>
                <w:kern w:val="0"/>
                <w:sz w:val="24"/>
                <w:szCs w:val="24"/>
              </w:rPr>
              <w:t>www.creditchina.gov.cn</w:t>
            </w:r>
            <w:r>
              <w:rPr>
                <w:rFonts w:hint="eastAsia" w:ascii="仿宋" w:hAnsi="仿宋"/>
                <w:color w:val="auto"/>
                <w:kern w:val="0"/>
                <w:sz w:val="24"/>
                <w:szCs w:val="24"/>
              </w:rPr>
              <w:t>）</w:t>
            </w:r>
            <w:r>
              <w:rPr>
                <w:rFonts w:ascii="仿宋" w:hAnsi="仿宋"/>
                <w:color w:val="auto"/>
                <w:kern w:val="0"/>
                <w:sz w:val="24"/>
                <w:szCs w:val="24"/>
              </w:rPr>
              <w:t>、中国政府采购网</w:t>
            </w:r>
            <w:r>
              <w:rPr>
                <w:rFonts w:hint="eastAsia" w:ascii="仿宋" w:hAnsi="仿宋"/>
                <w:color w:val="auto"/>
                <w:kern w:val="0"/>
                <w:sz w:val="24"/>
                <w:szCs w:val="24"/>
              </w:rPr>
              <w:t>（</w:t>
            </w:r>
            <w:r>
              <w:rPr>
                <w:rFonts w:ascii="仿宋" w:hAnsi="仿宋"/>
                <w:color w:val="auto"/>
                <w:kern w:val="0"/>
                <w:sz w:val="24"/>
                <w:szCs w:val="24"/>
              </w:rPr>
              <w:t>www.ccgp.gov.cn</w:t>
            </w:r>
            <w:r>
              <w:rPr>
                <w:rFonts w:hint="eastAsia" w:ascii="仿宋" w:hAnsi="仿宋"/>
                <w:color w:val="auto"/>
                <w:kern w:val="0"/>
                <w:sz w:val="24"/>
                <w:szCs w:val="24"/>
              </w:rPr>
              <w:t>）</w:t>
            </w:r>
            <w:r>
              <w:rPr>
                <w:rFonts w:ascii="仿宋" w:hAnsi="仿宋"/>
                <w:color w:val="auto"/>
                <w:kern w:val="0"/>
                <w:sz w:val="24"/>
                <w:szCs w:val="24"/>
              </w:rPr>
              <w:t>渠道信用记录失信被执行人、重大税收违法</w:t>
            </w:r>
            <w:r>
              <w:rPr>
                <w:rFonts w:hint="eastAsia" w:ascii="仿宋" w:hAnsi="仿宋"/>
                <w:color w:val="auto"/>
                <w:kern w:val="0"/>
                <w:sz w:val="24"/>
                <w:szCs w:val="24"/>
              </w:rPr>
              <w:t>失信主体</w:t>
            </w:r>
            <w:r>
              <w:rPr>
                <w:rFonts w:ascii="仿宋" w:hAnsi="仿宋"/>
                <w:color w:val="auto"/>
                <w:kern w:val="0"/>
                <w:sz w:val="24"/>
                <w:szCs w:val="24"/>
              </w:rPr>
              <w:t>、政府采购严重违法失信行为记录名单的投标人，国家企业公示信息系统（www.gsxt.gov.cn）查询诚信记录如有严重行政处罚信息、重大严重失信记录不得参加本项目</w:t>
            </w:r>
            <w:r>
              <w:rPr>
                <w:rFonts w:hint="eastAsia" w:ascii="仿宋" w:hAnsi="仿宋"/>
                <w:color w:val="auto"/>
                <w:kern w:val="0"/>
                <w:sz w:val="24"/>
                <w:szCs w:val="24"/>
              </w:rPr>
              <w:t>；</w:t>
            </w:r>
          </w:p>
        </w:tc>
        <w:tc>
          <w:tcPr>
            <w:tcW w:w="459" w:type="dxa"/>
            <w:tcBorders>
              <w:top w:val="nil"/>
              <w:left w:val="nil"/>
              <w:bottom w:val="single" w:color="auto" w:sz="4" w:space="0"/>
              <w:right w:val="single" w:color="auto" w:sz="4" w:space="0"/>
            </w:tcBorders>
            <w:vAlign w:val="center"/>
          </w:tcPr>
          <w:p w14:paraId="5C6E4A85">
            <w:pPr>
              <w:widowControl/>
              <w:spacing w:line="480" w:lineRule="exact"/>
              <w:jc w:val="left"/>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vAlign w:val="center"/>
          </w:tcPr>
          <w:p w14:paraId="721E5163">
            <w:pPr>
              <w:widowControl/>
              <w:spacing w:line="480" w:lineRule="exact"/>
              <w:jc w:val="left"/>
              <w:rPr>
                <w:rFonts w:ascii="仿宋" w:hAnsi="仿宋" w:cs="仿宋"/>
                <w:color w:val="auto"/>
                <w:kern w:val="0"/>
                <w:sz w:val="24"/>
                <w:szCs w:val="24"/>
              </w:rPr>
            </w:pPr>
          </w:p>
        </w:tc>
      </w:tr>
      <w:tr w14:paraId="2A6C9236">
        <w:tblPrEx>
          <w:tblCellMar>
            <w:top w:w="0" w:type="dxa"/>
            <w:left w:w="108" w:type="dxa"/>
            <w:bottom w:w="0" w:type="dxa"/>
            <w:right w:w="108" w:type="dxa"/>
          </w:tblCellMar>
        </w:tblPrEx>
        <w:trPr>
          <w:trHeight w:val="605" w:hRule="atLeast"/>
        </w:trPr>
        <w:tc>
          <w:tcPr>
            <w:tcW w:w="486" w:type="dxa"/>
            <w:tcBorders>
              <w:top w:val="nil"/>
              <w:left w:val="single" w:color="auto" w:sz="4" w:space="0"/>
              <w:bottom w:val="single" w:color="auto" w:sz="4" w:space="0"/>
              <w:right w:val="single" w:color="auto" w:sz="4" w:space="0"/>
            </w:tcBorders>
            <w:vAlign w:val="center"/>
          </w:tcPr>
          <w:p w14:paraId="50B3E052">
            <w:pPr>
              <w:widowControl/>
              <w:spacing w:line="480" w:lineRule="exact"/>
              <w:jc w:val="center"/>
              <w:rPr>
                <w:rFonts w:ascii="仿宋" w:hAnsi="仿宋" w:cs="仿宋"/>
                <w:color w:val="auto"/>
                <w:kern w:val="0"/>
                <w:sz w:val="24"/>
                <w:szCs w:val="24"/>
              </w:rPr>
            </w:pPr>
            <w:r>
              <w:rPr>
                <w:rFonts w:hint="eastAsia" w:ascii="仿宋" w:hAnsi="仿宋" w:cs="仿宋"/>
                <w:color w:val="auto"/>
                <w:kern w:val="0"/>
                <w:sz w:val="24"/>
                <w:szCs w:val="24"/>
              </w:rPr>
              <w:t>3</w:t>
            </w:r>
          </w:p>
        </w:tc>
        <w:tc>
          <w:tcPr>
            <w:tcW w:w="7091" w:type="dxa"/>
            <w:tcBorders>
              <w:top w:val="nil"/>
              <w:left w:val="nil"/>
              <w:bottom w:val="single" w:color="auto" w:sz="4" w:space="0"/>
              <w:right w:val="single" w:color="auto" w:sz="4" w:space="0"/>
            </w:tcBorders>
            <w:vAlign w:val="center"/>
          </w:tcPr>
          <w:p w14:paraId="68ADB22C">
            <w:pPr>
              <w:widowControl/>
              <w:spacing w:line="480" w:lineRule="exact"/>
              <w:jc w:val="left"/>
              <w:rPr>
                <w:rFonts w:ascii="仿宋" w:hAnsi="仿宋" w:cs="仿宋"/>
                <w:color w:val="auto"/>
                <w:kern w:val="0"/>
                <w:sz w:val="24"/>
                <w:szCs w:val="24"/>
              </w:rPr>
            </w:pPr>
            <w:r>
              <w:rPr>
                <w:rFonts w:ascii="仿宋" w:hAnsi="仿宋"/>
                <w:color w:val="auto"/>
                <w:kern w:val="0"/>
                <w:sz w:val="24"/>
                <w:szCs w:val="24"/>
              </w:rPr>
              <w:t>有依法缴纳税收和社会保障资金的良好记录；</w:t>
            </w:r>
            <w:r>
              <w:rPr>
                <w:rFonts w:hint="eastAsia" w:ascii="仿宋" w:hAnsi="仿宋"/>
                <w:color w:val="auto"/>
                <w:kern w:val="0"/>
                <w:sz w:val="24"/>
                <w:szCs w:val="24"/>
              </w:rPr>
              <w:t>（</w:t>
            </w:r>
            <w:r>
              <w:rPr>
                <w:rFonts w:ascii="仿宋" w:hAnsi="仿宋"/>
                <w:color w:val="auto"/>
                <w:kern w:val="0"/>
                <w:sz w:val="24"/>
                <w:szCs w:val="24"/>
              </w:rPr>
              <w:t>需提供</w:t>
            </w:r>
            <w:r>
              <w:rPr>
                <w:rFonts w:hint="eastAsia" w:ascii="仿宋" w:hAnsi="仿宋"/>
                <w:color w:val="auto"/>
                <w:kern w:val="0"/>
                <w:sz w:val="24"/>
                <w:szCs w:val="24"/>
              </w:rPr>
              <w:t>开标前</w:t>
            </w:r>
            <w:r>
              <w:rPr>
                <w:rFonts w:ascii="仿宋" w:hAnsi="仿宋"/>
                <w:color w:val="auto"/>
                <w:kern w:val="0"/>
                <w:sz w:val="24"/>
                <w:szCs w:val="24"/>
              </w:rPr>
              <w:t>近3个月任意一月社保部门出具的投标单位的缴纳社保证明和依法纳税的相关证明文件</w:t>
            </w:r>
            <w:r>
              <w:rPr>
                <w:rFonts w:hint="eastAsia" w:ascii="仿宋" w:hAnsi="仿宋"/>
                <w:color w:val="auto"/>
                <w:kern w:val="0"/>
                <w:sz w:val="24"/>
                <w:szCs w:val="24"/>
              </w:rPr>
              <w:t>）</w:t>
            </w:r>
          </w:p>
        </w:tc>
        <w:tc>
          <w:tcPr>
            <w:tcW w:w="459" w:type="dxa"/>
            <w:tcBorders>
              <w:top w:val="nil"/>
              <w:left w:val="nil"/>
              <w:bottom w:val="single" w:color="auto" w:sz="4" w:space="0"/>
              <w:right w:val="single" w:color="auto" w:sz="4" w:space="0"/>
            </w:tcBorders>
            <w:vAlign w:val="center"/>
          </w:tcPr>
          <w:p w14:paraId="31C4C49D">
            <w:pPr>
              <w:widowControl/>
              <w:spacing w:line="480" w:lineRule="exact"/>
              <w:jc w:val="left"/>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vAlign w:val="center"/>
          </w:tcPr>
          <w:p w14:paraId="61BE7FF2">
            <w:pPr>
              <w:widowControl/>
              <w:spacing w:line="480" w:lineRule="exact"/>
              <w:jc w:val="left"/>
              <w:rPr>
                <w:rFonts w:ascii="仿宋" w:hAnsi="仿宋" w:cs="仿宋"/>
                <w:color w:val="auto"/>
                <w:kern w:val="0"/>
                <w:sz w:val="24"/>
                <w:szCs w:val="24"/>
              </w:rPr>
            </w:pPr>
          </w:p>
        </w:tc>
      </w:tr>
      <w:tr w14:paraId="2A58DF86">
        <w:tblPrEx>
          <w:tblCellMar>
            <w:top w:w="0" w:type="dxa"/>
            <w:left w:w="108" w:type="dxa"/>
            <w:bottom w:w="0" w:type="dxa"/>
            <w:right w:w="108" w:type="dxa"/>
          </w:tblCellMar>
        </w:tblPrEx>
        <w:trPr>
          <w:trHeight w:val="605" w:hRule="atLeast"/>
        </w:trPr>
        <w:tc>
          <w:tcPr>
            <w:tcW w:w="486" w:type="dxa"/>
            <w:tcBorders>
              <w:top w:val="nil"/>
              <w:left w:val="single" w:color="auto" w:sz="4" w:space="0"/>
              <w:bottom w:val="single" w:color="auto" w:sz="4" w:space="0"/>
              <w:right w:val="single" w:color="auto" w:sz="4" w:space="0"/>
            </w:tcBorders>
            <w:vAlign w:val="center"/>
          </w:tcPr>
          <w:p w14:paraId="03388216">
            <w:pPr>
              <w:widowControl/>
              <w:spacing w:line="480" w:lineRule="exact"/>
              <w:jc w:val="center"/>
              <w:rPr>
                <w:rFonts w:ascii="仿宋" w:hAnsi="仿宋" w:cs="仿宋"/>
                <w:color w:val="auto"/>
                <w:kern w:val="0"/>
                <w:sz w:val="24"/>
                <w:szCs w:val="24"/>
              </w:rPr>
            </w:pPr>
            <w:r>
              <w:rPr>
                <w:rFonts w:hint="eastAsia" w:ascii="仿宋" w:hAnsi="仿宋" w:cs="仿宋"/>
                <w:color w:val="auto"/>
                <w:kern w:val="0"/>
                <w:sz w:val="24"/>
                <w:szCs w:val="24"/>
              </w:rPr>
              <w:t>4</w:t>
            </w:r>
          </w:p>
        </w:tc>
        <w:tc>
          <w:tcPr>
            <w:tcW w:w="7091" w:type="dxa"/>
            <w:tcBorders>
              <w:top w:val="nil"/>
              <w:left w:val="nil"/>
              <w:bottom w:val="single" w:color="auto" w:sz="4" w:space="0"/>
              <w:right w:val="single" w:color="auto" w:sz="4" w:space="0"/>
            </w:tcBorders>
            <w:vAlign w:val="center"/>
          </w:tcPr>
          <w:p w14:paraId="2F82C59B">
            <w:pPr>
              <w:widowControl/>
              <w:spacing w:line="480" w:lineRule="exact"/>
              <w:jc w:val="left"/>
              <w:rPr>
                <w:rFonts w:ascii="仿宋" w:hAnsi="仿宋" w:cs="仿宋"/>
                <w:color w:val="auto"/>
                <w:kern w:val="0"/>
                <w:sz w:val="24"/>
                <w:szCs w:val="24"/>
              </w:rPr>
            </w:pPr>
            <w:r>
              <w:rPr>
                <w:rFonts w:ascii="仿宋" w:hAnsi="仿宋"/>
                <w:color w:val="auto"/>
                <w:kern w:val="0"/>
                <w:sz w:val="24"/>
                <w:szCs w:val="24"/>
              </w:rPr>
              <w:t>参加政府采购活动前三年内，在经营活动中没有重大违法记录承诺书</w:t>
            </w:r>
            <w:r>
              <w:rPr>
                <w:rFonts w:hint="eastAsia" w:ascii="仿宋" w:hAnsi="仿宋"/>
                <w:color w:val="auto"/>
                <w:kern w:val="0"/>
                <w:sz w:val="24"/>
                <w:szCs w:val="24"/>
              </w:rPr>
              <w:t>；</w:t>
            </w:r>
          </w:p>
        </w:tc>
        <w:tc>
          <w:tcPr>
            <w:tcW w:w="459" w:type="dxa"/>
            <w:tcBorders>
              <w:top w:val="nil"/>
              <w:left w:val="nil"/>
              <w:bottom w:val="single" w:color="auto" w:sz="4" w:space="0"/>
              <w:right w:val="single" w:color="auto" w:sz="4" w:space="0"/>
            </w:tcBorders>
            <w:vAlign w:val="center"/>
          </w:tcPr>
          <w:p w14:paraId="31E2F784">
            <w:pPr>
              <w:widowControl/>
              <w:spacing w:line="480" w:lineRule="exact"/>
              <w:jc w:val="left"/>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vAlign w:val="center"/>
          </w:tcPr>
          <w:p w14:paraId="4CFEF5FF">
            <w:pPr>
              <w:widowControl/>
              <w:spacing w:line="480" w:lineRule="exact"/>
              <w:jc w:val="left"/>
              <w:rPr>
                <w:rFonts w:ascii="仿宋" w:hAnsi="仿宋" w:cs="仿宋"/>
                <w:color w:val="auto"/>
                <w:kern w:val="0"/>
                <w:sz w:val="24"/>
                <w:szCs w:val="24"/>
              </w:rPr>
            </w:pPr>
          </w:p>
        </w:tc>
      </w:tr>
      <w:tr w14:paraId="77C0797D">
        <w:tblPrEx>
          <w:tblCellMar>
            <w:top w:w="0" w:type="dxa"/>
            <w:left w:w="108" w:type="dxa"/>
            <w:bottom w:w="0" w:type="dxa"/>
            <w:right w:w="108" w:type="dxa"/>
          </w:tblCellMar>
        </w:tblPrEx>
        <w:trPr>
          <w:trHeight w:val="605" w:hRule="atLeast"/>
        </w:trPr>
        <w:tc>
          <w:tcPr>
            <w:tcW w:w="486" w:type="dxa"/>
            <w:tcBorders>
              <w:top w:val="nil"/>
              <w:left w:val="single" w:color="auto" w:sz="4" w:space="0"/>
              <w:bottom w:val="single" w:color="auto" w:sz="4" w:space="0"/>
              <w:right w:val="single" w:color="auto" w:sz="4" w:space="0"/>
            </w:tcBorders>
            <w:vAlign w:val="center"/>
          </w:tcPr>
          <w:p w14:paraId="347417C0">
            <w:pPr>
              <w:widowControl/>
              <w:spacing w:line="480" w:lineRule="exact"/>
              <w:jc w:val="center"/>
              <w:rPr>
                <w:rFonts w:ascii="仿宋" w:hAnsi="仿宋" w:cs="仿宋"/>
                <w:color w:val="auto"/>
                <w:kern w:val="0"/>
                <w:sz w:val="24"/>
                <w:szCs w:val="24"/>
              </w:rPr>
            </w:pPr>
            <w:r>
              <w:rPr>
                <w:rFonts w:hint="eastAsia" w:ascii="仿宋" w:hAnsi="仿宋" w:cs="仿宋"/>
                <w:color w:val="auto"/>
                <w:kern w:val="0"/>
                <w:sz w:val="24"/>
                <w:szCs w:val="24"/>
              </w:rPr>
              <w:t>5</w:t>
            </w:r>
          </w:p>
        </w:tc>
        <w:tc>
          <w:tcPr>
            <w:tcW w:w="7091" w:type="dxa"/>
            <w:tcBorders>
              <w:top w:val="nil"/>
              <w:left w:val="nil"/>
              <w:bottom w:val="single" w:color="auto" w:sz="4" w:space="0"/>
              <w:right w:val="single" w:color="auto" w:sz="4" w:space="0"/>
            </w:tcBorders>
            <w:vAlign w:val="center"/>
          </w:tcPr>
          <w:p w14:paraId="4DEC2F58">
            <w:pPr>
              <w:widowControl/>
              <w:spacing w:line="480" w:lineRule="exact"/>
              <w:jc w:val="left"/>
              <w:rPr>
                <w:rFonts w:ascii="仿宋" w:hAnsi="仿宋" w:cs="仿宋"/>
                <w:color w:val="auto"/>
                <w:kern w:val="0"/>
                <w:sz w:val="24"/>
                <w:szCs w:val="24"/>
              </w:rPr>
            </w:pPr>
            <w:r>
              <w:rPr>
                <w:rFonts w:hint="eastAsia" w:ascii="仿宋" w:hAnsi="仿宋"/>
                <w:color w:val="auto"/>
                <w:kern w:val="0"/>
                <w:sz w:val="24"/>
                <w:szCs w:val="24"/>
              </w:rPr>
              <w:t>提供针对本次项目的反商业贿赂承诺书；</w:t>
            </w:r>
          </w:p>
        </w:tc>
        <w:tc>
          <w:tcPr>
            <w:tcW w:w="459" w:type="dxa"/>
            <w:tcBorders>
              <w:top w:val="nil"/>
              <w:left w:val="nil"/>
              <w:bottom w:val="single" w:color="auto" w:sz="4" w:space="0"/>
              <w:right w:val="single" w:color="auto" w:sz="4" w:space="0"/>
            </w:tcBorders>
            <w:vAlign w:val="center"/>
          </w:tcPr>
          <w:p w14:paraId="12E1F318">
            <w:pPr>
              <w:widowControl/>
              <w:spacing w:line="480" w:lineRule="exact"/>
              <w:jc w:val="left"/>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vAlign w:val="center"/>
          </w:tcPr>
          <w:p w14:paraId="1C6647B0">
            <w:pPr>
              <w:widowControl/>
              <w:spacing w:line="480" w:lineRule="exact"/>
              <w:jc w:val="left"/>
              <w:rPr>
                <w:rFonts w:ascii="仿宋" w:hAnsi="仿宋" w:cs="仿宋"/>
                <w:color w:val="auto"/>
                <w:kern w:val="0"/>
                <w:sz w:val="24"/>
                <w:szCs w:val="24"/>
              </w:rPr>
            </w:pPr>
          </w:p>
        </w:tc>
      </w:tr>
      <w:tr w14:paraId="2761A4A4">
        <w:tblPrEx>
          <w:tblCellMar>
            <w:top w:w="0" w:type="dxa"/>
            <w:left w:w="108" w:type="dxa"/>
            <w:bottom w:w="0" w:type="dxa"/>
            <w:right w:w="108" w:type="dxa"/>
          </w:tblCellMar>
        </w:tblPrEx>
        <w:trPr>
          <w:trHeight w:val="840" w:hRule="atLeast"/>
        </w:trPr>
        <w:tc>
          <w:tcPr>
            <w:tcW w:w="486" w:type="dxa"/>
            <w:tcBorders>
              <w:top w:val="nil"/>
              <w:left w:val="single" w:color="auto" w:sz="4" w:space="0"/>
              <w:bottom w:val="single" w:color="auto" w:sz="4" w:space="0"/>
              <w:right w:val="single" w:color="auto" w:sz="4" w:space="0"/>
            </w:tcBorders>
            <w:vAlign w:val="center"/>
          </w:tcPr>
          <w:p w14:paraId="50D15ED9">
            <w:pPr>
              <w:widowControl/>
              <w:spacing w:line="480" w:lineRule="exact"/>
              <w:jc w:val="center"/>
              <w:rPr>
                <w:rFonts w:ascii="仿宋" w:hAnsi="仿宋" w:cs="仿宋"/>
                <w:color w:val="auto"/>
                <w:kern w:val="0"/>
                <w:sz w:val="24"/>
                <w:szCs w:val="24"/>
              </w:rPr>
            </w:pPr>
            <w:r>
              <w:rPr>
                <w:rFonts w:hint="eastAsia" w:ascii="仿宋" w:hAnsi="仿宋" w:cs="仿宋"/>
                <w:color w:val="auto"/>
                <w:kern w:val="0"/>
                <w:sz w:val="24"/>
                <w:szCs w:val="24"/>
              </w:rPr>
              <w:t>6</w:t>
            </w:r>
          </w:p>
        </w:tc>
        <w:tc>
          <w:tcPr>
            <w:tcW w:w="7091" w:type="dxa"/>
            <w:tcBorders>
              <w:top w:val="nil"/>
              <w:left w:val="nil"/>
              <w:bottom w:val="single" w:color="auto" w:sz="4" w:space="0"/>
              <w:right w:val="single" w:color="auto" w:sz="4" w:space="0"/>
            </w:tcBorders>
            <w:vAlign w:val="center"/>
          </w:tcPr>
          <w:p w14:paraId="015CB07B">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有效的投标保证金缴纳凭证。</w:t>
            </w:r>
          </w:p>
        </w:tc>
        <w:tc>
          <w:tcPr>
            <w:tcW w:w="459" w:type="dxa"/>
            <w:tcBorders>
              <w:top w:val="nil"/>
              <w:left w:val="nil"/>
              <w:bottom w:val="single" w:color="auto" w:sz="4" w:space="0"/>
              <w:right w:val="single" w:color="auto" w:sz="4" w:space="0"/>
            </w:tcBorders>
            <w:vAlign w:val="center"/>
          </w:tcPr>
          <w:p w14:paraId="72925940">
            <w:pPr>
              <w:widowControl/>
              <w:spacing w:line="480" w:lineRule="exact"/>
              <w:jc w:val="left"/>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vAlign w:val="center"/>
          </w:tcPr>
          <w:p w14:paraId="49A33DF8">
            <w:pPr>
              <w:widowControl/>
              <w:spacing w:line="480" w:lineRule="exact"/>
              <w:jc w:val="left"/>
              <w:rPr>
                <w:rFonts w:ascii="仿宋" w:hAnsi="仿宋" w:cs="仿宋"/>
                <w:color w:val="auto"/>
                <w:kern w:val="0"/>
                <w:sz w:val="24"/>
                <w:szCs w:val="24"/>
              </w:rPr>
            </w:pPr>
          </w:p>
        </w:tc>
      </w:tr>
      <w:tr w14:paraId="28C06E67">
        <w:tblPrEx>
          <w:tblCellMar>
            <w:top w:w="0" w:type="dxa"/>
            <w:left w:w="108" w:type="dxa"/>
            <w:bottom w:w="0" w:type="dxa"/>
            <w:right w:w="108" w:type="dxa"/>
          </w:tblCellMar>
        </w:tblPrEx>
        <w:trPr>
          <w:trHeight w:val="578" w:hRule="atLeast"/>
        </w:trPr>
        <w:tc>
          <w:tcPr>
            <w:tcW w:w="7577" w:type="dxa"/>
            <w:gridSpan w:val="2"/>
            <w:tcBorders>
              <w:top w:val="single" w:color="auto" w:sz="4" w:space="0"/>
              <w:left w:val="single" w:color="auto" w:sz="4" w:space="0"/>
              <w:bottom w:val="single" w:color="auto" w:sz="4" w:space="0"/>
              <w:right w:val="single" w:color="auto" w:sz="4" w:space="0"/>
            </w:tcBorders>
            <w:vAlign w:val="center"/>
          </w:tcPr>
          <w:p w14:paraId="5E6AA0C6">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结论：</w:t>
            </w:r>
          </w:p>
        </w:tc>
        <w:tc>
          <w:tcPr>
            <w:tcW w:w="459" w:type="dxa"/>
            <w:tcBorders>
              <w:top w:val="single" w:color="auto" w:sz="4" w:space="0"/>
              <w:left w:val="nil"/>
              <w:bottom w:val="single" w:color="auto" w:sz="4" w:space="0"/>
              <w:right w:val="single" w:color="auto" w:sz="4" w:space="0"/>
            </w:tcBorders>
            <w:vAlign w:val="center"/>
          </w:tcPr>
          <w:p w14:paraId="42CA4DDE">
            <w:pPr>
              <w:widowControl/>
              <w:spacing w:line="480" w:lineRule="exact"/>
              <w:jc w:val="left"/>
              <w:rPr>
                <w:rFonts w:ascii="仿宋" w:hAnsi="仿宋" w:cs="仿宋"/>
                <w:color w:val="auto"/>
                <w:kern w:val="0"/>
                <w:sz w:val="24"/>
                <w:szCs w:val="24"/>
              </w:rPr>
            </w:pPr>
          </w:p>
        </w:tc>
        <w:tc>
          <w:tcPr>
            <w:tcW w:w="773" w:type="dxa"/>
            <w:tcBorders>
              <w:top w:val="single" w:color="auto" w:sz="4" w:space="0"/>
              <w:left w:val="nil"/>
              <w:bottom w:val="single" w:color="auto" w:sz="4" w:space="0"/>
              <w:right w:val="single" w:color="auto" w:sz="4" w:space="0"/>
            </w:tcBorders>
            <w:vAlign w:val="center"/>
          </w:tcPr>
          <w:p w14:paraId="1EF7A535">
            <w:pPr>
              <w:widowControl/>
              <w:spacing w:line="480" w:lineRule="exact"/>
              <w:jc w:val="left"/>
              <w:rPr>
                <w:rFonts w:ascii="仿宋" w:hAnsi="仿宋" w:cs="仿宋"/>
                <w:color w:val="auto"/>
                <w:kern w:val="0"/>
                <w:sz w:val="24"/>
                <w:szCs w:val="24"/>
              </w:rPr>
            </w:pPr>
          </w:p>
        </w:tc>
      </w:tr>
      <w:tr w14:paraId="67EAD966">
        <w:tblPrEx>
          <w:tblCellMar>
            <w:top w:w="0" w:type="dxa"/>
            <w:left w:w="108" w:type="dxa"/>
            <w:bottom w:w="0" w:type="dxa"/>
            <w:right w:w="108" w:type="dxa"/>
          </w:tblCellMar>
        </w:tblPrEx>
        <w:trPr>
          <w:trHeight w:val="728" w:hRule="atLeast"/>
        </w:trPr>
        <w:tc>
          <w:tcPr>
            <w:tcW w:w="7577" w:type="dxa"/>
            <w:gridSpan w:val="2"/>
            <w:tcBorders>
              <w:top w:val="single" w:color="auto" w:sz="4" w:space="0"/>
              <w:left w:val="single" w:color="auto" w:sz="4" w:space="0"/>
              <w:bottom w:val="single" w:color="auto" w:sz="4" w:space="0"/>
              <w:right w:val="single" w:color="auto" w:sz="4" w:space="0"/>
            </w:tcBorders>
            <w:vAlign w:val="center"/>
          </w:tcPr>
          <w:p w14:paraId="6EB0D896">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结论：是否通过评审（须填写通过或不通过）</w:t>
            </w:r>
          </w:p>
          <w:p w14:paraId="06E07B97">
            <w:pPr>
              <w:widowControl/>
              <w:spacing w:line="480" w:lineRule="exact"/>
              <w:jc w:val="left"/>
              <w:rPr>
                <w:rFonts w:ascii="仿宋" w:hAnsi="仿宋" w:cs="仿宋"/>
                <w:color w:val="auto"/>
                <w:kern w:val="0"/>
                <w:sz w:val="24"/>
                <w:szCs w:val="24"/>
              </w:rPr>
            </w:pPr>
            <w:r>
              <w:rPr>
                <w:rFonts w:hint="eastAsia" w:ascii="仿宋" w:hAnsi="仿宋" w:cs="仿宋"/>
                <w:color w:val="auto"/>
                <w:kern w:val="0"/>
                <w:sz w:val="24"/>
                <w:szCs w:val="24"/>
              </w:rPr>
              <w:t>注：如有一项不合格，作废标处理。</w:t>
            </w:r>
          </w:p>
        </w:tc>
        <w:tc>
          <w:tcPr>
            <w:tcW w:w="459" w:type="dxa"/>
            <w:tcBorders>
              <w:top w:val="single" w:color="auto" w:sz="4" w:space="0"/>
              <w:left w:val="nil"/>
              <w:bottom w:val="single" w:color="auto" w:sz="4" w:space="0"/>
              <w:right w:val="single" w:color="auto" w:sz="4" w:space="0"/>
            </w:tcBorders>
            <w:vAlign w:val="center"/>
          </w:tcPr>
          <w:p w14:paraId="05C4ED93">
            <w:pPr>
              <w:widowControl/>
              <w:spacing w:line="480" w:lineRule="exact"/>
              <w:jc w:val="left"/>
              <w:rPr>
                <w:rFonts w:ascii="仿宋" w:hAnsi="仿宋" w:cs="仿宋"/>
                <w:color w:val="auto"/>
                <w:kern w:val="0"/>
                <w:sz w:val="24"/>
                <w:szCs w:val="24"/>
              </w:rPr>
            </w:pPr>
          </w:p>
        </w:tc>
        <w:tc>
          <w:tcPr>
            <w:tcW w:w="773" w:type="dxa"/>
            <w:tcBorders>
              <w:top w:val="single" w:color="auto" w:sz="4" w:space="0"/>
              <w:left w:val="nil"/>
              <w:bottom w:val="single" w:color="auto" w:sz="4" w:space="0"/>
              <w:right w:val="single" w:color="auto" w:sz="4" w:space="0"/>
            </w:tcBorders>
            <w:vAlign w:val="center"/>
          </w:tcPr>
          <w:p w14:paraId="7E1BE8BB">
            <w:pPr>
              <w:widowControl/>
              <w:spacing w:line="480" w:lineRule="exact"/>
              <w:jc w:val="left"/>
              <w:rPr>
                <w:rFonts w:ascii="仿宋" w:hAnsi="仿宋" w:cs="仿宋"/>
                <w:color w:val="auto"/>
                <w:kern w:val="0"/>
                <w:sz w:val="24"/>
                <w:szCs w:val="24"/>
              </w:rPr>
            </w:pPr>
          </w:p>
        </w:tc>
      </w:tr>
    </w:tbl>
    <w:p w14:paraId="315E6483">
      <w:pPr>
        <w:tabs>
          <w:tab w:val="left" w:pos="851"/>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以上每一项结论均为“符合”的，则投标人的投标文件通过资格性审查；如有其中任意一项结论为“不符合”的，则投标人的投标文件按无效投标文件处理。如果资格审查小组认为投标人有任意一项不通过的，应在资格性审查报告中载明不通过的具体原因。</w:t>
      </w:r>
    </w:p>
    <w:p w14:paraId="1B60E09C">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二、投标人的投标文件资格性审查时被判定为无效的，采购人或采购代理机构将通知投标人（以短信、现场公示、电话、“政府采购云平台”等任一方式）。投标人如对资格审查结论有异议的，应及时向采购人或采购代理机构反馈意见。采购人或采购代理机构将及时告知资格审查小组。（说明：无论投标人是否收到通知或提供反馈意见，均不影响资格审查和评标工作，且采购人或采购代理机构对此将不承担任何的责任。投标人对资格审查结论有异议的，其反馈意见仅限于资格审查小组对资格审查结论的正确性进行复核，避免出现审查错误。）</w:t>
      </w:r>
    </w:p>
    <w:p w14:paraId="5A0FFD6F">
      <w:pPr>
        <w:tabs>
          <w:tab w:val="left" w:pos="851"/>
        </w:tabs>
        <w:spacing w:line="560" w:lineRule="exact"/>
        <w:ind w:firstLine="565" w:firstLineChars="202"/>
        <w:rPr>
          <w:rFonts w:ascii="仿宋" w:hAnsi="仿宋" w:cs="仿宋"/>
          <w:color w:val="auto"/>
          <w:sz w:val="24"/>
          <w:szCs w:val="24"/>
        </w:rPr>
      </w:pPr>
      <w:r>
        <w:rPr>
          <w:rFonts w:hint="eastAsia" w:ascii="仿宋" w:hAnsi="仿宋" w:cs="仿宋"/>
          <w:color w:val="auto"/>
          <w:sz w:val="28"/>
          <w:szCs w:val="28"/>
        </w:rPr>
        <w:t>三、通过资格性审查的供应商＜3名，采购失败。</w:t>
      </w:r>
    </w:p>
    <w:p w14:paraId="03AEBF06">
      <w:pPr>
        <w:widowControl/>
        <w:spacing w:line="360" w:lineRule="auto"/>
        <w:jc w:val="center"/>
        <w:outlineLvl w:val="0"/>
        <w:rPr>
          <w:rFonts w:ascii="仿宋" w:hAnsi="仿宋" w:cs="仿宋"/>
          <w:b/>
          <w:bCs/>
          <w:color w:val="auto"/>
          <w:spacing w:val="-20"/>
          <w:kern w:val="44"/>
          <w:sz w:val="32"/>
          <w:szCs w:val="32"/>
        </w:rPr>
      </w:pPr>
      <w:r>
        <w:rPr>
          <w:rFonts w:hint="eastAsia" w:ascii="仿宋" w:hAnsi="仿宋" w:cs="仿宋"/>
          <w:b/>
          <w:bCs/>
          <w:color w:val="auto"/>
          <w:spacing w:val="-20"/>
          <w:kern w:val="44"/>
          <w:sz w:val="24"/>
          <w:szCs w:val="24"/>
        </w:rPr>
        <w:br w:type="page"/>
      </w:r>
      <w:bookmarkStart w:id="177" w:name="_Toc2886"/>
      <w:bookmarkStart w:id="178" w:name="_Toc27300"/>
      <w:bookmarkStart w:id="179" w:name="_Toc5057"/>
      <w:r>
        <w:rPr>
          <w:rFonts w:hint="eastAsia" w:ascii="仿宋" w:hAnsi="仿宋" w:cs="仿宋"/>
          <w:b/>
          <w:bCs/>
          <w:color w:val="auto"/>
          <w:spacing w:val="-20"/>
          <w:kern w:val="44"/>
          <w:sz w:val="32"/>
          <w:szCs w:val="32"/>
        </w:rPr>
        <w:t>第6章 评标办法</w:t>
      </w:r>
      <w:bookmarkEnd w:id="177"/>
      <w:bookmarkEnd w:id="178"/>
      <w:bookmarkEnd w:id="179"/>
    </w:p>
    <w:p w14:paraId="428B9068">
      <w:pPr>
        <w:keepNext/>
        <w:keepLines/>
        <w:numPr>
          <w:ilvl w:val="1"/>
          <w:numId w:val="0"/>
        </w:numPr>
        <w:spacing w:line="360" w:lineRule="auto"/>
        <w:ind w:left="567" w:hanging="567"/>
        <w:jc w:val="left"/>
        <w:outlineLvl w:val="1"/>
        <w:rPr>
          <w:rFonts w:ascii="仿宋" w:hAnsi="仿宋" w:cs="仿宋"/>
          <w:b/>
          <w:bCs/>
          <w:color w:val="auto"/>
          <w:sz w:val="28"/>
          <w:szCs w:val="28"/>
        </w:rPr>
      </w:pPr>
      <w:bookmarkStart w:id="180" w:name="_Toc3981"/>
      <w:r>
        <w:rPr>
          <w:rFonts w:ascii="Times New Roman" w:hAnsi="Times New Roman" w:eastAsia="宋体"/>
          <w:b/>
          <w:bCs/>
          <w:color w:val="auto"/>
          <w:sz w:val="28"/>
          <w:szCs w:val="28"/>
        </w:rPr>
        <w:t>2.3</w:t>
      </w:r>
      <w:r>
        <w:rPr>
          <w:rFonts w:hint="eastAsia" w:ascii="仿宋" w:hAnsi="仿宋" w:cs="仿宋"/>
          <w:b/>
          <w:bCs/>
          <w:color w:val="auto"/>
          <w:sz w:val="28"/>
          <w:szCs w:val="28"/>
        </w:rPr>
        <w:t>总则</w:t>
      </w:r>
      <w:bookmarkEnd w:id="180"/>
    </w:p>
    <w:p w14:paraId="50ED7206">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一、根据《中华人民共和国政府采购法》《中华人民共和国政府采购法实施条例》和《政府采购货物和服务招标投标管理办法》等法律规章，结合采购项目特点制定本评标办法。</w:t>
      </w:r>
    </w:p>
    <w:p w14:paraId="282D0E86">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二、评标工作由采购人或采购代理机构负责组织，具体评标事务由采购人或采购代理机构依法组建的评标委员会负责。本项目评标委员会成员5名，在新疆政府采购网按3:1比例随机抽取。</w:t>
      </w:r>
    </w:p>
    <w:p w14:paraId="0357FDE9">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三、评标工作应遵循公平、公正、科学及择优的原则，并以相同的评标程序和标准对待所有的投标人。</w:t>
      </w:r>
    </w:p>
    <w:p w14:paraId="4DCC4007">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四、评标委员会按照采购文件规定的评标程序、评标方法和标准进行独立评审，并独立履行下列职责：</w:t>
      </w:r>
    </w:p>
    <w:p w14:paraId="58A65E35">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熟悉和理解采购文件；</w:t>
      </w:r>
    </w:p>
    <w:p w14:paraId="1DDD04C0">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审查、评价投标文件是否符合采购文件的商务、技术等实质性要求；</w:t>
      </w:r>
    </w:p>
    <w:p w14:paraId="0CB694CD">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对投标文件进行比较和评价；</w:t>
      </w:r>
    </w:p>
    <w:p w14:paraId="42E55466">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根据需要要求采购人对采购文件作出解释；根据需要要求投标人对投标文件有关事项作出解释或者澄清；</w:t>
      </w:r>
    </w:p>
    <w:p w14:paraId="6A8A4E36">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确定中标候选人名单，以及根据采购人委托直接确定中标人；</w:t>
      </w:r>
    </w:p>
    <w:p w14:paraId="41736427">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起草评标报告并进行签署；</w:t>
      </w:r>
    </w:p>
    <w:p w14:paraId="000B9546">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向采购人、采购人或采购代理机构或者财政、监察等有关部门报告或举报非法干预评标工作的行为；</w:t>
      </w:r>
    </w:p>
    <w:p w14:paraId="26210E31">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向采购人、采购人或采购代理机构或者有关部门报告评标中发现的违法行为。</w:t>
      </w:r>
    </w:p>
    <w:p w14:paraId="7C19DA6A">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法律法规和规章规定的其他职责。</w:t>
      </w:r>
    </w:p>
    <w:p w14:paraId="38CBBCE1">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五、评标过程独立、保密。投标人非法干预评标过程的行为将导致其投标文件作为无效处理。</w:t>
      </w:r>
    </w:p>
    <w:p w14:paraId="6D394CC1">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六、评标委员会决定投标文件的响应性依据投标文件本身的内容，而不寻求外部的证据，采购文件有明确约定的除外。</w:t>
      </w:r>
    </w:p>
    <w:p w14:paraId="738656AA">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七、评标委员会发现采购文件表述不明确或需要说明的事项，可提请采购人和采购人或采购代理机构书面解释说明。</w:t>
      </w:r>
    </w:p>
    <w:p w14:paraId="068D6E4A">
      <w:pPr>
        <w:keepNext/>
        <w:keepLines/>
        <w:numPr>
          <w:ilvl w:val="1"/>
          <w:numId w:val="0"/>
        </w:numPr>
        <w:spacing w:line="360" w:lineRule="auto"/>
        <w:ind w:left="567" w:hanging="567"/>
        <w:jc w:val="left"/>
        <w:outlineLvl w:val="1"/>
        <w:rPr>
          <w:rFonts w:ascii="仿宋" w:hAnsi="仿宋" w:cs="仿宋"/>
          <w:b/>
          <w:bCs/>
          <w:color w:val="auto"/>
          <w:sz w:val="28"/>
          <w:szCs w:val="28"/>
        </w:rPr>
      </w:pPr>
      <w:bookmarkStart w:id="181" w:name="_Toc14322"/>
      <w:r>
        <w:rPr>
          <w:rFonts w:ascii="Times New Roman" w:hAnsi="Times New Roman" w:eastAsia="宋体"/>
          <w:b/>
          <w:bCs/>
          <w:color w:val="auto"/>
          <w:sz w:val="28"/>
          <w:szCs w:val="28"/>
        </w:rPr>
        <w:t>2.4</w:t>
      </w:r>
      <w:r>
        <w:rPr>
          <w:rFonts w:hint="eastAsia" w:ascii="仿宋" w:hAnsi="仿宋" w:cs="仿宋"/>
          <w:b/>
          <w:bCs/>
          <w:color w:val="auto"/>
          <w:sz w:val="28"/>
          <w:szCs w:val="28"/>
        </w:rPr>
        <w:t>评标方法</w:t>
      </w:r>
      <w:bookmarkEnd w:id="181"/>
    </w:p>
    <w:p w14:paraId="760BE1E3">
      <w:pPr>
        <w:spacing w:line="360" w:lineRule="auto"/>
        <w:ind w:firstLine="565" w:firstLineChars="202"/>
        <w:rPr>
          <w:rFonts w:ascii="仿宋" w:hAnsi="仿宋" w:cs="仿宋"/>
          <w:color w:val="auto"/>
          <w:sz w:val="28"/>
          <w:szCs w:val="28"/>
        </w:rPr>
      </w:pPr>
      <w:r>
        <w:rPr>
          <w:rFonts w:hint="eastAsia" w:ascii="仿宋" w:hAnsi="仿宋" w:cs="仿宋"/>
          <w:color w:val="auto"/>
          <w:sz w:val="28"/>
          <w:szCs w:val="28"/>
        </w:rPr>
        <w:t>综合评分法。</w:t>
      </w:r>
    </w:p>
    <w:p w14:paraId="401C2403">
      <w:pPr>
        <w:keepNext/>
        <w:keepLines/>
        <w:numPr>
          <w:ilvl w:val="1"/>
          <w:numId w:val="0"/>
        </w:numPr>
        <w:spacing w:line="360" w:lineRule="auto"/>
        <w:ind w:left="567" w:hanging="567"/>
        <w:jc w:val="left"/>
        <w:outlineLvl w:val="1"/>
        <w:rPr>
          <w:rFonts w:ascii="仿宋" w:hAnsi="仿宋" w:cs="仿宋"/>
          <w:b/>
          <w:bCs/>
          <w:color w:val="auto"/>
          <w:sz w:val="28"/>
          <w:szCs w:val="28"/>
        </w:rPr>
      </w:pPr>
      <w:bookmarkStart w:id="182" w:name="_Toc2968"/>
      <w:r>
        <w:rPr>
          <w:rFonts w:ascii="Times New Roman" w:hAnsi="Times New Roman" w:eastAsia="宋体"/>
          <w:b/>
          <w:bCs/>
          <w:color w:val="auto"/>
          <w:sz w:val="28"/>
          <w:szCs w:val="28"/>
        </w:rPr>
        <w:t>2.5</w:t>
      </w:r>
      <w:r>
        <w:rPr>
          <w:rFonts w:hint="eastAsia" w:ascii="仿宋" w:hAnsi="仿宋" w:cs="仿宋"/>
          <w:b/>
          <w:bCs/>
          <w:color w:val="auto"/>
          <w:sz w:val="28"/>
          <w:szCs w:val="28"/>
        </w:rPr>
        <w:t>评标程序</w:t>
      </w:r>
      <w:bookmarkEnd w:id="182"/>
    </w:p>
    <w:p w14:paraId="28DE10D7">
      <w:pPr>
        <w:keepNext/>
        <w:keepLines/>
        <w:numPr>
          <w:ilvl w:val="2"/>
          <w:numId w:val="0"/>
        </w:numPr>
        <w:spacing w:line="360" w:lineRule="auto"/>
        <w:ind w:left="3119" w:hanging="3119"/>
        <w:rPr>
          <w:rFonts w:ascii="仿宋" w:hAnsi="仿宋" w:cs="仿宋"/>
          <w:b/>
          <w:bCs/>
          <w:color w:val="auto"/>
          <w:sz w:val="28"/>
          <w:szCs w:val="28"/>
        </w:rPr>
      </w:pPr>
      <w:r>
        <w:rPr>
          <w:rFonts w:ascii="Times New Roman" w:hAnsi="Times New Roman" w:eastAsia="宋体"/>
          <w:b/>
          <w:bCs/>
          <w:color w:val="auto"/>
          <w:sz w:val="28"/>
          <w:szCs w:val="28"/>
        </w:rPr>
        <w:t>2.5.1</w:t>
      </w:r>
      <w:r>
        <w:rPr>
          <w:rFonts w:hint="eastAsia" w:ascii="仿宋" w:hAnsi="仿宋" w:cs="仿宋"/>
          <w:b/>
          <w:bCs/>
          <w:color w:val="auto"/>
          <w:sz w:val="28"/>
          <w:szCs w:val="28"/>
        </w:rPr>
        <w:t>符合性审查</w:t>
      </w:r>
    </w:p>
    <w:p w14:paraId="24CE1051">
      <w:pPr>
        <w:tabs>
          <w:tab w:val="left" w:pos="851"/>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符合性审查由评标委员会依据采购文件的规定，从投标文件的有效性、完整性和对采购文件的响应程度进行审查，以确定是否对采购文件的实质性要求作出响应。在投标文件符合性审查过程中，如果出现评标委员会成员意见不一致的情况，按照少数服从多数的原则确定，但不得违背政府采购基本原则和采购文件规定。</w:t>
      </w:r>
    </w:p>
    <w:p w14:paraId="04E4BB46">
      <w:pPr>
        <w:tabs>
          <w:tab w:val="left" w:pos="851"/>
        </w:tabs>
        <w:spacing w:line="360" w:lineRule="auto"/>
        <w:ind w:firstLine="565" w:firstLineChars="202"/>
        <w:rPr>
          <w:rFonts w:ascii="仿宋" w:hAnsi="仿宋" w:cs="仿宋"/>
          <w:color w:val="auto"/>
          <w:sz w:val="28"/>
          <w:szCs w:val="28"/>
        </w:rPr>
      </w:pPr>
      <w:r>
        <w:rPr>
          <w:rFonts w:hint="eastAsia" w:ascii="仿宋" w:hAnsi="仿宋" w:cs="仿宋"/>
          <w:color w:val="auto"/>
          <w:sz w:val="28"/>
          <w:szCs w:val="28"/>
        </w:rPr>
        <w:t>符合性审查标准见下表（按以下顺序审查）：</w:t>
      </w:r>
    </w:p>
    <w:tbl>
      <w:tblPr>
        <w:tblStyle w:val="49"/>
        <w:tblW w:w="86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1216"/>
        <w:gridCol w:w="3546"/>
        <w:gridCol w:w="3068"/>
      </w:tblGrid>
      <w:tr w14:paraId="7AEB72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32F13D85">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序号</w:t>
            </w:r>
          </w:p>
        </w:tc>
        <w:tc>
          <w:tcPr>
            <w:tcW w:w="1216" w:type="dxa"/>
            <w:tcBorders>
              <w:top w:val="single" w:color="auto" w:sz="4" w:space="0"/>
              <w:left w:val="single" w:color="auto" w:sz="4" w:space="0"/>
              <w:bottom w:val="single" w:color="auto" w:sz="4" w:space="0"/>
              <w:right w:val="single" w:color="auto" w:sz="4" w:space="0"/>
            </w:tcBorders>
            <w:vAlign w:val="center"/>
          </w:tcPr>
          <w:p w14:paraId="5D5A3A90">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类别</w:t>
            </w:r>
          </w:p>
        </w:tc>
        <w:tc>
          <w:tcPr>
            <w:tcW w:w="3546" w:type="dxa"/>
            <w:tcBorders>
              <w:top w:val="single" w:color="auto" w:sz="4" w:space="0"/>
              <w:left w:val="single" w:color="auto" w:sz="4" w:space="0"/>
              <w:bottom w:val="single" w:color="auto" w:sz="4" w:space="0"/>
              <w:right w:val="single" w:color="auto" w:sz="4" w:space="0"/>
            </w:tcBorders>
            <w:vAlign w:val="center"/>
          </w:tcPr>
          <w:p w14:paraId="188415F0">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要求</w:t>
            </w:r>
          </w:p>
        </w:tc>
        <w:tc>
          <w:tcPr>
            <w:tcW w:w="3068" w:type="dxa"/>
            <w:tcBorders>
              <w:top w:val="single" w:color="auto" w:sz="4" w:space="0"/>
              <w:left w:val="single" w:color="auto" w:sz="4" w:space="0"/>
              <w:bottom w:val="single" w:color="auto" w:sz="4" w:space="0"/>
              <w:right w:val="single" w:color="auto" w:sz="4" w:space="0"/>
            </w:tcBorders>
            <w:vAlign w:val="center"/>
          </w:tcPr>
          <w:p w14:paraId="10903B5A">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说明</w:t>
            </w:r>
          </w:p>
        </w:tc>
      </w:tr>
      <w:tr w14:paraId="61A7A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47544E15">
            <w:pPr>
              <w:widowControl/>
              <w:jc w:val="center"/>
              <w:rPr>
                <w:rFonts w:ascii="仿宋" w:hAnsi="仿宋" w:cs="仿宋"/>
                <w:color w:val="auto"/>
                <w:kern w:val="0"/>
                <w:sz w:val="24"/>
                <w:szCs w:val="24"/>
              </w:rPr>
            </w:pPr>
            <w:r>
              <w:rPr>
                <w:rFonts w:hint="eastAsia" w:ascii="仿宋" w:hAnsi="仿宋" w:cs="仿宋"/>
                <w:color w:val="auto"/>
                <w:kern w:val="0"/>
                <w:sz w:val="24"/>
                <w:szCs w:val="24"/>
              </w:rPr>
              <w:t>1</w:t>
            </w:r>
          </w:p>
        </w:tc>
        <w:tc>
          <w:tcPr>
            <w:tcW w:w="1216" w:type="dxa"/>
            <w:tcBorders>
              <w:top w:val="single" w:color="auto" w:sz="4" w:space="0"/>
              <w:left w:val="single" w:color="auto" w:sz="4" w:space="0"/>
              <w:bottom w:val="single" w:color="auto" w:sz="4" w:space="0"/>
              <w:right w:val="single" w:color="auto" w:sz="4" w:space="0"/>
            </w:tcBorders>
            <w:vAlign w:val="center"/>
          </w:tcPr>
          <w:p w14:paraId="5853AB33">
            <w:pPr>
              <w:widowControl/>
              <w:jc w:val="center"/>
              <w:rPr>
                <w:rFonts w:ascii="仿宋" w:hAnsi="仿宋" w:cs="仿宋"/>
                <w:color w:val="auto"/>
                <w:kern w:val="0"/>
                <w:sz w:val="24"/>
                <w:szCs w:val="24"/>
              </w:rPr>
            </w:pPr>
            <w:r>
              <w:rPr>
                <w:rFonts w:hint="eastAsia" w:ascii="仿宋" w:hAnsi="仿宋" w:cs="仿宋"/>
                <w:color w:val="auto"/>
                <w:kern w:val="0"/>
                <w:sz w:val="24"/>
                <w:szCs w:val="24"/>
              </w:rPr>
              <w:t>报价</w:t>
            </w:r>
          </w:p>
        </w:tc>
        <w:tc>
          <w:tcPr>
            <w:tcW w:w="3546" w:type="dxa"/>
            <w:tcBorders>
              <w:top w:val="single" w:color="auto" w:sz="4" w:space="0"/>
              <w:left w:val="single" w:color="auto" w:sz="4" w:space="0"/>
              <w:bottom w:val="single" w:color="auto" w:sz="4" w:space="0"/>
              <w:right w:val="single" w:color="auto" w:sz="4" w:space="0"/>
            </w:tcBorders>
            <w:vAlign w:val="center"/>
          </w:tcPr>
          <w:p w14:paraId="59F6124A">
            <w:pPr>
              <w:widowControl/>
              <w:rPr>
                <w:rFonts w:ascii="仿宋" w:hAnsi="仿宋" w:cs="仿宋"/>
                <w:color w:val="auto"/>
                <w:kern w:val="0"/>
                <w:sz w:val="24"/>
                <w:szCs w:val="24"/>
              </w:rPr>
            </w:pPr>
            <w:r>
              <w:rPr>
                <w:rFonts w:hint="eastAsia" w:ascii="仿宋" w:hAnsi="仿宋" w:cs="仿宋"/>
                <w:color w:val="auto"/>
                <w:kern w:val="0"/>
                <w:sz w:val="24"/>
                <w:szCs w:val="24"/>
              </w:rPr>
              <w:t>投标报价的合理性</w:t>
            </w:r>
          </w:p>
        </w:tc>
        <w:tc>
          <w:tcPr>
            <w:tcW w:w="3068" w:type="dxa"/>
            <w:tcBorders>
              <w:top w:val="single" w:color="auto" w:sz="4" w:space="0"/>
              <w:left w:val="single" w:color="auto" w:sz="4" w:space="0"/>
              <w:bottom w:val="single" w:color="auto" w:sz="4" w:space="0"/>
              <w:right w:val="single" w:color="auto" w:sz="4" w:space="0"/>
            </w:tcBorders>
            <w:vAlign w:val="center"/>
          </w:tcPr>
          <w:p w14:paraId="17E0FB37">
            <w:pPr>
              <w:widowControl/>
              <w:rPr>
                <w:rFonts w:ascii="仿宋" w:hAnsi="仿宋" w:cs="仿宋"/>
                <w:color w:val="auto"/>
                <w:kern w:val="0"/>
                <w:sz w:val="24"/>
                <w:szCs w:val="24"/>
              </w:rPr>
            </w:pPr>
            <w:r>
              <w:rPr>
                <w:rFonts w:hint="eastAsia" w:ascii="仿宋" w:hAnsi="仿宋" w:cs="仿宋"/>
                <w:color w:val="auto"/>
                <w:kern w:val="0"/>
                <w:sz w:val="24"/>
                <w:szCs w:val="24"/>
              </w:rPr>
              <w:t>供应商报价超过采购文件规定的</w:t>
            </w:r>
            <w:r>
              <w:rPr>
                <w:rFonts w:hint="eastAsia" w:ascii="仿宋" w:hAnsi="仿宋" w:cs="仿宋"/>
                <w:color w:val="auto"/>
                <w:kern w:val="0"/>
                <w:sz w:val="24"/>
                <w:szCs w:val="24"/>
                <w:lang w:val="en-US" w:eastAsia="zh-CN"/>
              </w:rPr>
              <w:t>最高限价</w:t>
            </w:r>
            <w:r>
              <w:rPr>
                <w:rFonts w:hint="eastAsia" w:ascii="仿宋" w:hAnsi="仿宋" w:cs="仿宋"/>
                <w:color w:val="auto"/>
                <w:kern w:val="0"/>
                <w:sz w:val="24"/>
                <w:szCs w:val="24"/>
              </w:rPr>
              <w:t>金额，其投标将被认定为投标无效。</w:t>
            </w:r>
          </w:p>
        </w:tc>
      </w:tr>
      <w:tr w14:paraId="262FD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3709CE19">
            <w:pPr>
              <w:widowControl/>
              <w:jc w:val="center"/>
              <w:rPr>
                <w:rFonts w:ascii="仿宋" w:hAnsi="仿宋" w:cs="仿宋"/>
                <w:color w:val="auto"/>
                <w:kern w:val="0"/>
                <w:sz w:val="24"/>
                <w:szCs w:val="24"/>
              </w:rPr>
            </w:pPr>
            <w:r>
              <w:rPr>
                <w:rFonts w:hint="eastAsia" w:ascii="仿宋" w:hAnsi="仿宋" w:cs="仿宋"/>
                <w:color w:val="auto"/>
                <w:kern w:val="0"/>
                <w:sz w:val="24"/>
                <w:szCs w:val="24"/>
              </w:rPr>
              <w:t>2</w:t>
            </w:r>
          </w:p>
        </w:tc>
        <w:tc>
          <w:tcPr>
            <w:tcW w:w="1216" w:type="dxa"/>
            <w:tcBorders>
              <w:top w:val="single" w:color="auto" w:sz="4" w:space="0"/>
              <w:left w:val="single" w:color="auto" w:sz="4" w:space="0"/>
              <w:bottom w:val="single" w:color="auto" w:sz="4" w:space="0"/>
              <w:right w:val="single" w:color="auto" w:sz="4" w:space="0"/>
            </w:tcBorders>
            <w:vAlign w:val="center"/>
          </w:tcPr>
          <w:p w14:paraId="59460838">
            <w:pPr>
              <w:widowControl/>
              <w:jc w:val="center"/>
              <w:rPr>
                <w:rFonts w:ascii="仿宋" w:hAnsi="仿宋" w:cs="仿宋"/>
                <w:color w:val="auto"/>
                <w:kern w:val="0"/>
                <w:sz w:val="24"/>
                <w:szCs w:val="24"/>
              </w:rPr>
            </w:pPr>
            <w:r>
              <w:rPr>
                <w:rFonts w:hint="eastAsia" w:ascii="仿宋" w:hAnsi="仿宋" w:cs="仿宋"/>
                <w:color w:val="auto"/>
                <w:kern w:val="0"/>
                <w:sz w:val="24"/>
                <w:szCs w:val="24"/>
              </w:rPr>
              <w:t>商务资信</w:t>
            </w:r>
          </w:p>
        </w:tc>
        <w:tc>
          <w:tcPr>
            <w:tcW w:w="3546" w:type="dxa"/>
            <w:tcBorders>
              <w:top w:val="single" w:color="auto" w:sz="4" w:space="0"/>
              <w:left w:val="single" w:color="auto" w:sz="4" w:space="0"/>
              <w:bottom w:val="single" w:color="auto" w:sz="4" w:space="0"/>
              <w:right w:val="single" w:color="auto" w:sz="4" w:space="0"/>
            </w:tcBorders>
            <w:vAlign w:val="center"/>
          </w:tcPr>
          <w:p w14:paraId="018CB81E">
            <w:pPr>
              <w:widowControl/>
              <w:rPr>
                <w:rFonts w:ascii="仿宋" w:hAnsi="仿宋" w:cs="仿宋"/>
                <w:color w:val="auto"/>
                <w:kern w:val="0"/>
                <w:sz w:val="24"/>
                <w:szCs w:val="24"/>
              </w:rPr>
            </w:pPr>
            <w:r>
              <w:rPr>
                <w:rFonts w:hint="eastAsia" w:ascii="仿宋" w:hAnsi="仿宋" w:cs="仿宋"/>
                <w:color w:val="auto"/>
                <w:kern w:val="0"/>
                <w:sz w:val="24"/>
                <w:szCs w:val="24"/>
              </w:rPr>
              <w:t>应根据采购文件的要求提供详细的商务投标方案</w:t>
            </w:r>
          </w:p>
        </w:tc>
        <w:tc>
          <w:tcPr>
            <w:tcW w:w="3068" w:type="dxa"/>
            <w:tcBorders>
              <w:top w:val="single" w:color="auto" w:sz="4" w:space="0"/>
              <w:left w:val="single" w:color="auto" w:sz="4" w:space="0"/>
              <w:bottom w:val="single" w:color="auto" w:sz="4" w:space="0"/>
              <w:right w:val="single" w:color="auto" w:sz="4" w:space="0"/>
            </w:tcBorders>
            <w:vAlign w:val="center"/>
          </w:tcPr>
          <w:p w14:paraId="65845A80">
            <w:pPr>
              <w:widowControl/>
              <w:rPr>
                <w:rFonts w:ascii="仿宋" w:hAnsi="仿宋" w:cs="仿宋"/>
                <w:color w:val="auto"/>
                <w:kern w:val="0"/>
                <w:sz w:val="24"/>
                <w:szCs w:val="24"/>
              </w:rPr>
            </w:pPr>
            <w:r>
              <w:rPr>
                <w:rFonts w:hint="eastAsia" w:ascii="仿宋" w:hAnsi="仿宋" w:cs="仿宋"/>
                <w:color w:val="auto"/>
                <w:kern w:val="0"/>
                <w:sz w:val="24"/>
                <w:szCs w:val="24"/>
              </w:rPr>
              <w:t>未提供商务投标方案的，其投标将被认定为投标无效。</w:t>
            </w:r>
          </w:p>
        </w:tc>
      </w:tr>
      <w:tr w14:paraId="77263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5F369EC4">
            <w:pPr>
              <w:widowControl/>
              <w:jc w:val="center"/>
              <w:rPr>
                <w:rFonts w:ascii="仿宋" w:hAnsi="仿宋" w:cs="仿宋"/>
                <w:color w:val="auto"/>
                <w:kern w:val="0"/>
                <w:sz w:val="24"/>
                <w:szCs w:val="24"/>
              </w:rPr>
            </w:pPr>
            <w:r>
              <w:rPr>
                <w:rFonts w:hint="eastAsia" w:ascii="仿宋" w:hAnsi="仿宋" w:cs="仿宋"/>
                <w:color w:val="auto"/>
                <w:kern w:val="0"/>
                <w:sz w:val="24"/>
                <w:szCs w:val="24"/>
              </w:rPr>
              <w:t>3</w:t>
            </w:r>
          </w:p>
        </w:tc>
        <w:tc>
          <w:tcPr>
            <w:tcW w:w="1216" w:type="dxa"/>
            <w:tcBorders>
              <w:top w:val="single" w:color="auto" w:sz="4" w:space="0"/>
              <w:left w:val="single" w:color="auto" w:sz="4" w:space="0"/>
              <w:bottom w:val="single" w:color="auto" w:sz="4" w:space="0"/>
              <w:right w:val="single" w:color="auto" w:sz="4" w:space="0"/>
            </w:tcBorders>
            <w:vAlign w:val="center"/>
          </w:tcPr>
          <w:p w14:paraId="26D35743">
            <w:pPr>
              <w:widowControl/>
              <w:jc w:val="center"/>
              <w:rPr>
                <w:rFonts w:ascii="仿宋" w:hAnsi="仿宋" w:cs="仿宋"/>
                <w:color w:val="auto"/>
                <w:kern w:val="0"/>
                <w:sz w:val="24"/>
                <w:szCs w:val="24"/>
              </w:rPr>
            </w:pPr>
            <w:r>
              <w:rPr>
                <w:rFonts w:hint="eastAsia" w:ascii="仿宋" w:hAnsi="仿宋" w:cs="仿宋"/>
                <w:color w:val="auto"/>
                <w:kern w:val="0"/>
                <w:sz w:val="24"/>
                <w:szCs w:val="24"/>
              </w:rPr>
              <w:t>技术</w:t>
            </w:r>
          </w:p>
        </w:tc>
        <w:tc>
          <w:tcPr>
            <w:tcW w:w="3546" w:type="dxa"/>
            <w:tcBorders>
              <w:top w:val="single" w:color="auto" w:sz="4" w:space="0"/>
              <w:left w:val="single" w:color="auto" w:sz="4" w:space="0"/>
              <w:bottom w:val="single" w:color="auto" w:sz="4" w:space="0"/>
              <w:right w:val="single" w:color="auto" w:sz="4" w:space="0"/>
            </w:tcBorders>
            <w:vAlign w:val="center"/>
          </w:tcPr>
          <w:p w14:paraId="79DD26D9">
            <w:pPr>
              <w:widowControl/>
              <w:rPr>
                <w:rFonts w:ascii="仿宋" w:hAnsi="仿宋" w:cs="仿宋"/>
                <w:color w:val="auto"/>
                <w:kern w:val="0"/>
                <w:sz w:val="24"/>
                <w:szCs w:val="24"/>
              </w:rPr>
            </w:pPr>
            <w:r>
              <w:rPr>
                <w:rFonts w:hint="eastAsia" w:ascii="仿宋" w:hAnsi="仿宋" w:cs="仿宋"/>
                <w:color w:val="auto"/>
                <w:kern w:val="0"/>
                <w:sz w:val="24"/>
                <w:szCs w:val="24"/>
              </w:rPr>
              <w:t>应根据采购文件的要求提供详细的技术投标方案</w:t>
            </w:r>
          </w:p>
        </w:tc>
        <w:tc>
          <w:tcPr>
            <w:tcW w:w="3068" w:type="dxa"/>
            <w:tcBorders>
              <w:top w:val="single" w:color="auto" w:sz="4" w:space="0"/>
              <w:left w:val="single" w:color="auto" w:sz="4" w:space="0"/>
              <w:bottom w:val="single" w:color="auto" w:sz="4" w:space="0"/>
              <w:right w:val="single" w:color="auto" w:sz="4" w:space="0"/>
            </w:tcBorders>
            <w:vAlign w:val="center"/>
          </w:tcPr>
          <w:p w14:paraId="7795B757">
            <w:pPr>
              <w:widowControl/>
              <w:rPr>
                <w:rFonts w:ascii="仿宋" w:hAnsi="仿宋" w:cs="仿宋"/>
                <w:color w:val="auto"/>
                <w:kern w:val="0"/>
                <w:sz w:val="24"/>
                <w:szCs w:val="24"/>
              </w:rPr>
            </w:pPr>
            <w:r>
              <w:rPr>
                <w:rFonts w:hint="eastAsia" w:ascii="仿宋" w:hAnsi="仿宋" w:cs="仿宋"/>
                <w:color w:val="auto"/>
                <w:kern w:val="0"/>
                <w:sz w:val="24"/>
                <w:szCs w:val="24"/>
              </w:rPr>
              <w:t>未提供技术投标方案的，其投标将被认定为投标无效。</w:t>
            </w:r>
          </w:p>
        </w:tc>
      </w:tr>
      <w:tr w14:paraId="1665A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5536" w:type="dxa"/>
            <w:gridSpan w:val="3"/>
            <w:tcBorders>
              <w:top w:val="single" w:color="auto" w:sz="4" w:space="0"/>
              <w:left w:val="single" w:color="auto" w:sz="4" w:space="0"/>
              <w:bottom w:val="single" w:color="auto" w:sz="4" w:space="0"/>
              <w:right w:val="single" w:color="auto" w:sz="4" w:space="0"/>
            </w:tcBorders>
            <w:vAlign w:val="center"/>
          </w:tcPr>
          <w:p w14:paraId="17E3B6DD">
            <w:pPr>
              <w:widowControl/>
              <w:jc w:val="center"/>
              <w:rPr>
                <w:rFonts w:ascii="仿宋" w:hAnsi="仿宋" w:cs="仿宋"/>
                <w:color w:val="auto"/>
                <w:kern w:val="0"/>
                <w:sz w:val="24"/>
                <w:szCs w:val="24"/>
              </w:rPr>
            </w:pPr>
            <w:r>
              <w:rPr>
                <w:rFonts w:hint="eastAsia" w:ascii="仿宋" w:hAnsi="仿宋" w:cs="仿宋"/>
                <w:color w:val="auto"/>
                <w:kern w:val="0"/>
                <w:sz w:val="24"/>
                <w:szCs w:val="24"/>
              </w:rPr>
              <w:t>检查结果</w:t>
            </w:r>
          </w:p>
        </w:tc>
        <w:tc>
          <w:tcPr>
            <w:tcW w:w="3068" w:type="dxa"/>
            <w:tcBorders>
              <w:top w:val="single" w:color="auto" w:sz="4" w:space="0"/>
              <w:left w:val="single" w:color="auto" w:sz="4" w:space="0"/>
              <w:bottom w:val="single" w:color="auto" w:sz="4" w:space="0"/>
              <w:right w:val="single" w:color="auto" w:sz="4" w:space="0"/>
            </w:tcBorders>
            <w:vAlign w:val="center"/>
          </w:tcPr>
          <w:p w14:paraId="0F4E2589">
            <w:pPr>
              <w:widowControl/>
              <w:jc w:val="center"/>
              <w:rPr>
                <w:rFonts w:ascii="仿宋" w:hAnsi="仿宋" w:cs="仿宋"/>
                <w:color w:val="auto"/>
                <w:kern w:val="0"/>
                <w:sz w:val="24"/>
                <w:szCs w:val="24"/>
              </w:rPr>
            </w:pPr>
          </w:p>
        </w:tc>
      </w:tr>
      <w:tr w14:paraId="22B78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8604" w:type="dxa"/>
            <w:gridSpan w:val="4"/>
            <w:tcBorders>
              <w:top w:val="single" w:color="auto" w:sz="4" w:space="0"/>
              <w:left w:val="single" w:color="auto" w:sz="4" w:space="0"/>
              <w:bottom w:val="single" w:color="auto" w:sz="4" w:space="0"/>
              <w:right w:val="single" w:color="auto" w:sz="4" w:space="0"/>
            </w:tcBorders>
            <w:vAlign w:val="center"/>
          </w:tcPr>
          <w:p w14:paraId="02614E95">
            <w:pPr>
              <w:widowControl/>
              <w:jc w:val="left"/>
              <w:rPr>
                <w:rFonts w:ascii="仿宋" w:hAnsi="仿宋" w:cs="仿宋"/>
                <w:color w:val="auto"/>
                <w:kern w:val="0"/>
                <w:sz w:val="24"/>
                <w:szCs w:val="24"/>
              </w:rPr>
            </w:pPr>
            <w:r>
              <w:rPr>
                <w:rFonts w:hint="eastAsia" w:ascii="仿宋" w:hAnsi="仿宋" w:cs="仿宋"/>
                <w:color w:val="auto"/>
                <w:kern w:val="0"/>
                <w:sz w:val="24"/>
                <w:szCs w:val="24"/>
              </w:rPr>
              <w:t>注：投标文件有不符合上述情形之一的，作废标处理。出现偏差的标记“×”，没有出现偏差的标记“√” 。</w:t>
            </w:r>
          </w:p>
        </w:tc>
      </w:tr>
    </w:tbl>
    <w:p w14:paraId="40CDDE1E">
      <w:pPr>
        <w:tabs>
          <w:tab w:val="left" w:pos="851"/>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以上每一项结论均为“符合”的，则投标人的投标文件通过符合性审查；如有任意一项结论为“不符合”的，则投标人的投标文件按无效投标文件处理。如果评标委员会认为投标人有任意一项不通过的，应在符合性审查报告中载明不通过的具体原因。</w:t>
      </w:r>
    </w:p>
    <w:p w14:paraId="78705D7E">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二、投标人的投标文件符合性审查时被判定为无效投标文件的，采购人或采购代理机构将通知投标人（以短信、现场公示、电话、“政府采购云平台”等任一方式）。投标人如对评审结论有异议的，应及时向采购人或采购代理机构反馈意见。采购人或采购代理机构在评审结束前将收到的反馈意见及时告知评标委员会。（说明：无论投标人是否收到通知或提供反馈意见，均不影响评标委员会的评标工作，且采购人或采购代理机构对此将不承担任何的责任。投标人对评审结论有异议的，其反馈意见仅限于评标委员会对评审结论的正确性进行复核，避免出现评审错误。）</w:t>
      </w:r>
    </w:p>
    <w:p w14:paraId="5E37BA1B">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三、通过符合性审查的供应商＜3名，本项目采购失败。</w:t>
      </w:r>
    </w:p>
    <w:p w14:paraId="4BEBD0B9">
      <w:pPr>
        <w:keepNext/>
        <w:keepLines/>
        <w:numPr>
          <w:ilvl w:val="2"/>
          <w:numId w:val="0"/>
        </w:numPr>
        <w:spacing w:line="560" w:lineRule="exact"/>
        <w:rPr>
          <w:rFonts w:ascii="仿宋" w:hAnsi="仿宋" w:cs="仿宋"/>
          <w:b/>
          <w:bCs/>
          <w:color w:val="auto"/>
          <w:sz w:val="28"/>
          <w:szCs w:val="28"/>
        </w:rPr>
      </w:pPr>
      <w:r>
        <w:rPr>
          <w:rFonts w:ascii="Times New Roman" w:hAnsi="Times New Roman" w:eastAsia="宋体"/>
          <w:b/>
          <w:bCs/>
          <w:color w:val="auto"/>
          <w:sz w:val="28"/>
          <w:szCs w:val="28"/>
        </w:rPr>
        <w:t>2.5.2</w:t>
      </w:r>
      <w:r>
        <w:rPr>
          <w:rFonts w:hint="eastAsia" w:ascii="仿宋" w:hAnsi="仿宋" w:cs="仿宋"/>
          <w:b/>
          <w:bCs/>
          <w:color w:val="auto"/>
          <w:sz w:val="28"/>
          <w:szCs w:val="28"/>
        </w:rPr>
        <w:t>解释、澄清有关问题</w:t>
      </w:r>
    </w:p>
    <w:p w14:paraId="219656A9">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评标过程中，评标委员会认为采购文件有关事项表述不明确或需要说明的，可以提请采购人或采购代理机构书面解释。采购人或采购代理机构的解释不得改变采购文件的原义或者影响公平、公正，解释事项如果涉及投标人权益的以有利于投标人的原则进行解释。</w:t>
      </w:r>
    </w:p>
    <w:p w14:paraId="0C4E2535">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二、对投标文件中含义不明确、同类问题表述不一致或者有明显文字和计算错误的内容，评标委员会应当要求投标人作出必要的澄清、说明或补正，并给予投标人必要的反馈时间。投标人应当按评标委员会的要求进行澄清、说明或者补正。投标人的澄清、说明或者补正不得超出投标文件的范围或者改变投标文件的实质性内容。澄清不影响投标文件的效力，有效的澄清材料，是投标文件的组成部分。</w:t>
      </w:r>
    </w:p>
    <w:p w14:paraId="29D890B0">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三、澄清应当不超出投标文件的范围、不实质性改变投标文件的内容、不影响投标人的公平竞争、不导致投标文件从不响应采购文件变为响应采购文件的条件。下列内容不得澄清：</w:t>
      </w:r>
    </w:p>
    <w:p w14:paraId="47550DAF">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（一）投标人投标文件中不响应采购文件规定的技术参数指标和商务应答；</w:t>
      </w:r>
    </w:p>
    <w:p w14:paraId="25F75152">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（二）投标人投标文件中未提供的证明其是否符合采购文件资格性、符合性规定要求的相关材料。</w:t>
      </w:r>
    </w:p>
    <w:p w14:paraId="30868437">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（三）投标人投标文件中的材料因印刷、影印等不清晰而难以辨认的。</w:t>
      </w:r>
    </w:p>
    <w:p w14:paraId="47CBA8FB">
      <w:pPr>
        <w:tabs>
          <w:tab w:val="left" w:pos="1134"/>
        </w:tabs>
        <w:spacing w:line="560" w:lineRule="exact"/>
        <w:ind w:left="525"/>
        <w:rPr>
          <w:rFonts w:ascii="仿宋" w:hAnsi="仿宋" w:cs="仿宋"/>
          <w:color w:val="auto"/>
          <w:sz w:val="28"/>
          <w:szCs w:val="28"/>
        </w:rPr>
      </w:pPr>
      <w:r>
        <w:rPr>
          <w:rFonts w:hint="eastAsia" w:ascii="仿宋" w:hAnsi="仿宋" w:cs="仿宋"/>
          <w:color w:val="auto"/>
          <w:sz w:val="28"/>
          <w:szCs w:val="28"/>
        </w:rPr>
        <w:t>四、投标文件报价出现下列情况的，不需要投标人澄清，按以下原则处理：</w:t>
      </w:r>
    </w:p>
    <w:p w14:paraId="3ADE7B70">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（一）大写金额和小写金额不一致的，以大写金额为准，但大写金额出现文字错误，导致金额无法判断的除外；</w:t>
      </w:r>
    </w:p>
    <w:p w14:paraId="26FACA5C">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（二）单价金额小数点或者百分比有明显错位的，以总价为准，并修改单价；</w:t>
      </w:r>
    </w:p>
    <w:p w14:paraId="56530060">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（三）总价金额与按单价汇总金额不一致的，以单价金额计算结果为准。</w:t>
      </w:r>
    </w:p>
    <w:p w14:paraId="7F7D80EC">
      <w:pPr>
        <w:spacing w:line="560" w:lineRule="exact"/>
        <w:ind w:firstLine="560"/>
        <w:rPr>
          <w:rFonts w:ascii="仿宋" w:hAnsi="仿宋" w:cs="仿宋"/>
          <w:color w:val="auto"/>
          <w:sz w:val="28"/>
          <w:szCs w:val="28"/>
        </w:rPr>
      </w:pPr>
      <w:r>
        <w:rPr>
          <w:rFonts w:hint="eastAsia" w:ascii="仿宋" w:hAnsi="仿宋" w:cs="仿宋"/>
          <w:color w:val="auto"/>
          <w:sz w:val="28"/>
          <w:szCs w:val="28"/>
        </w:rPr>
        <w:t>同时出现两种以上不一致的，按照前款规定的顺序修正。修正后的报价经投标人确认后产生约束力，投标人不确认的，其投标无效。评标委员会不得未经要求投标人确认，直接将投标人投标文件作无效处理。</w:t>
      </w:r>
    </w:p>
    <w:p w14:paraId="6191EAB8">
      <w:pPr>
        <w:tabs>
          <w:tab w:val="left" w:pos="720"/>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五、对不同语言文本投标文件的解释发生异议的，以中文文本为准。</w:t>
      </w:r>
    </w:p>
    <w:p w14:paraId="7743E2B7">
      <w:pPr>
        <w:tabs>
          <w:tab w:val="left" w:pos="720"/>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六、评标结束之前，投标人应随时关注系统提示，及时通过“政府采购云平台”在线响应评标委员会发出的澄清、说明或补正要求，签章并确认提交成功。逾时回复将不能提交，视为投标人自行放弃，其损失由投标人承担。</w:t>
      </w:r>
    </w:p>
    <w:p w14:paraId="4AE7B2F1">
      <w:pPr>
        <w:tabs>
          <w:tab w:val="left" w:pos="851"/>
        </w:tabs>
        <w:spacing w:line="560" w:lineRule="exact"/>
        <w:ind w:firstLine="568" w:firstLineChars="202"/>
        <w:rPr>
          <w:rFonts w:ascii="仿宋" w:hAnsi="仿宋" w:cs="仿宋"/>
          <w:b/>
          <w:color w:val="auto"/>
          <w:sz w:val="28"/>
          <w:szCs w:val="28"/>
        </w:rPr>
      </w:pPr>
      <w:r>
        <w:rPr>
          <w:rFonts w:hint="eastAsia" w:ascii="仿宋" w:hAnsi="仿宋" w:cs="仿宋"/>
          <w:b/>
          <w:color w:val="auto"/>
          <w:sz w:val="28"/>
          <w:szCs w:val="28"/>
        </w:rPr>
        <w:t>评标委员会应当积极履行澄清、说明或者更正的职责，不得滥用权力。</w:t>
      </w:r>
    </w:p>
    <w:p w14:paraId="490656B3">
      <w:pPr>
        <w:keepNext/>
        <w:keepLines/>
        <w:numPr>
          <w:ilvl w:val="2"/>
          <w:numId w:val="0"/>
        </w:numPr>
        <w:spacing w:line="560" w:lineRule="exact"/>
        <w:rPr>
          <w:rFonts w:ascii="仿宋" w:hAnsi="仿宋" w:cs="仿宋"/>
          <w:b/>
          <w:bCs/>
          <w:color w:val="auto"/>
          <w:sz w:val="28"/>
          <w:szCs w:val="28"/>
        </w:rPr>
      </w:pPr>
      <w:r>
        <w:rPr>
          <w:rFonts w:ascii="Times New Roman" w:hAnsi="Times New Roman" w:eastAsia="宋体"/>
          <w:b/>
          <w:bCs/>
          <w:color w:val="auto"/>
          <w:sz w:val="28"/>
          <w:szCs w:val="28"/>
        </w:rPr>
        <w:t>2.5.3</w:t>
      </w:r>
      <w:r>
        <w:rPr>
          <w:rFonts w:hint="eastAsia" w:ascii="仿宋" w:hAnsi="仿宋" w:cs="仿宋"/>
          <w:b/>
          <w:bCs/>
          <w:color w:val="auto"/>
          <w:sz w:val="28"/>
          <w:szCs w:val="28"/>
        </w:rPr>
        <w:t>比较与评价</w:t>
      </w:r>
    </w:p>
    <w:p w14:paraId="3AD054B7">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按采购文件中规定的评标细则及标准，对符合性检查合格的投标文件进行商务和技术评估，综合比较和评价。</w:t>
      </w:r>
    </w:p>
    <w:p w14:paraId="2E96C65D">
      <w:pPr>
        <w:keepNext/>
        <w:keepLines/>
        <w:numPr>
          <w:ilvl w:val="2"/>
          <w:numId w:val="0"/>
        </w:numPr>
        <w:spacing w:line="560" w:lineRule="exact"/>
        <w:rPr>
          <w:rFonts w:ascii="仿宋" w:hAnsi="仿宋" w:cs="仿宋"/>
          <w:b/>
          <w:bCs/>
          <w:color w:val="auto"/>
          <w:sz w:val="28"/>
          <w:szCs w:val="28"/>
        </w:rPr>
      </w:pPr>
      <w:r>
        <w:rPr>
          <w:rFonts w:ascii="Times New Roman" w:hAnsi="Times New Roman" w:eastAsia="宋体"/>
          <w:b/>
          <w:bCs/>
          <w:color w:val="auto"/>
          <w:sz w:val="28"/>
          <w:szCs w:val="28"/>
        </w:rPr>
        <w:t>2.5.4</w:t>
      </w:r>
      <w:r>
        <w:rPr>
          <w:rFonts w:hint="eastAsia" w:ascii="仿宋" w:hAnsi="仿宋" w:cs="仿宋"/>
          <w:b/>
          <w:bCs/>
          <w:color w:val="auto"/>
          <w:sz w:val="28"/>
          <w:szCs w:val="28"/>
        </w:rPr>
        <w:t>复核</w:t>
      </w:r>
    </w:p>
    <w:p w14:paraId="39646C85">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评分汇总结束后，评标委员会应当进行复核，特别要对拟推荐为中标候选供应商的、报价最低的、投标文件被认定为无效的进行重点复核。</w:t>
      </w:r>
    </w:p>
    <w:p w14:paraId="33BF3651">
      <w:pPr>
        <w:tabs>
          <w:tab w:val="left" w:pos="851"/>
        </w:tabs>
        <w:spacing w:line="360" w:lineRule="auto"/>
        <w:ind w:firstLine="565" w:firstLineChars="202"/>
        <w:rPr>
          <w:rFonts w:ascii="仿宋" w:hAnsi="仿宋" w:cs="仿宋"/>
          <w:color w:val="auto"/>
          <w:sz w:val="28"/>
          <w:szCs w:val="28"/>
        </w:rPr>
      </w:pPr>
      <w:r>
        <w:rPr>
          <w:rFonts w:hint="eastAsia" w:ascii="仿宋" w:hAnsi="仿宋" w:cs="仿宋"/>
          <w:color w:val="auto"/>
          <w:sz w:val="28"/>
          <w:szCs w:val="28"/>
        </w:rPr>
        <w:t>评标结果汇总完成后，评标委员会在评审报告签字前，采购人或采购代理机构应当组织2名以上的工作人员，在采购现场监督人员的监督之下，依据有关的法律制度和采购文件对评审结果进行确认。</w:t>
      </w:r>
    </w:p>
    <w:p w14:paraId="1F730C33">
      <w:pPr>
        <w:tabs>
          <w:tab w:val="left" w:pos="851"/>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评标结果汇总完成后，除下列情形外，任何人不得修改评标结果：</w:t>
      </w:r>
    </w:p>
    <w:p w14:paraId="1A737F8D">
      <w:pPr>
        <w:numPr>
          <w:ilvl w:val="0"/>
          <w:numId w:val="16"/>
        </w:numPr>
        <w:tabs>
          <w:tab w:val="left" w:pos="851"/>
          <w:tab w:val="left" w:pos="1276"/>
        </w:tabs>
        <w:spacing w:line="360" w:lineRule="auto"/>
        <w:ind w:left="0" w:firstLine="424"/>
        <w:rPr>
          <w:rFonts w:ascii="仿宋" w:hAnsi="仿宋" w:cs="仿宋"/>
          <w:color w:val="auto"/>
          <w:sz w:val="28"/>
          <w:szCs w:val="28"/>
        </w:rPr>
      </w:pPr>
      <w:r>
        <w:rPr>
          <w:rFonts w:hint="eastAsia" w:ascii="仿宋" w:hAnsi="仿宋" w:cs="仿宋"/>
          <w:color w:val="auto"/>
          <w:sz w:val="28"/>
          <w:szCs w:val="28"/>
        </w:rPr>
        <w:t>分值汇总计算错误的；</w:t>
      </w:r>
    </w:p>
    <w:p w14:paraId="7C072E62">
      <w:pPr>
        <w:numPr>
          <w:ilvl w:val="0"/>
          <w:numId w:val="16"/>
        </w:numPr>
        <w:tabs>
          <w:tab w:val="left" w:pos="851"/>
          <w:tab w:val="left" w:pos="1276"/>
        </w:tabs>
        <w:spacing w:line="360" w:lineRule="auto"/>
        <w:ind w:left="0" w:firstLine="424"/>
        <w:rPr>
          <w:rFonts w:ascii="仿宋" w:hAnsi="仿宋" w:cs="仿宋"/>
          <w:color w:val="auto"/>
          <w:sz w:val="28"/>
          <w:szCs w:val="28"/>
        </w:rPr>
      </w:pPr>
      <w:r>
        <w:rPr>
          <w:rFonts w:hint="eastAsia" w:ascii="仿宋" w:hAnsi="仿宋" w:cs="仿宋"/>
          <w:color w:val="auto"/>
          <w:sz w:val="28"/>
          <w:szCs w:val="28"/>
        </w:rPr>
        <w:t>分项评分超出评分标准范围的；</w:t>
      </w:r>
    </w:p>
    <w:p w14:paraId="778438A8">
      <w:pPr>
        <w:numPr>
          <w:ilvl w:val="0"/>
          <w:numId w:val="16"/>
        </w:numPr>
        <w:tabs>
          <w:tab w:val="left" w:pos="851"/>
          <w:tab w:val="left" w:pos="1276"/>
          <w:tab w:val="left" w:pos="1560"/>
        </w:tabs>
        <w:spacing w:line="360" w:lineRule="auto"/>
        <w:ind w:left="0" w:firstLine="424"/>
        <w:rPr>
          <w:rFonts w:ascii="仿宋" w:hAnsi="仿宋" w:cs="仿宋"/>
          <w:color w:val="auto"/>
          <w:sz w:val="28"/>
          <w:szCs w:val="28"/>
        </w:rPr>
      </w:pPr>
      <w:r>
        <w:rPr>
          <w:rFonts w:hint="eastAsia" w:ascii="仿宋" w:hAnsi="仿宋" w:cs="仿宋"/>
          <w:color w:val="auto"/>
          <w:sz w:val="28"/>
          <w:szCs w:val="28"/>
        </w:rPr>
        <w:t>评标委员会成员对客观评审因素评分不一致的；</w:t>
      </w:r>
    </w:p>
    <w:p w14:paraId="55DC4767">
      <w:pPr>
        <w:numPr>
          <w:ilvl w:val="0"/>
          <w:numId w:val="16"/>
        </w:numPr>
        <w:tabs>
          <w:tab w:val="left" w:pos="851"/>
          <w:tab w:val="left" w:pos="1276"/>
        </w:tabs>
        <w:spacing w:line="360" w:lineRule="auto"/>
        <w:ind w:left="0" w:firstLine="426"/>
        <w:rPr>
          <w:rFonts w:ascii="仿宋" w:hAnsi="仿宋" w:cs="仿宋"/>
          <w:color w:val="auto"/>
          <w:sz w:val="28"/>
          <w:szCs w:val="28"/>
        </w:rPr>
      </w:pPr>
      <w:r>
        <w:rPr>
          <w:rFonts w:hint="eastAsia" w:ascii="仿宋" w:hAnsi="仿宋" w:cs="仿宋"/>
          <w:color w:val="auto"/>
          <w:sz w:val="28"/>
          <w:szCs w:val="28"/>
        </w:rPr>
        <w:t>经评标委员会认定评分畸高、畸低的。</w:t>
      </w:r>
    </w:p>
    <w:p w14:paraId="0B909354">
      <w:pPr>
        <w:tabs>
          <w:tab w:val="left" w:pos="851"/>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评标报告签署前，经复核发现存在以上情形之一的，评标委员会应当当场修改评标结果，并在评标报告中记载；评标报告签署后，采购人或者集中机构发现存在以上情形之一的，应当组织原评标委员会进行重新评审，重新评审改变评标结果的，书面报告本级财政部门。</w:t>
      </w:r>
    </w:p>
    <w:p w14:paraId="2743CDDA">
      <w:pPr>
        <w:keepNext/>
        <w:keepLines/>
        <w:numPr>
          <w:ilvl w:val="2"/>
          <w:numId w:val="0"/>
        </w:numPr>
        <w:spacing w:line="360" w:lineRule="auto"/>
        <w:rPr>
          <w:rFonts w:ascii="仿宋" w:hAnsi="仿宋" w:cs="仿宋"/>
          <w:b/>
          <w:bCs/>
          <w:color w:val="auto"/>
          <w:sz w:val="28"/>
          <w:szCs w:val="28"/>
        </w:rPr>
      </w:pPr>
      <w:r>
        <w:rPr>
          <w:rFonts w:ascii="Times New Roman" w:hAnsi="Times New Roman" w:eastAsia="宋体"/>
          <w:b/>
          <w:bCs/>
          <w:color w:val="auto"/>
          <w:sz w:val="28"/>
          <w:szCs w:val="28"/>
        </w:rPr>
        <w:t>2.5.5</w:t>
      </w:r>
      <w:r>
        <w:rPr>
          <w:rFonts w:hint="eastAsia" w:ascii="仿宋" w:hAnsi="仿宋" w:cs="仿宋"/>
          <w:b/>
          <w:bCs/>
          <w:color w:val="auto"/>
          <w:sz w:val="28"/>
          <w:szCs w:val="28"/>
        </w:rPr>
        <w:t>确定中标候选人名单</w:t>
      </w:r>
    </w:p>
    <w:p w14:paraId="0B5F3842">
      <w:pPr>
        <w:tabs>
          <w:tab w:val="left" w:pos="851"/>
        </w:tabs>
        <w:spacing w:line="360" w:lineRule="auto"/>
        <w:ind w:firstLine="565" w:firstLineChars="202"/>
        <w:rPr>
          <w:rFonts w:ascii="仿宋" w:hAnsi="仿宋" w:cs="仿宋"/>
          <w:color w:val="auto"/>
          <w:kern w:val="0"/>
          <w:sz w:val="28"/>
          <w:szCs w:val="28"/>
        </w:rPr>
      </w:pPr>
      <w:r>
        <w:rPr>
          <w:rFonts w:hint="eastAsia" w:ascii="仿宋" w:hAnsi="仿宋" w:cs="仿宋"/>
          <w:color w:val="auto"/>
          <w:sz w:val="28"/>
          <w:szCs w:val="28"/>
        </w:rPr>
        <w:t>按投标人综合得分从高到低进行排序，确定1至3名中标候选人。综合得分相同的，按投标报价由低到高顺序排列，得分且投标报价相同的并列。</w:t>
      </w:r>
      <w:r>
        <w:rPr>
          <w:rFonts w:hint="eastAsia" w:ascii="仿宋" w:hAnsi="仿宋" w:cs="仿宋"/>
          <w:color w:val="auto"/>
          <w:kern w:val="0"/>
          <w:sz w:val="28"/>
          <w:szCs w:val="28"/>
        </w:rPr>
        <w:t>投标文件满足采购文件全部实质性要求，且按照评审因素的量化指标评审得分最高的投标人为排名第一的中标候选人。</w:t>
      </w:r>
    </w:p>
    <w:p w14:paraId="63E4AD8C">
      <w:pPr>
        <w:keepNext/>
        <w:keepLines/>
        <w:numPr>
          <w:ilvl w:val="2"/>
          <w:numId w:val="0"/>
        </w:numPr>
        <w:spacing w:before="240" w:line="360" w:lineRule="auto"/>
        <w:rPr>
          <w:rFonts w:ascii="仿宋" w:hAnsi="仿宋" w:cs="仿宋"/>
          <w:b/>
          <w:bCs/>
          <w:color w:val="auto"/>
          <w:sz w:val="28"/>
          <w:szCs w:val="28"/>
        </w:rPr>
      </w:pPr>
      <w:r>
        <w:rPr>
          <w:rFonts w:ascii="Times New Roman" w:hAnsi="Times New Roman" w:eastAsia="宋体"/>
          <w:b/>
          <w:bCs/>
          <w:color w:val="auto"/>
          <w:sz w:val="28"/>
          <w:szCs w:val="28"/>
        </w:rPr>
        <w:t>2.5.6</w:t>
      </w:r>
      <w:r>
        <w:rPr>
          <w:rFonts w:hint="eastAsia" w:ascii="仿宋" w:hAnsi="仿宋" w:cs="仿宋"/>
          <w:b/>
          <w:bCs/>
          <w:color w:val="auto"/>
          <w:sz w:val="28"/>
          <w:szCs w:val="28"/>
        </w:rPr>
        <w:t>评标报告</w:t>
      </w:r>
    </w:p>
    <w:p w14:paraId="2448C16C">
      <w:pPr>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评标报告是评标委员会全体评标成员签字的原始评标记录和政采云系统生成的报告，其主要内容包括：</w:t>
      </w:r>
    </w:p>
    <w:p w14:paraId="307341CD">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开标日期和地点；</w:t>
      </w:r>
    </w:p>
    <w:p w14:paraId="67B61612">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投标人名单和评标委员会成员名单；</w:t>
      </w:r>
    </w:p>
    <w:p w14:paraId="79D99905">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评标方法和标准；</w:t>
      </w:r>
    </w:p>
    <w:p w14:paraId="6863A24B">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开标记录和评标情况及说明，包括投标无效投标人名单及原因；</w:t>
      </w:r>
    </w:p>
    <w:p w14:paraId="6042974C">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评标结果，确定的中标候选人名单或者经采购人委托直接确定的中标人；</w:t>
      </w:r>
    </w:p>
    <w:p w14:paraId="79F27229">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其他需要说明的情况，包括评标过程中投标人根据评标委员会要求进行的澄清、说明或者补正，评标委员会成员的更换等；</w:t>
      </w:r>
    </w:p>
    <w:p w14:paraId="584D45B2">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报价最高的投标人为中标候选人的，评标委员会应当对其报价的合理性予以特别说明。</w:t>
      </w:r>
    </w:p>
    <w:p w14:paraId="1D15D5EF">
      <w:pPr>
        <w:tabs>
          <w:tab w:val="left" w:pos="1155"/>
        </w:tabs>
        <w:spacing w:line="360" w:lineRule="auto"/>
        <w:ind w:firstLine="523" w:firstLineChars="187"/>
        <w:rPr>
          <w:rFonts w:ascii="仿宋" w:hAnsi="仿宋" w:cs="仿宋"/>
          <w:color w:val="auto"/>
          <w:sz w:val="28"/>
          <w:szCs w:val="28"/>
        </w:rPr>
      </w:pPr>
      <w:r>
        <w:rPr>
          <w:rFonts w:hint="eastAsia" w:ascii="仿宋" w:hAnsi="仿宋" w:cs="仿宋"/>
          <w:color w:val="auto"/>
          <w:sz w:val="28"/>
          <w:szCs w:val="28"/>
        </w:rPr>
        <w:t>评标委员会成员应当在评标报告中签字确认，对评标过程和结果有不同意见的，应当在评标报告中写明并说明理由。签字但未写明不同意见或者未说明理由的，视同无意见。拒不签字又未另行书面说明其不同意见和理由的，视同同意评标结果。</w:t>
      </w:r>
    </w:p>
    <w:p w14:paraId="41221B6A">
      <w:pPr>
        <w:keepNext/>
        <w:keepLines/>
        <w:numPr>
          <w:ilvl w:val="1"/>
          <w:numId w:val="0"/>
        </w:numPr>
        <w:spacing w:line="360" w:lineRule="auto"/>
        <w:ind w:left="567" w:hanging="567"/>
        <w:jc w:val="left"/>
        <w:outlineLvl w:val="1"/>
        <w:rPr>
          <w:rFonts w:ascii="仿宋" w:hAnsi="仿宋" w:cs="仿宋"/>
          <w:b/>
          <w:bCs/>
          <w:color w:val="auto"/>
          <w:sz w:val="28"/>
          <w:szCs w:val="28"/>
        </w:rPr>
      </w:pPr>
      <w:bookmarkStart w:id="183" w:name="_Toc13211"/>
      <w:r>
        <w:rPr>
          <w:rFonts w:ascii="Times New Roman" w:hAnsi="Times New Roman" w:eastAsia="宋体"/>
          <w:b/>
          <w:bCs/>
          <w:color w:val="auto"/>
          <w:sz w:val="28"/>
          <w:szCs w:val="28"/>
        </w:rPr>
        <w:t>2.6</w:t>
      </w:r>
      <w:r>
        <w:rPr>
          <w:rFonts w:hint="eastAsia" w:ascii="仿宋" w:hAnsi="仿宋" w:cs="仿宋"/>
          <w:b/>
          <w:bCs/>
          <w:color w:val="auto"/>
          <w:sz w:val="28"/>
          <w:szCs w:val="28"/>
        </w:rPr>
        <w:t>评标争议处理规则</w:t>
      </w:r>
      <w:bookmarkEnd w:id="183"/>
    </w:p>
    <w:p w14:paraId="1D2F1677">
      <w:pPr>
        <w:tabs>
          <w:tab w:val="left" w:pos="1155"/>
        </w:tabs>
        <w:spacing w:line="560" w:lineRule="exact"/>
        <w:ind w:firstLine="523" w:firstLineChars="187"/>
        <w:rPr>
          <w:rFonts w:ascii="仿宋" w:hAnsi="仿宋" w:cs="仿宋"/>
          <w:color w:val="auto"/>
          <w:sz w:val="28"/>
          <w:szCs w:val="28"/>
        </w:rPr>
      </w:pPr>
      <w:r>
        <w:rPr>
          <w:rFonts w:hint="eastAsia" w:ascii="仿宋" w:hAnsi="仿宋" w:cs="仿宋"/>
          <w:color w:val="auto"/>
          <w:sz w:val="28"/>
          <w:szCs w:val="28"/>
        </w:rPr>
        <w:t>评标委员会在评审过程中，对于符合性审查、对投标人文件做无效投标处理及其他需要共同认定的事项存在争议的，应当以少数服从多数的原则做出结论，但不得违背法律法规和采购文件规定。持不同意见的评标委员会成员应当在评标报告上签署不同意见及理由，否则视为同意评标报告。持不同意见的评标委员会成员认为认定过程和结果不符合法律法规或者采购文件规定的，应当及时向采购人或采购人或采购代理机构书面反映。采购人或采购代理机构收到书面反映后，应当书面报告采购项目同级财政部门依法处理。</w:t>
      </w:r>
    </w:p>
    <w:p w14:paraId="0720FD41">
      <w:pPr>
        <w:keepNext/>
        <w:keepLines/>
        <w:numPr>
          <w:ilvl w:val="1"/>
          <w:numId w:val="0"/>
        </w:numPr>
        <w:spacing w:line="560" w:lineRule="exact"/>
        <w:ind w:left="567" w:hanging="567"/>
        <w:jc w:val="left"/>
        <w:outlineLvl w:val="1"/>
        <w:rPr>
          <w:rFonts w:ascii="仿宋" w:hAnsi="仿宋" w:cs="仿宋"/>
          <w:b/>
          <w:bCs/>
          <w:color w:val="auto"/>
          <w:sz w:val="28"/>
          <w:szCs w:val="28"/>
        </w:rPr>
      </w:pPr>
      <w:bookmarkStart w:id="184" w:name="_Toc30306"/>
      <w:r>
        <w:rPr>
          <w:rFonts w:ascii="Times New Roman" w:hAnsi="Times New Roman" w:eastAsia="宋体"/>
          <w:b/>
          <w:bCs/>
          <w:color w:val="auto"/>
          <w:sz w:val="28"/>
          <w:szCs w:val="28"/>
        </w:rPr>
        <w:t>2.7</w:t>
      </w:r>
      <w:r>
        <w:rPr>
          <w:rFonts w:hint="eastAsia" w:ascii="仿宋" w:hAnsi="仿宋" w:cs="仿宋"/>
          <w:b/>
          <w:bCs/>
          <w:color w:val="auto"/>
          <w:sz w:val="28"/>
          <w:szCs w:val="28"/>
        </w:rPr>
        <w:t>评标细则及标准</w:t>
      </w:r>
      <w:bookmarkEnd w:id="184"/>
    </w:p>
    <w:p w14:paraId="0BB86815">
      <w:pPr>
        <w:numPr>
          <w:ilvl w:val="0"/>
          <w:numId w:val="18"/>
        </w:numPr>
        <w:tabs>
          <w:tab w:val="left" w:pos="1155"/>
        </w:tabs>
        <w:spacing w:after="200" w:line="560" w:lineRule="exact"/>
        <w:ind w:left="0" w:firstLine="567"/>
        <w:rPr>
          <w:rFonts w:ascii="仿宋" w:hAnsi="仿宋" w:cs="仿宋"/>
          <w:color w:val="auto"/>
          <w:sz w:val="28"/>
          <w:szCs w:val="28"/>
        </w:rPr>
      </w:pPr>
      <w:r>
        <w:rPr>
          <w:rFonts w:hint="eastAsia" w:ascii="仿宋" w:hAnsi="仿宋" w:cs="仿宋"/>
          <w:color w:val="auto"/>
          <w:sz w:val="28"/>
          <w:szCs w:val="28"/>
        </w:rPr>
        <w:t>评标委员会只对通过初审的投标文件，根据采购文件的要求采用相同的评标程序、评分办法及标准进行评价和比较。</w:t>
      </w:r>
    </w:p>
    <w:p w14:paraId="5FD63A88">
      <w:pPr>
        <w:numPr>
          <w:ilvl w:val="0"/>
          <w:numId w:val="18"/>
        </w:numPr>
        <w:tabs>
          <w:tab w:val="left" w:pos="1155"/>
        </w:tabs>
        <w:spacing w:after="200" w:line="560" w:lineRule="exact"/>
        <w:ind w:left="0" w:firstLine="567"/>
        <w:rPr>
          <w:rFonts w:ascii="仿宋" w:hAnsi="仿宋" w:cs="仿宋"/>
          <w:color w:val="auto"/>
          <w:sz w:val="28"/>
          <w:szCs w:val="28"/>
        </w:rPr>
      </w:pPr>
      <w:r>
        <w:rPr>
          <w:rFonts w:hint="eastAsia" w:ascii="仿宋" w:hAnsi="仿宋" w:cs="仿宋"/>
          <w:color w:val="auto"/>
          <w:sz w:val="28"/>
          <w:szCs w:val="28"/>
        </w:rPr>
        <w:t>本次综合评分的因素是：价格、商务、技术等。</w:t>
      </w:r>
    </w:p>
    <w:p w14:paraId="1F6EBE4E">
      <w:pPr>
        <w:numPr>
          <w:ilvl w:val="0"/>
          <w:numId w:val="18"/>
        </w:numPr>
        <w:tabs>
          <w:tab w:val="left" w:pos="1155"/>
        </w:tabs>
        <w:spacing w:after="200" w:line="560" w:lineRule="exact"/>
        <w:ind w:left="0" w:firstLine="525"/>
        <w:rPr>
          <w:rFonts w:ascii="仿宋" w:hAnsi="仿宋" w:cs="仿宋"/>
          <w:color w:val="auto"/>
          <w:sz w:val="28"/>
          <w:szCs w:val="28"/>
        </w:rPr>
      </w:pPr>
      <w:r>
        <w:rPr>
          <w:rFonts w:hint="eastAsia" w:ascii="仿宋" w:hAnsi="仿宋" w:cs="仿宋"/>
          <w:color w:val="auto"/>
          <w:sz w:val="28"/>
          <w:szCs w:val="28"/>
        </w:rPr>
        <w:t>评标委员会成员应依据采购文件规定的评分标准和方法独立打分。</w:t>
      </w:r>
    </w:p>
    <w:p w14:paraId="2902467E">
      <w:pPr>
        <w:keepNext/>
        <w:keepLines/>
        <w:numPr>
          <w:ilvl w:val="2"/>
          <w:numId w:val="0"/>
        </w:numPr>
        <w:spacing w:line="560" w:lineRule="exact"/>
        <w:rPr>
          <w:rFonts w:ascii="仿宋" w:hAnsi="仿宋" w:cs="仿宋"/>
          <w:b/>
          <w:bCs/>
          <w:color w:val="auto"/>
          <w:sz w:val="28"/>
          <w:szCs w:val="28"/>
        </w:rPr>
      </w:pPr>
      <w:r>
        <w:rPr>
          <w:rFonts w:ascii="Times New Roman" w:hAnsi="Times New Roman" w:eastAsia="宋体"/>
          <w:b/>
          <w:bCs/>
          <w:color w:val="auto"/>
          <w:sz w:val="28"/>
          <w:szCs w:val="28"/>
        </w:rPr>
        <w:t>2.7.1</w:t>
      </w:r>
      <w:r>
        <w:rPr>
          <w:rFonts w:hint="eastAsia" w:ascii="仿宋" w:hAnsi="仿宋" w:cs="仿宋"/>
          <w:b/>
          <w:bCs/>
          <w:color w:val="auto"/>
          <w:sz w:val="28"/>
          <w:szCs w:val="28"/>
        </w:rPr>
        <w:t>评分办法</w:t>
      </w:r>
    </w:p>
    <w:p w14:paraId="0FD64A2F">
      <w:pPr>
        <w:spacing w:line="560" w:lineRule="exact"/>
        <w:ind w:firstLine="630" w:firstLineChars="225"/>
        <w:rPr>
          <w:rFonts w:ascii="仿宋" w:hAnsi="仿宋" w:cs="仿宋"/>
          <w:color w:val="auto"/>
          <w:sz w:val="28"/>
          <w:szCs w:val="28"/>
        </w:rPr>
      </w:pPr>
      <w:r>
        <w:rPr>
          <w:rFonts w:hint="eastAsia" w:ascii="仿宋" w:hAnsi="仿宋" w:cs="仿宋"/>
          <w:color w:val="auto"/>
          <w:sz w:val="28"/>
          <w:szCs w:val="28"/>
        </w:rPr>
        <w:t xml:space="preserve">本次评标采用综合评分法，由评标委员会各成员独立对通过初审（资格检查和符合性检查）的投标人的投标文件进行评审和打分，    </w:t>
      </w:r>
    </w:p>
    <w:p w14:paraId="7643A218">
      <w:pPr>
        <w:spacing w:line="560" w:lineRule="exact"/>
        <w:ind w:firstLine="630" w:firstLineChars="225"/>
        <w:rPr>
          <w:rFonts w:ascii="仿宋" w:hAnsi="仿宋" w:cs="仿宋"/>
          <w:color w:val="auto"/>
          <w:sz w:val="28"/>
          <w:szCs w:val="28"/>
        </w:rPr>
      </w:pPr>
      <w:r>
        <w:rPr>
          <w:rFonts w:hint="eastAsia" w:ascii="仿宋" w:hAnsi="仿宋" w:cs="仿宋"/>
          <w:color w:val="auto"/>
          <w:sz w:val="28"/>
          <w:szCs w:val="28"/>
        </w:rPr>
        <w:t>评标得分＝（A</w:t>
      </w:r>
      <w:r>
        <w:rPr>
          <w:rFonts w:hint="eastAsia" w:ascii="仿宋" w:hAnsi="仿宋" w:cs="仿宋"/>
          <w:color w:val="auto"/>
          <w:sz w:val="28"/>
          <w:szCs w:val="28"/>
          <w:vertAlign w:val="subscript"/>
        </w:rPr>
        <w:t>1</w:t>
      </w:r>
      <w:r>
        <w:rPr>
          <w:rFonts w:hint="eastAsia" w:ascii="仿宋" w:hAnsi="仿宋" w:cs="仿宋"/>
          <w:color w:val="auto"/>
          <w:sz w:val="28"/>
          <w:szCs w:val="28"/>
        </w:rPr>
        <w:t>＋A</w:t>
      </w:r>
      <w:r>
        <w:rPr>
          <w:rFonts w:hint="eastAsia" w:ascii="仿宋" w:hAnsi="仿宋" w:cs="仿宋"/>
          <w:color w:val="auto"/>
          <w:sz w:val="28"/>
          <w:szCs w:val="28"/>
          <w:vertAlign w:val="subscript"/>
        </w:rPr>
        <w:t>2</w:t>
      </w:r>
      <w:r>
        <w:rPr>
          <w:rFonts w:hint="eastAsia" w:ascii="仿宋" w:hAnsi="仿宋" w:cs="仿宋"/>
          <w:color w:val="auto"/>
          <w:sz w:val="28"/>
          <w:szCs w:val="28"/>
        </w:rPr>
        <w:t>＋……＋A</w:t>
      </w:r>
      <w:r>
        <w:rPr>
          <w:rFonts w:hint="eastAsia" w:ascii="仿宋" w:hAnsi="仿宋" w:cs="仿宋"/>
          <w:color w:val="auto"/>
          <w:sz w:val="28"/>
          <w:szCs w:val="28"/>
          <w:vertAlign w:val="subscript"/>
        </w:rPr>
        <w:t>n</w:t>
      </w:r>
      <w:r>
        <w:rPr>
          <w:rFonts w:hint="eastAsia" w:ascii="仿宋" w:hAnsi="仿宋" w:cs="仿宋"/>
          <w:color w:val="auto"/>
          <w:sz w:val="28"/>
          <w:szCs w:val="28"/>
        </w:rPr>
        <w:t>）/n</w:t>
      </w:r>
      <w:r>
        <w:rPr>
          <w:rFonts w:hint="eastAsia" w:ascii="仿宋" w:hAnsi="仿宋" w:cs="仿宋"/>
          <w:color w:val="auto"/>
          <w:sz w:val="28"/>
          <w:szCs w:val="28"/>
          <w:vertAlign w:val="subscript"/>
        </w:rPr>
        <w:t>1</w:t>
      </w:r>
    </w:p>
    <w:p w14:paraId="23AAD6E5">
      <w:pPr>
        <w:widowControl/>
        <w:spacing w:line="560" w:lineRule="exact"/>
        <w:ind w:firstLine="560" w:firstLineChars="200"/>
        <w:jc w:val="left"/>
        <w:rPr>
          <w:rStyle w:val="58"/>
          <w:color w:val="auto"/>
        </w:rPr>
      </w:pPr>
      <w:r>
        <w:rPr>
          <w:rFonts w:hint="eastAsia" w:ascii="仿宋" w:hAnsi="仿宋" w:cs="仿宋"/>
          <w:color w:val="auto"/>
          <w:sz w:val="28"/>
          <w:szCs w:val="28"/>
        </w:rPr>
        <w:t>A</w:t>
      </w:r>
      <w:r>
        <w:rPr>
          <w:rFonts w:hint="eastAsia" w:ascii="仿宋" w:hAnsi="仿宋" w:cs="仿宋"/>
          <w:color w:val="auto"/>
          <w:sz w:val="28"/>
          <w:szCs w:val="28"/>
          <w:vertAlign w:val="subscript"/>
        </w:rPr>
        <w:t>1</w:t>
      </w:r>
      <w:r>
        <w:rPr>
          <w:rFonts w:hint="eastAsia" w:ascii="仿宋" w:hAnsi="仿宋" w:cs="仿宋"/>
          <w:color w:val="auto"/>
          <w:sz w:val="28"/>
          <w:szCs w:val="28"/>
        </w:rPr>
        <w:t>、A</w:t>
      </w:r>
      <w:r>
        <w:rPr>
          <w:rFonts w:hint="eastAsia" w:ascii="仿宋" w:hAnsi="仿宋" w:cs="仿宋"/>
          <w:color w:val="auto"/>
          <w:sz w:val="28"/>
          <w:szCs w:val="28"/>
          <w:vertAlign w:val="subscript"/>
        </w:rPr>
        <w:t>2</w:t>
      </w:r>
      <w:r>
        <w:rPr>
          <w:rFonts w:hint="eastAsia" w:ascii="仿宋" w:hAnsi="仿宋" w:cs="仿宋"/>
          <w:color w:val="auto"/>
          <w:sz w:val="28"/>
          <w:szCs w:val="28"/>
        </w:rPr>
        <w:t>……A</w:t>
      </w:r>
      <w:r>
        <w:rPr>
          <w:rFonts w:hint="eastAsia" w:ascii="仿宋" w:hAnsi="仿宋" w:cs="仿宋"/>
          <w:color w:val="auto"/>
          <w:sz w:val="28"/>
          <w:szCs w:val="28"/>
          <w:vertAlign w:val="subscript"/>
        </w:rPr>
        <w:t>n</w:t>
      </w:r>
      <w:r>
        <w:rPr>
          <w:rFonts w:hint="eastAsia" w:ascii="仿宋" w:hAnsi="仿宋" w:cs="仿宋"/>
          <w:color w:val="auto"/>
          <w:sz w:val="28"/>
          <w:szCs w:val="28"/>
        </w:rPr>
        <w:t>分别为每个评委的打分，n</w:t>
      </w:r>
      <w:r>
        <w:rPr>
          <w:rFonts w:hint="eastAsia" w:ascii="仿宋" w:hAnsi="仿宋" w:cs="仿宋"/>
          <w:color w:val="auto"/>
          <w:sz w:val="28"/>
          <w:szCs w:val="28"/>
          <w:vertAlign w:val="subscript"/>
        </w:rPr>
        <w:t>1</w:t>
      </w:r>
      <w:r>
        <w:rPr>
          <w:rFonts w:hint="eastAsia" w:ascii="仿宋" w:hAnsi="仿宋" w:cs="仿宋"/>
          <w:color w:val="auto"/>
          <w:sz w:val="28"/>
          <w:szCs w:val="28"/>
        </w:rPr>
        <w:t>为评委人数；</w:t>
      </w:r>
      <w:r>
        <w:rPr>
          <w:rFonts w:hint="eastAsia" w:ascii="仿宋" w:hAnsi="仿宋" w:cs="仿宋"/>
          <w:color w:val="auto"/>
          <w:sz w:val="28"/>
          <w:szCs w:val="28"/>
        </w:rPr>
        <w:br w:type="page"/>
      </w:r>
      <w:r>
        <w:rPr>
          <w:rStyle w:val="58"/>
          <w:color w:val="auto"/>
        </w:rPr>
        <w:t>1.16.2</w:t>
      </w:r>
      <w:r>
        <w:rPr>
          <w:rStyle w:val="58"/>
          <w:rFonts w:hint="eastAsia"/>
          <w:color w:val="auto"/>
        </w:rPr>
        <w:t>详细评审</w:t>
      </w:r>
      <w:bookmarkStart w:id="185" w:name="_Toc320624285"/>
      <w:bookmarkEnd w:id="185"/>
      <w:bookmarkStart w:id="186" w:name="_Toc320624265"/>
      <w:bookmarkEnd w:id="186"/>
      <w:bookmarkStart w:id="187" w:name="_Toc320624290"/>
      <w:bookmarkEnd w:id="187"/>
      <w:bookmarkStart w:id="188" w:name="_Toc315871658"/>
      <w:bookmarkEnd w:id="188"/>
      <w:bookmarkStart w:id="189" w:name="_Toc320624275"/>
      <w:bookmarkEnd w:id="189"/>
      <w:bookmarkStart w:id="190" w:name="_Toc320624255"/>
      <w:bookmarkEnd w:id="190"/>
      <w:bookmarkStart w:id="191" w:name="_Toc315871657"/>
      <w:bookmarkEnd w:id="191"/>
      <w:bookmarkStart w:id="192" w:name="_Toc315871656"/>
      <w:bookmarkEnd w:id="192"/>
      <w:bookmarkStart w:id="193" w:name="_Toc315871725"/>
      <w:bookmarkEnd w:id="193"/>
      <w:bookmarkStart w:id="194" w:name="_Toc318206701"/>
      <w:bookmarkEnd w:id="194"/>
      <w:bookmarkStart w:id="195" w:name="_Toc320624295"/>
      <w:bookmarkEnd w:id="195"/>
      <w:bookmarkStart w:id="196" w:name="_Toc320624240"/>
      <w:bookmarkEnd w:id="196"/>
      <w:bookmarkStart w:id="197" w:name="_Toc320624260"/>
      <w:bookmarkEnd w:id="197"/>
      <w:bookmarkStart w:id="198" w:name="_Toc320624280"/>
      <w:bookmarkEnd w:id="198"/>
    </w:p>
    <w:p w14:paraId="25A28C30">
      <w:pPr>
        <w:jc w:val="center"/>
        <w:rPr>
          <w:color w:val="auto"/>
          <w:sz w:val="28"/>
          <w:szCs w:val="36"/>
        </w:rPr>
      </w:pPr>
      <w:r>
        <w:rPr>
          <w:rFonts w:hint="eastAsia"/>
          <w:b/>
          <w:bCs/>
          <w:color w:val="auto"/>
          <w:sz w:val="28"/>
          <w:szCs w:val="36"/>
        </w:rPr>
        <w:t>商务部分</w:t>
      </w:r>
    </w:p>
    <w:tbl>
      <w:tblPr>
        <w:tblStyle w:val="49"/>
        <w:tblW w:w="90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294"/>
        <w:gridCol w:w="1733"/>
        <w:gridCol w:w="706"/>
        <w:gridCol w:w="4066"/>
        <w:gridCol w:w="467"/>
      </w:tblGrid>
      <w:tr w14:paraId="68CAA5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Align w:val="center"/>
          </w:tcPr>
          <w:p w14:paraId="195CEDCD">
            <w:pPr>
              <w:jc w:val="center"/>
              <w:rPr>
                <w:b/>
                <w:color w:val="auto"/>
                <w:sz w:val="18"/>
                <w:szCs w:val="18"/>
              </w:rPr>
            </w:pPr>
            <w:r>
              <w:rPr>
                <w:rFonts w:hint="eastAsia"/>
                <w:b/>
                <w:color w:val="auto"/>
                <w:sz w:val="18"/>
                <w:szCs w:val="18"/>
              </w:rPr>
              <w:t>评审</w:t>
            </w:r>
          </w:p>
          <w:p w14:paraId="2F622968">
            <w:pPr>
              <w:jc w:val="center"/>
              <w:rPr>
                <w:color w:val="auto"/>
                <w:sz w:val="18"/>
                <w:szCs w:val="18"/>
              </w:rPr>
            </w:pPr>
            <w:r>
              <w:rPr>
                <w:rFonts w:hint="eastAsia"/>
                <w:b/>
                <w:color w:val="auto"/>
                <w:sz w:val="18"/>
                <w:szCs w:val="18"/>
              </w:rPr>
              <w:t>因素</w:t>
            </w:r>
          </w:p>
        </w:tc>
        <w:tc>
          <w:tcPr>
            <w:tcW w:w="1294" w:type="dxa"/>
            <w:vAlign w:val="center"/>
          </w:tcPr>
          <w:p w14:paraId="7989F999">
            <w:pPr>
              <w:jc w:val="center"/>
              <w:rPr>
                <w:b/>
                <w:color w:val="auto"/>
                <w:sz w:val="18"/>
                <w:szCs w:val="18"/>
              </w:rPr>
            </w:pPr>
            <w:r>
              <w:rPr>
                <w:rFonts w:hint="eastAsia"/>
                <w:b/>
                <w:color w:val="auto"/>
                <w:sz w:val="18"/>
                <w:szCs w:val="18"/>
              </w:rPr>
              <w:t>评标</w:t>
            </w:r>
          </w:p>
          <w:p w14:paraId="429D2E3E">
            <w:pPr>
              <w:jc w:val="center"/>
              <w:rPr>
                <w:rFonts w:cs="宋体"/>
                <w:color w:val="auto"/>
                <w:sz w:val="18"/>
                <w:szCs w:val="18"/>
              </w:rPr>
            </w:pPr>
            <w:r>
              <w:rPr>
                <w:rFonts w:hint="eastAsia"/>
                <w:b/>
                <w:color w:val="auto"/>
                <w:sz w:val="18"/>
                <w:szCs w:val="18"/>
              </w:rPr>
              <w:t>指标</w:t>
            </w:r>
          </w:p>
        </w:tc>
        <w:tc>
          <w:tcPr>
            <w:tcW w:w="1733" w:type="dxa"/>
            <w:vAlign w:val="center"/>
          </w:tcPr>
          <w:p w14:paraId="2D9000A8">
            <w:pPr>
              <w:jc w:val="center"/>
              <w:rPr>
                <w:rFonts w:cs="宋体"/>
                <w:color w:val="auto"/>
                <w:sz w:val="18"/>
                <w:szCs w:val="18"/>
              </w:rPr>
            </w:pPr>
            <w:r>
              <w:rPr>
                <w:rFonts w:hint="eastAsia"/>
                <w:b/>
                <w:color w:val="auto"/>
                <w:sz w:val="18"/>
                <w:szCs w:val="18"/>
              </w:rPr>
              <w:t>评审要点</w:t>
            </w:r>
          </w:p>
        </w:tc>
        <w:tc>
          <w:tcPr>
            <w:tcW w:w="706" w:type="dxa"/>
            <w:vAlign w:val="center"/>
          </w:tcPr>
          <w:p w14:paraId="622638C0">
            <w:pPr>
              <w:jc w:val="center"/>
              <w:rPr>
                <w:rFonts w:cs="宋体"/>
                <w:color w:val="auto"/>
                <w:sz w:val="18"/>
                <w:szCs w:val="18"/>
              </w:rPr>
            </w:pPr>
            <w:r>
              <w:rPr>
                <w:rFonts w:hint="eastAsia"/>
                <w:b/>
                <w:color w:val="auto"/>
                <w:sz w:val="18"/>
                <w:szCs w:val="18"/>
              </w:rPr>
              <w:t>分值</w:t>
            </w:r>
          </w:p>
        </w:tc>
        <w:tc>
          <w:tcPr>
            <w:tcW w:w="4066" w:type="dxa"/>
            <w:vAlign w:val="center"/>
          </w:tcPr>
          <w:p w14:paraId="2775107B">
            <w:pPr>
              <w:jc w:val="center"/>
              <w:rPr>
                <w:color w:val="auto"/>
                <w:sz w:val="18"/>
                <w:szCs w:val="18"/>
              </w:rPr>
            </w:pPr>
            <w:r>
              <w:rPr>
                <w:rFonts w:hint="eastAsia"/>
                <w:b/>
                <w:color w:val="auto"/>
                <w:sz w:val="18"/>
                <w:szCs w:val="18"/>
              </w:rPr>
              <w:t>评分标准</w:t>
            </w:r>
          </w:p>
        </w:tc>
        <w:tc>
          <w:tcPr>
            <w:tcW w:w="467" w:type="dxa"/>
            <w:vAlign w:val="center"/>
          </w:tcPr>
          <w:p w14:paraId="50A559B3">
            <w:pPr>
              <w:jc w:val="center"/>
              <w:rPr>
                <w:rFonts w:cs="宋体"/>
                <w:color w:val="auto"/>
                <w:sz w:val="18"/>
                <w:szCs w:val="18"/>
              </w:rPr>
            </w:pPr>
            <w:r>
              <w:rPr>
                <w:rFonts w:hint="eastAsia"/>
                <w:b/>
                <w:color w:val="auto"/>
                <w:sz w:val="18"/>
                <w:szCs w:val="18"/>
              </w:rPr>
              <w:t>评分</w:t>
            </w:r>
          </w:p>
        </w:tc>
      </w:tr>
      <w:tr w14:paraId="4F1CB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737" w:type="dxa"/>
            <w:vMerge w:val="restart"/>
            <w:vAlign w:val="center"/>
          </w:tcPr>
          <w:p w14:paraId="05D00A2E">
            <w:pPr>
              <w:widowControl/>
              <w:jc w:val="center"/>
              <w:rPr>
                <w:rFonts w:cs="宋体"/>
                <w:color w:val="auto"/>
                <w:sz w:val="18"/>
                <w:szCs w:val="18"/>
              </w:rPr>
            </w:pPr>
            <w:r>
              <w:rPr>
                <w:rFonts w:hint="eastAsia" w:cs="宋体"/>
                <w:color w:val="auto"/>
                <w:sz w:val="18"/>
                <w:szCs w:val="18"/>
              </w:rPr>
              <w:t>商务部分</w:t>
            </w:r>
          </w:p>
          <w:p w14:paraId="627CEA95">
            <w:pPr>
              <w:widowControl/>
              <w:jc w:val="center"/>
              <w:rPr>
                <w:rFonts w:eastAsia="宋体" w:cs="宋体"/>
                <w:color w:val="auto"/>
                <w:sz w:val="18"/>
                <w:szCs w:val="18"/>
              </w:rPr>
            </w:pPr>
            <w:r>
              <w:rPr>
                <w:rFonts w:hint="eastAsia" w:cs="宋体"/>
                <w:color w:val="auto"/>
                <w:sz w:val="18"/>
                <w:szCs w:val="18"/>
              </w:rPr>
              <w:t>30分</w:t>
            </w:r>
          </w:p>
          <w:p w14:paraId="0A842E3F">
            <w:pPr>
              <w:widowControl/>
              <w:jc w:val="center"/>
              <w:rPr>
                <w:rFonts w:cs="宋体"/>
                <w:color w:val="auto"/>
                <w:sz w:val="18"/>
                <w:szCs w:val="18"/>
              </w:rPr>
            </w:pPr>
            <w:r>
              <w:rPr>
                <w:rFonts w:hint="eastAsia" w:cs="宋体"/>
                <w:color w:val="auto"/>
                <w:sz w:val="18"/>
                <w:szCs w:val="18"/>
              </w:rPr>
              <w:t>3</w:t>
            </w:r>
            <w:r>
              <w:rPr>
                <w:rFonts w:cs="宋体"/>
                <w:color w:val="auto"/>
                <w:sz w:val="18"/>
                <w:szCs w:val="18"/>
              </w:rPr>
              <w:t>0%</w:t>
            </w:r>
          </w:p>
        </w:tc>
        <w:tc>
          <w:tcPr>
            <w:tcW w:w="1294" w:type="dxa"/>
            <w:vMerge w:val="restart"/>
            <w:vAlign w:val="center"/>
          </w:tcPr>
          <w:p w14:paraId="601FB2BB">
            <w:pPr>
              <w:widowControl/>
              <w:jc w:val="center"/>
              <w:rPr>
                <w:rFonts w:cs="宋体"/>
                <w:color w:val="auto"/>
                <w:sz w:val="18"/>
                <w:szCs w:val="18"/>
              </w:rPr>
            </w:pPr>
            <w:r>
              <w:rPr>
                <w:rFonts w:hint="eastAsia" w:cs="宋体"/>
                <w:color w:val="auto"/>
                <w:sz w:val="18"/>
                <w:szCs w:val="18"/>
              </w:rPr>
              <w:t>单位</w:t>
            </w:r>
          </w:p>
          <w:p w14:paraId="5C5C6CA4">
            <w:pPr>
              <w:widowControl/>
              <w:jc w:val="center"/>
              <w:rPr>
                <w:rFonts w:cs="宋体"/>
                <w:color w:val="auto"/>
                <w:sz w:val="18"/>
                <w:szCs w:val="18"/>
              </w:rPr>
            </w:pPr>
            <w:r>
              <w:rPr>
                <w:rFonts w:hint="eastAsia" w:cs="宋体"/>
                <w:color w:val="auto"/>
                <w:sz w:val="18"/>
                <w:szCs w:val="18"/>
              </w:rPr>
              <w:t>实力</w:t>
            </w:r>
          </w:p>
          <w:p w14:paraId="68B74A61">
            <w:pPr>
              <w:widowControl/>
              <w:jc w:val="center"/>
              <w:rPr>
                <w:rFonts w:cs="宋体"/>
                <w:color w:val="auto"/>
                <w:sz w:val="18"/>
                <w:szCs w:val="18"/>
              </w:rPr>
            </w:pPr>
            <w:r>
              <w:rPr>
                <w:rFonts w:hint="eastAsia" w:cs="宋体"/>
                <w:color w:val="auto"/>
                <w:sz w:val="18"/>
                <w:szCs w:val="18"/>
              </w:rPr>
              <w:t>（3分）</w:t>
            </w:r>
          </w:p>
        </w:tc>
        <w:tc>
          <w:tcPr>
            <w:tcW w:w="1733" w:type="dxa"/>
            <w:vMerge w:val="restart"/>
            <w:vAlign w:val="center"/>
          </w:tcPr>
          <w:p w14:paraId="1E536D07">
            <w:pPr>
              <w:widowControl/>
              <w:rPr>
                <w:rFonts w:cs="宋体"/>
                <w:color w:val="auto"/>
                <w:sz w:val="18"/>
                <w:szCs w:val="18"/>
              </w:rPr>
            </w:pPr>
            <w:r>
              <w:rPr>
                <w:rFonts w:hint="eastAsia" w:cs="宋体"/>
                <w:color w:val="auto"/>
                <w:sz w:val="18"/>
                <w:szCs w:val="18"/>
              </w:rPr>
              <w:t>安全生产许可证</w:t>
            </w:r>
          </w:p>
          <w:p w14:paraId="1BEE6FB1">
            <w:pPr>
              <w:widowControl/>
              <w:rPr>
                <w:rFonts w:cs="宋体"/>
                <w:color w:val="auto"/>
                <w:sz w:val="18"/>
                <w:szCs w:val="18"/>
              </w:rPr>
            </w:pPr>
            <w:r>
              <w:rPr>
                <w:rFonts w:hint="eastAsia" w:cs="宋体"/>
                <w:b/>
                <w:color w:val="auto"/>
                <w:sz w:val="18"/>
                <w:szCs w:val="18"/>
              </w:rPr>
              <w:t>（注：提供的扫描件需</w:t>
            </w:r>
            <w:r>
              <w:rPr>
                <w:rFonts w:cs="宋体"/>
                <w:b/>
                <w:color w:val="auto"/>
                <w:sz w:val="18"/>
                <w:szCs w:val="18"/>
              </w:rPr>
              <w:t>加盖</w:t>
            </w:r>
            <w:r>
              <w:rPr>
                <w:rFonts w:hint="eastAsia" w:cs="宋体"/>
                <w:b/>
                <w:color w:val="auto"/>
                <w:sz w:val="18"/>
                <w:szCs w:val="18"/>
              </w:rPr>
              <w:t>投标人</w:t>
            </w:r>
            <w:r>
              <w:rPr>
                <w:rFonts w:cs="宋体"/>
                <w:b/>
                <w:color w:val="auto"/>
                <w:sz w:val="18"/>
                <w:szCs w:val="18"/>
              </w:rPr>
              <w:t>公章</w:t>
            </w:r>
            <w:r>
              <w:rPr>
                <w:rFonts w:hint="eastAsia" w:cs="宋体"/>
                <w:b/>
                <w:color w:val="auto"/>
                <w:sz w:val="18"/>
                <w:szCs w:val="18"/>
              </w:rPr>
              <w:t>）</w:t>
            </w:r>
          </w:p>
        </w:tc>
        <w:tc>
          <w:tcPr>
            <w:tcW w:w="706" w:type="dxa"/>
            <w:vMerge w:val="restart"/>
            <w:vAlign w:val="center"/>
          </w:tcPr>
          <w:p w14:paraId="2AC43E46">
            <w:pPr>
              <w:widowControl/>
              <w:jc w:val="center"/>
              <w:rPr>
                <w:rFonts w:cs="宋体"/>
                <w:color w:val="auto"/>
                <w:sz w:val="18"/>
                <w:szCs w:val="18"/>
              </w:rPr>
            </w:pPr>
            <w:r>
              <w:rPr>
                <w:rFonts w:hint="eastAsia" w:cs="宋体"/>
                <w:color w:val="auto"/>
                <w:sz w:val="18"/>
                <w:szCs w:val="18"/>
              </w:rPr>
              <w:t>3</w:t>
            </w:r>
          </w:p>
        </w:tc>
        <w:tc>
          <w:tcPr>
            <w:tcW w:w="4066" w:type="dxa"/>
            <w:vAlign w:val="center"/>
          </w:tcPr>
          <w:p w14:paraId="2247D071">
            <w:pPr>
              <w:widowControl/>
              <w:rPr>
                <w:rFonts w:cs="宋体"/>
                <w:color w:val="auto"/>
                <w:sz w:val="18"/>
                <w:szCs w:val="18"/>
              </w:rPr>
            </w:pPr>
            <w:r>
              <w:rPr>
                <w:rFonts w:hint="eastAsia" w:cs="宋体"/>
                <w:color w:val="auto"/>
                <w:sz w:val="18"/>
                <w:szCs w:val="18"/>
              </w:rPr>
              <w:t>具有安全生产许可证。</w:t>
            </w:r>
          </w:p>
        </w:tc>
        <w:tc>
          <w:tcPr>
            <w:tcW w:w="467" w:type="dxa"/>
            <w:vAlign w:val="center"/>
          </w:tcPr>
          <w:p w14:paraId="3CE652E3">
            <w:pPr>
              <w:widowControl/>
              <w:jc w:val="center"/>
              <w:rPr>
                <w:rFonts w:cs="宋体"/>
                <w:color w:val="auto"/>
                <w:sz w:val="18"/>
                <w:szCs w:val="18"/>
              </w:rPr>
            </w:pPr>
            <w:r>
              <w:rPr>
                <w:rFonts w:hint="eastAsia" w:cs="宋体"/>
                <w:color w:val="auto"/>
                <w:sz w:val="18"/>
                <w:szCs w:val="18"/>
              </w:rPr>
              <w:t>3</w:t>
            </w:r>
          </w:p>
        </w:tc>
      </w:tr>
      <w:tr w14:paraId="1C2C8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737" w:type="dxa"/>
            <w:vMerge w:val="continue"/>
            <w:vAlign w:val="center"/>
          </w:tcPr>
          <w:p w14:paraId="367B27CF">
            <w:pPr>
              <w:widowControl/>
              <w:jc w:val="center"/>
              <w:rPr>
                <w:rFonts w:cs="宋体"/>
                <w:color w:val="auto"/>
                <w:sz w:val="18"/>
                <w:szCs w:val="18"/>
              </w:rPr>
            </w:pPr>
          </w:p>
        </w:tc>
        <w:tc>
          <w:tcPr>
            <w:tcW w:w="1294" w:type="dxa"/>
            <w:vMerge w:val="continue"/>
            <w:vAlign w:val="center"/>
          </w:tcPr>
          <w:p w14:paraId="30BF0C59">
            <w:pPr>
              <w:jc w:val="center"/>
              <w:rPr>
                <w:b/>
                <w:color w:val="auto"/>
                <w:sz w:val="18"/>
                <w:szCs w:val="18"/>
              </w:rPr>
            </w:pPr>
          </w:p>
        </w:tc>
        <w:tc>
          <w:tcPr>
            <w:tcW w:w="1733" w:type="dxa"/>
            <w:vMerge w:val="continue"/>
            <w:vAlign w:val="center"/>
          </w:tcPr>
          <w:p w14:paraId="6A96F89F">
            <w:pPr>
              <w:jc w:val="center"/>
              <w:rPr>
                <w:b/>
                <w:color w:val="auto"/>
                <w:sz w:val="18"/>
                <w:szCs w:val="18"/>
              </w:rPr>
            </w:pPr>
          </w:p>
        </w:tc>
        <w:tc>
          <w:tcPr>
            <w:tcW w:w="706" w:type="dxa"/>
            <w:vMerge w:val="continue"/>
            <w:vAlign w:val="center"/>
          </w:tcPr>
          <w:p w14:paraId="583AEAED">
            <w:pPr>
              <w:widowControl/>
              <w:rPr>
                <w:rFonts w:cs="宋体"/>
                <w:color w:val="auto"/>
                <w:sz w:val="18"/>
                <w:szCs w:val="18"/>
              </w:rPr>
            </w:pPr>
          </w:p>
        </w:tc>
        <w:tc>
          <w:tcPr>
            <w:tcW w:w="4066" w:type="dxa"/>
            <w:vAlign w:val="center"/>
          </w:tcPr>
          <w:p w14:paraId="0736AB8F">
            <w:pPr>
              <w:widowControl/>
              <w:rPr>
                <w:rFonts w:cs="宋体"/>
                <w:color w:val="auto"/>
                <w:sz w:val="18"/>
                <w:szCs w:val="18"/>
              </w:rPr>
            </w:pPr>
            <w:r>
              <w:rPr>
                <w:rFonts w:hint="eastAsia" w:cs="宋体"/>
                <w:color w:val="auto"/>
                <w:sz w:val="18"/>
                <w:szCs w:val="18"/>
              </w:rPr>
              <w:t>未提供安全生产许可证。</w:t>
            </w:r>
          </w:p>
        </w:tc>
        <w:tc>
          <w:tcPr>
            <w:tcW w:w="467" w:type="dxa"/>
            <w:vAlign w:val="center"/>
          </w:tcPr>
          <w:p w14:paraId="198FCDCB">
            <w:pPr>
              <w:widowControl/>
              <w:jc w:val="center"/>
              <w:rPr>
                <w:rFonts w:cs="宋体"/>
                <w:color w:val="auto"/>
                <w:sz w:val="18"/>
                <w:szCs w:val="18"/>
              </w:rPr>
            </w:pPr>
            <w:r>
              <w:rPr>
                <w:rFonts w:hint="eastAsia" w:cs="宋体"/>
                <w:color w:val="auto"/>
                <w:sz w:val="18"/>
                <w:szCs w:val="18"/>
              </w:rPr>
              <w:t>0</w:t>
            </w:r>
          </w:p>
        </w:tc>
      </w:tr>
      <w:tr w14:paraId="0488E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vMerge w:val="continue"/>
            <w:vAlign w:val="center"/>
          </w:tcPr>
          <w:p w14:paraId="7F4714FB">
            <w:pPr>
              <w:widowControl/>
              <w:jc w:val="center"/>
              <w:rPr>
                <w:rFonts w:cs="宋体"/>
                <w:color w:val="auto"/>
                <w:sz w:val="18"/>
                <w:szCs w:val="18"/>
              </w:rPr>
            </w:pPr>
          </w:p>
        </w:tc>
        <w:tc>
          <w:tcPr>
            <w:tcW w:w="1294" w:type="dxa"/>
            <w:vMerge w:val="restart"/>
            <w:vAlign w:val="center"/>
          </w:tcPr>
          <w:p w14:paraId="0D1EEDC0">
            <w:pPr>
              <w:widowControl/>
              <w:jc w:val="center"/>
              <w:rPr>
                <w:color w:val="auto"/>
                <w:sz w:val="18"/>
                <w:szCs w:val="18"/>
              </w:rPr>
            </w:pPr>
            <w:r>
              <w:rPr>
                <w:rFonts w:hint="eastAsia"/>
                <w:color w:val="auto"/>
                <w:sz w:val="18"/>
                <w:szCs w:val="18"/>
              </w:rPr>
              <w:t>单位</w:t>
            </w:r>
          </w:p>
          <w:p w14:paraId="6A9F6F84">
            <w:pPr>
              <w:widowControl/>
              <w:jc w:val="center"/>
              <w:rPr>
                <w:color w:val="auto"/>
                <w:sz w:val="18"/>
                <w:szCs w:val="18"/>
              </w:rPr>
            </w:pPr>
            <w:r>
              <w:rPr>
                <w:rFonts w:hint="eastAsia"/>
                <w:color w:val="auto"/>
                <w:sz w:val="18"/>
                <w:szCs w:val="18"/>
              </w:rPr>
              <w:t>业绩</w:t>
            </w:r>
          </w:p>
          <w:p w14:paraId="20F659C7">
            <w:pPr>
              <w:widowControl/>
              <w:jc w:val="center"/>
              <w:rPr>
                <w:rFonts w:eastAsia="宋体" w:cs="宋体"/>
                <w:color w:val="auto"/>
                <w:sz w:val="18"/>
                <w:szCs w:val="18"/>
              </w:rPr>
            </w:pPr>
            <w:r>
              <w:rPr>
                <w:rFonts w:hint="eastAsia"/>
                <w:color w:val="auto"/>
                <w:sz w:val="18"/>
                <w:szCs w:val="18"/>
              </w:rPr>
              <w:t>（5分）</w:t>
            </w:r>
          </w:p>
        </w:tc>
        <w:tc>
          <w:tcPr>
            <w:tcW w:w="1733" w:type="dxa"/>
            <w:vMerge w:val="restart"/>
            <w:vAlign w:val="center"/>
          </w:tcPr>
          <w:p w14:paraId="77873749">
            <w:pPr>
              <w:widowControl/>
              <w:rPr>
                <w:rFonts w:eastAsia="宋体" w:cs="宋体"/>
                <w:color w:val="auto"/>
                <w:sz w:val="18"/>
                <w:szCs w:val="18"/>
              </w:rPr>
            </w:pPr>
            <w:r>
              <w:rPr>
                <w:rFonts w:hint="eastAsia" w:cs="宋体"/>
                <w:color w:val="auto"/>
                <w:sz w:val="18"/>
                <w:szCs w:val="18"/>
              </w:rPr>
              <w:t>2021年3月1日</w:t>
            </w:r>
            <w:r>
              <w:rPr>
                <w:rFonts w:cs="宋体"/>
                <w:color w:val="auto"/>
                <w:sz w:val="18"/>
                <w:szCs w:val="18"/>
              </w:rPr>
              <w:t>以来，</w:t>
            </w:r>
            <w:r>
              <w:rPr>
                <w:rFonts w:hint="eastAsia" w:cs="宋体"/>
                <w:color w:val="auto"/>
                <w:sz w:val="18"/>
                <w:szCs w:val="18"/>
              </w:rPr>
              <w:t>承担过固体矿产勘查（含</w:t>
            </w:r>
            <w:r>
              <w:rPr>
                <w:rFonts w:cs="宋体"/>
                <w:color w:val="auto"/>
                <w:sz w:val="18"/>
                <w:szCs w:val="18"/>
              </w:rPr>
              <w:t>钻探</w:t>
            </w:r>
            <w:r>
              <w:rPr>
                <w:rFonts w:hint="eastAsia" w:cs="宋体"/>
                <w:color w:val="auto"/>
                <w:sz w:val="18"/>
                <w:szCs w:val="18"/>
              </w:rPr>
              <w:t>）业务</w:t>
            </w:r>
            <w:r>
              <w:rPr>
                <w:rFonts w:hint="eastAsia" w:cs="宋体"/>
                <w:b/>
                <w:color w:val="auto"/>
                <w:sz w:val="18"/>
                <w:szCs w:val="18"/>
              </w:rPr>
              <w:t>（注：提供业绩合同扫描件并</w:t>
            </w:r>
            <w:r>
              <w:rPr>
                <w:rFonts w:cs="宋体"/>
                <w:b/>
                <w:color w:val="auto"/>
                <w:sz w:val="18"/>
                <w:szCs w:val="18"/>
              </w:rPr>
              <w:t>加盖</w:t>
            </w:r>
            <w:r>
              <w:rPr>
                <w:rFonts w:hint="eastAsia" w:cs="宋体"/>
                <w:b/>
                <w:color w:val="auto"/>
                <w:sz w:val="18"/>
                <w:szCs w:val="18"/>
              </w:rPr>
              <w:t>投标人</w:t>
            </w:r>
            <w:r>
              <w:rPr>
                <w:rFonts w:cs="宋体"/>
                <w:b/>
                <w:color w:val="auto"/>
                <w:sz w:val="18"/>
                <w:szCs w:val="18"/>
              </w:rPr>
              <w:t>公章</w:t>
            </w:r>
            <w:r>
              <w:rPr>
                <w:rFonts w:hint="eastAsia" w:cs="宋体"/>
                <w:b/>
                <w:color w:val="auto"/>
                <w:sz w:val="18"/>
                <w:szCs w:val="18"/>
              </w:rPr>
              <w:t>，</w:t>
            </w:r>
            <w:r>
              <w:rPr>
                <w:rFonts w:cs="宋体"/>
                <w:b/>
                <w:color w:val="auto"/>
                <w:sz w:val="18"/>
                <w:szCs w:val="18"/>
              </w:rPr>
              <w:t>合同</w:t>
            </w:r>
            <w:r>
              <w:rPr>
                <w:rFonts w:hint="eastAsia" w:cs="宋体"/>
                <w:b/>
                <w:color w:val="auto"/>
                <w:sz w:val="18"/>
                <w:szCs w:val="18"/>
              </w:rPr>
              <w:t>中需含钻探</w:t>
            </w:r>
            <w:r>
              <w:rPr>
                <w:rFonts w:cs="宋体"/>
                <w:b/>
                <w:color w:val="auto"/>
                <w:sz w:val="18"/>
                <w:szCs w:val="18"/>
              </w:rPr>
              <w:t>工作</w:t>
            </w:r>
            <w:r>
              <w:rPr>
                <w:rFonts w:hint="eastAsia" w:cs="宋体"/>
                <w:b/>
                <w:color w:val="auto"/>
                <w:sz w:val="18"/>
                <w:szCs w:val="18"/>
              </w:rPr>
              <w:t>量内容）</w:t>
            </w:r>
          </w:p>
        </w:tc>
        <w:tc>
          <w:tcPr>
            <w:tcW w:w="706" w:type="dxa"/>
            <w:vMerge w:val="restart"/>
            <w:vAlign w:val="center"/>
          </w:tcPr>
          <w:p w14:paraId="40E676C1">
            <w:pPr>
              <w:widowControl/>
              <w:jc w:val="center"/>
              <w:rPr>
                <w:rFonts w:eastAsia="宋体" w:cs="宋体"/>
                <w:color w:val="auto"/>
                <w:sz w:val="18"/>
                <w:szCs w:val="18"/>
              </w:rPr>
            </w:pPr>
            <w:r>
              <w:rPr>
                <w:rFonts w:hint="eastAsia" w:cs="宋体"/>
                <w:color w:val="auto"/>
                <w:sz w:val="18"/>
                <w:szCs w:val="18"/>
              </w:rPr>
              <w:t>5</w:t>
            </w:r>
          </w:p>
        </w:tc>
        <w:tc>
          <w:tcPr>
            <w:tcW w:w="4066" w:type="dxa"/>
            <w:vAlign w:val="center"/>
          </w:tcPr>
          <w:p w14:paraId="3D4AEC7A">
            <w:pPr>
              <w:widowControl/>
              <w:rPr>
                <w:rFonts w:eastAsia="宋体" w:cs="宋体"/>
                <w:color w:val="auto"/>
                <w:sz w:val="18"/>
                <w:szCs w:val="18"/>
              </w:rPr>
            </w:pPr>
            <w:r>
              <w:rPr>
                <w:rFonts w:hint="eastAsia" w:cs="宋体"/>
                <w:color w:val="auto"/>
                <w:sz w:val="18"/>
                <w:szCs w:val="18"/>
              </w:rPr>
              <w:t>从事过具有钻探工程施工的固体矿产勘查项目5个及以上。</w:t>
            </w:r>
          </w:p>
        </w:tc>
        <w:tc>
          <w:tcPr>
            <w:tcW w:w="467" w:type="dxa"/>
            <w:vAlign w:val="center"/>
          </w:tcPr>
          <w:p w14:paraId="7AFACFB3">
            <w:pPr>
              <w:widowControl/>
              <w:jc w:val="center"/>
              <w:rPr>
                <w:rFonts w:eastAsia="宋体" w:cs="宋体"/>
                <w:color w:val="auto"/>
                <w:sz w:val="18"/>
                <w:szCs w:val="18"/>
              </w:rPr>
            </w:pPr>
            <w:r>
              <w:rPr>
                <w:rFonts w:hint="eastAsia" w:cs="宋体"/>
                <w:color w:val="auto"/>
                <w:sz w:val="18"/>
                <w:szCs w:val="18"/>
              </w:rPr>
              <w:t>5</w:t>
            </w:r>
          </w:p>
        </w:tc>
      </w:tr>
      <w:tr w14:paraId="5F582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737" w:type="dxa"/>
            <w:vMerge w:val="continue"/>
            <w:vAlign w:val="center"/>
          </w:tcPr>
          <w:p w14:paraId="18584F49">
            <w:pPr>
              <w:widowControl/>
              <w:jc w:val="center"/>
              <w:rPr>
                <w:rFonts w:cs="宋体"/>
                <w:color w:val="auto"/>
                <w:sz w:val="18"/>
                <w:szCs w:val="18"/>
              </w:rPr>
            </w:pPr>
          </w:p>
        </w:tc>
        <w:tc>
          <w:tcPr>
            <w:tcW w:w="1294" w:type="dxa"/>
            <w:vMerge w:val="continue"/>
            <w:vAlign w:val="center"/>
          </w:tcPr>
          <w:p w14:paraId="3FD4F17C">
            <w:pPr>
              <w:widowControl/>
              <w:jc w:val="center"/>
              <w:rPr>
                <w:rFonts w:cs="宋体"/>
                <w:color w:val="auto"/>
                <w:sz w:val="18"/>
                <w:szCs w:val="18"/>
              </w:rPr>
            </w:pPr>
          </w:p>
        </w:tc>
        <w:tc>
          <w:tcPr>
            <w:tcW w:w="1733" w:type="dxa"/>
            <w:vMerge w:val="continue"/>
            <w:vAlign w:val="center"/>
          </w:tcPr>
          <w:p w14:paraId="7B36CBF5">
            <w:pPr>
              <w:widowControl/>
              <w:rPr>
                <w:rFonts w:cs="宋体"/>
                <w:color w:val="auto"/>
                <w:sz w:val="18"/>
                <w:szCs w:val="18"/>
              </w:rPr>
            </w:pPr>
          </w:p>
        </w:tc>
        <w:tc>
          <w:tcPr>
            <w:tcW w:w="706" w:type="dxa"/>
            <w:vMerge w:val="continue"/>
            <w:vAlign w:val="center"/>
          </w:tcPr>
          <w:p w14:paraId="0C0C3A25">
            <w:pPr>
              <w:widowControl/>
              <w:jc w:val="center"/>
              <w:rPr>
                <w:rFonts w:cs="宋体"/>
                <w:color w:val="auto"/>
                <w:sz w:val="18"/>
                <w:szCs w:val="18"/>
              </w:rPr>
            </w:pPr>
          </w:p>
        </w:tc>
        <w:tc>
          <w:tcPr>
            <w:tcW w:w="4066" w:type="dxa"/>
            <w:vAlign w:val="center"/>
          </w:tcPr>
          <w:p w14:paraId="579BB617">
            <w:pPr>
              <w:widowControl/>
              <w:rPr>
                <w:rFonts w:eastAsia="宋体" w:cs="宋体"/>
                <w:color w:val="auto"/>
                <w:sz w:val="18"/>
                <w:szCs w:val="18"/>
              </w:rPr>
            </w:pPr>
            <w:r>
              <w:rPr>
                <w:rFonts w:hint="eastAsia" w:cs="宋体"/>
                <w:color w:val="auto"/>
                <w:sz w:val="18"/>
                <w:szCs w:val="18"/>
              </w:rPr>
              <w:t>从事过具有钻探工程施工的固体矿产勘查项目4个。</w:t>
            </w:r>
          </w:p>
        </w:tc>
        <w:tc>
          <w:tcPr>
            <w:tcW w:w="467" w:type="dxa"/>
            <w:vAlign w:val="center"/>
          </w:tcPr>
          <w:p w14:paraId="3324E924">
            <w:pPr>
              <w:widowControl/>
              <w:jc w:val="center"/>
              <w:rPr>
                <w:rFonts w:eastAsia="宋体" w:cs="宋体"/>
                <w:color w:val="auto"/>
                <w:sz w:val="18"/>
                <w:szCs w:val="18"/>
              </w:rPr>
            </w:pPr>
            <w:r>
              <w:rPr>
                <w:rFonts w:hint="eastAsia" w:cs="宋体"/>
                <w:color w:val="auto"/>
                <w:sz w:val="18"/>
                <w:szCs w:val="18"/>
              </w:rPr>
              <w:t>4</w:t>
            </w:r>
          </w:p>
        </w:tc>
      </w:tr>
      <w:tr w14:paraId="3E58F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737" w:type="dxa"/>
            <w:vMerge w:val="continue"/>
            <w:vAlign w:val="center"/>
          </w:tcPr>
          <w:p w14:paraId="355051B7">
            <w:pPr>
              <w:widowControl/>
              <w:jc w:val="center"/>
              <w:rPr>
                <w:rFonts w:cs="宋体"/>
                <w:color w:val="auto"/>
                <w:sz w:val="18"/>
                <w:szCs w:val="18"/>
              </w:rPr>
            </w:pPr>
          </w:p>
        </w:tc>
        <w:tc>
          <w:tcPr>
            <w:tcW w:w="1294" w:type="dxa"/>
            <w:vMerge w:val="continue"/>
            <w:vAlign w:val="center"/>
          </w:tcPr>
          <w:p w14:paraId="3B98A485">
            <w:pPr>
              <w:widowControl/>
              <w:jc w:val="center"/>
              <w:rPr>
                <w:rFonts w:cs="宋体"/>
                <w:color w:val="auto"/>
                <w:sz w:val="18"/>
                <w:szCs w:val="18"/>
              </w:rPr>
            </w:pPr>
          </w:p>
        </w:tc>
        <w:tc>
          <w:tcPr>
            <w:tcW w:w="1733" w:type="dxa"/>
            <w:vMerge w:val="continue"/>
            <w:vAlign w:val="center"/>
          </w:tcPr>
          <w:p w14:paraId="158864D2">
            <w:pPr>
              <w:widowControl/>
              <w:rPr>
                <w:rFonts w:cs="宋体"/>
                <w:color w:val="auto"/>
                <w:sz w:val="18"/>
                <w:szCs w:val="18"/>
              </w:rPr>
            </w:pPr>
          </w:p>
        </w:tc>
        <w:tc>
          <w:tcPr>
            <w:tcW w:w="706" w:type="dxa"/>
            <w:vMerge w:val="continue"/>
            <w:vAlign w:val="center"/>
          </w:tcPr>
          <w:p w14:paraId="15DE2187">
            <w:pPr>
              <w:widowControl/>
              <w:jc w:val="center"/>
              <w:rPr>
                <w:rFonts w:cs="宋体"/>
                <w:color w:val="auto"/>
                <w:sz w:val="18"/>
                <w:szCs w:val="18"/>
              </w:rPr>
            </w:pPr>
          </w:p>
        </w:tc>
        <w:tc>
          <w:tcPr>
            <w:tcW w:w="4066" w:type="dxa"/>
            <w:vAlign w:val="center"/>
          </w:tcPr>
          <w:p w14:paraId="60DFAA51">
            <w:pPr>
              <w:widowControl/>
              <w:rPr>
                <w:rFonts w:eastAsia="宋体" w:cs="宋体"/>
                <w:color w:val="auto"/>
                <w:sz w:val="18"/>
                <w:szCs w:val="18"/>
              </w:rPr>
            </w:pPr>
            <w:r>
              <w:rPr>
                <w:rFonts w:hint="eastAsia" w:cs="宋体"/>
                <w:color w:val="auto"/>
                <w:sz w:val="18"/>
                <w:szCs w:val="18"/>
              </w:rPr>
              <w:t>从事过具有钻探工程施工的固体矿产勘查项目3个。</w:t>
            </w:r>
          </w:p>
        </w:tc>
        <w:tc>
          <w:tcPr>
            <w:tcW w:w="467" w:type="dxa"/>
            <w:vAlign w:val="center"/>
          </w:tcPr>
          <w:p w14:paraId="387B9ADB">
            <w:pPr>
              <w:widowControl/>
              <w:jc w:val="center"/>
              <w:rPr>
                <w:rFonts w:eastAsia="宋体" w:cs="宋体"/>
                <w:color w:val="auto"/>
                <w:sz w:val="18"/>
                <w:szCs w:val="18"/>
              </w:rPr>
            </w:pPr>
            <w:r>
              <w:rPr>
                <w:rFonts w:hint="eastAsia" w:cs="宋体"/>
                <w:color w:val="auto"/>
                <w:sz w:val="18"/>
                <w:szCs w:val="18"/>
              </w:rPr>
              <w:t>3</w:t>
            </w:r>
          </w:p>
        </w:tc>
      </w:tr>
      <w:tr w14:paraId="0A997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737" w:type="dxa"/>
            <w:vMerge w:val="continue"/>
            <w:vAlign w:val="center"/>
          </w:tcPr>
          <w:p w14:paraId="4582BFFE">
            <w:pPr>
              <w:widowControl/>
              <w:jc w:val="center"/>
              <w:rPr>
                <w:rFonts w:cs="宋体"/>
                <w:color w:val="auto"/>
                <w:sz w:val="18"/>
                <w:szCs w:val="18"/>
              </w:rPr>
            </w:pPr>
          </w:p>
        </w:tc>
        <w:tc>
          <w:tcPr>
            <w:tcW w:w="1294" w:type="dxa"/>
            <w:vMerge w:val="continue"/>
            <w:vAlign w:val="center"/>
          </w:tcPr>
          <w:p w14:paraId="7E20A2B8">
            <w:pPr>
              <w:widowControl/>
              <w:jc w:val="center"/>
              <w:rPr>
                <w:rFonts w:cs="宋体"/>
                <w:color w:val="auto"/>
                <w:sz w:val="18"/>
                <w:szCs w:val="18"/>
              </w:rPr>
            </w:pPr>
          </w:p>
        </w:tc>
        <w:tc>
          <w:tcPr>
            <w:tcW w:w="1733" w:type="dxa"/>
            <w:vMerge w:val="continue"/>
            <w:vAlign w:val="center"/>
          </w:tcPr>
          <w:p w14:paraId="31F81F69">
            <w:pPr>
              <w:widowControl/>
              <w:rPr>
                <w:rFonts w:cs="宋体"/>
                <w:color w:val="auto"/>
                <w:sz w:val="18"/>
                <w:szCs w:val="18"/>
              </w:rPr>
            </w:pPr>
          </w:p>
        </w:tc>
        <w:tc>
          <w:tcPr>
            <w:tcW w:w="706" w:type="dxa"/>
            <w:vMerge w:val="continue"/>
            <w:vAlign w:val="center"/>
          </w:tcPr>
          <w:p w14:paraId="6968862E">
            <w:pPr>
              <w:widowControl/>
              <w:jc w:val="center"/>
              <w:rPr>
                <w:rFonts w:cs="宋体"/>
                <w:color w:val="auto"/>
                <w:sz w:val="18"/>
                <w:szCs w:val="18"/>
              </w:rPr>
            </w:pPr>
          </w:p>
        </w:tc>
        <w:tc>
          <w:tcPr>
            <w:tcW w:w="4066" w:type="dxa"/>
            <w:vAlign w:val="center"/>
          </w:tcPr>
          <w:p w14:paraId="0DF8EE9D">
            <w:pPr>
              <w:widowControl/>
              <w:rPr>
                <w:rFonts w:eastAsia="宋体" w:cs="宋体"/>
                <w:color w:val="auto"/>
                <w:sz w:val="18"/>
                <w:szCs w:val="18"/>
              </w:rPr>
            </w:pPr>
            <w:r>
              <w:rPr>
                <w:rFonts w:hint="eastAsia" w:cs="宋体"/>
                <w:color w:val="auto"/>
                <w:sz w:val="18"/>
                <w:szCs w:val="18"/>
              </w:rPr>
              <w:t>从事过具有钻探工程施工的固体矿产勘查项目</w:t>
            </w:r>
            <w:r>
              <w:rPr>
                <w:rFonts w:cs="宋体"/>
                <w:color w:val="auto"/>
                <w:sz w:val="18"/>
                <w:szCs w:val="18"/>
              </w:rPr>
              <w:t>1-2</w:t>
            </w:r>
            <w:r>
              <w:rPr>
                <w:rFonts w:hint="eastAsia" w:cs="宋体"/>
                <w:color w:val="auto"/>
                <w:sz w:val="18"/>
                <w:szCs w:val="18"/>
              </w:rPr>
              <w:t>个。</w:t>
            </w:r>
          </w:p>
        </w:tc>
        <w:tc>
          <w:tcPr>
            <w:tcW w:w="467" w:type="dxa"/>
            <w:vAlign w:val="center"/>
          </w:tcPr>
          <w:p w14:paraId="55AF8696">
            <w:pPr>
              <w:widowControl/>
              <w:jc w:val="center"/>
              <w:rPr>
                <w:rFonts w:eastAsia="宋体" w:cs="宋体"/>
                <w:color w:val="auto"/>
                <w:sz w:val="18"/>
                <w:szCs w:val="18"/>
              </w:rPr>
            </w:pPr>
            <w:r>
              <w:rPr>
                <w:rFonts w:hint="eastAsia" w:cs="宋体"/>
                <w:color w:val="auto"/>
                <w:sz w:val="18"/>
                <w:szCs w:val="18"/>
              </w:rPr>
              <w:t>2</w:t>
            </w:r>
          </w:p>
        </w:tc>
      </w:tr>
      <w:tr w14:paraId="317D1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jc w:val="center"/>
        </w:trPr>
        <w:tc>
          <w:tcPr>
            <w:tcW w:w="737" w:type="dxa"/>
            <w:vMerge w:val="continue"/>
            <w:vAlign w:val="center"/>
          </w:tcPr>
          <w:p w14:paraId="5AAE298F">
            <w:pPr>
              <w:widowControl/>
              <w:jc w:val="center"/>
              <w:rPr>
                <w:rFonts w:cs="宋体"/>
                <w:color w:val="auto"/>
                <w:sz w:val="18"/>
                <w:szCs w:val="18"/>
              </w:rPr>
            </w:pPr>
          </w:p>
        </w:tc>
        <w:tc>
          <w:tcPr>
            <w:tcW w:w="1294" w:type="dxa"/>
            <w:vMerge w:val="continue"/>
            <w:vAlign w:val="center"/>
          </w:tcPr>
          <w:p w14:paraId="5A4BB8FE">
            <w:pPr>
              <w:widowControl/>
              <w:jc w:val="center"/>
              <w:rPr>
                <w:rFonts w:cs="宋体"/>
                <w:color w:val="auto"/>
                <w:sz w:val="18"/>
                <w:szCs w:val="18"/>
              </w:rPr>
            </w:pPr>
          </w:p>
        </w:tc>
        <w:tc>
          <w:tcPr>
            <w:tcW w:w="1733" w:type="dxa"/>
            <w:vMerge w:val="continue"/>
            <w:vAlign w:val="center"/>
          </w:tcPr>
          <w:p w14:paraId="106D8048">
            <w:pPr>
              <w:widowControl/>
              <w:rPr>
                <w:rFonts w:cs="宋体"/>
                <w:color w:val="auto"/>
                <w:sz w:val="18"/>
                <w:szCs w:val="18"/>
              </w:rPr>
            </w:pPr>
          </w:p>
        </w:tc>
        <w:tc>
          <w:tcPr>
            <w:tcW w:w="706" w:type="dxa"/>
            <w:vMerge w:val="continue"/>
            <w:vAlign w:val="center"/>
          </w:tcPr>
          <w:p w14:paraId="0B7CCE4A">
            <w:pPr>
              <w:widowControl/>
              <w:jc w:val="center"/>
              <w:rPr>
                <w:rFonts w:cs="宋体"/>
                <w:color w:val="auto"/>
                <w:sz w:val="18"/>
                <w:szCs w:val="18"/>
              </w:rPr>
            </w:pPr>
          </w:p>
        </w:tc>
        <w:tc>
          <w:tcPr>
            <w:tcW w:w="4066" w:type="dxa"/>
            <w:vAlign w:val="center"/>
          </w:tcPr>
          <w:p w14:paraId="3A021438">
            <w:pPr>
              <w:widowControl/>
              <w:rPr>
                <w:rFonts w:eastAsia="宋体" w:cs="宋体"/>
                <w:color w:val="auto"/>
                <w:sz w:val="18"/>
                <w:szCs w:val="18"/>
              </w:rPr>
            </w:pPr>
            <w:r>
              <w:rPr>
                <w:rFonts w:hint="eastAsia" w:cs="宋体"/>
                <w:color w:val="auto"/>
                <w:sz w:val="18"/>
                <w:szCs w:val="18"/>
              </w:rPr>
              <w:t>未承担过具有钻探工程施工的固体矿产勘查项目。</w:t>
            </w:r>
          </w:p>
        </w:tc>
        <w:tc>
          <w:tcPr>
            <w:tcW w:w="467" w:type="dxa"/>
            <w:vAlign w:val="center"/>
          </w:tcPr>
          <w:p w14:paraId="2D7BFC34">
            <w:pPr>
              <w:widowControl/>
              <w:jc w:val="center"/>
              <w:rPr>
                <w:rFonts w:eastAsia="宋体" w:cs="宋体"/>
                <w:color w:val="auto"/>
                <w:sz w:val="18"/>
                <w:szCs w:val="18"/>
              </w:rPr>
            </w:pPr>
            <w:r>
              <w:rPr>
                <w:rFonts w:hint="eastAsia" w:cs="宋体"/>
                <w:color w:val="auto"/>
                <w:sz w:val="18"/>
                <w:szCs w:val="18"/>
              </w:rPr>
              <w:t>0</w:t>
            </w:r>
          </w:p>
        </w:tc>
      </w:tr>
      <w:tr w14:paraId="0054A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vAlign w:val="center"/>
          </w:tcPr>
          <w:p w14:paraId="3E7FC432">
            <w:pPr>
              <w:widowControl/>
              <w:jc w:val="center"/>
              <w:rPr>
                <w:rFonts w:cs="宋体"/>
                <w:color w:val="auto"/>
                <w:sz w:val="18"/>
                <w:szCs w:val="18"/>
              </w:rPr>
            </w:pPr>
          </w:p>
        </w:tc>
        <w:tc>
          <w:tcPr>
            <w:tcW w:w="1294" w:type="dxa"/>
            <w:vMerge w:val="restart"/>
            <w:vAlign w:val="center"/>
          </w:tcPr>
          <w:p w14:paraId="414FDF65">
            <w:pPr>
              <w:widowControl/>
              <w:jc w:val="center"/>
              <w:rPr>
                <w:rFonts w:hint="eastAsia" w:eastAsia="仿宋" w:cs="宋体"/>
                <w:color w:val="auto"/>
                <w:sz w:val="18"/>
                <w:szCs w:val="18"/>
                <w:lang w:val="en-US" w:eastAsia="zh-CN"/>
              </w:rPr>
            </w:pPr>
            <w:r>
              <w:rPr>
                <w:rFonts w:hint="eastAsia" w:cs="宋体"/>
                <w:color w:val="auto"/>
                <w:sz w:val="18"/>
                <w:szCs w:val="18"/>
              </w:rPr>
              <w:t>项目负责</w:t>
            </w:r>
            <w:r>
              <w:rPr>
                <w:rFonts w:hint="eastAsia" w:cs="宋体"/>
                <w:color w:val="auto"/>
                <w:sz w:val="18"/>
                <w:szCs w:val="18"/>
                <w:lang w:val="en-US" w:eastAsia="zh-CN"/>
              </w:rPr>
              <w:t>人</w:t>
            </w:r>
          </w:p>
          <w:p w14:paraId="6BDC17E0">
            <w:pPr>
              <w:widowControl/>
              <w:jc w:val="center"/>
              <w:rPr>
                <w:rFonts w:cs="宋体"/>
                <w:color w:val="auto"/>
                <w:sz w:val="18"/>
                <w:szCs w:val="18"/>
              </w:rPr>
            </w:pPr>
            <w:r>
              <w:rPr>
                <w:rFonts w:hint="eastAsia" w:cs="宋体"/>
                <w:color w:val="auto"/>
                <w:sz w:val="18"/>
                <w:szCs w:val="18"/>
              </w:rPr>
              <w:t>业绩</w:t>
            </w:r>
          </w:p>
          <w:p w14:paraId="13528033">
            <w:pPr>
              <w:widowControl/>
              <w:jc w:val="center"/>
              <w:rPr>
                <w:rFonts w:cs="宋体"/>
                <w:color w:val="auto"/>
                <w:sz w:val="18"/>
                <w:szCs w:val="18"/>
              </w:rPr>
            </w:pPr>
            <w:r>
              <w:rPr>
                <w:rFonts w:hint="eastAsia"/>
                <w:color w:val="auto"/>
                <w:sz w:val="18"/>
                <w:szCs w:val="18"/>
              </w:rPr>
              <w:t>（5分）</w:t>
            </w:r>
          </w:p>
          <w:p w14:paraId="3D92216D">
            <w:pPr>
              <w:widowControl/>
              <w:jc w:val="center"/>
              <w:rPr>
                <w:rFonts w:cs="宋体"/>
                <w:color w:val="auto"/>
                <w:sz w:val="18"/>
                <w:szCs w:val="18"/>
              </w:rPr>
            </w:pPr>
          </w:p>
        </w:tc>
        <w:tc>
          <w:tcPr>
            <w:tcW w:w="1733" w:type="dxa"/>
            <w:vMerge w:val="restart"/>
            <w:vAlign w:val="center"/>
          </w:tcPr>
          <w:p w14:paraId="06CEE7FE">
            <w:pPr>
              <w:widowControl/>
              <w:rPr>
                <w:rFonts w:cs="宋体"/>
                <w:color w:val="auto"/>
                <w:sz w:val="18"/>
                <w:szCs w:val="18"/>
              </w:rPr>
            </w:pPr>
            <w:r>
              <w:rPr>
                <w:rFonts w:hint="eastAsia" w:cs="宋体"/>
                <w:color w:val="auto"/>
                <w:sz w:val="18"/>
                <w:szCs w:val="18"/>
              </w:rPr>
              <w:t>2021年3月1日</w:t>
            </w:r>
            <w:r>
              <w:rPr>
                <w:rFonts w:cs="宋体"/>
                <w:color w:val="auto"/>
                <w:sz w:val="18"/>
                <w:szCs w:val="18"/>
              </w:rPr>
              <w:t>以来，</w:t>
            </w:r>
            <w:r>
              <w:rPr>
                <w:rFonts w:hint="eastAsia" w:cs="宋体"/>
                <w:color w:val="auto"/>
                <w:sz w:val="18"/>
                <w:szCs w:val="18"/>
              </w:rPr>
              <w:t>承担过固体矿产勘查（含</w:t>
            </w:r>
            <w:r>
              <w:rPr>
                <w:rFonts w:cs="宋体"/>
                <w:color w:val="auto"/>
                <w:sz w:val="18"/>
                <w:szCs w:val="18"/>
              </w:rPr>
              <w:t>钻探</w:t>
            </w:r>
            <w:r>
              <w:rPr>
                <w:rFonts w:hint="eastAsia" w:cs="宋体"/>
                <w:color w:val="auto"/>
                <w:sz w:val="18"/>
                <w:szCs w:val="18"/>
              </w:rPr>
              <w:t>）业务</w:t>
            </w:r>
            <w:r>
              <w:rPr>
                <w:rFonts w:hint="eastAsia" w:cs="宋体"/>
                <w:b/>
                <w:color w:val="auto"/>
                <w:sz w:val="18"/>
                <w:szCs w:val="18"/>
              </w:rPr>
              <w:t>（注：提供业绩合同扫描件并</w:t>
            </w:r>
            <w:r>
              <w:rPr>
                <w:rFonts w:cs="宋体"/>
                <w:b/>
                <w:color w:val="auto"/>
                <w:sz w:val="18"/>
                <w:szCs w:val="18"/>
              </w:rPr>
              <w:t>加盖</w:t>
            </w:r>
            <w:r>
              <w:rPr>
                <w:rFonts w:hint="eastAsia" w:cs="宋体"/>
                <w:b/>
                <w:color w:val="auto"/>
                <w:sz w:val="18"/>
                <w:szCs w:val="18"/>
              </w:rPr>
              <w:t>投标人</w:t>
            </w:r>
            <w:r>
              <w:rPr>
                <w:rFonts w:cs="宋体"/>
                <w:b/>
                <w:color w:val="auto"/>
                <w:sz w:val="18"/>
                <w:szCs w:val="18"/>
              </w:rPr>
              <w:t>公章</w:t>
            </w:r>
            <w:r>
              <w:rPr>
                <w:rFonts w:hint="eastAsia" w:cs="宋体"/>
                <w:b/>
                <w:color w:val="auto"/>
                <w:sz w:val="18"/>
                <w:szCs w:val="18"/>
              </w:rPr>
              <w:t>，</w:t>
            </w:r>
            <w:r>
              <w:rPr>
                <w:rFonts w:cs="宋体"/>
                <w:b/>
                <w:color w:val="auto"/>
                <w:sz w:val="18"/>
                <w:szCs w:val="18"/>
              </w:rPr>
              <w:t>合同</w:t>
            </w:r>
            <w:r>
              <w:rPr>
                <w:rFonts w:hint="eastAsia" w:cs="宋体"/>
                <w:b/>
                <w:color w:val="auto"/>
                <w:sz w:val="18"/>
                <w:szCs w:val="18"/>
              </w:rPr>
              <w:t>中需含钻探</w:t>
            </w:r>
            <w:r>
              <w:rPr>
                <w:rFonts w:cs="宋体"/>
                <w:b/>
                <w:color w:val="auto"/>
                <w:sz w:val="18"/>
                <w:szCs w:val="18"/>
              </w:rPr>
              <w:t>工作</w:t>
            </w:r>
            <w:r>
              <w:rPr>
                <w:rFonts w:hint="eastAsia" w:cs="宋体"/>
                <w:b/>
                <w:color w:val="auto"/>
                <w:sz w:val="18"/>
                <w:szCs w:val="18"/>
              </w:rPr>
              <w:t>量内容）</w:t>
            </w:r>
          </w:p>
        </w:tc>
        <w:tc>
          <w:tcPr>
            <w:tcW w:w="706" w:type="dxa"/>
            <w:vMerge w:val="restart"/>
            <w:vAlign w:val="center"/>
          </w:tcPr>
          <w:p w14:paraId="4BB38157">
            <w:pPr>
              <w:widowControl/>
              <w:jc w:val="center"/>
              <w:rPr>
                <w:rFonts w:eastAsia="宋体" w:cs="宋体"/>
                <w:color w:val="auto"/>
                <w:sz w:val="18"/>
                <w:szCs w:val="18"/>
              </w:rPr>
            </w:pPr>
            <w:r>
              <w:rPr>
                <w:rFonts w:hint="eastAsia" w:cs="宋体"/>
                <w:color w:val="auto"/>
                <w:sz w:val="18"/>
                <w:szCs w:val="18"/>
              </w:rPr>
              <w:t>5</w:t>
            </w:r>
          </w:p>
        </w:tc>
        <w:tc>
          <w:tcPr>
            <w:tcW w:w="4066" w:type="dxa"/>
            <w:vAlign w:val="center"/>
          </w:tcPr>
          <w:p w14:paraId="276676E6">
            <w:pPr>
              <w:widowControl/>
              <w:rPr>
                <w:rFonts w:eastAsia="宋体" w:cs="宋体"/>
                <w:color w:val="auto"/>
                <w:sz w:val="18"/>
                <w:szCs w:val="18"/>
              </w:rPr>
            </w:pPr>
            <w:r>
              <w:rPr>
                <w:rFonts w:hint="eastAsia" w:cs="宋体"/>
                <w:color w:val="auto"/>
                <w:sz w:val="18"/>
                <w:szCs w:val="18"/>
              </w:rPr>
              <w:t>具有钻探工程施工的固体矿产勘查项目5个及以上。</w:t>
            </w:r>
          </w:p>
        </w:tc>
        <w:tc>
          <w:tcPr>
            <w:tcW w:w="467" w:type="dxa"/>
            <w:vAlign w:val="center"/>
          </w:tcPr>
          <w:p w14:paraId="73E8F406">
            <w:pPr>
              <w:widowControl/>
              <w:jc w:val="center"/>
              <w:rPr>
                <w:rFonts w:cs="宋体"/>
                <w:color w:val="auto"/>
                <w:sz w:val="18"/>
                <w:szCs w:val="18"/>
              </w:rPr>
            </w:pPr>
            <w:r>
              <w:rPr>
                <w:rFonts w:cs="宋体"/>
                <w:color w:val="auto"/>
                <w:sz w:val="18"/>
                <w:szCs w:val="18"/>
              </w:rPr>
              <w:t>5</w:t>
            </w:r>
          </w:p>
        </w:tc>
      </w:tr>
      <w:tr w14:paraId="08FAA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vAlign w:val="center"/>
          </w:tcPr>
          <w:p w14:paraId="2833071D">
            <w:pPr>
              <w:widowControl/>
              <w:rPr>
                <w:rFonts w:cs="宋体"/>
                <w:color w:val="auto"/>
                <w:sz w:val="18"/>
                <w:szCs w:val="18"/>
              </w:rPr>
            </w:pPr>
          </w:p>
        </w:tc>
        <w:tc>
          <w:tcPr>
            <w:tcW w:w="1294" w:type="dxa"/>
            <w:vMerge w:val="continue"/>
            <w:vAlign w:val="center"/>
          </w:tcPr>
          <w:p w14:paraId="09C3A313">
            <w:pPr>
              <w:widowControl/>
              <w:rPr>
                <w:rFonts w:cs="宋体"/>
                <w:color w:val="auto"/>
                <w:sz w:val="18"/>
                <w:szCs w:val="18"/>
              </w:rPr>
            </w:pPr>
          </w:p>
        </w:tc>
        <w:tc>
          <w:tcPr>
            <w:tcW w:w="1733" w:type="dxa"/>
            <w:vMerge w:val="continue"/>
            <w:vAlign w:val="center"/>
          </w:tcPr>
          <w:p w14:paraId="1EF78BB6">
            <w:pPr>
              <w:widowControl/>
              <w:rPr>
                <w:rFonts w:cs="宋体"/>
                <w:color w:val="auto"/>
                <w:sz w:val="18"/>
                <w:szCs w:val="18"/>
              </w:rPr>
            </w:pPr>
          </w:p>
        </w:tc>
        <w:tc>
          <w:tcPr>
            <w:tcW w:w="706" w:type="dxa"/>
            <w:vMerge w:val="continue"/>
            <w:vAlign w:val="center"/>
          </w:tcPr>
          <w:p w14:paraId="3186161D">
            <w:pPr>
              <w:widowControl/>
              <w:rPr>
                <w:rFonts w:cs="宋体"/>
                <w:color w:val="auto"/>
                <w:sz w:val="18"/>
                <w:szCs w:val="18"/>
              </w:rPr>
            </w:pPr>
          </w:p>
        </w:tc>
        <w:tc>
          <w:tcPr>
            <w:tcW w:w="4066" w:type="dxa"/>
            <w:vAlign w:val="center"/>
          </w:tcPr>
          <w:p w14:paraId="755E4B0C">
            <w:pPr>
              <w:widowControl/>
              <w:rPr>
                <w:rFonts w:eastAsia="宋体" w:cs="宋体"/>
                <w:color w:val="auto"/>
                <w:sz w:val="18"/>
                <w:szCs w:val="18"/>
              </w:rPr>
            </w:pPr>
            <w:r>
              <w:rPr>
                <w:rFonts w:hint="eastAsia" w:cs="宋体"/>
                <w:color w:val="auto"/>
                <w:sz w:val="18"/>
                <w:szCs w:val="18"/>
              </w:rPr>
              <w:t>从事过具有钻探工程施工的固体矿产勘查项目4个。</w:t>
            </w:r>
          </w:p>
        </w:tc>
        <w:tc>
          <w:tcPr>
            <w:tcW w:w="467" w:type="dxa"/>
            <w:vAlign w:val="center"/>
          </w:tcPr>
          <w:p w14:paraId="25D036F9">
            <w:pPr>
              <w:widowControl/>
              <w:jc w:val="center"/>
              <w:rPr>
                <w:rFonts w:eastAsia="宋体" w:cs="宋体"/>
                <w:color w:val="auto"/>
                <w:sz w:val="18"/>
                <w:szCs w:val="18"/>
              </w:rPr>
            </w:pPr>
            <w:r>
              <w:rPr>
                <w:rFonts w:hint="eastAsia" w:cs="宋体"/>
                <w:color w:val="auto"/>
                <w:sz w:val="18"/>
                <w:szCs w:val="18"/>
              </w:rPr>
              <w:t>4</w:t>
            </w:r>
          </w:p>
        </w:tc>
      </w:tr>
      <w:tr w14:paraId="78E36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737" w:type="dxa"/>
            <w:vMerge w:val="continue"/>
            <w:vAlign w:val="center"/>
          </w:tcPr>
          <w:p w14:paraId="6D9FC1AE">
            <w:pPr>
              <w:widowControl/>
              <w:rPr>
                <w:rFonts w:cs="宋体"/>
                <w:color w:val="auto"/>
                <w:sz w:val="18"/>
                <w:szCs w:val="18"/>
              </w:rPr>
            </w:pPr>
          </w:p>
        </w:tc>
        <w:tc>
          <w:tcPr>
            <w:tcW w:w="1294" w:type="dxa"/>
            <w:vMerge w:val="continue"/>
            <w:vAlign w:val="center"/>
          </w:tcPr>
          <w:p w14:paraId="4EE4C48F">
            <w:pPr>
              <w:widowControl/>
              <w:rPr>
                <w:rFonts w:cs="宋体"/>
                <w:color w:val="auto"/>
                <w:sz w:val="18"/>
                <w:szCs w:val="18"/>
              </w:rPr>
            </w:pPr>
          </w:p>
        </w:tc>
        <w:tc>
          <w:tcPr>
            <w:tcW w:w="1733" w:type="dxa"/>
            <w:vMerge w:val="continue"/>
            <w:vAlign w:val="center"/>
          </w:tcPr>
          <w:p w14:paraId="2CA8D8A3">
            <w:pPr>
              <w:widowControl/>
              <w:rPr>
                <w:rFonts w:cs="宋体"/>
                <w:color w:val="auto"/>
                <w:sz w:val="18"/>
                <w:szCs w:val="18"/>
              </w:rPr>
            </w:pPr>
          </w:p>
        </w:tc>
        <w:tc>
          <w:tcPr>
            <w:tcW w:w="706" w:type="dxa"/>
            <w:vMerge w:val="continue"/>
            <w:vAlign w:val="center"/>
          </w:tcPr>
          <w:p w14:paraId="530C6D87">
            <w:pPr>
              <w:widowControl/>
              <w:rPr>
                <w:rFonts w:cs="宋体"/>
                <w:color w:val="auto"/>
                <w:sz w:val="18"/>
                <w:szCs w:val="18"/>
              </w:rPr>
            </w:pPr>
          </w:p>
        </w:tc>
        <w:tc>
          <w:tcPr>
            <w:tcW w:w="4066" w:type="dxa"/>
            <w:vAlign w:val="center"/>
          </w:tcPr>
          <w:p w14:paraId="3745D0D3">
            <w:pPr>
              <w:widowControl/>
              <w:rPr>
                <w:rFonts w:eastAsia="宋体" w:cs="宋体"/>
                <w:color w:val="auto"/>
                <w:sz w:val="18"/>
                <w:szCs w:val="18"/>
              </w:rPr>
            </w:pPr>
            <w:r>
              <w:rPr>
                <w:rFonts w:hint="eastAsia" w:cs="宋体"/>
                <w:color w:val="auto"/>
                <w:sz w:val="18"/>
                <w:szCs w:val="18"/>
              </w:rPr>
              <w:t>具有钻探工程施工的固体矿产勘查项目3个。</w:t>
            </w:r>
          </w:p>
        </w:tc>
        <w:tc>
          <w:tcPr>
            <w:tcW w:w="467" w:type="dxa"/>
            <w:vAlign w:val="center"/>
          </w:tcPr>
          <w:p w14:paraId="0DAE282A">
            <w:pPr>
              <w:widowControl/>
              <w:jc w:val="center"/>
              <w:rPr>
                <w:rFonts w:eastAsia="宋体" w:cs="宋体"/>
                <w:color w:val="auto"/>
                <w:sz w:val="18"/>
                <w:szCs w:val="18"/>
              </w:rPr>
            </w:pPr>
            <w:r>
              <w:rPr>
                <w:rFonts w:hint="eastAsia" w:cs="宋体"/>
                <w:color w:val="auto"/>
                <w:sz w:val="18"/>
                <w:szCs w:val="18"/>
              </w:rPr>
              <w:t>3</w:t>
            </w:r>
          </w:p>
        </w:tc>
      </w:tr>
      <w:tr w14:paraId="3454B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vAlign w:val="center"/>
          </w:tcPr>
          <w:p w14:paraId="3863D568">
            <w:pPr>
              <w:widowControl/>
              <w:rPr>
                <w:rFonts w:cs="宋体"/>
                <w:color w:val="auto"/>
                <w:sz w:val="18"/>
                <w:szCs w:val="18"/>
              </w:rPr>
            </w:pPr>
          </w:p>
        </w:tc>
        <w:tc>
          <w:tcPr>
            <w:tcW w:w="1294" w:type="dxa"/>
            <w:vMerge w:val="continue"/>
            <w:vAlign w:val="center"/>
          </w:tcPr>
          <w:p w14:paraId="17D32794">
            <w:pPr>
              <w:widowControl/>
              <w:rPr>
                <w:rFonts w:cs="宋体"/>
                <w:color w:val="auto"/>
                <w:sz w:val="18"/>
                <w:szCs w:val="18"/>
              </w:rPr>
            </w:pPr>
          </w:p>
        </w:tc>
        <w:tc>
          <w:tcPr>
            <w:tcW w:w="1733" w:type="dxa"/>
            <w:vMerge w:val="continue"/>
            <w:vAlign w:val="center"/>
          </w:tcPr>
          <w:p w14:paraId="7E6115DD">
            <w:pPr>
              <w:widowControl/>
              <w:rPr>
                <w:rFonts w:cs="宋体"/>
                <w:color w:val="auto"/>
                <w:sz w:val="18"/>
                <w:szCs w:val="18"/>
              </w:rPr>
            </w:pPr>
          </w:p>
        </w:tc>
        <w:tc>
          <w:tcPr>
            <w:tcW w:w="706" w:type="dxa"/>
            <w:vMerge w:val="continue"/>
            <w:vAlign w:val="center"/>
          </w:tcPr>
          <w:p w14:paraId="4CE1C64A">
            <w:pPr>
              <w:widowControl/>
              <w:rPr>
                <w:rFonts w:cs="宋体"/>
                <w:color w:val="auto"/>
                <w:sz w:val="18"/>
                <w:szCs w:val="18"/>
              </w:rPr>
            </w:pPr>
          </w:p>
        </w:tc>
        <w:tc>
          <w:tcPr>
            <w:tcW w:w="4066" w:type="dxa"/>
            <w:vAlign w:val="center"/>
          </w:tcPr>
          <w:p w14:paraId="2DC7C79A">
            <w:pPr>
              <w:widowControl/>
              <w:rPr>
                <w:rFonts w:eastAsia="宋体" w:cs="宋体"/>
                <w:color w:val="auto"/>
                <w:sz w:val="18"/>
                <w:szCs w:val="18"/>
              </w:rPr>
            </w:pPr>
            <w:r>
              <w:rPr>
                <w:rFonts w:hint="eastAsia" w:cs="宋体"/>
                <w:color w:val="auto"/>
                <w:sz w:val="18"/>
                <w:szCs w:val="18"/>
              </w:rPr>
              <w:t>具有钻探工程施工的固体矿产勘查项目</w:t>
            </w:r>
            <w:r>
              <w:rPr>
                <w:rFonts w:cs="宋体"/>
                <w:color w:val="auto"/>
                <w:sz w:val="18"/>
                <w:szCs w:val="18"/>
              </w:rPr>
              <w:t>1-2</w:t>
            </w:r>
            <w:r>
              <w:rPr>
                <w:rFonts w:hint="eastAsia" w:cs="宋体"/>
                <w:color w:val="auto"/>
                <w:sz w:val="18"/>
                <w:szCs w:val="18"/>
              </w:rPr>
              <w:t>个。</w:t>
            </w:r>
          </w:p>
        </w:tc>
        <w:tc>
          <w:tcPr>
            <w:tcW w:w="467" w:type="dxa"/>
            <w:vAlign w:val="center"/>
          </w:tcPr>
          <w:p w14:paraId="3FF5CE1B">
            <w:pPr>
              <w:widowControl/>
              <w:jc w:val="center"/>
              <w:rPr>
                <w:rFonts w:eastAsia="宋体" w:cs="宋体"/>
                <w:strike/>
                <w:color w:val="auto"/>
                <w:sz w:val="18"/>
                <w:szCs w:val="18"/>
              </w:rPr>
            </w:pPr>
            <w:r>
              <w:rPr>
                <w:rFonts w:hint="eastAsia" w:cs="宋体"/>
                <w:color w:val="auto"/>
                <w:sz w:val="18"/>
                <w:szCs w:val="18"/>
              </w:rPr>
              <w:t>2</w:t>
            </w:r>
          </w:p>
        </w:tc>
      </w:tr>
      <w:tr w14:paraId="5B589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737" w:type="dxa"/>
            <w:vMerge w:val="continue"/>
            <w:vAlign w:val="center"/>
          </w:tcPr>
          <w:p w14:paraId="59BED0CC">
            <w:pPr>
              <w:widowControl/>
              <w:rPr>
                <w:rFonts w:cs="宋体"/>
                <w:color w:val="auto"/>
                <w:sz w:val="18"/>
                <w:szCs w:val="18"/>
              </w:rPr>
            </w:pPr>
          </w:p>
        </w:tc>
        <w:tc>
          <w:tcPr>
            <w:tcW w:w="1294" w:type="dxa"/>
            <w:vMerge w:val="continue"/>
            <w:vAlign w:val="center"/>
          </w:tcPr>
          <w:p w14:paraId="7AE3AA92">
            <w:pPr>
              <w:widowControl/>
              <w:rPr>
                <w:rFonts w:cs="宋体"/>
                <w:color w:val="auto"/>
                <w:sz w:val="18"/>
                <w:szCs w:val="18"/>
              </w:rPr>
            </w:pPr>
          </w:p>
        </w:tc>
        <w:tc>
          <w:tcPr>
            <w:tcW w:w="1733" w:type="dxa"/>
            <w:vMerge w:val="continue"/>
            <w:vAlign w:val="center"/>
          </w:tcPr>
          <w:p w14:paraId="487FD0C4">
            <w:pPr>
              <w:widowControl/>
              <w:rPr>
                <w:rFonts w:cs="宋体"/>
                <w:color w:val="auto"/>
                <w:sz w:val="18"/>
                <w:szCs w:val="18"/>
              </w:rPr>
            </w:pPr>
          </w:p>
        </w:tc>
        <w:tc>
          <w:tcPr>
            <w:tcW w:w="706" w:type="dxa"/>
            <w:vMerge w:val="continue"/>
            <w:vAlign w:val="center"/>
          </w:tcPr>
          <w:p w14:paraId="5C0D524E">
            <w:pPr>
              <w:widowControl/>
              <w:rPr>
                <w:rFonts w:cs="宋体"/>
                <w:color w:val="auto"/>
                <w:sz w:val="18"/>
                <w:szCs w:val="18"/>
              </w:rPr>
            </w:pPr>
          </w:p>
        </w:tc>
        <w:tc>
          <w:tcPr>
            <w:tcW w:w="4066" w:type="dxa"/>
            <w:vAlign w:val="center"/>
          </w:tcPr>
          <w:p w14:paraId="0CB57D29">
            <w:pPr>
              <w:widowControl/>
              <w:rPr>
                <w:rFonts w:eastAsia="宋体" w:cs="宋体"/>
                <w:color w:val="auto"/>
                <w:sz w:val="18"/>
                <w:szCs w:val="18"/>
              </w:rPr>
            </w:pPr>
            <w:r>
              <w:rPr>
                <w:rFonts w:hint="eastAsia" w:cs="宋体"/>
                <w:color w:val="auto"/>
                <w:sz w:val="18"/>
                <w:szCs w:val="18"/>
              </w:rPr>
              <w:t>未承担过具有钻探工程施工的固体矿产勘查项目。</w:t>
            </w:r>
          </w:p>
        </w:tc>
        <w:tc>
          <w:tcPr>
            <w:tcW w:w="467" w:type="dxa"/>
            <w:vAlign w:val="center"/>
          </w:tcPr>
          <w:p w14:paraId="5C98DAFB">
            <w:pPr>
              <w:widowControl/>
              <w:jc w:val="center"/>
              <w:rPr>
                <w:rFonts w:cs="宋体"/>
                <w:color w:val="auto"/>
                <w:sz w:val="18"/>
                <w:szCs w:val="18"/>
              </w:rPr>
            </w:pPr>
            <w:r>
              <w:rPr>
                <w:rFonts w:cs="宋体"/>
                <w:color w:val="auto"/>
                <w:sz w:val="18"/>
                <w:szCs w:val="18"/>
              </w:rPr>
              <w:t>0</w:t>
            </w:r>
          </w:p>
        </w:tc>
      </w:tr>
      <w:tr w14:paraId="1578D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vAlign w:val="center"/>
          </w:tcPr>
          <w:p w14:paraId="29455901">
            <w:pPr>
              <w:widowControl/>
              <w:rPr>
                <w:rFonts w:cs="宋体"/>
                <w:color w:val="auto"/>
                <w:sz w:val="18"/>
                <w:szCs w:val="18"/>
              </w:rPr>
            </w:pPr>
          </w:p>
        </w:tc>
        <w:tc>
          <w:tcPr>
            <w:tcW w:w="1294" w:type="dxa"/>
            <w:vMerge w:val="restart"/>
            <w:vAlign w:val="center"/>
          </w:tcPr>
          <w:p w14:paraId="62C6C95E">
            <w:pPr>
              <w:widowControl/>
              <w:jc w:val="center"/>
              <w:rPr>
                <w:color w:val="auto"/>
                <w:sz w:val="18"/>
                <w:szCs w:val="18"/>
              </w:rPr>
            </w:pPr>
            <w:r>
              <w:rPr>
                <w:rFonts w:hint="eastAsia"/>
                <w:color w:val="auto"/>
                <w:sz w:val="18"/>
                <w:szCs w:val="18"/>
              </w:rPr>
              <w:t>人员条件</w:t>
            </w:r>
          </w:p>
          <w:p w14:paraId="76606935">
            <w:pPr>
              <w:widowControl/>
              <w:jc w:val="center"/>
              <w:rPr>
                <w:rFonts w:cs="宋体"/>
                <w:color w:val="auto"/>
                <w:sz w:val="18"/>
                <w:szCs w:val="18"/>
              </w:rPr>
            </w:pPr>
            <w:r>
              <w:rPr>
                <w:rFonts w:hint="eastAsia"/>
                <w:color w:val="auto"/>
                <w:sz w:val="18"/>
                <w:szCs w:val="18"/>
              </w:rPr>
              <w:t>（</w:t>
            </w:r>
            <w:r>
              <w:rPr>
                <w:rFonts w:hint="eastAsia" w:cs="宋体"/>
                <w:color w:val="auto"/>
                <w:sz w:val="18"/>
                <w:szCs w:val="18"/>
              </w:rPr>
              <w:t>5分</w:t>
            </w:r>
            <w:r>
              <w:rPr>
                <w:rFonts w:hint="eastAsia"/>
                <w:color w:val="auto"/>
                <w:sz w:val="18"/>
                <w:szCs w:val="18"/>
              </w:rPr>
              <w:t>）</w:t>
            </w:r>
          </w:p>
        </w:tc>
        <w:tc>
          <w:tcPr>
            <w:tcW w:w="1733" w:type="dxa"/>
            <w:vMerge w:val="restart"/>
            <w:vAlign w:val="center"/>
          </w:tcPr>
          <w:p w14:paraId="391FDDF0">
            <w:pPr>
              <w:widowControl/>
              <w:rPr>
                <w:rFonts w:cs="宋体"/>
                <w:color w:val="auto"/>
                <w:sz w:val="18"/>
                <w:szCs w:val="18"/>
              </w:rPr>
            </w:pPr>
            <w:r>
              <w:rPr>
                <w:rFonts w:hint="eastAsia"/>
                <w:color w:val="auto"/>
                <w:sz w:val="18"/>
                <w:szCs w:val="18"/>
              </w:rPr>
              <w:t>项目负责人、</w:t>
            </w:r>
            <w:r>
              <w:rPr>
                <w:rFonts w:hint="eastAsia" w:cs="宋体"/>
                <w:color w:val="auto"/>
                <w:sz w:val="18"/>
                <w:szCs w:val="18"/>
              </w:rPr>
              <w:t>机长的技术条件</w:t>
            </w:r>
            <w:r>
              <w:rPr>
                <w:rFonts w:hint="eastAsia" w:cs="宋体"/>
                <w:b/>
                <w:color w:val="auto"/>
                <w:sz w:val="18"/>
                <w:szCs w:val="18"/>
              </w:rPr>
              <w:t>（注：须提供职称证明复印件加盖公章）</w:t>
            </w:r>
          </w:p>
        </w:tc>
        <w:tc>
          <w:tcPr>
            <w:tcW w:w="706" w:type="dxa"/>
            <w:vMerge w:val="restart"/>
            <w:vAlign w:val="center"/>
          </w:tcPr>
          <w:p w14:paraId="2B521684">
            <w:pPr>
              <w:widowControl/>
              <w:jc w:val="center"/>
              <w:rPr>
                <w:rFonts w:cs="宋体"/>
                <w:color w:val="auto"/>
                <w:sz w:val="18"/>
                <w:szCs w:val="18"/>
              </w:rPr>
            </w:pPr>
            <w:r>
              <w:rPr>
                <w:rFonts w:hint="eastAsia" w:cs="宋体"/>
                <w:color w:val="auto"/>
                <w:sz w:val="18"/>
                <w:szCs w:val="18"/>
              </w:rPr>
              <w:t>5</w:t>
            </w:r>
          </w:p>
        </w:tc>
        <w:tc>
          <w:tcPr>
            <w:tcW w:w="4066" w:type="dxa"/>
            <w:vAlign w:val="center"/>
          </w:tcPr>
          <w:p w14:paraId="10278697">
            <w:pPr>
              <w:widowControl/>
              <w:rPr>
                <w:rFonts w:cs="宋体"/>
                <w:color w:val="auto"/>
                <w:sz w:val="18"/>
                <w:szCs w:val="18"/>
              </w:rPr>
            </w:pPr>
            <w:r>
              <w:rPr>
                <w:rFonts w:hint="eastAsia" w:cs="宋体"/>
                <w:color w:val="auto"/>
                <w:sz w:val="18"/>
                <w:szCs w:val="18"/>
              </w:rPr>
              <w:t>项目</w:t>
            </w:r>
            <w:r>
              <w:rPr>
                <w:rFonts w:cs="宋体"/>
                <w:color w:val="auto"/>
                <w:sz w:val="18"/>
                <w:szCs w:val="18"/>
              </w:rPr>
              <w:t>负责</w:t>
            </w:r>
            <w:r>
              <w:rPr>
                <w:rFonts w:hint="eastAsia" w:cs="宋体"/>
                <w:color w:val="auto"/>
                <w:sz w:val="18"/>
                <w:szCs w:val="18"/>
              </w:rPr>
              <w:t>具有</w:t>
            </w:r>
            <w:r>
              <w:rPr>
                <w:rFonts w:cs="宋体"/>
                <w:color w:val="auto"/>
                <w:sz w:val="18"/>
                <w:szCs w:val="18"/>
              </w:rPr>
              <w:t>地质高级</w:t>
            </w:r>
            <w:r>
              <w:rPr>
                <w:rFonts w:hint="eastAsia" w:cs="宋体"/>
                <w:color w:val="auto"/>
                <w:sz w:val="18"/>
                <w:szCs w:val="18"/>
              </w:rPr>
              <w:t>及以上技术</w:t>
            </w:r>
            <w:r>
              <w:rPr>
                <w:rFonts w:cs="宋体"/>
                <w:color w:val="auto"/>
                <w:sz w:val="18"/>
                <w:szCs w:val="18"/>
              </w:rPr>
              <w:t>职称</w:t>
            </w:r>
            <w:r>
              <w:rPr>
                <w:rFonts w:hint="eastAsia" w:cs="宋体"/>
                <w:color w:val="auto"/>
                <w:sz w:val="18"/>
                <w:szCs w:val="18"/>
              </w:rPr>
              <w:t>或机长具有钻探专业中级及以上技术职称。</w:t>
            </w:r>
          </w:p>
        </w:tc>
        <w:tc>
          <w:tcPr>
            <w:tcW w:w="467" w:type="dxa"/>
            <w:vAlign w:val="center"/>
          </w:tcPr>
          <w:p w14:paraId="456804AC">
            <w:pPr>
              <w:widowControl/>
              <w:jc w:val="center"/>
              <w:rPr>
                <w:rFonts w:cs="宋体"/>
                <w:color w:val="auto"/>
                <w:sz w:val="18"/>
                <w:szCs w:val="18"/>
              </w:rPr>
            </w:pPr>
            <w:r>
              <w:rPr>
                <w:rFonts w:cs="宋体"/>
                <w:color w:val="auto"/>
                <w:sz w:val="18"/>
                <w:szCs w:val="18"/>
              </w:rPr>
              <w:t>5</w:t>
            </w:r>
          </w:p>
        </w:tc>
      </w:tr>
      <w:tr w14:paraId="19E40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737" w:type="dxa"/>
            <w:vMerge w:val="continue"/>
            <w:vAlign w:val="center"/>
          </w:tcPr>
          <w:p w14:paraId="2B990838">
            <w:pPr>
              <w:widowControl/>
              <w:rPr>
                <w:rFonts w:cs="宋体"/>
                <w:color w:val="auto"/>
                <w:sz w:val="18"/>
                <w:szCs w:val="18"/>
              </w:rPr>
            </w:pPr>
          </w:p>
        </w:tc>
        <w:tc>
          <w:tcPr>
            <w:tcW w:w="1294" w:type="dxa"/>
            <w:vMerge w:val="continue"/>
            <w:vAlign w:val="center"/>
          </w:tcPr>
          <w:p w14:paraId="331C69B6">
            <w:pPr>
              <w:widowControl/>
              <w:rPr>
                <w:rFonts w:cs="宋体"/>
                <w:color w:val="auto"/>
                <w:sz w:val="18"/>
                <w:szCs w:val="18"/>
              </w:rPr>
            </w:pPr>
          </w:p>
        </w:tc>
        <w:tc>
          <w:tcPr>
            <w:tcW w:w="1733" w:type="dxa"/>
            <w:vMerge w:val="continue"/>
            <w:vAlign w:val="center"/>
          </w:tcPr>
          <w:p w14:paraId="107039D1">
            <w:pPr>
              <w:widowControl/>
              <w:rPr>
                <w:rFonts w:cs="宋体"/>
                <w:color w:val="auto"/>
                <w:sz w:val="18"/>
                <w:szCs w:val="18"/>
              </w:rPr>
            </w:pPr>
          </w:p>
        </w:tc>
        <w:tc>
          <w:tcPr>
            <w:tcW w:w="706" w:type="dxa"/>
            <w:vMerge w:val="continue"/>
            <w:vAlign w:val="center"/>
          </w:tcPr>
          <w:p w14:paraId="2CB9D08A">
            <w:pPr>
              <w:widowControl/>
              <w:rPr>
                <w:rFonts w:cs="宋体"/>
                <w:color w:val="auto"/>
                <w:sz w:val="18"/>
                <w:szCs w:val="18"/>
              </w:rPr>
            </w:pPr>
          </w:p>
        </w:tc>
        <w:tc>
          <w:tcPr>
            <w:tcW w:w="4066" w:type="dxa"/>
            <w:vAlign w:val="center"/>
          </w:tcPr>
          <w:p w14:paraId="42617686">
            <w:pPr>
              <w:widowControl/>
              <w:rPr>
                <w:rFonts w:cs="宋体"/>
                <w:color w:val="auto"/>
                <w:sz w:val="18"/>
                <w:szCs w:val="18"/>
              </w:rPr>
            </w:pPr>
            <w:r>
              <w:rPr>
                <w:rFonts w:hint="eastAsia" w:cs="宋体"/>
                <w:color w:val="auto"/>
                <w:sz w:val="18"/>
                <w:szCs w:val="18"/>
              </w:rPr>
              <w:t>项目</w:t>
            </w:r>
            <w:r>
              <w:rPr>
                <w:rFonts w:cs="宋体"/>
                <w:color w:val="auto"/>
                <w:sz w:val="18"/>
                <w:szCs w:val="18"/>
              </w:rPr>
              <w:t>负责</w:t>
            </w:r>
            <w:r>
              <w:rPr>
                <w:rFonts w:hint="eastAsia" w:cs="宋体"/>
                <w:color w:val="auto"/>
                <w:sz w:val="18"/>
                <w:szCs w:val="18"/>
              </w:rPr>
              <w:t>具有</w:t>
            </w:r>
            <w:r>
              <w:rPr>
                <w:rFonts w:cs="宋体"/>
                <w:color w:val="auto"/>
                <w:sz w:val="18"/>
                <w:szCs w:val="18"/>
              </w:rPr>
              <w:t>地质</w:t>
            </w:r>
            <w:r>
              <w:rPr>
                <w:rFonts w:hint="eastAsia" w:cs="宋体"/>
                <w:color w:val="auto"/>
                <w:sz w:val="18"/>
                <w:szCs w:val="18"/>
              </w:rPr>
              <w:t>中</w:t>
            </w:r>
            <w:r>
              <w:rPr>
                <w:rFonts w:cs="宋体"/>
                <w:color w:val="auto"/>
                <w:sz w:val="18"/>
                <w:szCs w:val="18"/>
              </w:rPr>
              <w:t>级</w:t>
            </w:r>
            <w:r>
              <w:rPr>
                <w:rFonts w:hint="eastAsia" w:cs="宋体"/>
                <w:color w:val="auto"/>
                <w:sz w:val="18"/>
                <w:szCs w:val="18"/>
              </w:rPr>
              <w:t>及以上技术</w:t>
            </w:r>
            <w:r>
              <w:rPr>
                <w:rFonts w:cs="宋体"/>
                <w:color w:val="auto"/>
                <w:sz w:val="18"/>
                <w:szCs w:val="18"/>
              </w:rPr>
              <w:t>职称</w:t>
            </w:r>
            <w:r>
              <w:rPr>
                <w:rFonts w:hint="eastAsia" w:cs="宋体"/>
                <w:color w:val="auto"/>
                <w:sz w:val="18"/>
                <w:szCs w:val="18"/>
              </w:rPr>
              <w:t>或机长具有钻探专业中级及以上技术职称。</w:t>
            </w:r>
          </w:p>
        </w:tc>
        <w:tc>
          <w:tcPr>
            <w:tcW w:w="467" w:type="dxa"/>
            <w:vAlign w:val="center"/>
          </w:tcPr>
          <w:p w14:paraId="7D4BD632">
            <w:pPr>
              <w:widowControl/>
              <w:jc w:val="center"/>
              <w:rPr>
                <w:rFonts w:eastAsia="宋体" w:cs="宋体"/>
                <w:color w:val="auto"/>
                <w:sz w:val="18"/>
                <w:szCs w:val="18"/>
              </w:rPr>
            </w:pPr>
            <w:r>
              <w:rPr>
                <w:rFonts w:hint="eastAsia" w:cs="宋体"/>
                <w:color w:val="auto"/>
                <w:sz w:val="18"/>
                <w:szCs w:val="18"/>
              </w:rPr>
              <w:t>3</w:t>
            </w:r>
          </w:p>
        </w:tc>
      </w:tr>
      <w:tr w14:paraId="07AF71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737" w:type="dxa"/>
            <w:vMerge w:val="continue"/>
            <w:vAlign w:val="center"/>
          </w:tcPr>
          <w:p w14:paraId="529D543D">
            <w:pPr>
              <w:widowControl/>
              <w:rPr>
                <w:rFonts w:cs="宋体"/>
                <w:color w:val="auto"/>
                <w:sz w:val="18"/>
                <w:szCs w:val="18"/>
              </w:rPr>
            </w:pPr>
          </w:p>
        </w:tc>
        <w:tc>
          <w:tcPr>
            <w:tcW w:w="1294" w:type="dxa"/>
            <w:vMerge w:val="continue"/>
            <w:vAlign w:val="center"/>
          </w:tcPr>
          <w:p w14:paraId="6B4D060C">
            <w:pPr>
              <w:widowControl/>
              <w:rPr>
                <w:rFonts w:cs="宋体"/>
                <w:color w:val="auto"/>
                <w:sz w:val="18"/>
                <w:szCs w:val="18"/>
              </w:rPr>
            </w:pPr>
          </w:p>
        </w:tc>
        <w:tc>
          <w:tcPr>
            <w:tcW w:w="1733" w:type="dxa"/>
            <w:vMerge w:val="continue"/>
            <w:vAlign w:val="center"/>
          </w:tcPr>
          <w:p w14:paraId="2AF711AD">
            <w:pPr>
              <w:widowControl/>
              <w:rPr>
                <w:rFonts w:cs="宋体"/>
                <w:color w:val="auto"/>
                <w:sz w:val="18"/>
                <w:szCs w:val="18"/>
              </w:rPr>
            </w:pPr>
          </w:p>
        </w:tc>
        <w:tc>
          <w:tcPr>
            <w:tcW w:w="706" w:type="dxa"/>
            <w:vMerge w:val="continue"/>
            <w:vAlign w:val="center"/>
          </w:tcPr>
          <w:p w14:paraId="72F47FB5">
            <w:pPr>
              <w:widowControl/>
              <w:rPr>
                <w:rFonts w:cs="宋体"/>
                <w:color w:val="auto"/>
                <w:sz w:val="18"/>
                <w:szCs w:val="18"/>
              </w:rPr>
            </w:pPr>
          </w:p>
        </w:tc>
        <w:tc>
          <w:tcPr>
            <w:tcW w:w="4066" w:type="dxa"/>
            <w:vAlign w:val="center"/>
          </w:tcPr>
          <w:p w14:paraId="204A920F">
            <w:pPr>
              <w:widowControl/>
              <w:rPr>
                <w:rFonts w:cs="宋体"/>
                <w:color w:val="auto"/>
                <w:sz w:val="18"/>
                <w:szCs w:val="18"/>
              </w:rPr>
            </w:pPr>
            <w:r>
              <w:rPr>
                <w:rFonts w:hint="eastAsia" w:cs="宋体"/>
                <w:color w:val="auto"/>
                <w:sz w:val="18"/>
                <w:szCs w:val="18"/>
              </w:rPr>
              <w:t>项目</w:t>
            </w:r>
            <w:r>
              <w:rPr>
                <w:rFonts w:cs="宋体"/>
                <w:color w:val="auto"/>
                <w:sz w:val="18"/>
                <w:szCs w:val="18"/>
              </w:rPr>
              <w:t>负责</w:t>
            </w:r>
            <w:r>
              <w:rPr>
                <w:rFonts w:hint="eastAsia" w:cs="宋体"/>
                <w:color w:val="auto"/>
                <w:sz w:val="18"/>
                <w:szCs w:val="18"/>
              </w:rPr>
              <w:t>具有</w:t>
            </w:r>
            <w:r>
              <w:rPr>
                <w:rFonts w:cs="宋体"/>
                <w:color w:val="auto"/>
                <w:sz w:val="18"/>
                <w:szCs w:val="18"/>
              </w:rPr>
              <w:t>地质</w:t>
            </w:r>
            <w:r>
              <w:rPr>
                <w:rFonts w:hint="eastAsia" w:cs="宋体"/>
                <w:color w:val="auto"/>
                <w:sz w:val="18"/>
                <w:szCs w:val="18"/>
              </w:rPr>
              <w:t>初</w:t>
            </w:r>
            <w:r>
              <w:rPr>
                <w:rFonts w:cs="宋体"/>
                <w:color w:val="auto"/>
                <w:sz w:val="18"/>
                <w:szCs w:val="18"/>
              </w:rPr>
              <w:t>级</w:t>
            </w:r>
            <w:r>
              <w:rPr>
                <w:rFonts w:hint="eastAsia" w:cs="宋体"/>
                <w:color w:val="auto"/>
                <w:sz w:val="18"/>
                <w:szCs w:val="18"/>
              </w:rPr>
              <w:t>及以上技术</w:t>
            </w:r>
            <w:r>
              <w:rPr>
                <w:rFonts w:cs="宋体"/>
                <w:color w:val="auto"/>
                <w:sz w:val="18"/>
                <w:szCs w:val="18"/>
              </w:rPr>
              <w:t>职称</w:t>
            </w:r>
            <w:r>
              <w:rPr>
                <w:rFonts w:hint="eastAsia" w:cs="宋体"/>
                <w:color w:val="auto"/>
                <w:sz w:val="18"/>
                <w:szCs w:val="18"/>
              </w:rPr>
              <w:t>或机长具有钻探专业初级技术职称。</w:t>
            </w:r>
          </w:p>
        </w:tc>
        <w:tc>
          <w:tcPr>
            <w:tcW w:w="467" w:type="dxa"/>
            <w:vAlign w:val="center"/>
          </w:tcPr>
          <w:p w14:paraId="56FFF7C3">
            <w:pPr>
              <w:widowControl/>
              <w:jc w:val="center"/>
              <w:rPr>
                <w:rFonts w:cs="宋体"/>
                <w:color w:val="auto"/>
                <w:sz w:val="18"/>
                <w:szCs w:val="18"/>
              </w:rPr>
            </w:pPr>
            <w:r>
              <w:rPr>
                <w:rFonts w:cs="宋体"/>
                <w:color w:val="auto"/>
                <w:sz w:val="18"/>
                <w:szCs w:val="18"/>
              </w:rPr>
              <w:t>2</w:t>
            </w:r>
          </w:p>
        </w:tc>
      </w:tr>
      <w:tr w14:paraId="5DEA0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737" w:type="dxa"/>
            <w:vMerge w:val="continue"/>
            <w:vAlign w:val="center"/>
          </w:tcPr>
          <w:p w14:paraId="0EF43C9D">
            <w:pPr>
              <w:widowControl/>
              <w:rPr>
                <w:rFonts w:cs="宋体"/>
                <w:color w:val="auto"/>
                <w:sz w:val="18"/>
                <w:szCs w:val="18"/>
              </w:rPr>
            </w:pPr>
          </w:p>
        </w:tc>
        <w:tc>
          <w:tcPr>
            <w:tcW w:w="1294" w:type="dxa"/>
            <w:vMerge w:val="continue"/>
            <w:vAlign w:val="center"/>
          </w:tcPr>
          <w:p w14:paraId="48C06B5D">
            <w:pPr>
              <w:widowControl/>
              <w:rPr>
                <w:rFonts w:cs="宋体"/>
                <w:color w:val="auto"/>
                <w:sz w:val="18"/>
                <w:szCs w:val="18"/>
              </w:rPr>
            </w:pPr>
          </w:p>
        </w:tc>
        <w:tc>
          <w:tcPr>
            <w:tcW w:w="1733" w:type="dxa"/>
            <w:vMerge w:val="continue"/>
            <w:vAlign w:val="center"/>
          </w:tcPr>
          <w:p w14:paraId="2F9537FE">
            <w:pPr>
              <w:widowControl/>
              <w:rPr>
                <w:rFonts w:cs="宋体"/>
                <w:color w:val="auto"/>
                <w:sz w:val="18"/>
                <w:szCs w:val="18"/>
              </w:rPr>
            </w:pPr>
          </w:p>
        </w:tc>
        <w:tc>
          <w:tcPr>
            <w:tcW w:w="706" w:type="dxa"/>
            <w:vMerge w:val="continue"/>
            <w:vAlign w:val="center"/>
          </w:tcPr>
          <w:p w14:paraId="78C09E7D">
            <w:pPr>
              <w:widowControl/>
              <w:rPr>
                <w:rFonts w:cs="宋体"/>
                <w:color w:val="auto"/>
                <w:sz w:val="18"/>
                <w:szCs w:val="18"/>
              </w:rPr>
            </w:pPr>
          </w:p>
        </w:tc>
        <w:tc>
          <w:tcPr>
            <w:tcW w:w="4066" w:type="dxa"/>
            <w:vAlign w:val="center"/>
          </w:tcPr>
          <w:p w14:paraId="3140D648">
            <w:pPr>
              <w:widowControl/>
              <w:rPr>
                <w:rFonts w:eastAsia="宋体" w:cs="宋体"/>
                <w:color w:val="auto"/>
                <w:sz w:val="18"/>
                <w:szCs w:val="18"/>
              </w:rPr>
            </w:pPr>
            <w:r>
              <w:rPr>
                <w:rFonts w:hint="eastAsia"/>
                <w:color w:val="auto"/>
                <w:sz w:val="18"/>
                <w:szCs w:val="18"/>
              </w:rPr>
              <w:t>为提供项目负责人或</w:t>
            </w:r>
            <w:r>
              <w:rPr>
                <w:rFonts w:hint="eastAsia" w:cs="宋体"/>
                <w:color w:val="auto"/>
                <w:sz w:val="18"/>
                <w:szCs w:val="18"/>
              </w:rPr>
              <w:t>机长技术</w:t>
            </w:r>
            <w:r>
              <w:rPr>
                <w:rFonts w:cs="宋体"/>
                <w:color w:val="auto"/>
                <w:sz w:val="18"/>
                <w:szCs w:val="18"/>
              </w:rPr>
              <w:t>职称</w:t>
            </w:r>
            <w:r>
              <w:rPr>
                <w:rFonts w:hint="eastAsia" w:cs="宋体"/>
                <w:color w:val="auto"/>
                <w:sz w:val="18"/>
                <w:szCs w:val="18"/>
              </w:rPr>
              <w:t>证明文件。</w:t>
            </w:r>
          </w:p>
        </w:tc>
        <w:tc>
          <w:tcPr>
            <w:tcW w:w="467" w:type="dxa"/>
            <w:vAlign w:val="center"/>
          </w:tcPr>
          <w:p w14:paraId="555F9792">
            <w:pPr>
              <w:widowControl/>
              <w:jc w:val="center"/>
              <w:rPr>
                <w:rFonts w:cs="宋体"/>
                <w:color w:val="auto"/>
                <w:sz w:val="18"/>
                <w:szCs w:val="18"/>
              </w:rPr>
            </w:pPr>
            <w:r>
              <w:rPr>
                <w:rFonts w:cs="宋体"/>
                <w:color w:val="auto"/>
                <w:sz w:val="18"/>
                <w:szCs w:val="18"/>
              </w:rPr>
              <w:t>0</w:t>
            </w:r>
          </w:p>
        </w:tc>
      </w:tr>
      <w:tr w14:paraId="6813B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vAlign w:val="center"/>
          </w:tcPr>
          <w:p w14:paraId="3D7F43CA">
            <w:pPr>
              <w:widowControl/>
              <w:rPr>
                <w:rFonts w:cs="宋体"/>
                <w:color w:val="auto"/>
                <w:sz w:val="18"/>
                <w:szCs w:val="18"/>
              </w:rPr>
            </w:pPr>
          </w:p>
        </w:tc>
        <w:tc>
          <w:tcPr>
            <w:tcW w:w="1294" w:type="dxa"/>
            <w:vMerge w:val="restart"/>
            <w:vAlign w:val="center"/>
          </w:tcPr>
          <w:p w14:paraId="7C86B339">
            <w:pPr>
              <w:widowControl/>
              <w:jc w:val="center"/>
              <w:rPr>
                <w:rFonts w:cs="宋体"/>
                <w:color w:val="auto"/>
                <w:sz w:val="18"/>
                <w:szCs w:val="18"/>
              </w:rPr>
            </w:pPr>
            <w:r>
              <w:rPr>
                <w:rFonts w:hint="eastAsia" w:cs="宋体"/>
                <w:color w:val="auto"/>
                <w:sz w:val="18"/>
                <w:szCs w:val="18"/>
              </w:rPr>
              <w:t>保障措施</w:t>
            </w:r>
          </w:p>
          <w:p w14:paraId="2D30CA15">
            <w:pPr>
              <w:widowControl/>
              <w:jc w:val="center"/>
              <w:rPr>
                <w:rFonts w:cs="宋体"/>
                <w:color w:val="auto"/>
                <w:sz w:val="18"/>
                <w:szCs w:val="18"/>
              </w:rPr>
            </w:pPr>
            <w:r>
              <w:rPr>
                <w:rFonts w:hint="eastAsia" w:cs="宋体"/>
                <w:color w:val="auto"/>
                <w:sz w:val="18"/>
                <w:szCs w:val="18"/>
              </w:rPr>
              <w:t>（12分）</w:t>
            </w:r>
          </w:p>
        </w:tc>
        <w:tc>
          <w:tcPr>
            <w:tcW w:w="1733" w:type="dxa"/>
            <w:vMerge w:val="restart"/>
            <w:vAlign w:val="center"/>
          </w:tcPr>
          <w:p w14:paraId="2A397A9C">
            <w:pPr>
              <w:widowControl/>
              <w:rPr>
                <w:rFonts w:cs="宋体"/>
                <w:color w:val="auto"/>
                <w:sz w:val="18"/>
                <w:szCs w:val="18"/>
              </w:rPr>
            </w:pPr>
            <w:r>
              <w:rPr>
                <w:rFonts w:hint="eastAsia" w:cs="宋体"/>
                <w:color w:val="auto"/>
                <w:sz w:val="18"/>
                <w:szCs w:val="18"/>
              </w:rPr>
              <w:t>质量管理制度是否健全，质量管理措施是否具体可行</w:t>
            </w:r>
          </w:p>
        </w:tc>
        <w:tc>
          <w:tcPr>
            <w:tcW w:w="706" w:type="dxa"/>
            <w:vMerge w:val="restart"/>
            <w:vAlign w:val="center"/>
          </w:tcPr>
          <w:p w14:paraId="61B107D8">
            <w:pPr>
              <w:widowControl/>
              <w:jc w:val="center"/>
              <w:rPr>
                <w:rFonts w:eastAsia="宋体" w:cs="宋体"/>
                <w:color w:val="auto"/>
                <w:sz w:val="18"/>
                <w:szCs w:val="18"/>
              </w:rPr>
            </w:pPr>
            <w:r>
              <w:rPr>
                <w:rFonts w:hint="eastAsia" w:cs="宋体"/>
                <w:color w:val="auto"/>
                <w:sz w:val="18"/>
                <w:szCs w:val="18"/>
              </w:rPr>
              <w:t>6</w:t>
            </w:r>
          </w:p>
        </w:tc>
        <w:tc>
          <w:tcPr>
            <w:tcW w:w="4066" w:type="dxa"/>
            <w:vAlign w:val="center"/>
          </w:tcPr>
          <w:p w14:paraId="0FE04C68">
            <w:pPr>
              <w:widowControl/>
              <w:rPr>
                <w:rFonts w:cs="宋体"/>
                <w:color w:val="auto"/>
                <w:sz w:val="18"/>
                <w:szCs w:val="18"/>
              </w:rPr>
            </w:pPr>
            <w:r>
              <w:rPr>
                <w:rFonts w:hint="eastAsia" w:cs="宋体"/>
                <w:color w:val="auto"/>
                <w:sz w:val="18"/>
                <w:szCs w:val="18"/>
              </w:rPr>
              <w:t>完全符合要求，质量目标明确，质量保证措施具体可行。</w:t>
            </w:r>
          </w:p>
        </w:tc>
        <w:tc>
          <w:tcPr>
            <w:tcW w:w="467" w:type="dxa"/>
            <w:vAlign w:val="center"/>
          </w:tcPr>
          <w:p w14:paraId="1C92BD7E">
            <w:pPr>
              <w:widowControl/>
              <w:jc w:val="center"/>
              <w:rPr>
                <w:rFonts w:eastAsia="宋体" w:cs="宋体"/>
                <w:color w:val="auto"/>
                <w:sz w:val="18"/>
                <w:szCs w:val="18"/>
              </w:rPr>
            </w:pPr>
            <w:r>
              <w:rPr>
                <w:rFonts w:hint="eastAsia" w:cs="宋体"/>
                <w:color w:val="auto"/>
                <w:sz w:val="18"/>
                <w:szCs w:val="18"/>
              </w:rPr>
              <w:t>6</w:t>
            </w:r>
          </w:p>
        </w:tc>
      </w:tr>
      <w:tr w14:paraId="03058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737" w:type="dxa"/>
            <w:vMerge w:val="continue"/>
            <w:vAlign w:val="center"/>
          </w:tcPr>
          <w:p w14:paraId="3193146D">
            <w:pPr>
              <w:widowControl/>
              <w:rPr>
                <w:rFonts w:cs="宋体"/>
                <w:color w:val="auto"/>
                <w:sz w:val="18"/>
                <w:szCs w:val="18"/>
              </w:rPr>
            </w:pPr>
          </w:p>
        </w:tc>
        <w:tc>
          <w:tcPr>
            <w:tcW w:w="1294" w:type="dxa"/>
            <w:vMerge w:val="continue"/>
            <w:vAlign w:val="center"/>
          </w:tcPr>
          <w:p w14:paraId="3C9F8795">
            <w:pPr>
              <w:widowControl/>
              <w:rPr>
                <w:rFonts w:cs="宋体"/>
                <w:color w:val="auto"/>
                <w:sz w:val="18"/>
                <w:szCs w:val="18"/>
              </w:rPr>
            </w:pPr>
          </w:p>
        </w:tc>
        <w:tc>
          <w:tcPr>
            <w:tcW w:w="1733" w:type="dxa"/>
            <w:vMerge w:val="continue"/>
            <w:vAlign w:val="center"/>
          </w:tcPr>
          <w:p w14:paraId="777E32DF">
            <w:pPr>
              <w:widowControl/>
              <w:rPr>
                <w:rFonts w:cs="宋体"/>
                <w:color w:val="auto"/>
                <w:sz w:val="18"/>
                <w:szCs w:val="18"/>
              </w:rPr>
            </w:pPr>
          </w:p>
        </w:tc>
        <w:tc>
          <w:tcPr>
            <w:tcW w:w="706" w:type="dxa"/>
            <w:vMerge w:val="continue"/>
            <w:vAlign w:val="center"/>
          </w:tcPr>
          <w:p w14:paraId="4CD9DC81">
            <w:pPr>
              <w:widowControl/>
              <w:rPr>
                <w:rFonts w:cs="宋体"/>
                <w:color w:val="auto"/>
                <w:sz w:val="18"/>
                <w:szCs w:val="18"/>
              </w:rPr>
            </w:pPr>
          </w:p>
        </w:tc>
        <w:tc>
          <w:tcPr>
            <w:tcW w:w="4066" w:type="dxa"/>
            <w:vAlign w:val="center"/>
          </w:tcPr>
          <w:p w14:paraId="30ACB1C6">
            <w:pPr>
              <w:widowControl/>
              <w:rPr>
                <w:rFonts w:cs="宋体"/>
                <w:color w:val="auto"/>
                <w:sz w:val="18"/>
                <w:szCs w:val="18"/>
              </w:rPr>
            </w:pPr>
            <w:r>
              <w:rPr>
                <w:rFonts w:hint="eastAsia"/>
                <w:color w:val="auto"/>
                <w:sz w:val="18"/>
                <w:szCs w:val="18"/>
              </w:rPr>
              <w:t>质量</w:t>
            </w:r>
            <w:r>
              <w:rPr>
                <w:rFonts w:hint="eastAsia" w:cs="宋体"/>
                <w:color w:val="auto"/>
                <w:sz w:val="18"/>
                <w:szCs w:val="18"/>
              </w:rPr>
              <w:t>目标较明确，质量保证</w:t>
            </w:r>
            <w:r>
              <w:rPr>
                <w:rFonts w:hint="eastAsia"/>
                <w:color w:val="auto"/>
                <w:sz w:val="18"/>
                <w:szCs w:val="18"/>
              </w:rPr>
              <w:t>措施</w:t>
            </w:r>
            <w:r>
              <w:rPr>
                <w:rFonts w:hint="eastAsia" w:cs="宋体"/>
                <w:color w:val="auto"/>
                <w:sz w:val="18"/>
                <w:szCs w:val="18"/>
              </w:rPr>
              <w:t>较具体。</w:t>
            </w:r>
          </w:p>
        </w:tc>
        <w:tc>
          <w:tcPr>
            <w:tcW w:w="467" w:type="dxa"/>
            <w:vAlign w:val="center"/>
          </w:tcPr>
          <w:p w14:paraId="21BADBAF">
            <w:pPr>
              <w:widowControl/>
              <w:jc w:val="center"/>
              <w:rPr>
                <w:rFonts w:eastAsia="宋体" w:cs="宋体"/>
                <w:color w:val="auto"/>
                <w:sz w:val="18"/>
                <w:szCs w:val="18"/>
              </w:rPr>
            </w:pPr>
            <w:r>
              <w:rPr>
                <w:rFonts w:hint="eastAsia" w:cs="宋体"/>
                <w:color w:val="auto"/>
                <w:sz w:val="18"/>
                <w:szCs w:val="18"/>
              </w:rPr>
              <w:t>3</w:t>
            </w:r>
          </w:p>
        </w:tc>
      </w:tr>
      <w:tr w14:paraId="42312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737" w:type="dxa"/>
            <w:vMerge w:val="continue"/>
            <w:vAlign w:val="center"/>
          </w:tcPr>
          <w:p w14:paraId="0DD2CC5C">
            <w:pPr>
              <w:widowControl/>
              <w:rPr>
                <w:rFonts w:cs="宋体"/>
                <w:color w:val="auto"/>
                <w:sz w:val="18"/>
                <w:szCs w:val="18"/>
              </w:rPr>
            </w:pPr>
          </w:p>
        </w:tc>
        <w:tc>
          <w:tcPr>
            <w:tcW w:w="1294" w:type="dxa"/>
            <w:vMerge w:val="continue"/>
            <w:vAlign w:val="center"/>
          </w:tcPr>
          <w:p w14:paraId="7763E65F">
            <w:pPr>
              <w:widowControl/>
              <w:rPr>
                <w:rFonts w:cs="宋体"/>
                <w:color w:val="auto"/>
                <w:sz w:val="18"/>
                <w:szCs w:val="18"/>
              </w:rPr>
            </w:pPr>
          </w:p>
        </w:tc>
        <w:tc>
          <w:tcPr>
            <w:tcW w:w="1733" w:type="dxa"/>
            <w:vMerge w:val="continue"/>
            <w:vAlign w:val="center"/>
          </w:tcPr>
          <w:p w14:paraId="1FABB018">
            <w:pPr>
              <w:widowControl/>
              <w:rPr>
                <w:rFonts w:cs="宋体"/>
                <w:color w:val="auto"/>
                <w:sz w:val="18"/>
                <w:szCs w:val="18"/>
              </w:rPr>
            </w:pPr>
          </w:p>
        </w:tc>
        <w:tc>
          <w:tcPr>
            <w:tcW w:w="706" w:type="dxa"/>
            <w:vMerge w:val="continue"/>
            <w:vAlign w:val="center"/>
          </w:tcPr>
          <w:p w14:paraId="1F98B0AA">
            <w:pPr>
              <w:widowControl/>
              <w:rPr>
                <w:rFonts w:cs="宋体"/>
                <w:color w:val="auto"/>
                <w:sz w:val="18"/>
                <w:szCs w:val="18"/>
              </w:rPr>
            </w:pPr>
          </w:p>
        </w:tc>
        <w:tc>
          <w:tcPr>
            <w:tcW w:w="4066" w:type="dxa"/>
            <w:vAlign w:val="center"/>
          </w:tcPr>
          <w:p w14:paraId="325228ED">
            <w:pPr>
              <w:widowControl/>
              <w:rPr>
                <w:rFonts w:cs="宋体"/>
                <w:color w:val="auto"/>
                <w:sz w:val="18"/>
                <w:szCs w:val="18"/>
              </w:rPr>
            </w:pPr>
            <w:r>
              <w:rPr>
                <w:rFonts w:hint="eastAsia"/>
                <w:color w:val="auto"/>
                <w:sz w:val="18"/>
                <w:szCs w:val="18"/>
              </w:rPr>
              <w:t>质量目标和质量保证措施皆无。</w:t>
            </w:r>
          </w:p>
        </w:tc>
        <w:tc>
          <w:tcPr>
            <w:tcW w:w="467" w:type="dxa"/>
            <w:vAlign w:val="center"/>
          </w:tcPr>
          <w:p w14:paraId="6E07861F">
            <w:pPr>
              <w:widowControl/>
              <w:jc w:val="center"/>
              <w:rPr>
                <w:rFonts w:cs="宋体"/>
                <w:color w:val="auto"/>
                <w:sz w:val="18"/>
                <w:szCs w:val="18"/>
              </w:rPr>
            </w:pPr>
            <w:r>
              <w:rPr>
                <w:rFonts w:hint="eastAsia" w:cs="宋体"/>
                <w:color w:val="auto"/>
                <w:sz w:val="18"/>
                <w:szCs w:val="18"/>
              </w:rPr>
              <w:t>0</w:t>
            </w:r>
          </w:p>
        </w:tc>
      </w:tr>
      <w:tr w14:paraId="121AF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37" w:type="dxa"/>
            <w:vMerge w:val="continue"/>
            <w:vAlign w:val="center"/>
          </w:tcPr>
          <w:p w14:paraId="3ECE5E16">
            <w:pPr>
              <w:widowControl/>
              <w:rPr>
                <w:rFonts w:cs="宋体"/>
                <w:color w:val="auto"/>
                <w:sz w:val="18"/>
                <w:szCs w:val="18"/>
              </w:rPr>
            </w:pPr>
          </w:p>
        </w:tc>
        <w:tc>
          <w:tcPr>
            <w:tcW w:w="1294" w:type="dxa"/>
            <w:vMerge w:val="continue"/>
            <w:vAlign w:val="center"/>
          </w:tcPr>
          <w:p w14:paraId="03E5087A">
            <w:pPr>
              <w:widowControl/>
              <w:rPr>
                <w:rFonts w:cs="宋体"/>
                <w:color w:val="auto"/>
                <w:sz w:val="18"/>
                <w:szCs w:val="18"/>
              </w:rPr>
            </w:pPr>
          </w:p>
        </w:tc>
        <w:tc>
          <w:tcPr>
            <w:tcW w:w="1733" w:type="dxa"/>
            <w:vMerge w:val="restart"/>
            <w:vAlign w:val="center"/>
          </w:tcPr>
          <w:p w14:paraId="05D7CE2D">
            <w:pPr>
              <w:widowControl/>
              <w:rPr>
                <w:rFonts w:cs="宋体"/>
                <w:color w:val="auto"/>
                <w:sz w:val="18"/>
                <w:szCs w:val="18"/>
              </w:rPr>
            </w:pPr>
            <w:r>
              <w:rPr>
                <w:rFonts w:hint="eastAsia" w:cs="宋体"/>
                <w:color w:val="auto"/>
                <w:sz w:val="18"/>
                <w:szCs w:val="18"/>
              </w:rPr>
              <w:t>环保、文明施工措施（如泥浆及排污、场地清理等）具体、可行</w:t>
            </w:r>
          </w:p>
        </w:tc>
        <w:tc>
          <w:tcPr>
            <w:tcW w:w="706" w:type="dxa"/>
            <w:vMerge w:val="restart"/>
            <w:vAlign w:val="center"/>
          </w:tcPr>
          <w:p w14:paraId="26E796FF">
            <w:pPr>
              <w:widowControl/>
              <w:jc w:val="center"/>
              <w:rPr>
                <w:rFonts w:eastAsia="宋体" w:cs="宋体"/>
                <w:color w:val="auto"/>
                <w:sz w:val="18"/>
                <w:szCs w:val="18"/>
              </w:rPr>
            </w:pPr>
            <w:r>
              <w:rPr>
                <w:rFonts w:hint="eastAsia" w:cs="宋体"/>
                <w:color w:val="auto"/>
                <w:sz w:val="18"/>
                <w:szCs w:val="18"/>
              </w:rPr>
              <w:t>6</w:t>
            </w:r>
          </w:p>
        </w:tc>
        <w:tc>
          <w:tcPr>
            <w:tcW w:w="4066" w:type="dxa"/>
            <w:vAlign w:val="center"/>
          </w:tcPr>
          <w:p w14:paraId="2930450D">
            <w:pPr>
              <w:widowControl/>
              <w:rPr>
                <w:rFonts w:cs="宋体"/>
                <w:color w:val="auto"/>
                <w:sz w:val="18"/>
                <w:szCs w:val="18"/>
              </w:rPr>
            </w:pPr>
            <w:r>
              <w:rPr>
                <w:rFonts w:hint="eastAsia" w:ascii="仿宋" w:hAnsi="仿宋" w:cs="仿宋"/>
                <w:color w:val="auto"/>
                <w:sz w:val="18"/>
                <w:szCs w:val="18"/>
              </w:rPr>
              <w:t>泥浆及排污、场地清理等措施齐全且具体可行</w:t>
            </w:r>
          </w:p>
        </w:tc>
        <w:tc>
          <w:tcPr>
            <w:tcW w:w="467" w:type="dxa"/>
            <w:vAlign w:val="center"/>
          </w:tcPr>
          <w:p w14:paraId="572D04B0">
            <w:pPr>
              <w:widowControl/>
              <w:jc w:val="center"/>
              <w:rPr>
                <w:rFonts w:eastAsia="宋体" w:cs="宋体"/>
                <w:color w:val="auto"/>
                <w:sz w:val="18"/>
                <w:szCs w:val="18"/>
              </w:rPr>
            </w:pPr>
            <w:r>
              <w:rPr>
                <w:rFonts w:hint="eastAsia" w:ascii="仿宋" w:hAnsi="仿宋" w:cs="仿宋"/>
                <w:color w:val="auto"/>
                <w:sz w:val="18"/>
                <w:szCs w:val="18"/>
              </w:rPr>
              <w:t>6</w:t>
            </w:r>
          </w:p>
        </w:tc>
      </w:tr>
      <w:tr w14:paraId="5DB94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37" w:type="dxa"/>
            <w:vMerge w:val="continue"/>
            <w:vAlign w:val="center"/>
          </w:tcPr>
          <w:p w14:paraId="41777705">
            <w:pPr>
              <w:widowControl/>
              <w:rPr>
                <w:rFonts w:cs="宋体"/>
                <w:color w:val="auto"/>
                <w:sz w:val="18"/>
                <w:szCs w:val="18"/>
              </w:rPr>
            </w:pPr>
          </w:p>
        </w:tc>
        <w:tc>
          <w:tcPr>
            <w:tcW w:w="1294" w:type="dxa"/>
            <w:vMerge w:val="continue"/>
            <w:vAlign w:val="center"/>
          </w:tcPr>
          <w:p w14:paraId="40C259B8">
            <w:pPr>
              <w:widowControl/>
              <w:rPr>
                <w:rFonts w:cs="宋体"/>
                <w:color w:val="auto"/>
                <w:sz w:val="18"/>
                <w:szCs w:val="18"/>
              </w:rPr>
            </w:pPr>
          </w:p>
        </w:tc>
        <w:tc>
          <w:tcPr>
            <w:tcW w:w="1733" w:type="dxa"/>
            <w:vMerge w:val="continue"/>
            <w:vAlign w:val="center"/>
          </w:tcPr>
          <w:p w14:paraId="6C4EDCAC">
            <w:pPr>
              <w:widowControl/>
              <w:rPr>
                <w:rFonts w:cs="宋体"/>
                <w:color w:val="auto"/>
                <w:sz w:val="18"/>
                <w:szCs w:val="18"/>
              </w:rPr>
            </w:pPr>
          </w:p>
        </w:tc>
        <w:tc>
          <w:tcPr>
            <w:tcW w:w="706" w:type="dxa"/>
            <w:vMerge w:val="continue"/>
            <w:vAlign w:val="center"/>
          </w:tcPr>
          <w:p w14:paraId="4AE89555">
            <w:pPr>
              <w:widowControl/>
              <w:jc w:val="center"/>
              <w:rPr>
                <w:rFonts w:cs="宋体"/>
                <w:color w:val="auto"/>
                <w:sz w:val="18"/>
                <w:szCs w:val="18"/>
              </w:rPr>
            </w:pPr>
          </w:p>
        </w:tc>
        <w:tc>
          <w:tcPr>
            <w:tcW w:w="4066" w:type="dxa"/>
            <w:vAlign w:val="center"/>
          </w:tcPr>
          <w:p w14:paraId="406F2EB7">
            <w:pPr>
              <w:widowControl/>
              <w:rPr>
                <w:rFonts w:cs="宋体"/>
                <w:color w:val="auto"/>
                <w:sz w:val="18"/>
                <w:szCs w:val="18"/>
              </w:rPr>
            </w:pPr>
            <w:r>
              <w:rPr>
                <w:rFonts w:hint="eastAsia" w:ascii="仿宋" w:hAnsi="仿宋" w:cs="仿宋"/>
                <w:color w:val="auto"/>
                <w:sz w:val="18"/>
                <w:szCs w:val="18"/>
              </w:rPr>
              <w:t>泥浆及排污、场地清理等措施较为具体可行</w:t>
            </w:r>
          </w:p>
        </w:tc>
        <w:tc>
          <w:tcPr>
            <w:tcW w:w="467" w:type="dxa"/>
            <w:vAlign w:val="center"/>
          </w:tcPr>
          <w:p w14:paraId="37A54122">
            <w:pPr>
              <w:widowControl/>
              <w:jc w:val="center"/>
              <w:rPr>
                <w:rFonts w:cs="宋体"/>
                <w:color w:val="auto"/>
                <w:sz w:val="18"/>
                <w:szCs w:val="18"/>
              </w:rPr>
            </w:pPr>
            <w:r>
              <w:rPr>
                <w:rFonts w:hint="eastAsia" w:ascii="仿宋" w:hAnsi="仿宋" w:cs="仿宋"/>
                <w:color w:val="auto"/>
                <w:sz w:val="18"/>
                <w:szCs w:val="18"/>
              </w:rPr>
              <w:t>3</w:t>
            </w:r>
          </w:p>
        </w:tc>
      </w:tr>
      <w:tr w14:paraId="68D900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737" w:type="dxa"/>
            <w:vMerge w:val="continue"/>
            <w:vAlign w:val="center"/>
          </w:tcPr>
          <w:p w14:paraId="5AC9C569">
            <w:pPr>
              <w:widowControl/>
              <w:rPr>
                <w:rFonts w:cs="宋体"/>
                <w:color w:val="auto"/>
                <w:sz w:val="18"/>
                <w:szCs w:val="18"/>
              </w:rPr>
            </w:pPr>
          </w:p>
        </w:tc>
        <w:tc>
          <w:tcPr>
            <w:tcW w:w="1294" w:type="dxa"/>
            <w:vMerge w:val="continue"/>
            <w:vAlign w:val="center"/>
          </w:tcPr>
          <w:p w14:paraId="7C0B5653">
            <w:pPr>
              <w:widowControl/>
              <w:rPr>
                <w:rFonts w:cs="宋体"/>
                <w:color w:val="auto"/>
                <w:sz w:val="18"/>
                <w:szCs w:val="18"/>
              </w:rPr>
            </w:pPr>
          </w:p>
        </w:tc>
        <w:tc>
          <w:tcPr>
            <w:tcW w:w="1733" w:type="dxa"/>
            <w:vMerge w:val="continue"/>
            <w:vAlign w:val="center"/>
          </w:tcPr>
          <w:p w14:paraId="3F79315F">
            <w:pPr>
              <w:widowControl/>
              <w:rPr>
                <w:rFonts w:cs="宋体"/>
                <w:color w:val="auto"/>
                <w:sz w:val="18"/>
                <w:szCs w:val="18"/>
              </w:rPr>
            </w:pPr>
          </w:p>
        </w:tc>
        <w:tc>
          <w:tcPr>
            <w:tcW w:w="706" w:type="dxa"/>
            <w:vMerge w:val="continue"/>
            <w:vAlign w:val="center"/>
          </w:tcPr>
          <w:p w14:paraId="18E5EC1C">
            <w:pPr>
              <w:widowControl/>
              <w:rPr>
                <w:rFonts w:cs="宋体"/>
                <w:color w:val="auto"/>
                <w:sz w:val="18"/>
                <w:szCs w:val="18"/>
              </w:rPr>
            </w:pPr>
          </w:p>
        </w:tc>
        <w:tc>
          <w:tcPr>
            <w:tcW w:w="4066" w:type="dxa"/>
            <w:vAlign w:val="center"/>
          </w:tcPr>
          <w:p w14:paraId="4F202BF2">
            <w:pPr>
              <w:widowControl/>
              <w:rPr>
                <w:rFonts w:cs="宋体"/>
                <w:color w:val="auto"/>
                <w:sz w:val="18"/>
                <w:szCs w:val="18"/>
              </w:rPr>
            </w:pPr>
            <w:r>
              <w:rPr>
                <w:rFonts w:hint="eastAsia" w:ascii="仿宋" w:hAnsi="仿宋" w:cs="仿宋"/>
                <w:color w:val="auto"/>
                <w:sz w:val="18"/>
                <w:szCs w:val="18"/>
              </w:rPr>
              <w:t>泥浆及排污、场地清理存在明显缺项</w:t>
            </w:r>
          </w:p>
        </w:tc>
        <w:tc>
          <w:tcPr>
            <w:tcW w:w="467" w:type="dxa"/>
            <w:vAlign w:val="center"/>
          </w:tcPr>
          <w:p w14:paraId="0BF9E607">
            <w:pPr>
              <w:widowControl/>
              <w:jc w:val="center"/>
              <w:rPr>
                <w:rFonts w:cs="宋体"/>
                <w:color w:val="auto"/>
                <w:sz w:val="18"/>
                <w:szCs w:val="18"/>
              </w:rPr>
            </w:pPr>
            <w:r>
              <w:rPr>
                <w:rFonts w:hint="eastAsia" w:ascii="仿宋" w:hAnsi="仿宋" w:cs="仿宋"/>
                <w:color w:val="auto"/>
                <w:sz w:val="18"/>
                <w:szCs w:val="18"/>
              </w:rPr>
              <w:t>0</w:t>
            </w:r>
          </w:p>
        </w:tc>
      </w:tr>
    </w:tbl>
    <w:p w14:paraId="5D0CB4A4">
      <w:pPr>
        <w:jc w:val="center"/>
        <w:rPr>
          <w:rFonts w:ascii="宋体" w:hAnsi="宋体"/>
          <w:b/>
          <w:color w:val="auto"/>
        </w:rPr>
      </w:pPr>
      <w:r>
        <w:rPr>
          <w:rFonts w:hint="eastAsia" w:ascii="宋体" w:hAnsi="宋体"/>
          <w:b/>
          <w:color w:val="auto"/>
        </w:rPr>
        <w:br w:type="page"/>
      </w:r>
      <w:r>
        <w:rPr>
          <w:rFonts w:hint="eastAsia"/>
          <w:b/>
          <w:bCs/>
          <w:color w:val="auto"/>
          <w:sz w:val="28"/>
          <w:szCs w:val="36"/>
        </w:rPr>
        <w:t>技术部分</w:t>
      </w:r>
    </w:p>
    <w:tbl>
      <w:tblPr>
        <w:tblStyle w:val="49"/>
        <w:tblW w:w="919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28"/>
        <w:gridCol w:w="996"/>
        <w:gridCol w:w="2557"/>
        <w:gridCol w:w="682"/>
        <w:gridCol w:w="3640"/>
        <w:gridCol w:w="594"/>
      </w:tblGrid>
      <w:tr w14:paraId="0AB58D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1" w:hRule="atLeast"/>
          <w:jc w:val="center"/>
        </w:trPr>
        <w:tc>
          <w:tcPr>
            <w:tcW w:w="728" w:type="dxa"/>
            <w:vAlign w:val="center"/>
          </w:tcPr>
          <w:p w14:paraId="7D220923">
            <w:pPr>
              <w:jc w:val="center"/>
              <w:rPr>
                <w:b/>
                <w:color w:val="auto"/>
                <w:sz w:val="20"/>
              </w:rPr>
            </w:pPr>
            <w:r>
              <w:rPr>
                <w:rFonts w:hint="eastAsia"/>
                <w:b/>
                <w:color w:val="auto"/>
                <w:sz w:val="20"/>
              </w:rPr>
              <w:t>评审</w:t>
            </w:r>
          </w:p>
          <w:p w14:paraId="7FD49AF1">
            <w:pPr>
              <w:jc w:val="center"/>
              <w:rPr>
                <w:rFonts w:ascii="宋体" w:hAnsi="宋体"/>
                <w:color w:val="auto"/>
                <w:sz w:val="20"/>
              </w:rPr>
            </w:pPr>
            <w:r>
              <w:rPr>
                <w:rFonts w:hint="eastAsia"/>
                <w:b/>
                <w:color w:val="auto"/>
                <w:sz w:val="20"/>
              </w:rPr>
              <w:t>因素</w:t>
            </w:r>
          </w:p>
        </w:tc>
        <w:tc>
          <w:tcPr>
            <w:tcW w:w="996" w:type="dxa"/>
            <w:vAlign w:val="center"/>
          </w:tcPr>
          <w:p w14:paraId="5D012484">
            <w:pPr>
              <w:jc w:val="center"/>
              <w:rPr>
                <w:b/>
                <w:color w:val="auto"/>
                <w:sz w:val="20"/>
              </w:rPr>
            </w:pPr>
            <w:r>
              <w:rPr>
                <w:rFonts w:hint="eastAsia"/>
                <w:b/>
                <w:color w:val="auto"/>
                <w:sz w:val="20"/>
              </w:rPr>
              <w:t>评标</w:t>
            </w:r>
          </w:p>
          <w:p w14:paraId="5BE7258F">
            <w:pPr>
              <w:jc w:val="center"/>
              <w:rPr>
                <w:rFonts w:ascii="宋体" w:hAnsi="宋体"/>
                <w:color w:val="auto"/>
                <w:sz w:val="20"/>
              </w:rPr>
            </w:pPr>
            <w:r>
              <w:rPr>
                <w:rFonts w:hint="eastAsia"/>
                <w:b/>
                <w:color w:val="auto"/>
                <w:sz w:val="20"/>
              </w:rPr>
              <w:t>指标</w:t>
            </w:r>
          </w:p>
        </w:tc>
        <w:tc>
          <w:tcPr>
            <w:tcW w:w="2557" w:type="dxa"/>
            <w:vAlign w:val="center"/>
          </w:tcPr>
          <w:p w14:paraId="7B4C26FD">
            <w:pPr>
              <w:jc w:val="center"/>
              <w:rPr>
                <w:rFonts w:ascii="宋体" w:hAnsi="宋体"/>
                <w:color w:val="auto"/>
                <w:sz w:val="20"/>
              </w:rPr>
            </w:pPr>
            <w:r>
              <w:rPr>
                <w:rFonts w:hint="eastAsia"/>
                <w:b/>
                <w:color w:val="auto"/>
                <w:sz w:val="20"/>
              </w:rPr>
              <w:t>评审要点</w:t>
            </w:r>
          </w:p>
        </w:tc>
        <w:tc>
          <w:tcPr>
            <w:tcW w:w="682" w:type="dxa"/>
            <w:vAlign w:val="center"/>
          </w:tcPr>
          <w:p w14:paraId="41550699">
            <w:pPr>
              <w:jc w:val="center"/>
              <w:rPr>
                <w:rFonts w:ascii="宋体" w:hAnsi="宋体"/>
                <w:color w:val="auto"/>
                <w:sz w:val="20"/>
              </w:rPr>
            </w:pPr>
            <w:r>
              <w:rPr>
                <w:rFonts w:hint="eastAsia"/>
                <w:b/>
                <w:color w:val="auto"/>
                <w:sz w:val="20"/>
              </w:rPr>
              <w:t>分值</w:t>
            </w:r>
          </w:p>
        </w:tc>
        <w:tc>
          <w:tcPr>
            <w:tcW w:w="3640" w:type="dxa"/>
            <w:vAlign w:val="center"/>
          </w:tcPr>
          <w:p w14:paraId="4EB08E23">
            <w:pPr>
              <w:jc w:val="center"/>
              <w:rPr>
                <w:rFonts w:ascii="宋体" w:hAnsi="宋体"/>
                <w:color w:val="auto"/>
                <w:sz w:val="20"/>
              </w:rPr>
            </w:pPr>
            <w:r>
              <w:rPr>
                <w:rFonts w:hint="eastAsia"/>
                <w:b/>
                <w:color w:val="auto"/>
                <w:sz w:val="20"/>
              </w:rPr>
              <w:t>评分标准</w:t>
            </w:r>
          </w:p>
        </w:tc>
        <w:tc>
          <w:tcPr>
            <w:tcW w:w="594" w:type="dxa"/>
            <w:vAlign w:val="center"/>
          </w:tcPr>
          <w:p w14:paraId="40A8EF13">
            <w:pPr>
              <w:jc w:val="center"/>
              <w:rPr>
                <w:rFonts w:ascii="宋体" w:hAnsi="宋体"/>
                <w:color w:val="auto"/>
                <w:sz w:val="20"/>
              </w:rPr>
            </w:pPr>
            <w:r>
              <w:rPr>
                <w:rFonts w:hint="eastAsia"/>
                <w:b/>
                <w:color w:val="auto"/>
                <w:sz w:val="20"/>
              </w:rPr>
              <w:t>评分</w:t>
            </w:r>
          </w:p>
        </w:tc>
      </w:tr>
      <w:tr w14:paraId="0D8CC2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4" w:hRule="atLeast"/>
          <w:jc w:val="center"/>
        </w:trPr>
        <w:tc>
          <w:tcPr>
            <w:tcW w:w="728" w:type="dxa"/>
            <w:vMerge w:val="restart"/>
            <w:vAlign w:val="center"/>
          </w:tcPr>
          <w:p w14:paraId="026E0C7A">
            <w:pPr>
              <w:spacing w:line="240" w:lineRule="exact"/>
              <w:jc w:val="center"/>
              <w:rPr>
                <w:rFonts w:cs="宋体"/>
                <w:color w:val="auto"/>
                <w:sz w:val="20"/>
              </w:rPr>
            </w:pPr>
            <w:r>
              <w:rPr>
                <w:rFonts w:hint="eastAsia" w:cs="宋体"/>
                <w:color w:val="auto"/>
                <w:sz w:val="20"/>
              </w:rPr>
              <w:t>技术</w:t>
            </w:r>
          </w:p>
          <w:p w14:paraId="5CA6EDA8">
            <w:pPr>
              <w:spacing w:line="240" w:lineRule="exact"/>
              <w:jc w:val="center"/>
              <w:rPr>
                <w:rFonts w:cs="宋体"/>
                <w:color w:val="auto"/>
                <w:sz w:val="20"/>
              </w:rPr>
            </w:pPr>
            <w:r>
              <w:rPr>
                <w:rFonts w:hint="eastAsia" w:cs="宋体"/>
                <w:color w:val="auto"/>
                <w:sz w:val="20"/>
              </w:rPr>
              <w:t>60分</w:t>
            </w:r>
          </w:p>
          <w:p w14:paraId="4B657C56">
            <w:pPr>
              <w:spacing w:line="240" w:lineRule="exact"/>
              <w:jc w:val="center"/>
              <w:rPr>
                <w:rFonts w:ascii="宋体" w:hAnsi="宋体"/>
                <w:color w:val="auto"/>
                <w:sz w:val="20"/>
              </w:rPr>
            </w:pPr>
            <w:r>
              <w:rPr>
                <w:rFonts w:hint="eastAsia" w:cs="宋体"/>
                <w:color w:val="auto"/>
                <w:sz w:val="20"/>
              </w:rPr>
              <w:t>60%</w:t>
            </w:r>
          </w:p>
        </w:tc>
        <w:tc>
          <w:tcPr>
            <w:tcW w:w="996" w:type="dxa"/>
            <w:vMerge w:val="restart"/>
            <w:vAlign w:val="center"/>
          </w:tcPr>
          <w:p w14:paraId="1FA04090">
            <w:pPr>
              <w:spacing w:line="240" w:lineRule="exact"/>
              <w:jc w:val="center"/>
              <w:rPr>
                <w:rFonts w:cs="宋体"/>
                <w:color w:val="auto"/>
                <w:sz w:val="20"/>
              </w:rPr>
            </w:pPr>
            <w:r>
              <w:rPr>
                <w:rFonts w:hint="eastAsia" w:cs="宋体"/>
                <w:color w:val="auto"/>
                <w:sz w:val="20"/>
              </w:rPr>
              <w:t>工区条件熟悉程度</w:t>
            </w:r>
          </w:p>
          <w:p w14:paraId="4BC3E702">
            <w:pPr>
              <w:spacing w:line="240" w:lineRule="exact"/>
              <w:jc w:val="center"/>
              <w:rPr>
                <w:rFonts w:ascii="宋体" w:hAnsi="宋体"/>
                <w:color w:val="auto"/>
                <w:sz w:val="20"/>
              </w:rPr>
            </w:pPr>
            <w:r>
              <w:rPr>
                <w:rFonts w:hint="eastAsia" w:cs="宋体"/>
                <w:color w:val="auto"/>
                <w:sz w:val="20"/>
              </w:rPr>
              <w:t>（10分）</w:t>
            </w:r>
          </w:p>
        </w:tc>
        <w:tc>
          <w:tcPr>
            <w:tcW w:w="2557" w:type="dxa"/>
            <w:vMerge w:val="restart"/>
            <w:vAlign w:val="center"/>
          </w:tcPr>
          <w:p w14:paraId="0EC797AE">
            <w:pPr>
              <w:spacing w:line="240" w:lineRule="exact"/>
              <w:jc w:val="center"/>
              <w:rPr>
                <w:color w:val="auto"/>
                <w:sz w:val="20"/>
              </w:rPr>
            </w:pPr>
            <w:r>
              <w:rPr>
                <w:rFonts w:hint="eastAsia"/>
                <w:color w:val="auto"/>
                <w:sz w:val="20"/>
              </w:rPr>
              <w:t>对区域地质背景、地层和水文地质条件以及工作区自然地理特征等基础条件描述是否清晰、全面；现有资料分析是否透彻全面，问题梳理是否准确到位</w:t>
            </w:r>
          </w:p>
        </w:tc>
        <w:tc>
          <w:tcPr>
            <w:tcW w:w="682" w:type="dxa"/>
            <w:vMerge w:val="restart"/>
            <w:vAlign w:val="center"/>
          </w:tcPr>
          <w:p w14:paraId="31DE06BE">
            <w:pPr>
              <w:spacing w:line="240" w:lineRule="exact"/>
              <w:jc w:val="center"/>
              <w:rPr>
                <w:rFonts w:ascii="宋体" w:hAnsi="宋体"/>
                <w:color w:val="auto"/>
                <w:sz w:val="20"/>
              </w:rPr>
            </w:pPr>
            <w:r>
              <w:rPr>
                <w:rFonts w:hint="eastAsia" w:cs="宋体"/>
                <w:color w:val="auto"/>
                <w:sz w:val="20"/>
              </w:rPr>
              <w:t>5</w:t>
            </w:r>
          </w:p>
        </w:tc>
        <w:tc>
          <w:tcPr>
            <w:tcW w:w="3640" w:type="dxa"/>
            <w:vAlign w:val="center"/>
          </w:tcPr>
          <w:p w14:paraId="19806005">
            <w:pPr>
              <w:spacing w:line="240" w:lineRule="exact"/>
              <w:rPr>
                <w:rFonts w:ascii="宋体" w:hAnsi="宋体" w:eastAsia="宋体"/>
                <w:color w:val="auto"/>
                <w:sz w:val="20"/>
              </w:rPr>
            </w:pPr>
            <w:r>
              <w:rPr>
                <w:rFonts w:hint="eastAsia" w:cs="宋体"/>
                <w:color w:val="auto"/>
                <w:sz w:val="20"/>
              </w:rPr>
              <w:t>熟悉区域地质背景、地质条件，资料齐全；资料分析透彻，精准提出前人施工中存在的具体问题；</w:t>
            </w:r>
          </w:p>
        </w:tc>
        <w:tc>
          <w:tcPr>
            <w:tcW w:w="594" w:type="dxa"/>
            <w:vAlign w:val="center"/>
          </w:tcPr>
          <w:p w14:paraId="72C0056C">
            <w:pPr>
              <w:spacing w:line="240" w:lineRule="exact"/>
              <w:jc w:val="center"/>
              <w:rPr>
                <w:rFonts w:ascii="宋体" w:hAnsi="宋体"/>
                <w:color w:val="auto"/>
                <w:sz w:val="20"/>
              </w:rPr>
            </w:pPr>
            <w:r>
              <w:rPr>
                <w:rFonts w:hint="eastAsia" w:cs="宋体"/>
                <w:color w:val="auto"/>
                <w:sz w:val="20"/>
              </w:rPr>
              <w:t>5</w:t>
            </w:r>
          </w:p>
        </w:tc>
      </w:tr>
      <w:tr w14:paraId="0D805B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56" w:hRule="atLeast"/>
          <w:jc w:val="center"/>
        </w:trPr>
        <w:tc>
          <w:tcPr>
            <w:tcW w:w="728" w:type="dxa"/>
            <w:vMerge w:val="continue"/>
            <w:vAlign w:val="center"/>
          </w:tcPr>
          <w:p w14:paraId="6F865555">
            <w:pPr>
              <w:spacing w:line="240" w:lineRule="exact"/>
              <w:jc w:val="center"/>
              <w:rPr>
                <w:rFonts w:ascii="宋体" w:hAnsi="宋体"/>
                <w:color w:val="auto"/>
                <w:sz w:val="20"/>
              </w:rPr>
            </w:pPr>
          </w:p>
        </w:tc>
        <w:tc>
          <w:tcPr>
            <w:tcW w:w="996" w:type="dxa"/>
            <w:vMerge w:val="continue"/>
            <w:vAlign w:val="center"/>
          </w:tcPr>
          <w:p w14:paraId="0EC165AA">
            <w:pPr>
              <w:spacing w:line="240" w:lineRule="exact"/>
              <w:jc w:val="center"/>
              <w:rPr>
                <w:rFonts w:ascii="宋体" w:hAnsi="宋体"/>
                <w:color w:val="auto"/>
                <w:sz w:val="20"/>
              </w:rPr>
            </w:pPr>
          </w:p>
        </w:tc>
        <w:tc>
          <w:tcPr>
            <w:tcW w:w="2557" w:type="dxa"/>
            <w:vMerge w:val="continue"/>
            <w:vAlign w:val="center"/>
          </w:tcPr>
          <w:p w14:paraId="56E85130">
            <w:pPr>
              <w:spacing w:line="240" w:lineRule="exact"/>
              <w:jc w:val="center"/>
              <w:rPr>
                <w:rFonts w:ascii="宋体" w:hAnsi="宋体"/>
                <w:color w:val="auto"/>
                <w:sz w:val="20"/>
              </w:rPr>
            </w:pPr>
          </w:p>
        </w:tc>
        <w:tc>
          <w:tcPr>
            <w:tcW w:w="682" w:type="dxa"/>
            <w:vMerge w:val="continue"/>
            <w:vAlign w:val="center"/>
          </w:tcPr>
          <w:p w14:paraId="12F6582D">
            <w:pPr>
              <w:spacing w:line="240" w:lineRule="exact"/>
              <w:jc w:val="center"/>
              <w:rPr>
                <w:rFonts w:ascii="宋体" w:hAnsi="宋体"/>
                <w:color w:val="auto"/>
                <w:sz w:val="20"/>
              </w:rPr>
            </w:pPr>
          </w:p>
        </w:tc>
        <w:tc>
          <w:tcPr>
            <w:tcW w:w="3640" w:type="dxa"/>
            <w:vAlign w:val="center"/>
          </w:tcPr>
          <w:p w14:paraId="2B45F92A">
            <w:pPr>
              <w:spacing w:line="240" w:lineRule="exact"/>
              <w:rPr>
                <w:rFonts w:ascii="宋体" w:hAnsi="宋体" w:eastAsia="宋体"/>
                <w:color w:val="auto"/>
                <w:sz w:val="20"/>
              </w:rPr>
            </w:pPr>
            <w:r>
              <w:rPr>
                <w:rFonts w:hint="eastAsia" w:cs="宋体"/>
                <w:color w:val="auto"/>
                <w:sz w:val="20"/>
              </w:rPr>
              <w:t>收集区域地质背景、地质条件资料较齐全，资料分析基本到位，能够提出前人施工中存在的具体问题；</w:t>
            </w:r>
          </w:p>
        </w:tc>
        <w:tc>
          <w:tcPr>
            <w:tcW w:w="594" w:type="dxa"/>
            <w:vAlign w:val="center"/>
          </w:tcPr>
          <w:p w14:paraId="7E451B91">
            <w:pPr>
              <w:spacing w:line="240" w:lineRule="exact"/>
              <w:jc w:val="center"/>
              <w:rPr>
                <w:rFonts w:ascii="宋体" w:hAnsi="宋体"/>
                <w:color w:val="auto"/>
                <w:sz w:val="20"/>
              </w:rPr>
            </w:pPr>
            <w:r>
              <w:rPr>
                <w:rFonts w:cs="宋体"/>
                <w:color w:val="auto"/>
                <w:sz w:val="20"/>
              </w:rPr>
              <w:t>4</w:t>
            </w:r>
          </w:p>
        </w:tc>
      </w:tr>
      <w:tr w14:paraId="3AC3F1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6" w:hRule="atLeast"/>
          <w:jc w:val="center"/>
        </w:trPr>
        <w:tc>
          <w:tcPr>
            <w:tcW w:w="728" w:type="dxa"/>
            <w:vMerge w:val="continue"/>
            <w:vAlign w:val="center"/>
          </w:tcPr>
          <w:p w14:paraId="607C1F40">
            <w:pPr>
              <w:spacing w:line="240" w:lineRule="exact"/>
              <w:jc w:val="center"/>
              <w:rPr>
                <w:rFonts w:ascii="宋体" w:hAnsi="宋体"/>
                <w:color w:val="auto"/>
                <w:sz w:val="20"/>
              </w:rPr>
            </w:pPr>
          </w:p>
        </w:tc>
        <w:tc>
          <w:tcPr>
            <w:tcW w:w="996" w:type="dxa"/>
            <w:vMerge w:val="continue"/>
            <w:vAlign w:val="center"/>
          </w:tcPr>
          <w:p w14:paraId="1D294057">
            <w:pPr>
              <w:spacing w:line="240" w:lineRule="exact"/>
              <w:jc w:val="center"/>
              <w:rPr>
                <w:rFonts w:ascii="宋体" w:hAnsi="宋体"/>
                <w:color w:val="auto"/>
                <w:sz w:val="20"/>
              </w:rPr>
            </w:pPr>
          </w:p>
        </w:tc>
        <w:tc>
          <w:tcPr>
            <w:tcW w:w="2557" w:type="dxa"/>
            <w:vMerge w:val="continue"/>
            <w:vAlign w:val="center"/>
          </w:tcPr>
          <w:p w14:paraId="0386B6B5">
            <w:pPr>
              <w:spacing w:line="240" w:lineRule="exact"/>
              <w:jc w:val="center"/>
              <w:rPr>
                <w:rFonts w:ascii="宋体" w:hAnsi="宋体"/>
                <w:color w:val="auto"/>
                <w:sz w:val="20"/>
              </w:rPr>
            </w:pPr>
          </w:p>
        </w:tc>
        <w:tc>
          <w:tcPr>
            <w:tcW w:w="682" w:type="dxa"/>
            <w:vMerge w:val="continue"/>
            <w:vAlign w:val="center"/>
          </w:tcPr>
          <w:p w14:paraId="2DF98E36">
            <w:pPr>
              <w:spacing w:line="240" w:lineRule="exact"/>
              <w:jc w:val="center"/>
              <w:rPr>
                <w:rFonts w:ascii="宋体" w:hAnsi="宋体"/>
                <w:color w:val="auto"/>
                <w:sz w:val="20"/>
              </w:rPr>
            </w:pPr>
          </w:p>
        </w:tc>
        <w:tc>
          <w:tcPr>
            <w:tcW w:w="3640" w:type="dxa"/>
            <w:vAlign w:val="center"/>
          </w:tcPr>
          <w:p w14:paraId="0B218A51">
            <w:pPr>
              <w:spacing w:line="240" w:lineRule="exact"/>
              <w:rPr>
                <w:rFonts w:ascii="宋体" w:hAnsi="宋体" w:eastAsia="宋体"/>
                <w:color w:val="auto"/>
                <w:sz w:val="20"/>
              </w:rPr>
            </w:pPr>
            <w:r>
              <w:rPr>
                <w:rFonts w:hint="eastAsia" w:cs="宋体"/>
                <w:color w:val="auto"/>
                <w:sz w:val="20"/>
              </w:rPr>
              <w:t>不熟悉区域地质背景、地质条件，资料分析不到位；</w:t>
            </w:r>
          </w:p>
        </w:tc>
        <w:tc>
          <w:tcPr>
            <w:tcW w:w="594" w:type="dxa"/>
            <w:vAlign w:val="center"/>
          </w:tcPr>
          <w:p w14:paraId="26F65511">
            <w:pPr>
              <w:spacing w:line="240" w:lineRule="exact"/>
              <w:jc w:val="center"/>
              <w:rPr>
                <w:rFonts w:ascii="宋体" w:hAnsi="宋体" w:eastAsia="宋体"/>
                <w:color w:val="auto"/>
                <w:sz w:val="20"/>
              </w:rPr>
            </w:pPr>
            <w:r>
              <w:rPr>
                <w:rFonts w:hint="eastAsia" w:cs="宋体"/>
                <w:color w:val="auto"/>
                <w:sz w:val="20"/>
              </w:rPr>
              <w:t>1</w:t>
            </w:r>
          </w:p>
        </w:tc>
      </w:tr>
      <w:tr w14:paraId="382051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2" w:hRule="atLeast"/>
          <w:jc w:val="center"/>
        </w:trPr>
        <w:tc>
          <w:tcPr>
            <w:tcW w:w="728" w:type="dxa"/>
            <w:vMerge w:val="continue"/>
            <w:vAlign w:val="center"/>
          </w:tcPr>
          <w:p w14:paraId="30F68FA5">
            <w:pPr>
              <w:spacing w:line="240" w:lineRule="exact"/>
              <w:jc w:val="center"/>
              <w:rPr>
                <w:rFonts w:ascii="宋体" w:hAnsi="宋体"/>
                <w:color w:val="auto"/>
                <w:sz w:val="20"/>
              </w:rPr>
            </w:pPr>
          </w:p>
        </w:tc>
        <w:tc>
          <w:tcPr>
            <w:tcW w:w="996" w:type="dxa"/>
            <w:vMerge w:val="continue"/>
            <w:vAlign w:val="center"/>
          </w:tcPr>
          <w:p w14:paraId="74DA5C84">
            <w:pPr>
              <w:spacing w:line="240" w:lineRule="exact"/>
              <w:jc w:val="center"/>
              <w:rPr>
                <w:rFonts w:ascii="宋体" w:hAnsi="宋体"/>
                <w:color w:val="auto"/>
                <w:sz w:val="20"/>
              </w:rPr>
            </w:pPr>
          </w:p>
        </w:tc>
        <w:tc>
          <w:tcPr>
            <w:tcW w:w="2557" w:type="dxa"/>
            <w:vMerge w:val="restart"/>
            <w:vAlign w:val="center"/>
          </w:tcPr>
          <w:p w14:paraId="31CBAA04">
            <w:pPr>
              <w:spacing w:line="240" w:lineRule="exact"/>
              <w:jc w:val="center"/>
              <w:rPr>
                <w:rFonts w:ascii="宋体" w:hAnsi="宋体"/>
                <w:color w:val="auto"/>
                <w:sz w:val="20"/>
              </w:rPr>
            </w:pPr>
            <w:r>
              <w:rPr>
                <w:rFonts w:hint="eastAsia" w:ascii="宋体" w:hAnsi="宋体"/>
                <w:color w:val="auto"/>
                <w:sz w:val="20"/>
              </w:rPr>
              <w:t>野外踏勘报告内容是否完整（应包括踏勘计划、踏勘内容、踏勘结果，初步拟定野外施工方案）</w:t>
            </w:r>
          </w:p>
        </w:tc>
        <w:tc>
          <w:tcPr>
            <w:tcW w:w="682" w:type="dxa"/>
            <w:vMerge w:val="restart"/>
            <w:vAlign w:val="center"/>
          </w:tcPr>
          <w:p w14:paraId="13D2ABC9">
            <w:pPr>
              <w:spacing w:line="240" w:lineRule="exact"/>
              <w:jc w:val="center"/>
              <w:rPr>
                <w:rFonts w:ascii="宋体" w:hAnsi="宋体"/>
                <w:color w:val="auto"/>
                <w:sz w:val="20"/>
              </w:rPr>
            </w:pPr>
            <w:r>
              <w:rPr>
                <w:rFonts w:hint="eastAsia" w:ascii="宋体" w:hAnsi="宋体"/>
                <w:color w:val="auto"/>
                <w:sz w:val="20"/>
              </w:rPr>
              <w:t>5</w:t>
            </w:r>
          </w:p>
        </w:tc>
        <w:tc>
          <w:tcPr>
            <w:tcW w:w="3640" w:type="dxa"/>
            <w:vAlign w:val="center"/>
          </w:tcPr>
          <w:p w14:paraId="7474FB83">
            <w:pPr>
              <w:spacing w:line="240" w:lineRule="exact"/>
              <w:rPr>
                <w:rFonts w:eastAsia="宋体" w:cs="宋体"/>
                <w:color w:val="auto"/>
                <w:sz w:val="20"/>
              </w:rPr>
            </w:pPr>
            <w:r>
              <w:rPr>
                <w:rFonts w:hint="eastAsia" w:cs="宋体"/>
                <w:color w:val="auto"/>
                <w:sz w:val="20"/>
              </w:rPr>
              <w:t>报告</w:t>
            </w:r>
            <w:r>
              <w:rPr>
                <w:rFonts w:hint="eastAsia" w:ascii="宋体" w:hAnsi="宋体"/>
                <w:color w:val="auto"/>
                <w:sz w:val="20"/>
              </w:rPr>
              <w:t>包括踏勘计划、踏勘内容、踏勘结果，初步拟定野外施工方案，</w:t>
            </w:r>
            <w:r>
              <w:rPr>
                <w:rFonts w:hint="eastAsia" w:cs="宋体"/>
                <w:color w:val="auto"/>
                <w:sz w:val="20"/>
              </w:rPr>
              <w:t>内容完整、详细；</w:t>
            </w:r>
          </w:p>
        </w:tc>
        <w:tc>
          <w:tcPr>
            <w:tcW w:w="594" w:type="dxa"/>
            <w:vAlign w:val="center"/>
          </w:tcPr>
          <w:p w14:paraId="5997A211">
            <w:pPr>
              <w:spacing w:line="240" w:lineRule="exact"/>
              <w:jc w:val="center"/>
              <w:rPr>
                <w:rFonts w:cs="宋体"/>
                <w:color w:val="auto"/>
                <w:sz w:val="20"/>
              </w:rPr>
            </w:pPr>
            <w:r>
              <w:rPr>
                <w:rFonts w:hint="eastAsia" w:cs="宋体"/>
                <w:color w:val="auto"/>
                <w:sz w:val="20"/>
              </w:rPr>
              <w:t>5</w:t>
            </w:r>
          </w:p>
        </w:tc>
      </w:tr>
      <w:tr w14:paraId="47D488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728" w:type="dxa"/>
            <w:vMerge w:val="continue"/>
            <w:vAlign w:val="center"/>
          </w:tcPr>
          <w:p w14:paraId="4C53ABEF">
            <w:pPr>
              <w:spacing w:line="240" w:lineRule="exact"/>
              <w:jc w:val="center"/>
              <w:rPr>
                <w:rFonts w:ascii="宋体" w:hAnsi="宋体"/>
                <w:color w:val="auto"/>
                <w:sz w:val="20"/>
              </w:rPr>
            </w:pPr>
          </w:p>
        </w:tc>
        <w:tc>
          <w:tcPr>
            <w:tcW w:w="996" w:type="dxa"/>
            <w:vMerge w:val="continue"/>
            <w:vAlign w:val="center"/>
          </w:tcPr>
          <w:p w14:paraId="0541C82B">
            <w:pPr>
              <w:spacing w:line="240" w:lineRule="exact"/>
              <w:jc w:val="center"/>
              <w:rPr>
                <w:rFonts w:ascii="宋体" w:hAnsi="宋体"/>
                <w:color w:val="auto"/>
                <w:sz w:val="20"/>
              </w:rPr>
            </w:pPr>
          </w:p>
        </w:tc>
        <w:tc>
          <w:tcPr>
            <w:tcW w:w="2557" w:type="dxa"/>
            <w:vMerge w:val="continue"/>
            <w:vAlign w:val="center"/>
          </w:tcPr>
          <w:p w14:paraId="5857E4D8">
            <w:pPr>
              <w:spacing w:line="240" w:lineRule="exact"/>
              <w:jc w:val="center"/>
              <w:rPr>
                <w:rFonts w:ascii="宋体" w:hAnsi="宋体"/>
                <w:color w:val="auto"/>
                <w:sz w:val="20"/>
              </w:rPr>
            </w:pPr>
          </w:p>
        </w:tc>
        <w:tc>
          <w:tcPr>
            <w:tcW w:w="682" w:type="dxa"/>
            <w:vMerge w:val="continue"/>
            <w:vAlign w:val="center"/>
          </w:tcPr>
          <w:p w14:paraId="2537E1D7">
            <w:pPr>
              <w:spacing w:line="240" w:lineRule="exact"/>
              <w:jc w:val="center"/>
              <w:rPr>
                <w:rFonts w:ascii="宋体" w:hAnsi="宋体"/>
                <w:color w:val="auto"/>
                <w:sz w:val="20"/>
              </w:rPr>
            </w:pPr>
          </w:p>
        </w:tc>
        <w:tc>
          <w:tcPr>
            <w:tcW w:w="3640" w:type="dxa"/>
            <w:vAlign w:val="center"/>
          </w:tcPr>
          <w:p w14:paraId="49974EE6">
            <w:pPr>
              <w:spacing w:line="240" w:lineRule="exact"/>
              <w:rPr>
                <w:rFonts w:eastAsia="宋体" w:cs="宋体"/>
                <w:color w:val="auto"/>
                <w:sz w:val="20"/>
              </w:rPr>
            </w:pPr>
            <w:r>
              <w:rPr>
                <w:rFonts w:hint="eastAsia" w:cs="宋体"/>
                <w:color w:val="auto"/>
                <w:sz w:val="20"/>
              </w:rPr>
              <w:t>报告内容基本完整，但存在不足；</w:t>
            </w:r>
          </w:p>
        </w:tc>
        <w:tc>
          <w:tcPr>
            <w:tcW w:w="594" w:type="dxa"/>
            <w:vAlign w:val="center"/>
          </w:tcPr>
          <w:p w14:paraId="7F74C518">
            <w:pPr>
              <w:spacing w:line="240" w:lineRule="exact"/>
              <w:jc w:val="center"/>
              <w:rPr>
                <w:rFonts w:cs="宋体"/>
                <w:color w:val="auto"/>
                <w:sz w:val="20"/>
              </w:rPr>
            </w:pPr>
            <w:r>
              <w:rPr>
                <w:rFonts w:hint="eastAsia" w:cs="宋体"/>
                <w:color w:val="auto"/>
                <w:sz w:val="20"/>
              </w:rPr>
              <w:t>3</w:t>
            </w:r>
          </w:p>
        </w:tc>
      </w:tr>
      <w:tr w14:paraId="45E4CE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8" w:hRule="atLeast"/>
          <w:jc w:val="center"/>
        </w:trPr>
        <w:tc>
          <w:tcPr>
            <w:tcW w:w="728" w:type="dxa"/>
            <w:vMerge w:val="continue"/>
            <w:vAlign w:val="center"/>
          </w:tcPr>
          <w:p w14:paraId="67947CB6">
            <w:pPr>
              <w:spacing w:line="240" w:lineRule="exact"/>
              <w:jc w:val="center"/>
              <w:rPr>
                <w:rFonts w:ascii="宋体" w:hAnsi="宋体"/>
                <w:color w:val="auto"/>
                <w:sz w:val="20"/>
              </w:rPr>
            </w:pPr>
          </w:p>
        </w:tc>
        <w:tc>
          <w:tcPr>
            <w:tcW w:w="996" w:type="dxa"/>
            <w:vMerge w:val="continue"/>
            <w:vAlign w:val="center"/>
          </w:tcPr>
          <w:p w14:paraId="5500B842">
            <w:pPr>
              <w:spacing w:line="240" w:lineRule="exact"/>
              <w:jc w:val="center"/>
              <w:rPr>
                <w:rFonts w:ascii="宋体" w:hAnsi="宋体"/>
                <w:color w:val="auto"/>
                <w:sz w:val="20"/>
              </w:rPr>
            </w:pPr>
          </w:p>
        </w:tc>
        <w:tc>
          <w:tcPr>
            <w:tcW w:w="2557" w:type="dxa"/>
            <w:vMerge w:val="continue"/>
            <w:vAlign w:val="center"/>
          </w:tcPr>
          <w:p w14:paraId="784CDBAA">
            <w:pPr>
              <w:spacing w:line="240" w:lineRule="exact"/>
              <w:jc w:val="center"/>
              <w:rPr>
                <w:rFonts w:ascii="宋体" w:hAnsi="宋体"/>
                <w:color w:val="auto"/>
                <w:sz w:val="20"/>
              </w:rPr>
            </w:pPr>
          </w:p>
        </w:tc>
        <w:tc>
          <w:tcPr>
            <w:tcW w:w="682" w:type="dxa"/>
            <w:vMerge w:val="continue"/>
            <w:vAlign w:val="center"/>
          </w:tcPr>
          <w:p w14:paraId="47541689">
            <w:pPr>
              <w:spacing w:line="240" w:lineRule="exact"/>
              <w:jc w:val="center"/>
              <w:rPr>
                <w:rFonts w:ascii="宋体" w:hAnsi="宋体"/>
                <w:color w:val="auto"/>
                <w:sz w:val="20"/>
              </w:rPr>
            </w:pPr>
          </w:p>
        </w:tc>
        <w:tc>
          <w:tcPr>
            <w:tcW w:w="3640" w:type="dxa"/>
            <w:vAlign w:val="center"/>
          </w:tcPr>
          <w:p w14:paraId="7A566289">
            <w:pPr>
              <w:spacing w:line="240" w:lineRule="exact"/>
              <w:rPr>
                <w:rFonts w:eastAsia="宋体" w:cs="宋体"/>
                <w:color w:val="auto"/>
                <w:sz w:val="20"/>
              </w:rPr>
            </w:pPr>
            <w:r>
              <w:rPr>
                <w:rFonts w:hint="eastAsia" w:ascii="宋体" w:hAnsi="宋体"/>
                <w:color w:val="auto"/>
                <w:sz w:val="20"/>
              </w:rPr>
              <w:t>野外踏勘报告内容</w:t>
            </w:r>
            <w:r>
              <w:rPr>
                <w:rFonts w:hint="eastAsia" w:cs="宋体"/>
                <w:color w:val="auto"/>
                <w:sz w:val="20"/>
              </w:rPr>
              <w:t>存在明显缺项。</w:t>
            </w:r>
          </w:p>
        </w:tc>
        <w:tc>
          <w:tcPr>
            <w:tcW w:w="594" w:type="dxa"/>
            <w:vAlign w:val="center"/>
          </w:tcPr>
          <w:p w14:paraId="7131903A">
            <w:pPr>
              <w:spacing w:line="240" w:lineRule="exact"/>
              <w:jc w:val="center"/>
              <w:rPr>
                <w:rFonts w:cs="宋体"/>
                <w:color w:val="auto"/>
                <w:sz w:val="20"/>
              </w:rPr>
            </w:pPr>
            <w:r>
              <w:rPr>
                <w:rFonts w:cs="宋体"/>
                <w:color w:val="auto"/>
                <w:sz w:val="20"/>
              </w:rPr>
              <w:t>1</w:t>
            </w:r>
          </w:p>
        </w:tc>
      </w:tr>
      <w:tr w14:paraId="60D61A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6" w:hRule="atLeast"/>
          <w:jc w:val="center"/>
        </w:trPr>
        <w:tc>
          <w:tcPr>
            <w:tcW w:w="728" w:type="dxa"/>
            <w:vMerge w:val="continue"/>
            <w:vAlign w:val="center"/>
          </w:tcPr>
          <w:p w14:paraId="4A69E0C7">
            <w:pPr>
              <w:spacing w:line="240" w:lineRule="exact"/>
              <w:jc w:val="center"/>
              <w:rPr>
                <w:rFonts w:ascii="宋体" w:hAnsi="宋体"/>
                <w:color w:val="auto"/>
                <w:sz w:val="20"/>
              </w:rPr>
            </w:pPr>
          </w:p>
        </w:tc>
        <w:tc>
          <w:tcPr>
            <w:tcW w:w="996" w:type="dxa"/>
            <w:vMerge w:val="restart"/>
            <w:vAlign w:val="center"/>
          </w:tcPr>
          <w:p w14:paraId="27D2B1A8">
            <w:pPr>
              <w:widowControl/>
              <w:spacing w:line="240" w:lineRule="exact"/>
              <w:jc w:val="center"/>
              <w:rPr>
                <w:rFonts w:cs="宋体"/>
                <w:color w:val="auto"/>
                <w:sz w:val="20"/>
              </w:rPr>
            </w:pPr>
            <w:r>
              <w:rPr>
                <w:rFonts w:hint="eastAsia" w:cs="宋体"/>
                <w:color w:val="auto"/>
                <w:sz w:val="20"/>
              </w:rPr>
              <w:t>钻探施工方案</w:t>
            </w:r>
          </w:p>
          <w:p w14:paraId="57B05287">
            <w:pPr>
              <w:widowControl/>
              <w:spacing w:line="240" w:lineRule="exact"/>
              <w:jc w:val="center"/>
              <w:rPr>
                <w:rFonts w:ascii="宋体" w:hAnsi="宋体"/>
                <w:color w:val="auto"/>
                <w:sz w:val="20"/>
              </w:rPr>
            </w:pPr>
            <w:r>
              <w:rPr>
                <w:rFonts w:hint="eastAsia" w:cs="宋体"/>
                <w:color w:val="auto"/>
                <w:sz w:val="20"/>
              </w:rPr>
              <w:t>（25分）</w:t>
            </w:r>
          </w:p>
        </w:tc>
        <w:tc>
          <w:tcPr>
            <w:tcW w:w="2557" w:type="dxa"/>
            <w:vMerge w:val="restart"/>
            <w:vAlign w:val="center"/>
          </w:tcPr>
          <w:p w14:paraId="622FE7A2">
            <w:pPr>
              <w:spacing w:line="240" w:lineRule="exact"/>
              <w:jc w:val="center"/>
              <w:rPr>
                <w:rFonts w:ascii="宋体" w:hAnsi="宋体"/>
                <w:color w:val="auto"/>
                <w:sz w:val="20"/>
              </w:rPr>
            </w:pPr>
            <w:r>
              <w:rPr>
                <w:rFonts w:hint="eastAsia" w:cs="宋体"/>
                <w:color w:val="auto"/>
                <w:sz w:val="20"/>
              </w:rPr>
              <w:t>施工方案是否对招标文件有明确响应、可行</w:t>
            </w:r>
          </w:p>
        </w:tc>
        <w:tc>
          <w:tcPr>
            <w:tcW w:w="682" w:type="dxa"/>
            <w:vMerge w:val="restart"/>
            <w:vAlign w:val="center"/>
          </w:tcPr>
          <w:p w14:paraId="4D23033A">
            <w:pPr>
              <w:spacing w:line="240" w:lineRule="exact"/>
              <w:jc w:val="center"/>
              <w:rPr>
                <w:rFonts w:ascii="宋体" w:hAnsi="宋体" w:eastAsia="宋体"/>
                <w:color w:val="auto"/>
                <w:sz w:val="20"/>
              </w:rPr>
            </w:pPr>
            <w:r>
              <w:rPr>
                <w:rFonts w:hint="eastAsia" w:ascii="宋体" w:hAnsi="宋体"/>
                <w:color w:val="auto"/>
                <w:sz w:val="20"/>
              </w:rPr>
              <w:t>25</w:t>
            </w:r>
          </w:p>
        </w:tc>
        <w:tc>
          <w:tcPr>
            <w:tcW w:w="3640" w:type="dxa"/>
            <w:vAlign w:val="center"/>
          </w:tcPr>
          <w:p w14:paraId="4A494DCD">
            <w:pPr>
              <w:spacing w:line="240" w:lineRule="exact"/>
              <w:rPr>
                <w:rFonts w:ascii="宋体" w:hAnsi="宋体" w:eastAsia="宋体"/>
                <w:color w:val="auto"/>
                <w:sz w:val="20"/>
              </w:rPr>
            </w:pPr>
            <w:r>
              <w:rPr>
                <w:rFonts w:hint="eastAsia" w:cs="宋体"/>
                <w:color w:val="auto"/>
                <w:sz w:val="20"/>
              </w:rPr>
              <w:t>投标人明确响应采购需求，投标人提供的钻井技术方案描述详细，可行性好；</w:t>
            </w:r>
          </w:p>
        </w:tc>
        <w:tc>
          <w:tcPr>
            <w:tcW w:w="594" w:type="dxa"/>
            <w:vAlign w:val="center"/>
          </w:tcPr>
          <w:p w14:paraId="7366A65B">
            <w:pPr>
              <w:spacing w:line="240" w:lineRule="exact"/>
              <w:jc w:val="center"/>
              <w:rPr>
                <w:rFonts w:ascii="宋体" w:hAnsi="宋体" w:eastAsia="宋体"/>
                <w:color w:val="auto"/>
                <w:sz w:val="20"/>
              </w:rPr>
            </w:pPr>
            <w:r>
              <w:rPr>
                <w:rFonts w:hint="eastAsia" w:cs="宋体"/>
                <w:color w:val="auto"/>
                <w:sz w:val="20"/>
              </w:rPr>
              <w:t>25</w:t>
            </w:r>
          </w:p>
        </w:tc>
      </w:tr>
      <w:tr w14:paraId="5075F5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6" w:hRule="atLeast"/>
          <w:jc w:val="center"/>
        </w:trPr>
        <w:tc>
          <w:tcPr>
            <w:tcW w:w="728" w:type="dxa"/>
            <w:vMerge w:val="continue"/>
            <w:vAlign w:val="center"/>
          </w:tcPr>
          <w:p w14:paraId="0A031894">
            <w:pPr>
              <w:spacing w:line="240" w:lineRule="exact"/>
              <w:jc w:val="center"/>
              <w:rPr>
                <w:rFonts w:ascii="宋体" w:hAnsi="宋体"/>
                <w:color w:val="auto"/>
                <w:sz w:val="20"/>
              </w:rPr>
            </w:pPr>
          </w:p>
        </w:tc>
        <w:tc>
          <w:tcPr>
            <w:tcW w:w="996" w:type="dxa"/>
            <w:vMerge w:val="continue"/>
            <w:vAlign w:val="center"/>
          </w:tcPr>
          <w:p w14:paraId="6983766E">
            <w:pPr>
              <w:spacing w:line="240" w:lineRule="exact"/>
              <w:jc w:val="center"/>
              <w:rPr>
                <w:rFonts w:ascii="宋体" w:hAnsi="宋体"/>
                <w:color w:val="auto"/>
                <w:sz w:val="20"/>
              </w:rPr>
            </w:pPr>
          </w:p>
        </w:tc>
        <w:tc>
          <w:tcPr>
            <w:tcW w:w="2557" w:type="dxa"/>
            <w:vMerge w:val="continue"/>
            <w:vAlign w:val="center"/>
          </w:tcPr>
          <w:p w14:paraId="44DD2DA0">
            <w:pPr>
              <w:spacing w:line="240" w:lineRule="exact"/>
              <w:jc w:val="center"/>
              <w:rPr>
                <w:rFonts w:ascii="宋体" w:hAnsi="宋体"/>
                <w:color w:val="auto"/>
                <w:sz w:val="20"/>
              </w:rPr>
            </w:pPr>
          </w:p>
        </w:tc>
        <w:tc>
          <w:tcPr>
            <w:tcW w:w="682" w:type="dxa"/>
            <w:vMerge w:val="continue"/>
            <w:vAlign w:val="center"/>
          </w:tcPr>
          <w:p w14:paraId="11EF0F74">
            <w:pPr>
              <w:spacing w:line="240" w:lineRule="exact"/>
              <w:jc w:val="center"/>
              <w:rPr>
                <w:rFonts w:ascii="宋体" w:hAnsi="宋体"/>
                <w:color w:val="auto"/>
                <w:sz w:val="20"/>
              </w:rPr>
            </w:pPr>
          </w:p>
        </w:tc>
        <w:tc>
          <w:tcPr>
            <w:tcW w:w="3640" w:type="dxa"/>
            <w:vAlign w:val="center"/>
          </w:tcPr>
          <w:p w14:paraId="55F06726">
            <w:pPr>
              <w:widowControl/>
              <w:spacing w:line="240" w:lineRule="exact"/>
              <w:rPr>
                <w:rFonts w:eastAsia="宋体" w:cs="宋体"/>
                <w:color w:val="auto"/>
                <w:sz w:val="20"/>
              </w:rPr>
            </w:pPr>
            <w:r>
              <w:rPr>
                <w:rFonts w:hint="eastAsia" w:cs="宋体"/>
                <w:color w:val="auto"/>
                <w:sz w:val="20"/>
              </w:rPr>
              <w:t>投标人明确响应采购需求，投标人提供的钻井技术方案描述基本全面，可行性较好；</w:t>
            </w:r>
          </w:p>
        </w:tc>
        <w:tc>
          <w:tcPr>
            <w:tcW w:w="594" w:type="dxa"/>
            <w:vAlign w:val="center"/>
          </w:tcPr>
          <w:p w14:paraId="4B7F5AEC">
            <w:pPr>
              <w:spacing w:line="240" w:lineRule="exact"/>
              <w:jc w:val="center"/>
              <w:rPr>
                <w:rFonts w:ascii="宋体" w:hAnsi="宋体" w:eastAsia="宋体"/>
                <w:color w:val="auto"/>
                <w:sz w:val="20"/>
              </w:rPr>
            </w:pPr>
            <w:r>
              <w:rPr>
                <w:rFonts w:hint="eastAsia" w:cs="宋体"/>
                <w:color w:val="auto"/>
                <w:sz w:val="20"/>
              </w:rPr>
              <w:t>18</w:t>
            </w:r>
          </w:p>
        </w:tc>
      </w:tr>
      <w:tr w14:paraId="20DE20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20" w:hRule="atLeast"/>
          <w:jc w:val="center"/>
        </w:trPr>
        <w:tc>
          <w:tcPr>
            <w:tcW w:w="728" w:type="dxa"/>
            <w:vMerge w:val="continue"/>
            <w:vAlign w:val="center"/>
          </w:tcPr>
          <w:p w14:paraId="27800D3B">
            <w:pPr>
              <w:spacing w:line="240" w:lineRule="exact"/>
              <w:jc w:val="center"/>
              <w:rPr>
                <w:rFonts w:ascii="宋体" w:hAnsi="宋体"/>
                <w:color w:val="auto"/>
                <w:sz w:val="20"/>
              </w:rPr>
            </w:pPr>
          </w:p>
        </w:tc>
        <w:tc>
          <w:tcPr>
            <w:tcW w:w="996" w:type="dxa"/>
            <w:vMerge w:val="continue"/>
            <w:vAlign w:val="center"/>
          </w:tcPr>
          <w:p w14:paraId="5F3DA799">
            <w:pPr>
              <w:spacing w:line="240" w:lineRule="exact"/>
              <w:jc w:val="center"/>
              <w:rPr>
                <w:rFonts w:ascii="宋体" w:hAnsi="宋体"/>
                <w:color w:val="auto"/>
                <w:sz w:val="20"/>
              </w:rPr>
            </w:pPr>
          </w:p>
        </w:tc>
        <w:tc>
          <w:tcPr>
            <w:tcW w:w="2557" w:type="dxa"/>
            <w:vMerge w:val="continue"/>
            <w:vAlign w:val="center"/>
          </w:tcPr>
          <w:p w14:paraId="5A2455AE">
            <w:pPr>
              <w:spacing w:line="240" w:lineRule="exact"/>
              <w:jc w:val="center"/>
              <w:rPr>
                <w:rFonts w:ascii="宋体" w:hAnsi="宋体"/>
                <w:color w:val="auto"/>
                <w:sz w:val="20"/>
              </w:rPr>
            </w:pPr>
          </w:p>
        </w:tc>
        <w:tc>
          <w:tcPr>
            <w:tcW w:w="682" w:type="dxa"/>
            <w:vMerge w:val="continue"/>
            <w:vAlign w:val="center"/>
          </w:tcPr>
          <w:p w14:paraId="4FC75C75">
            <w:pPr>
              <w:spacing w:line="240" w:lineRule="exact"/>
              <w:jc w:val="center"/>
              <w:rPr>
                <w:rFonts w:ascii="宋体" w:hAnsi="宋体"/>
                <w:color w:val="auto"/>
                <w:sz w:val="20"/>
              </w:rPr>
            </w:pPr>
          </w:p>
        </w:tc>
        <w:tc>
          <w:tcPr>
            <w:tcW w:w="3640" w:type="dxa"/>
            <w:vAlign w:val="center"/>
          </w:tcPr>
          <w:p w14:paraId="5C02856F">
            <w:pPr>
              <w:widowControl/>
              <w:spacing w:line="240" w:lineRule="exact"/>
              <w:rPr>
                <w:rFonts w:eastAsia="宋体" w:cs="宋体"/>
                <w:color w:val="auto"/>
                <w:sz w:val="20"/>
              </w:rPr>
            </w:pPr>
            <w:r>
              <w:rPr>
                <w:rFonts w:hint="eastAsia" w:cs="宋体"/>
                <w:color w:val="auto"/>
                <w:sz w:val="20"/>
              </w:rPr>
              <w:t>投标人明确响应采购需求，投标人提供的钻井技术方案描述不够完善，可行性较差；</w:t>
            </w:r>
          </w:p>
        </w:tc>
        <w:tc>
          <w:tcPr>
            <w:tcW w:w="594" w:type="dxa"/>
            <w:vAlign w:val="center"/>
          </w:tcPr>
          <w:p w14:paraId="6A0A19DC">
            <w:pPr>
              <w:spacing w:line="240" w:lineRule="exact"/>
              <w:jc w:val="center"/>
              <w:rPr>
                <w:rFonts w:ascii="宋体" w:hAnsi="宋体"/>
                <w:color w:val="auto"/>
                <w:sz w:val="20"/>
              </w:rPr>
            </w:pPr>
            <w:r>
              <w:rPr>
                <w:rFonts w:cs="宋体"/>
                <w:color w:val="auto"/>
                <w:sz w:val="20"/>
              </w:rPr>
              <w:t>8</w:t>
            </w:r>
          </w:p>
        </w:tc>
      </w:tr>
      <w:tr w14:paraId="478F97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5" w:hRule="atLeast"/>
          <w:jc w:val="center"/>
        </w:trPr>
        <w:tc>
          <w:tcPr>
            <w:tcW w:w="728" w:type="dxa"/>
            <w:vMerge w:val="continue"/>
            <w:vAlign w:val="center"/>
          </w:tcPr>
          <w:p w14:paraId="09EF5CB9">
            <w:pPr>
              <w:spacing w:line="240" w:lineRule="exact"/>
              <w:jc w:val="center"/>
              <w:rPr>
                <w:rFonts w:ascii="宋体" w:hAnsi="宋体"/>
                <w:color w:val="auto"/>
                <w:sz w:val="20"/>
              </w:rPr>
            </w:pPr>
          </w:p>
        </w:tc>
        <w:tc>
          <w:tcPr>
            <w:tcW w:w="996" w:type="dxa"/>
            <w:vMerge w:val="continue"/>
            <w:vAlign w:val="center"/>
          </w:tcPr>
          <w:p w14:paraId="0BC712E9">
            <w:pPr>
              <w:spacing w:line="240" w:lineRule="exact"/>
              <w:jc w:val="center"/>
              <w:rPr>
                <w:rFonts w:ascii="宋体" w:hAnsi="宋体"/>
                <w:color w:val="auto"/>
                <w:sz w:val="20"/>
              </w:rPr>
            </w:pPr>
          </w:p>
        </w:tc>
        <w:tc>
          <w:tcPr>
            <w:tcW w:w="2557" w:type="dxa"/>
            <w:vMerge w:val="continue"/>
            <w:vAlign w:val="center"/>
          </w:tcPr>
          <w:p w14:paraId="2E3F98D0">
            <w:pPr>
              <w:spacing w:line="240" w:lineRule="exact"/>
              <w:jc w:val="center"/>
              <w:rPr>
                <w:rFonts w:ascii="宋体" w:hAnsi="宋体"/>
                <w:color w:val="auto"/>
                <w:sz w:val="20"/>
              </w:rPr>
            </w:pPr>
          </w:p>
        </w:tc>
        <w:tc>
          <w:tcPr>
            <w:tcW w:w="682" w:type="dxa"/>
            <w:vMerge w:val="continue"/>
            <w:vAlign w:val="center"/>
          </w:tcPr>
          <w:p w14:paraId="4D10B7EF">
            <w:pPr>
              <w:spacing w:line="240" w:lineRule="exact"/>
              <w:jc w:val="center"/>
              <w:rPr>
                <w:rFonts w:ascii="宋体" w:hAnsi="宋体"/>
                <w:color w:val="auto"/>
                <w:sz w:val="20"/>
              </w:rPr>
            </w:pPr>
          </w:p>
        </w:tc>
        <w:tc>
          <w:tcPr>
            <w:tcW w:w="3640" w:type="dxa"/>
            <w:vAlign w:val="center"/>
          </w:tcPr>
          <w:p w14:paraId="12723BF4">
            <w:pPr>
              <w:widowControl/>
              <w:spacing w:line="240" w:lineRule="exact"/>
              <w:rPr>
                <w:rFonts w:eastAsia="宋体" w:cs="宋体"/>
                <w:color w:val="auto"/>
                <w:sz w:val="20"/>
              </w:rPr>
            </w:pPr>
            <w:r>
              <w:rPr>
                <w:rFonts w:hint="eastAsia" w:cs="宋体"/>
                <w:color w:val="auto"/>
                <w:sz w:val="20"/>
              </w:rPr>
              <w:t>无钻井技术方案。</w:t>
            </w:r>
          </w:p>
        </w:tc>
        <w:tc>
          <w:tcPr>
            <w:tcW w:w="594" w:type="dxa"/>
            <w:vAlign w:val="center"/>
          </w:tcPr>
          <w:p w14:paraId="36B52A3C">
            <w:pPr>
              <w:spacing w:line="240" w:lineRule="exact"/>
              <w:jc w:val="center"/>
              <w:rPr>
                <w:rFonts w:ascii="宋体" w:hAnsi="宋体"/>
                <w:color w:val="auto"/>
                <w:sz w:val="20"/>
              </w:rPr>
            </w:pPr>
            <w:r>
              <w:rPr>
                <w:rFonts w:hint="eastAsia" w:cs="宋体"/>
                <w:color w:val="auto"/>
                <w:sz w:val="20"/>
              </w:rPr>
              <w:t>0</w:t>
            </w:r>
          </w:p>
        </w:tc>
      </w:tr>
      <w:tr w14:paraId="0E34B5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1" w:hRule="atLeast"/>
          <w:jc w:val="center"/>
        </w:trPr>
        <w:tc>
          <w:tcPr>
            <w:tcW w:w="728" w:type="dxa"/>
            <w:vMerge w:val="continue"/>
            <w:vAlign w:val="center"/>
          </w:tcPr>
          <w:p w14:paraId="73636F26">
            <w:pPr>
              <w:spacing w:line="240" w:lineRule="exact"/>
              <w:jc w:val="center"/>
              <w:rPr>
                <w:rFonts w:ascii="宋体" w:hAnsi="宋体"/>
                <w:color w:val="auto"/>
                <w:sz w:val="20"/>
              </w:rPr>
            </w:pPr>
          </w:p>
        </w:tc>
        <w:tc>
          <w:tcPr>
            <w:tcW w:w="996" w:type="dxa"/>
            <w:vMerge w:val="restart"/>
            <w:vAlign w:val="center"/>
          </w:tcPr>
          <w:p w14:paraId="191E5A79">
            <w:pPr>
              <w:spacing w:line="240" w:lineRule="exact"/>
              <w:jc w:val="center"/>
              <w:rPr>
                <w:rFonts w:ascii="宋体" w:hAnsi="宋体"/>
                <w:color w:val="auto"/>
                <w:sz w:val="20"/>
              </w:rPr>
            </w:pPr>
            <w:r>
              <w:rPr>
                <w:rFonts w:hint="eastAsia" w:cs="宋体"/>
                <w:color w:val="auto"/>
                <w:sz w:val="20"/>
              </w:rPr>
              <w:t>取心质量（8分）</w:t>
            </w:r>
          </w:p>
        </w:tc>
        <w:tc>
          <w:tcPr>
            <w:tcW w:w="2557" w:type="dxa"/>
            <w:vMerge w:val="restart"/>
            <w:vAlign w:val="center"/>
          </w:tcPr>
          <w:p w14:paraId="36C5B001">
            <w:pPr>
              <w:spacing w:line="240" w:lineRule="exact"/>
              <w:jc w:val="center"/>
              <w:rPr>
                <w:rFonts w:ascii="宋体" w:hAnsi="宋体"/>
                <w:color w:val="auto"/>
                <w:sz w:val="20"/>
              </w:rPr>
            </w:pPr>
            <w:r>
              <w:rPr>
                <w:rFonts w:hint="eastAsia" w:cs="宋体"/>
                <w:color w:val="auto"/>
                <w:sz w:val="20"/>
              </w:rPr>
              <w:t>对岩（矿）心采取措施</w:t>
            </w:r>
            <w:r>
              <w:rPr>
                <w:rFonts w:hint="eastAsia"/>
                <w:color w:val="auto"/>
                <w:sz w:val="20"/>
              </w:rPr>
              <w:t>和</w:t>
            </w:r>
            <w:r>
              <w:rPr>
                <w:rFonts w:hint="eastAsia" w:cs="宋体"/>
                <w:color w:val="auto"/>
                <w:sz w:val="20"/>
              </w:rPr>
              <w:t>要求</w:t>
            </w:r>
            <w:r>
              <w:rPr>
                <w:rFonts w:hint="eastAsia"/>
                <w:color w:val="auto"/>
                <w:sz w:val="20"/>
              </w:rPr>
              <w:t>是否</w:t>
            </w:r>
            <w:r>
              <w:rPr>
                <w:rFonts w:hint="eastAsia" w:cs="宋体"/>
                <w:color w:val="auto"/>
                <w:sz w:val="20"/>
              </w:rPr>
              <w:t>具体、详细</w:t>
            </w:r>
          </w:p>
        </w:tc>
        <w:tc>
          <w:tcPr>
            <w:tcW w:w="682" w:type="dxa"/>
            <w:vMerge w:val="restart"/>
            <w:vAlign w:val="center"/>
          </w:tcPr>
          <w:p w14:paraId="30225C1D">
            <w:pPr>
              <w:spacing w:line="240" w:lineRule="exact"/>
              <w:jc w:val="center"/>
              <w:rPr>
                <w:rFonts w:ascii="宋体" w:hAnsi="宋体"/>
                <w:color w:val="auto"/>
                <w:sz w:val="20"/>
              </w:rPr>
            </w:pPr>
            <w:r>
              <w:rPr>
                <w:rFonts w:hint="eastAsia" w:cs="宋体"/>
                <w:color w:val="auto"/>
                <w:sz w:val="20"/>
              </w:rPr>
              <w:t>8</w:t>
            </w:r>
          </w:p>
        </w:tc>
        <w:tc>
          <w:tcPr>
            <w:tcW w:w="3640" w:type="dxa"/>
            <w:vAlign w:val="center"/>
          </w:tcPr>
          <w:p w14:paraId="1D1D4EE7">
            <w:pPr>
              <w:spacing w:line="240" w:lineRule="exact"/>
              <w:rPr>
                <w:rFonts w:eastAsia="宋体" w:cs="宋体"/>
                <w:color w:val="auto"/>
                <w:sz w:val="20"/>
              </w:rPr>
            </w:pPr>
            <w:r>
              <w:rPr>
                <w:rFonts w:hint="eastAsia" w:cs="宋体"/>
                <w:color w:val="auto"/>
                <w:sz w:val="20"/>
              </w:rPr>
              <w:t>对岩（矿）心采取措施</w:t>
            </w:r>
            <w:r>
              <w:rPr>
                <w:rFonts w:hint="eastAsia"/>
                <w:color w:val="auto"/>
                <w:sz w:val="20"/>
              </w:rPr>
              <w:t>和</w:t>
            </w:r>
            <w:r>
              <w:rPr>
                <w:rFonts w:hint="eastAsia" w:cs="宋体"/>
                <w:color w:val="auto"/>
                <w:sz w:val="20"/>
              </w:rPr>
              <w:t>要求</w:t>
            </w:r>
            <w:r>
              <w:rPr>
                <w:rFonts w:hint="eastAsia"/>
                <w:color w:val="auto"/>
                <w:sz w:val="20"/>
              </w:rPr>
              <w:t>是否</w:t>
            </w:r>
            <w:r>
              <w:rPr>
                <w:rFonts w:hint="eastAsia" w:cs="宋体"/>
                <w:color w:val="auto"/>
                <w:sz w:val="20"/>
              </w:rPr>
              <w:t>具体、详细，取心率高于招标文件要求，且岩心直径符合招标文件要求；</w:t>
            </w:r>
          </w:p>
        </w:tc>
        <w:tc>
          <w:tcPr>
            <w:tcW w:w="594" w:type="dxa"/>
            <w:vAlign w:val="center"/>
          </w:tcPr>
          <w:p w14:paraId="63A86B3B">
            <w:pPr>
              <w:spacing w:line="240" w:lineRule="exact"/>
              <w:jc w:val="center"/>
              <w:rPr>
                <w:rFonts w:ascii="宋体" w:hAnsi="宋体"/>
                <w:color w:val="auto"/>
                <w:sz w:val="20"/>
              </w:rPr>
            </w:pPr>
            <w:r>
              <w:rPr>
                <w:rFonts w:hint="eastAsia" w:cs="宋体"/>
                <w:color w:val="auto"/>
                <w:sz w:val="20"/>
              </w:rPr>
              <w:t>8</w:t>
            </w:r>
          </w:p>
        </w:tc>
      </w:tr>
      <w:tr w14:paraId="0F30CD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3" w:hRule="atLeast"/>
          <w:jc w:val="center"/>
        </w:trPr>
        <w:tc>
          <w:tcPr>
            <w:tcW w:w="728" w:type="dxa"/>
            <w:vMerge w:val="continue"/>
            <w:vAlign w:val="center"/>
          </w:tcPr>
          <w:p w14:paraId="10344D9B">
            <w:pPr>
              <w:spacing w:line="240" w:lineRule="exact"/>
              <w:jc w:val="center"/>
              <w:rPr>
                <w:rFonts w:ascii="宋体" w:hAnsi="宋体"/>
                <w:color w:val="auto"/>
                <w:sz w:val="20"/>
              </w:rPr>
            </w:pPr>
          </w:p>
        </w:tc>
        <w:tc>
          <w:tcPr>
            <w:tcW w:w="996" w:type="dxa"/>
            <w:vMerge w:val="continue"/>
            <w:vAlign w:val="center"/>
          </w:tcPr>
          <w:p w14:paraId="320AB856">
            <w:pPr>
              <w:spacing w:line="240" w:lineRule="exact"/>
              <w:jc w:val="center"/>
              <w:rPr>
                <w:rFonts w:ascii="宋体" w:hAnsi="宋体"/>
                <w:color w:val="auto"/>
                <w:sz w:val="20"/>
              </w:rPr>
            </w:pPr>
          </w:p>
        </w:tc>
        <w:tc>
          <w:tcPr>
            <w:tcW w:w="2557" w:type="dxa"/>
            <w:vMerge w:val="continue"/>
            <w:vAlign w:val="center"/>
          </w:tcPr>
          <w:p w14:paraId="3F083DA4">
            <w:pPr>
              <w:spacing w:line="240" w:lineRule="exact"/>
              <w:jc w:val="center"/>
              <w:rPr>
                <w:rFonts w:ascii="宋体" w:hAnsi="宋体"/>
                <w:color w:val="auto"/>
                <w:sz w:val="20"/>
              </w:rPr>
            </w:pPr>
          </w:p>
        </w:tc>
        <w:tc>
          <w:tcPr>
            <w:tcW w:w="682" w:type="dxa"/>
            <w:vMerge w:val="continue"/>
            <w:vAlign w:val="center"/>
          </w:tcPr>
          <w:p w14:paraId="192F999F">
            <w:pPr>
              <w:spacing w:line="240" w:lineRule="exact"/>
              <w:jc w:val="center"/>
              <w:rPr>
                <w:rFonts w:ascii="宋体" w:hAnsi="宋体"/>
                <w:color w:val="auto"/>
                <w:sz w:val="20"/>
              </w:rPr>
            </w:pPr>
          </w:p>
        </w:tc>
        <w:tc>
          <w:tcPr>
            <w:tcW w:w="3640" w:type="dxa"/>
            <w:vAlign w:val="center"/>
          </w:tcPr>
          <w:p w14:paraId="420DC0E6">
            <w:pPr>
              <w:spacing w:line="240" w:lineRule="exact"/>
              <w:rPr>
                <w:rFonts w:eastAsia="宋体" w:cs="宋体"/>
                <w:color w:val="auto"/>
                <w:sz w:val="20"/>
              </w:rPr>
            </w:pPr>
            <w:r>
              <w:rPr>
                <w:rFonts w:hint="eastAsia" w:cs="宋体"/>
                <w:color w:val="auto"/>
                <w:sz w:val="20"/>
              </w:rPr>
              <w:t>取心率符合招标文件要求，且岩心直径符合招标文件要求；</w:t>
            </w:r>
          </w:p>
        </w:tc>
        <w:tc>
          <w:tcPr>
            <w:tcW w:w="594" w:type="dxa"/>
            <w:vAlign w:val="center"/>
          </w:tcPr>
          <w:p w14:paraId="20F6F111">
            <w:pPr>
              <w:spacing w:line="240" w:lineRule="exact"/>
              <w:jc w:val="center"/>
              <w:rPr>
                <w:rFonts w:ascii="宋体" w:hAnsi="宋体"/>
                <w:color w:val="auto"/>
                <w:sz w:val="20"/>
              </w:rPr>
            </w:pPr>
            <w:r>
              <w:rPr>
                <w:rFonts w:hint="eastAsia" w:cs="宋体"/>
                <w:color w:val="auto"/>
                <w:sz w:val="20"/>
              </w:rPr>
              <w:t>6</w:t>
            </w:r>
          </w:p>
        </w:tc>
      </w:tr>
      <w:tr w14:paraId="3A0397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18" w:hRule="atLeast"/>
          <w:jc w:val="center"/>
        </w:trPr>
        <w:tc>
          <w:tcPr>
            <w:tcW w:w="728" w:type="dxa"/>
            <w:vMerge w:val="continue"/>
            <w:vAlign w:val="center"/>
          </w:tcPr>
          <w:p w14:paraId="33644F01">
            <w:pPr>
              <w:spacing w:line="240" w:lineRule="exact"/>
              <w:jc w:val="center"/>
              <w:rPr>
                <w:rFonts w:ascii="宋体" w:hAnsi="宋体"/>
                <w:color w:val="auto"/>
                <w:sz w:val="20"/>
              </w:rPr>
            </w:pPr>
          </w:p>
        </w:tc>
        <w:tc>
          <w:tcPr>
            <w:tcW w:w="996" w:type="dxa"/>
            <w:vMerge w:val="continue"/>
            <w:vAlign w:val="center"/>
          </w:tcPr>
          <w:p w14:paraId="2113EB3C">
            <w:pPr>
              <w:spacing w:line="240" w:lineRule="exact"/>
              <w:jc w:val="center"/>
              <w:rPr>
                <w:rFonts w:ascii="宋体" w:hAnsi="宋体"/>
                <w:color w:val="auto"/>
                <w:sz w:val="20"/>
              </w:rPr>
            </w:pPr>
          </w:p>
        </w:tc>
        <w:tc>
          <w:tcPr>
            <w:tcW w:w="2557" w:type="dxa"/>
            <w:vMerge w:val="continue"/>
            <w:vAlign w:val="center"/>
          </w:tcPr>
          <w:p w14:paraId="32296504">
            <w:pPr>
              <w:spacing w:line="240" w:lineRule="exact"/>
              <w:jc w:val="center"/>
              <w:rPr>
                <w:rFonts w:ascii="宋体" w:hAnsi="宋体"/>
                <w:color w:val="auto"/>
                <w:sz w:val="20"/>
              </w:rPr>
            </w:pPr>
          </w:p>
        </w:tc>
        <w:tc>
          <w:tcPr>
            <w:tcW w:w="682" w:type="dxa"/>
            <w:vMerge w:val="continue"/>
            <w:vAlign w:val="center"/>
          </w:tcPr>
          <w:p w14:paraId="00E0E9A2">
            <w:pPr>
              <w:spacing w:line="240" w:lineRule="exact"/>
              <w:jc w:val="center"/>
              <w:rPr>
                <w:rFonts w:ascii="宋体" w:hAnsi="宋体"/>
                <w:color w:val="auto"/>
                <w:sz w:val="20"/>
              </w:rPr>
            </w:pPr>
          </w:p>
        </w:tc>
        <w:tc>
          <w:tcPr>
            <w:tcW w:w="3640" w:type="dxa"/>
            <w:vAlign w:val="center"/>
          </w:tcPr>
          <w:p w14:paraId="12B3FBE6">
            <w:pPr>
              <w:spacing w:line="240" w:lineRule="exact"/>
              <w:rPr>
                <w:rFonts w:eastAsia="宋体" w:cs="宋体"/>
                <w:color w:val="auto"/>
                <w:sz w:val="20"/>
              </w:rPr>
            </w:pPr>
            <w:r>
              <w:rPr>
                <w:rFonts w:hint="eastAsia" w:cs="宋体"/>
                <w:color w:val="auto"/>
                <w:sz w:val="20"/>
              </w:rPr>
              <w:t>取心率不符合招标文件要求，或岩心直径不符合招标文件要求。</w:t>
            </w:r>
          </w:p>
        </w:tc>
        <w:tc>
          <w:tcPr>
            <w:tcW w:w="594" w:type="dxa"/>
            <w:vAlign w:val="center"/>
          </w:tcPr>
          <w:p w14:paraId="4E02CA8E">
            <w:pPr>
              <w:spacing w:line="240" w:lineRule="exact"/>
              <w:jc w:val="center"/>
              <w:rPr>
                <w:rFonts w:ascii="宋体" w:hAnsi="宋体"/>
                <w:color w:val="auto"/>
                <w:sz w:val="20"/>
              </w:rPr>
            </w:pPr>
            <w:r>
              <w:rPr>
                <w:rFonts w:hint="eastAsia" w:cs="宋体"/>
                <w:color w:val="auto"/>
                <w:sz w:val="20"/>
              </w:rPr>
              <w:t>0</w:t>
            </w:r>
          </w:p>
        </w:tc>
      </w:tr>
      <w:tr w14:paraId="529F79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7" w:hRule="atLeast"/>
          <w:jc w:val="center"/>
        </w:trPr>
        <w:tc>
          <w:tcPr>
            <w:tcW w:w="728" w:type="dxa"/>
            <w:vMerge w:val="continue"/>
            <w:vAlign w:val="center"/>
          </w:tcPr>
          <w:p w14:paraId="4C5B2B50">
            <w:pPr>
              <w:spacing w:line="240" w:lineRule="exact"/>
              <w:jc w:val="center"/>
              <w:rPr>
                <w:rFonts w:ascii="宋体" w:hAnsi="宋体"/>
                <w:color w:val="auto"/>
                <w:sz w:val="20"/>
              </w:rPr>
            </w:pPr>
          </w:p>
        </w:tc>
        <w:tc>
          <w:tcPr>
            <w:tcW w:w="996" w:type="dxa"/>
            <w:vMerge w:val="restart"/>
            <w:vAlign w:val="center"/>
          </w:tcPr>
          <w:p w14:paraId="72691C20">
            <w:pPr>
              <w:spacing w:line="240" w:lineRule="exact"/>
              <w:jc w:val="center"/>
              <w:rPr>
                <w:rFonts w:cs="宋体"/>
                <w:color w:val="auto"/>
                <w:sz w:val="20"/>
              </w:rPr>
            </w:pPr>
            <w:r>
              <w:rPr>
                <w:rFonts w:hint="eastAsia" w:cs="宋体"/>
                <w:color w:val="auto"/>
                <w:sz w:val="20"/>
              </w:rPr>
              <w:t>孔斜</w:t>
            </w:r>
          </w:p>
          <w:p w14:paraId="4C05218E">
            <w:pPr>
              <w:spacing w:line="240" w:lineRule="exact"/>
              <w:jc w:val="center"/>
              <w:rPr>
                <w:rFonts w:ascii="宋体" w:hAnsi="宋体"/>
                <w:color w:val="auto"/>
                <w:sz w:val="20"/>
              </w:rPr>
            </w:pPr>
            <w:r>
              <w:rPr>
                <w:rFonts w:hint="eastAsia" w:cs="宋体"/>
                <w:color w:val="auto"/>
                <w:sz w:val="20"/>
              </w:rPr>
              <w:t>（6分）</w:t>
            </w:r>
          </w:p>
        </w:tc>
        <w:tc>
          <w:tcPr>
            <w:tcW w:w="2557" w:type="dxa"/>
            <w:vMerge w:val="restart"/>
            <w:vAlign w:val="center"/>
          </w:tcPr>
          <w:p w14:paraId="23A957B1">
            <w:pPr>
              <w:spacing w:line="240" w:lineRule="exact"/>
              <w:jc w:val="center"/>
              <w:rPr>
                <w:rFonts w:ascii="宋体" w:hAnsi="宋体"/>
                <w:color w:val="auto"/>
                <w:sz w:val="20"/>
              </w:rPr>
            </w:pPr>
            <w:r>
              <w:rPr>
                <w:rFonts w:hint="eastAsia" w:cs="宋体"/>
                <w:color w:val="auto"/>
                <w:sz w:val="20"/>
              </w:rPr>
              <w:t>是否满足如下要求：孔斜率指标明确，预防孔斜措施完善</w:t>
            </w:r>
          </w:p>
        </w:tc>
        <w:tc>
          <w:tcPr>
            <w:tcW w:w="682" w:type="dxa"/>
            <w:vMerge w:val="restart"/>
            <w:vAlign w:val="center"/>
          </w:tcPr>
          <w:p w14:paraId="5F6BE073">
            <w:pPr>
              <w:spacing w:line="240" w:lineRule="exact"/>
              <w:jc w:val="center"/>
              <w:rPr>
                <w:rFonts w:ascii="宋体" w:hAnsi="宋体" w:eastAsia="宋体"/>
                <w:color w:val="auto"/>
                <w:sz w:val="20"/>
              </w:rPr>
            </w:pPr>
            <w:r>
              <w:rPr>
                <w:rFonts w:hint="eastAsia" w:ascii="宋体" w:hAnsi="宋体"/>
                <w:color w:val="auto"/>
                <w:sz w:val="20"/>
              </w:rPr>
              <w:t>6</w:t>
            </w:r>
          </w:p>
        </w:tc>
        <w:tc>
          <w:tcPr>
            <w:tcW w:w="3640" w:type="dxa"/>
            <w:vAlign w:val="center"/>
          </w:tcPr>
          <w:p w14:paraId="2DD13A0E">
            <w:pPr>
              <w:spacing w:line="240" w:lineRule="exact"/>
              <w:rPr>
                <w:rFonts w:eastAsia="宋体" w:cs="宋体"/>
                <w:color w:val="auto"/>
                <w:sz w:val="20"/>
              </w:rPr>
            </w:pPr>
            <w:r>
              <w:rPr>
                <w:rFonts w:hint="eastAsia" w:cs="宋体"/>
                <w:color w:val="auto"/>
                <w:sz w:val="20"/>
              </w:rPr>
              <w:t>孔斜符合采购需求，且具有检测孔斜变化技术手段、备有孔斜超标校正预案；</w:t>
            </w:r>
          </w:p>
        </w:tc>
        <w:tc>
          <w:tcPr>
            <w:tcW w:w="594" w:type="dxa"/>
            <w:vAlign w:val="center"/>
          </w:tcPr>
          <w:p w14:paraId="67149666">
            <w:pPr>
              <w:spacing w:line="240" w:lineRule="exact"/>
              <w:jc w:val="center"/>
              <w:rPr>
                <w:rFonts w:ascii="宋体" w:hAnsi="宋体" w:eastAsia="宋体"/>
                <w:color w:val="auto"/>
                <w:sz w:val="20"/>
              </w:rPr>
            </w:pPr>
            <w:r>
              <w:rPr>
                <w:rFonts w:hint="eastAsia" w:cs="宋体"/>
                <w:color w:val="auto"/>
                <w:sz w:val="20"/>
              </w:rPr>
              <w:t>6</w:t>
            </w:r>
          </w:p>
        </w:tc>
      </w:tr>
      <w:tr w14:paraId="2456CA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5" w:hRule="atLeast"/>
          <w:jc w:val="center"/>
        </w:trPr>
        <w:tc>
          <w:tcPr>
            <w:tcW w:w="728" w:type="dxa"/>
            <w:vMerge w:val="continue"/>
            <w:vAlign w:val="center"/>
          </w:tcPr>
          <w:p w14:paraId="04BE62C4">
            <w:pPr>
              <w:spacing w:line="240" w:lineRule="exact"/>
              <w:jc w:val="center"/>
              <w:rPr>
                <w:rFonts w:ascii="宋体" w:hAnsi="宋体"/>
                <w:color w:val="auto"/>
                <w:sz w:val="20"/>
              </w:rPr>
            </w:pPr>
          </w:p>
        </w:tc>
        <w:tc>
          <w:tcPr>
            <w:tcW w:w="996" w:type="dxa"/>
            <w:vMerge w:val="continue"/>
            <w:vAlign w:val="center"/>
          </w:tcPr>
          <w:p w14:paraId="269FA5F1">
            <w:pPr>
              <w:spacing w:line="240" w:lineRule="exact"/>
              <w:jc w:val="center"/>
              <w:rPr>
                <w:rFonts w:ascii="宋体" w:hAnsi="宋体"/>
                <w:color w:val="auto"/>
                <w:sz w:val="20"/>
              </w:rPr>
            </w:pPr>
          </w:p>
        </w:tc>
        <w:tc>
          <w:tcPr>
            <w:tcW w:w="2557" w:type="dxa"/>
            <w:vMerge w:val="continue"/>
            <w:vAlign w:val="center"/>
          </w:tcPr>
          <w:p w14:paraId="684897AA">
            <w:pPr>
              <w:spacing w:line="240" w:lineRule="exact"/>
              <w:jc w:val="center"/>
              <w:rPr>
                <w:rFonts w:ascii="宋体" w:hAnsi="宋体"/>
                <w:color w:val="auto"/>
                <w:sz w:val="20"/>
              </w:rPr>
            </w:pPr>
          </w:p>
        </w:tc>
        <w:tc>
          <w:tcPr>
            <w:tcW w:w="682" w:type="dxa"/>
            <w:vMerge w:val="continue"/>
            <w:vAlign w:val="center"/>
          </w:tcPr>
          <w:p w14:paraId="1B6182D6">
            <w:pPr>
              <w:spacing w:line="240" w:lineRule="exact"/>
              <w:jc w:val="center"/>
              <w:rPr>
                <w:rFonts w:ascii="宋体" w:hAnsi="宋体"/>
                <w:color w:val="auto"/>
                <w:sz w:val="20"/>
              </w:rPr>
            </w:pPr>
          </w:p>
        </w:tc>
        <w:tc>
          <w:tcPr>
            <w:tcW w:w="3640" w:type="dxa"/>
            <w:vAlign w:val="center"/>
          </w:tcPr>
          <w:p w14:paraId="483C1A0E">
            <w:pPr>
              <w:spacing w:line="240" w:lineRule="exact"/>
              <w:rPr>
                <w:rFonts w:eastAsia="宋体" w:cs="宋体"/>
                <w:color w:val="auto"/>
                <w:sz w:val="20"/>
              </w:rPr>
            </w:pPr>
            <w:r>
              <w:rPr>
                <w:rFonts w:hint="eastAsia" w:cs="宋体"/>
                <w:color w:val="auto"/>
                <w:sz w:val="20"/>
              </w:rPr>
              <w:t>孔斜符合采购需求，且具有孔斜超标校正预案；</w:t>
            </w:r>
          </w:p>
        </w:tc>
        <w:tc>
          <w:tcPr>
            <w:tcW w:w="594" w:type="dxa"/>
            <w:vAlign w:val="center"/>
          </w:tcPr>
          <w:p w14:paraId="4EAEC24F">
            <w:pPr>
              <w:spacing w:line="240" w:lineRule="exact"/>
              <w:jc w:val="center"/>
              <w:rPr>
                <w:rFonts w:eastAsia="宋体" w:cs="宋体"/>
                <w:color w:val="auto"/>
                <w:sz w:val="20"/>
              </w:rPr>
            </w:pPr>
            <w:r>
              <w:rPr>
                <w:rFonts w:hint="eastAsia" w:cs="宋体"/>
                <w:color w:val="auto"/>
                <w:sz w:val="20"/>
              </w:rPr>
              <w:t>3</w:t>
            </w:r>
          </w:p>
        </w:tc>
      </w:tr>
      <w:tr w14:paraId="41A9D3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3" w:hRule="atLeast"/>
          <w:jc w:val="center"/>
        </w:trPr>
        <w:tc>
          <w:tcPr>
            <w:tcW w:w="728" w:type="dxa"/>
            <w:vMerge w:val="continue"/>
            <w:vAlign w:val="center"/>
          </w:tcPr>
          <w:p w14:paraId="6AE32492">
            <w:pPr>
              <w:spacing w:line="240" w:lineRule="exact"/>
              <w:jc w:val="center"/>
              <w:rPr>
                <w:rFonts w:ascii="宋体" w:hAnsi="宋体"/>
                <w:color w:val="auto"/>
                <w:sz w:val="20"/>
              </w:rPr>
            </w:pPr>
          </w:p>
        </w:tc>
        <w:tc>
          <w:tcPr>
            <w:tcW w:w="996" w:type="dxa"/>
            <w:vMerge w:val="continue"/>
            <w:vAlign w:val="center"/>
          </w:tcPr>
          <w:p w14:paraId="2FFAA471">
            <w:pPr>
              <w:spacing w:line="240" w:lineRule="exact"/>
              <w:jc w:val="center"/>
              <w:rPr>
                <w:rFonts w:ascii="宋体" w:hAnsi="宋体"/>
                <w:color w:val="auto"/>
                <w:sz w:val="20"/>
              </w:rPr>
            </w:pPr>
          </w:p>
        </w:tc>
        <w:tc>
          <w:tcPr>
            <w:tcW w:w="2557" w:type="dxa"/>
            <w:vMerge w:val="continue"/>
            <w:vAlign w:val="center"/>
          </w:tcPr>
          <w:p w14:paraId="20DCAAFC">
            <w:pPr>
              <w:spacing w:line="240" w:lineRule="exact"/>
              <w:jc w:val="center"/>
              <w:rPr>
                <w:rFonts w:ascii="宋体" w:hAnsi="宋体"/>
                <w:color w:val="auto"/>
                <w:sz w:val="20"/>
              </w:rPr>
            </w:pPr>
          </w:p>
        </w:tc>
        <w:tc>
          <w:tcPr>
            <w:tcW w:w="682" w:type="dxa"/>
            <w:vMerge w:val="continue"/>
            <w:vAlign w:val="center"/>
          </w:tcPr>
          <w:p w14:paraId="01081764">
            <w:pPr>
              <w:spacing w:line="240" w:lineRule="exact"/>
              <w:jc w:val="center"/>
              <w:rPr>
                <w:rFonts w:ascii="宋体" w:hAnsi="宋体"/>
                <w:color w:val="auto"/>
                <w:sz w:val="20"/>
              </w:rPr>
            </w:pPr>
          </w:p>
        </w:tc>
        <w:tc>
          <w:tcPr>
            <w:tcW w:w="3640" w:type="dxa"/>
            <w:vAlign w:val="center"/>
          </w:tcPr>
          <w:p w14:paraId="05C58757">
            <w:pPr>
              <w:spacing w:line="240" w:lineRule="exact"/>
              <w:rPr>
                <w:rFonts w:eastAsia="宋体" w:cs="宋体"/>
                <w:color w:val="auto"/>
                <w:sz w:val="20"/>
              </w:rPr>
            </w:pPr>
            <w:r>
              <w:rPr>
                <w:rFonts w:hint="eastAsia" w:cs="宋体"/>
                <w:color w:val="auto"/>
                <w:sz w:val="20"/>
              </w:rPr>
              <w:t>孔斜不符合招标文件要求，或没有可行的检测孔斜率技术手段及孔斜超标校正预案。</w:t>
            </w:r>
          </w:p>
        </w:tc>
        <w:tc>
          <w:tcPr>
            <w:tcW w:w="594" w:type="dxa"/>
            <w:vAlign w:val="center"/>
          </w:tcPr>
          <w:p w14:paraId="19C0AEDD">
            <w:pPr>
              <w:spacing w:line="240" w:lineRule="exact"/>
              <w:jc w:val="center"/>
              <w:rPr>
                <w:rFonts w:ascii="宋体" w:hAnsi="宋体"/>
                <w:color w:val="auto"/>
                <w:sz w:val="20"/>
              </w:rPr>
            </w:pPr>
            <w:r>
              <w:rPr>
                <w:rFonts w:hint="eastAsia" w:cs="宋体"/>
                <w:color w:val="auto"/>
                <w:sz w:val="20"/>
              </w:rPr>
              <w:t>0</w:t>
            </w:r>
          </w:p>
        </w:tc>
      </w:tr>
      <w:tr w14:paraId="24A85C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8" w:hRule="atLeast"/>
          <w:jc w:val="center"/>
        </w:trPr>
        <w:tc>
          <w:tcPr>
            <w:tcW w:w="728" w:type="dxa"/>
            <w:vMerge w:val="continue"/>
            <w:vAlign w:val="center"/>
          </w:tcPr>
          <w:p w14:paraId="794941A5">
            <w:pPr>
              <w:spacing w:line="240" w:lineRule="exact"/>
              <w:jc w:val="center"/>
              <w:rPr>
                <w:rFonts w:ascii="宋体" w:hAnsi="宋体"/>
                <w:color w:val="auto"/>
                <w:sz w:val="20"/>
              </w:rPr>
            </w:pPr>
          </w:p>
        </w:tc>
        <w:tc>
          <w:tcPr>
            <w:tcW w:w="996" w:type="dxa"/>
            <w:vMerge w:val="restart"/>
            <w:vAlign w:val="center"/>
          </w:tcPr>
          <w:p w14:paraId="35246781">
            <w:pPr>
              <w:widowControl/>
              <w:spacing w:line="240" w:lineRule="exact"/>
              <w:jc w:val="center"/>
              <w:rPr>
                <w:rFonts w:cs="宋体"/>
                <w:color w:val="auto"/>
                <w:sz w:val="20"/>
              </w:rPr>
            </w:pPr>
            <w:r>
              <w:rPr>
                <w:rFonts w:hint="eastAsia" w:cs="宋体"/>
                <w:color w:val="auto"/>
                <w:sz w:val="20"/>
              </w:rPr>
              <w:t>简易水文地质观测及</w:t>
            </w:r>
          </w:p>
          <w:p w14:paraId="1479E571">
            <w:pPr>
              <w:spacing w:line="240" w:lineRule="exact"/>
              <w:jc w:val="center"/>
              <w:rPr>
                <w:rFonts w:cs="宋体"/>
                <w:color w:val="auto"/>
                <w:sz w:val="20"/>
              </w:rPr>
            </w:pPr>
            <w:r>
              <w:rPr>
                <w:rFonts w:hint="eastAsia" w:cs="宋体"/>
                <w:color w:val="auto"/>
                <w:sz w:val="20"/>
              </w:rPr>
              <w:t>封孔</w:t>
            </w:r>
          </w:p>
          <w:p w14:paraId="69AE0755">
            <w:pPr>
              <w:spacing w:line="240" w:lineRule="exact"/>
              <w:jc w:val="center"/>
              <w:rPr>
                <w:rFonts w:ascii="宋体" w:hAnsi="宋体"/>
                <w:color w:val="auto"/>
                <w:sz w:val="20"/>
              </w:rPr>
            </w:pPr>
            <w:r>
              <w:rPr>
                <w:rFonts w:hint="eastAsia"/>
                <w:color w:val="auto"/>
                <w:sz w:val="20"/>
              </w:rPr>
              <w:t>（</w:t>
            </w:r>
            <w:r>
              <w:rPr>
                <w:rFonts w:hint="eastAsia" w:cs="宋体"/>
                <w:color w:val="auto"/>
                <w:sz w:val="20"/>
              </w:rPr>
              <w:t>3</w:t>
            </w:r>
            <w:r>
              <w:rPr>
                <w:rFonts w:hint="eastAsia"/>
                <w:color w:val="auto"/>
                <w:sz w:val="20"/>
              </w:rPr>
              <w:t>分）</w:t>
            </w:r>
          </w:p>
        </w:tc>
        <w:tc>
          <w:tcPr>
            <w:tcW w:w="2557" w:type="dxa"/>
            <w:vMerge w:val="restart"/>
            <w:vAlign w:val="center"/>
          </w:tcPr>
          <w:p w14:paraId="3747D520">
            <w:pPr>
              <w:spacing w:line="240" w:lineRule="exact"/>
              <w:jc w:val="center"/>
              <w:rPr>
                <w:rFonts w:ascii="宋体" w:hAnsi="宋体"/>
                <w:color w:val="auto"/>
                <w:sz w:val="20"/>
              </w:rPr>
            </w:pPr>
            <w:r>
              <w:rPr>
                <w:rFonts w:hint="eastAsia" w:cs="宋体"/>
                <w:color w:val="auto"/>
                <w:sz w:val="20"/>
              </w:rPr>
              <w:t>是否满足如下要求：简易水文地质观测项目齐全、方案具体，封孔设计合理</w:t>
            </w:r>
          </w:p>
        </w:tc>
        <w:tc>
          <w:tcPr>
            <w:tcW w:w="682" w:type="dxa"/>
            <w:vMerge w:val="restart"/>
            <w:vAlign w:val="center"/>
          </w:tcPr>
          <w:p w14:paraId="5956DEF8">
            <w:pPr>
              <w:spacing w:line="240" w:lineRule="exact"/>
              <w:jc w:val="center"/>
              <w:rPr>
                <w:rFonts w:ascii="宋体" w:hAnsi="宋体"/>
                <w:color w:val="auto"/>
                <w:sz w:val="20"/>
              </w:rPr>
            </w:pPr>
            <w:r>
              <w:rPr>
                <w:rFonts w:hint="eastAsia" w:cs="宋体"/>
                <w:color w:val="auto"/>
                <w:sz w:val="20"/>
              </w:rPr>
              <w:t>3</w:t>
            </w:r>
          </w:p>
        </w:tc>
        <w:tc>
          <w:tcPr>
            <w:tcW w:w="3640" w:type="dxa"/>
            <w:vAlign w:val="center"/>
          </w:tcPr>
          <w:p w14:paraId="61C9D875">
            <w:pPr>
              <w:spacing w:line="240" w:lineRule="exact"/>
              <w:rPr>
                <w:rFonts w:eastAsia="宋体" w:cs="宋体"/>
                <w:color w:val="auto"/>
                <w:sz w:val="20"/>
              </w:rPr>
            </w:pPr>
            <w:r>
              <w:rPr>
                <w:rFonts w:hint="eastAsia" w:cs="宋体"/>
                <w:color w:val="auto"/>
                <w:sz w:val="20"/>
              </w:rPr>
              <w:t>简易水文观测和封孔技术方案详细且可行；</w:t>
            </w:r>
          </w:p>
        </w:tc>
        <w:tc>
          <w:tcPr>
            <w:tcW w:w="594" w:type="dxa"/>
            <w:vAlign w:val="center"/>
          </w:tcPr>
          <w:p w14:paraId="63CC02E3">
            <w:pPr>
              <w:spacing w:line="240" w:lineRule="exact"/>
              <w:jc w:val="center"/>
              <w:rPr>
                <w:rFonts w:ascii="宋体" w:hAnsi="宋体"/>
                <w:color w:val="auto"/>
                <w:sz w:val="20"/>
              </w:rPr>
            </w:pPr>
            <w:r>
              <w:rPr>
                <w:rFonts w:hint="eastAsia" w:cs="宋体"/>
                <w:color w:val="auto"/>
                <w:sz w:val="20"/>
              </w:rPr>
              <w:t>3</w:t>
            </w:r>
          </w:p>
        </w:tc>
      </w:tr>
      <w:tr w14:paraId="5F4DBB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6" w:hRule="atLeast"/>
          <w:jc w:val="center"/>
        </w:trPr>
        <w:tc>
          <w:tcPr>
            <w:tcW w:w="728" w:type="dxa"/>
            <w:vMerge w:val="continue"/>
            <w:vAlign w:val="center"/>
          </w:tcPr>
          <w:p w14:paraId="09E07CE8">
            <w:pPr>
              <w:spacing w:line="240" w:lineRule="exact"/>
              <w:jc w:val="center"/>
              <w:rPr>
                <w:rFonts w:ascii="宋体" w:hAnsi="宋体"/>
                <w:color w:val="auto"/>
                <w:sz w:val="20"/>
              </w:rPr>
            </w:pPr>
          </w:p>
        </w:tc>
        <w:tc>
          <w:tcPr>
            <w:tcW w:w="996" w:type="dxa"/>
            <w:vMerge w:val="continue"/>
            <w:vAlign w:val="center"/>
          </w:tcPr>
          <w:p w14:paraId="7E933D41">
            <w:pPr>
              <w:spacing w:line="240" w:lineRule="exact"/>
              <w:jc w:val="center"/>
              <w:rPr>
                <w:rFonts w:ascii="宋体" w:hAnsi="宋体"/>
                <w:color w:val="auto"/>
                <w:sz w:val="20"/>
              </w:rPr>
            </w:pPr>
          </w:p>
        </w:tc>
        <w:tc>
          <w:tcPr>
            <w:tcW w:w="2557" w:type="dxa"/>
            <w:vMerge w:val="continue"/>
            <w:vAlign w:val="center"/>
          </w:tcPr>
          <w:p w14:paraId="17ED4F54">
            <w:pPr>
              <w:spacing w:line="240" w:lineRule="exact"/>
              <w:jc w:val="center"/>
              <w:rPr>
                <w:rFonts w:ascii="宋体" w:hAnsi="宋体"/>
                <w:color w:val="auto"/>
                <w:sz w:val="20"/>
              </w:rPr>
            </w:pPr>
          </w:p>
        </w:tc>
        <w:tc>
          <w:tcPr>
            <w:tcW w:w="682" w:type="dxa"/>
            <w:vMerge w:val="continue"/>
            <w:vAlign w:val="center"/>
          </w:tcPr>
          <w:p w14:paraId="7AAE63BD">
            <w:pPr>
              <w:spacing w:line="240" w:lineRule="exact"/>
              <w:jc w:val="center"/>
              <w:rPr>
                <w:rFonts w:ascii="宋体" w:hAnsi="宋体"/>
                <w:color w:val="auto"/>
                <w:sz w:val="20"/>
              </w:rPr>
            </w:pPr>
          </w:p>
        </w:tc>
        <w:tc>
          <w:tcPr>
            <w:tcW w:w="3640" w:type="dxa"/>
            <w:vAlign w:val="center"/>
          </w:tcPr>
          <w:p w14:paraId="348DD2C9">
            <w:pPr>
              <w:spacing w:line="240" w:lineRule="exact"/>
              <w:rPr>
                <w:rFonts w:eastAsia="宋体" w:cs="宋体"/>
                <w:color w:val="auto"/>
                <w:sz w:val="20"/>
              </w:rPr>
            </w:pPr>
            <w:r>
              <w:rPr>
                <w:rFonts w:hint="eastAsia" w:cs="宋体"/>
                <w:color w:val="auto"/>
                <w:sz w:val="20"/>
              </w:rPr>
              <w:t>简易水文观测或封孔技术方案简略，可行性较差；</w:t>
            </w:r>
          </w:p>
        </w:tc>
        <w:tc>
          <w:tcPr>
            <w:tcW w:w="594" w:type="dxa"/>
            <w:vAlign w:val="center"/>
          </w:tcPr>
          <w:p w14:paraId="7161DBB7">
            <w:pPr>
              <w:spacing w:line="240" w:lineRule="exact"/>
              <w:jc w:val="center"/>
              <w:rPr>
                <w:rFonts w:ascii="宋体" w:hAnsi="宋体" w:eastAsia="宋体"/>
                <w:color w:val="auto"/>
                <w:sz w:val="20"/>
              </w:rPr>
            </w:pPr>
            <w:r>
              <w:rPr>
                <w:rFonts w:hint="eastAsia" w:ascii="宋体" w:hAnsi="宋体"/>
                <w:color w:val="auto"/>
                <w:sz w:val="20"/>
              </w:rPr>
              <w:t>2</w:t>
            </w:r>
          </w:p>
        </w:tc>
      </w:tr>
      <w:tr w14:paraId="5C2378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6" w:hRule="atLeast"/>
          <w:jc w:val="center"/>
        </w:trPr>
        <w:tc>
          <w:tcPr>
            <w:tcW w:w="728" w:type="dxa"/>
            <w:vMerge w:val="continue"/>
            <w:vAlign w:val="center"/>
          </w:tcPr>
          <w:p w14:paraId="1F496686">
            <w:pPr>
              <w:spacing w:line="240" w:lineRule="exact"/>
              <w:jc w:val="center"/>
              <w:rPr>
                <w:rFonts w:ascii="宋体" w:hAnsi="宋体"/>
                <w:color w:val="auto"/>
                <w:sz w:val="20"/>
              </w:rPr>
            </w:pPr>
          </w:p>
        </w:tc>
        <w:tc>
          <w:tcPr>
            <w:tcW w:w="996" w:type="dxa"/>
            <w:vMerge w:val="continue"/>
            <w:vAlign w:val="center"/>
          </w:tcPr>
          <w:p w14:paraId="7A4A233C">
            <w:pPr>
              <w:spacing w:line="240" w:lineRule="exact"/>
              <w:jc w:val="center"/>
              <w:rPr>
                <w:rFonts w:ascii="宋体" w:hAnsi="宋体"/>
                <w:color w:val="auto"/>
                <w:sz w:val="20"/>
              </w:rPr>
            </w:pPr>
          </w:p>
        </w:tc>
        <w:tc>
          <w:tcPr>
            <w:tcW w:w="2557" w:type="dxa"/>
            <w:vMerge w:val="continue"/>
            <w:vAlign w:val="center"/>
          </w:tcPr>
          <w:p w14:paraId="1C008DF1">
            <w:pPr>
              <w:spacing w:line="240" w:lineRule="exact"/>
              <w:jc w:val="center"/>
              <w:rPr>
                <w:rFonts w:ascii="宋体" w:hAnsi="宋体"/>
                <w:color w:val="auto"/>
                <w:sz w:val="20"/>
              </w:rPr>
            </w:pPr>
          </w:p>
        </w:tc>
        <w:tc>
          <w:tcPr>
            <w:tcW w:w="682" w:type="dxa"/>
            <w:vMerge w:val="continue"/>
            <w:vAlign w:val="center"/>
          </w:tcPr>
          <w:p w14:paraId="5025CE91">
            <w:pPr>
              <w:spacing w:line="240" w:lineRule="exact"/>
              <w:jc w:val="center"/>
              <w:rPr>
                <w:rFonts w:ascii="宋体" w:hAnsi="宋体"/>
                <w:color w:val="auto"/>
                <w:sz w:val="20"/>
              </w:rPr>
            </w:pPr>
          </w:p>
        </w:tc>
        <w:tc>
          <w:tcPr>
            <w:tcW w:w="3640" w:type="dxa"/>
            <w:vAlign w:val="center"/>
          </w:tcPr>
          <w:p w14:paraId="37448E19">
            <w:pPr>
              <w:spacing w:line="240" w:lineRule="exact"/>
              <w:rPr>
                <w:rFonts w:cs="宋体"/>
                <w:color w:val="auto"/>
                <w:sz w:val="20"/>
              </w:rPr>
            </w:pPr>
            <w:r>
              <w:rPr>
                <w:rFonts w:hint="eastAsia" w:cs="宋体"/>
                <w:color w:val="auto"/>
                <w:sz w:val="20"/>
              </w:rPr>
              <w:t>缺失简易水文观测或封孔技术方案。</w:t>
            </w:r>
          </w:p>
        </w:tc>
        <w:tc>
          <w:tcPr>
            <w:tcW w:w="594" w:type="dxa"/>
            <w:vAlign w:val="center"/>
          </w:tcPr>
          <w:p w14:paraId="48EB1C7B">
            <w:pPr>
              <w:spacing w:line="240" w:lineRule="exact"/>
              <w:jc w:val="center"/>
              <w:rPr>
                <w:rFonts w:ascii="宋体" w:hAnsi="宋体"/>
                <w:color w:val="auto"/>
                <w:sz w:val="20"/>
              </w:rPr>
            </w:pPr>
            <w:r>
              <w:rPr>
                <w:rFonts w:hint="eastAsia" w:cs="宋体"/>
                <w:color w:val="auto"/>
                <w:sz w:val="20"/>
              </w:rPr>
              <w:t>0</w:t>
            </w:r>
          </w:p>
        </w:tc>
      </w:tr>
      <w:tr w14:paraId="621AC6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9" w:hRule="atLeast"/>
          <w:jc w:val="center"/>
        </w:trPr>
        <w:tc>
          <w:tcPr>
            <w:tcW w:w="728" w:type="dxa"/>
            <w:vMerge w:val="continue"/>
            <w:vAlign w:val="center"/>
          </w:tcPr>
          <w:p w14:paraId="7FC2D210">
            <w:pPr>
              <w:spacing w:line="240" w:lineRule="exact"/>
              <w:jc w:val="center"/>
              <w:rPr>
                <w:rFonts w:ascii="宋体" w:hAnsi="宋体"/>
                <w:color w:val="auto"/>
                <w:sz w:val="20"/>
              </w:rPr>
            </w:pPr>
          </w:p>
        </w:tc>
        <w:tc>
          <w:tcPr>
            <w:tcW w:w="996" w:type="dxa"/>
            <w:vMerge w:val="restart"/>
            <w:vAlign w:val="center"/>
          </w:tcPr>
          <w:p w14:paraId="57EF0579">
            <w:pPr>
              <w:spacing w:line="240" w:lineRule="exact"/>
              <w:jc w:val="center"/>
              <w:rPr>
                <w:rFonts w:cs="宋体"/>
                <w:color w:val="auto"/>
                <w:sz w:val="20"/>
              </w:rPr>
            </w:pPr>
            <w:r>
              <w:rPr>
                <w:rFonts w:hint="eastAsia" w:cs="宋体"/>
                <w:color w:val="auto"/>
                <w:sz w:val="20"/>
              </w:rPr>
              <w:t>资料</w:t>
            </w:r>
          </w:p>
          <w:p w14:paraId="03C7A815">
            <w:pPr>
              <w:spacing w:line="240" w:lineRule="exact"/>
              <w:jc w:val="center"/>
              <w:rPr>
                <w:rFonts w:cs="宋体"/>
                <w:color w:val="auto"/>
                <w:sz w:val="20"/>
              </w:rPr>
            </w:pPr>
            <w:r>
              <w:rPr>
                <w:rFonts w:hint="eastAsia" w:cs="宋体"/>
                <w:color w:val="auto"/>
                <w:sz w:val="20"/>
              </w:rPr>
              <w:t>提交</w:t>
            </w:r>
          </w:p>
          <w:p w14:paraId="05047723">
            <w:pPr>
              <w:spacing w:line="240" w:lineRule="exact"/>
              <w:jc w:val="center"/>
              <w:rPr>
                <w:rFonts w:ascii="宋体" w:hAnsi="宋体"/>
                <w:color w:val="auto"/>
                <w:sz w:val="20"/>
              </w:rPr>
            </w:pPr>
            <w:r>
              <w:rPr>
                <w:rFonts w:hint="eastAsia" w:cs="宋体"/>
                <w:color w:val="auto"/>
                <w:sz w:val="20"/>
              </w:rPr>
              <w:t>（3</w:t>
            </w:r>
            <w:r>
              <w:rPr>
                <w:rFonts w:hint="eastAsia"/>
                <w:color w:val="auto"/>
                <w:sz w:val="20"/>
              </w:rPr>
              <w:t>分）</w:t>
            </w:r>
          </w:p>
        </w:tc>
        <w:tc>
          <w:tcPr>
            <w:tcW w:w="2557" w:type="dxa"/>
            <w:vMerge w:val="restart"/>
            <w:vAlign w:val="center"/>
          </w:tcPr>
          <w:p w14:paraId="1F3A9379">
            <w:pPr>
              <w:spacing w:line="240" w:lineRule="exact"/>
              <w:jc w:val="center"/>
              <w:rPr>
                <w:rFonts w:ascii="宋体" w:hAnsi="宋体"/>
                <w:color w:val="auto"/>
                <w:sz w:val="20"/>
              </w:rPr>
            </w:pPr>
            <w:r>
              <w:rPr>
                <w:rFonts w:hint="eastAsia" w:cs="宋体"/>
                <w:color w:val="auto"/>
                <w:sz w:val="20"/>
              </w:rPr>
              <w:t>是否满足如下要求：资料制度完备、可行</w:t>
            </w:r>
          </w:p>
        </w:tc>
        <w:tc>
          <w:tcPr>
            <w:tcW w:w="682" w:type="dxa"/>
            <w:vMerge w:val="restart"/>
            <w:vAlign w:val="center"/>
          </w:tcPr>
          <w:p w14:paraId="477926E7">
            <w:pPr>
              <w:spacing w:line="240" w:lineRule="exact"/>
              <w:jc w:val="center"/>
              <w:rPr>
                <w:rFonts w:ascii="宋体" w:hAnsi="宋体"/>
                <w:color w:val="auto"/>
                <w:sz w:val="20"/>
              </w:rPr>
            </w:pPr>
            <w:r>
              <w:rPr>
                <w:rFonts w:hint="eastAsia" w:cs="宋体"/>
                <w:color w:val="auto"/>
                <w:sz w:val="20"/>
              </w:rPr>
              <w:t>3</w:t>
            </w:r>
          </w:p>
        </w:tc>
        <w:tc>
          <w:tcPr>
            <w:tcW w:w="3640" w:type="dxa"/>
            <w:vAlign w:val="center"/>
          </w:tcPr>
          <w:p w14:paraId="37189F38">
            <w:pPr>
              <w:spacing w:line="240" w:lineRule="exact"/>
              <w:rPr>
                <w:rFonts w:eastAsia="宋体" w:cs="宋体"/>
                <w:color w:val="auto"/>
                <w:sz w:val="20"/>
              </w:rPr>
            </w:pPr>
            <w:r>
              <w:rPr>
                <w:rFonts w:hint="eastAsia"/>
                <w:color w:val="auto"/>
                <w:sz w:val="20"/>
              </w:rPr>
              <w:t>明确按照采购单位及其上级单位要求及时提交资料，</w:t>
            </w:r>
            <w:r>
              <w:rPr>
                <w:rFonts w:hint="eastAsia" w:cs="宋体"/>
                <w:color w:val="auto"/>
                <w:sz w:val="20"/>
              </w:rPr>
              <w:t>资料制度完备、可行，</w:t>
            </w:r>
            <w:r>
              <w:rPr>
                <w:rFonts w:hint="eastAsia"/>
                <w:color w:val="auto"/>
                <w:sz w:val="20"/>
              </w:rPr>
              <w:t>且有详细的资料提交方案；</w:t>
            </w:r>
          </w:p>
        </w:tc>
        <w:tc>
          <w:tcPr>
            <w:tcW w:w="594" w:type="dxa"/>
            <w:vAlign w:val="center"/>
          </w:tcPr>
          <w:p w14:paraId="41B72C65">
            <w:pPr>
              <w:spacing w:line="240" w:lineRule="exact"/>
              <w:jc w:val="center"/>
              <w:rPr>
                <w:rFonts w:ascii="宋体" w:hAnsi="宋体"/>
                <w:color w:val="auto"/>
                <w:sz w:val="20"/>
              </w:rPr>
            </w:pPr>
            <w:r>
              <w:rPr>
                <w:rFonts w:hint="eastAsia" w:cs="宋体"/>
                <w:color w:val="auto"/>
                <w:sz w:val="20"/>
              </w:rPr>
              <w:t>3</w:t>
            </w:r>
          </w:p>
        </w:tc>
      </w:tr>
      <w:tr w14:paraId="651915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7" w:hRule="atLeast"/>
          <w:jc w:val="center"/>
        </w:trPr>
        <w:tc>
          <w:tcPr>
            <w:tcW w:w="728" w:type="dxa"/>
            <w:vMerge w:val="continue"/>
            <w:vAlign w:val="center"/>
          </w:tcPr>
          <w:p w14:paraId="6881BC35">
            <w:pPr>
              <w:spacing w:line="240" w:lineRule="exact"/>
              <w:jc w:val="center"/>
              <w:rPr>
                <w:rFonts w:ascii="宋体" w:hAnsi="宋体"/>
                <w:color w:val="auto"/>
                <w:sz w:val="20"/>
              </w:rPr>
            </w:pPr>
          </w:p>
        </w:tc>
        <w:tc>
          <w:tcPr>
            <w:tcW w:w="996" w:type="dxa"/>
            <w:vMerge w:val="continue"/>
            <w:vAlign w:val="center"/>
          </w:tcPr>
          <w:p w14:paraId="75BFC00B">
            <w:pPr>
              <w:spacing w:line="240" w:lineRule="exact"/>
              <w:jc w:val="center"/>
              <w:rPr>
                <w:rFonts w:ascii="宋体" w:hAnsi="宋体"/>
                <w:color w:val="auto"/>
                <w:sz w:val="20"/>
              </w:rPr>
            </w:pPr>
          </w:p>
        </w:tc>
        <w:tc>
          <w:tcPr>
            <w:tcW w:w="2557" w:type="dxa"/>
            <w:vMerge w:val="continue"/>
            <w:vAlign w:val="center"/>
          </w:tcPr>
          <w:p w14:paraId="65F6E0D6">
            <w:pPr>
              <w:spacing w:line="240" w:lineRule="exact"/>
              <w:jc w:val="center"/>
              <w:rPr>
                <w:rFonts w:ascii="宋体" w:hAnsi="宋体"/>
                <w:color w:val="auto"/>
                <w:sz w:val="20"/>
              </w:rPr>
            </w:pPr>
          </w:p>
        </w:tc>
        <w:tc>
          <w:tcPr>
            <w:tcW w:w="682" w:type="dxa"/>
            <w:vMerge w:val="continue"/>
            <w:vAlign w:val="center"/>
          </w:tcPr>
          <w:p w14:paraId="6A2EFC57">
            <w:pPr>
              <w:spacing w:line="240" w:lineRule="exact"/>
              <w:jc w:val="center"/>
              <w:rPr>
                <w:rFonts w:ascii="宋体" w:hAnsi="宋体"/>
                <w:color w:val="auto"/>
                <w:sz w:val="20"/>
              </w:rPr>
            </w:pPr>
          </w:p>
        </w:tc>
        <w:tc>
          <w:tcPr>
            <w:tcW w:w="3640" w:type="dxa"/>
            <w:vAlign w:val="center"/>
          </w:tcPr>
          <w:p w14:paraId="75210AEC">
            <w:pPr>
              <w:spacing w:line="240" w:lineRule="exact"/>
              <w:rPr>
                <w:rFonts w:eastAsia="宋体" w:cs="宋体"/>
                <w:color w:val="auto"/>
                <w:sz w:val="20"/>
                <w:lang w:val="zh-CN"/>
              </w:rPr>
            </w:pPr>
            <w:r>
              <w:rPr>
                <w:rFonts w:hint="eastAsia" w:cs="宋体"/>
                <w:color w:val="auto"/>
                <w:sz w:val="20"/>
              </w:rPr>
              <w:t>资料制度不完备；</w:t>
            </w:r>
          </w:p>
        </w:tc>
        <w:tc>
          <w:tcPr>
            <w:tcW w:w="594" w:type="dxa"/>
            <w:vAlign w:val="center"/>
          </w:tcPr>
          <w:p w14:paraId="75196FF1">
            <w:pPr>
              <w:spacing w:line="240" w:lineRule="exact"/>
              <w:jc w:val="center"/>
              <w:rPr>
                <w:rFonts w:ascii="宋体" w:hAnsi="宋体"/>
                <w:color w:val="auto"/>
                <w:sz w:val="20"/>
              </w:rPr>
            </w:pPr>
            <w:r>
              <w:rPr>
                <w:rFonts w:hint="eastAsia" w:cs="宋体"/>
                <w:color w:val="auto"/>
                <w:sz w:val="20"/>
              </w:rPr>
              <w:t>1</w:t>
            </w:r>
          </w:p>
        </w:tc>
      </w:tr>
      <w:tr w14:paraId="422CE4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3" w:hRule="atLeast"/>
          <w:jc w:val="center"/>
        </w:trPr>
        <w:tc>
          <w:tcPr>
            <w:tcW w:w="728" w:type="dxa"/>
            <w:vMerge w:val="continue"/>
            <w:vAlign w:val="center"/>
          </w:tcPr>
          <w:p w14:paraId="12A6C53C">
            <w:pPr>
              <w:spacing w:line="240" w:lineRule="exact"/>
              <w:jc w:val="center"/>
              <w:rPr>
                <w:rFonts w:ascii="宋体" w:hAnsi="宋体"/>
                <w:color w:val="auto"/>
                <w:sz w:val="20"/>
              </w:rPr>
            </w:pPr>
          </w:p>
        </w:tc>
        <w:tc>
          <w:tcPr>
            <w:tcW w:w="996" w:type="dxa"/>
            <w:vMerge w:val="continue"/>
            <w:vAlign w:val="center"/>
          </w:tcPr>
          <w:p w14:paraId="4ED94793">
            <w:pPr>
              <w:spacing w:line="240" w:lineRule="exact"/>
              <w:jc w:val="center"/>
              <w:rPr>
                <w:rFonts w:ascii="宋体" w:hAnsi="宋体"/>
                <w:color w:val="auto"/>
                <w:sz w:val="20"/>
              </w:rPr>
            </w:pPr>
          </w:p>
        </w:tc>
        <w:tc>
          <w:tcPr>
            <w:tcW w:w="2557" w:type="dxa"/>
            <w:vMerge w:val="continue"/>
            <w:vAlign w:val="center"/>
          </w:tcPr>
          <w:p w14:paraId="72526580">
            <w:pPr>
              <w:spacing w:line="240" w:lineRule="exact"/>
              <w:jc w:val="center"/>
              <w:rPr>
                <w:rFonts w:ascii="宋体" w:hAnsi="宋体"/>
                <w:color w:val="auto"/>
                <w:sz w:val="20"/>
              </w:rPr>
            </w:pPr>
          </w:p>
        </w:tc>
        <w:tc>
          <w:tcPr>
            <w:tcW w:w="682" w:type="dxa"/>
            <w:vMerge w:val="continue"/>
            <w:vAlign w:val="center"/>
          </w:tcPr>
          <w:p w14:paraId="01372689">
            <w:pPr>
              <w:spacing w:line="240" w:lineRule="exact"/>
              <w:jc w:val="center"/>
              <w:rPr>
                <w:rFonts w:ascii="宋体" w:hAnsi="宋体"/>
                <w:color w:val="auto"/>
                <w:sz w:val="20"/>
              </w:rPr>
            </w:pPr>
          </w:p>
        </w:tc>
        <w:tc>
          <w:tcPr>
            <w:tcW w:w="3640" w:type="dxa"/>
            <w:vAlign w:val="center"/>
          </w:tcPr>
          <w:p w14:paraId="69C1ACCE">
            <w:pPr>
              <w:spacing w:line="240" w:lineRule="exact"/>
              <w:rPr>
                <w:rFonts w:eastAsia="宋体"/>
                <w:color w:val="auto"/>
                <w:sz w:val="20"/>
              </w:rPr>
            </w:pPr>
            <w:r>
              <w:rPr>
                <w:rFonts w:hint="eastAsia"/>
                <w:color w:val="auto"/>
                <w:sz w:val="20"/>
              </w:rPr>
              <w:t>缺失资料提交方案。</w:t>
            </w:r>
          </w:p>
        </w:tc>
        <w:tc>
          <w:tcPr>
            <w:tcW w:w="594" w:type="dxa"/>
            <w:vAlign w:val="center"/>
          </w:tcPr>
          <w:p w14:paraId="03B78B76">
            <w:pPr>
              <w:spacing w:line="240" w:lineRule="exact"/>
              <w:jc w:val="center"/>
              <w:rPr>
                <w:rFonts w:cs="宋体"/>
                <w:color w:val="auto"/>
                <w:sz w:val="20"/>
              </w:rPr>
            </w:pPr>
            <w:r>
              <w:rPr>
                <w:rFonts w:hint="eastAsia" w:cs="宋体"/>
                <w:color w:val="auto"/>
                <w:sz w:val="20"/>
              </w:rPr>
              <w:t>0</w:t>
            </w:r>
          </w:p>
        </w:tc>
      </w:tr>
      <w:tr w14:paraId="54AF92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1" w:hRule="atLeast"/>
          <w:jc w:val="center"/>
        </w:trPr>
        <w:tc>
          <w:tcPr>
            <w:tcW w:w="728" w:type="dxa"/>
            <w:vMerge w:val="continue"/>
            <w:vAlign w:val="center"/>
          </w:tcPr>
          <w:p w14:paraId="14BCABA9">
            <w:pPr>
              <w:spacing w:line="240" w:lineRule="exact"/>
              <w:jc w:val="center"/>
              <w:rPr>
                <w:rFonts w:ascii="宋体" w:hAnsi="宋体"/>
                <w:color w:val="auto"/>
                <w:sz w:val="20"/>
              </w:rPr>
            </w:pPr>
          </w:p>
        </w:tc>
        <w:tc>
          <w:tcPr>
            <w:tcW w:w="996" w:type="dxa"/>
            <w:vMerge w:val="restart"/>
            <w:vAlign w:val="center"/>
          </w:tcPr>
          <w:p w14:paraId="1C0D8FC6">
            <w:pPr>
              <w:spacing w:line="240" w:lineRule="exact"/>
              <w:jc w:val="center"/>
              <w:rPr>
                <w:rFonts w:cs="宋体"/>
                <w:color w:val="auto"/>
                <w:sz w:val="20"/>
              </w:rPr>
            </w:pPr>
            <w:r>
              <w:rPr>
                <w:rFonts w:hint="eastAsia" w:cs="宋体"/>
                <w:color w:val="auto"/>
                <w:sz w:val="20"/>
              </w:rPr>
              <w:t>工期</w:t>
            </w:r>
          </w:p>
          <w:p w14:paraId="7AE002FA">
            <w:pPr>
              <w:spacing w:line="240" w:lineRule="exact"/>
              <w:jc w:val="center"/>
              <w:rPr>
                <w:rFonts w:ascii="宋体" w:hAnsi="宋体"/>
                <w:color w:val="auto"/>
                <w:sz w:val="20"/>
              </w:rPr>
            </w:pPr>
            <w:r>
              <w:rPr>
                <w:rFonts w:hint="eastAsia" w:cs="宋体"/>
                <w:color w:val="auto"/>
                <w:sz w:val="20"/>
              </w:rPr>
              <w:t>（5分）</w:t>
            </w:r>
          </w:p>
        </w:tc>
        <w:tc>
          <w:tcPr>
            <w:tcW w:w="2557" w:type="dxa"/>
            <w:vMerge w:val="restart"/>
            <w:vAlign w:val="center"/>
          </w:tcPr>
          <w:p w14:paraId="73E04DD6">
            <w:pPr>
              <w:spacing w:line="240" w:lineRule="exact"/>
              <w:jc w:val="center"/>
              <w:rPr>
                <w:rFonts w:ascii="宋体" w:hAnsi="宋体"/>
                <w:color w:val="auto"/>
                <w:sz w:val="20"/>
              </w:rPr>
            </w:pPr>
            <w:r>
              <w:rPr>
                <w:rFonts w:hint="eastAsia"/>
                <w:color w:val="auto"/>
                <w:sz w:val="20"/>
              </w:rPr>
              <w:t>工作</w:t>
            </w:r>
            <w:r>
              <w:rPr>
                <w:rFonts w:hint="eastAsia" w:cs="宋体"/>
                <w:color w:val="auto"/>
                <w:sz w:val="20"/>
              </w:rPr>
              <w:t>安排及工作阶段划分</w:t>
            </w:r>
            <w:r>
              <w:rPr>
                <w:rFonts w:hint="eastAsia"/>
                <w:color w:val="auto"/>
                <w:sz w:val="20"/>
              </w:rPr>
              <w:t>是否合理</w:t>
            </w:r>
            <w:r>
              <w:rPr>
                <w:rFonts w:hint="eastAsia" w:cs="宋体"/>
                <w:color w:val="auto"/>
                <w:sz w:val="20"/>
              </w:rPr>
              <w:t>，工作程序和各阶段工作是否清晰，工期是否符合招标文件要求</w:t>
            </w:r>
          </w:p>
        </w:tc>
        <w:tc>
          <w:tcPr>
            <w:tcW w:w="682" w:type="dxa"/>
            <w:vMerge w:val="restart"/>
            <w:vAlign w:val="center"/>
          </w:tcPr>
          <w:p w14:paraId="36EE6B7C">
            <w:pPr>
              <w:spacing w:line="240" w:lineRule="exact"/>
              <w:jc w:val="center"/>
              <w:rPr>
                <w:rFonts w:ascii="宋体" w:hAnsi="宋体"/>
                <w:color w:val="auto"/>
                <w:sz w:val="20"/>
              </w:rPr>
            </w:pPr>
            <w:r>
              <w:rPr>
                <w:rFonts w:hint="eastAsia" w:cs="宋体"/>
                <w:color w:val="auto"/>
                <w:sz w:val="20"/>
              </w:rPr>
              <w:t>5</w:t>
            </w:r>
          </w:p>
        </w:tc>
        <w:tc>
          <w:tcPr>
            <w:tcW w:w="3640" w:type="dxa"/>
            <w:vAlign w:val="center"/>
          </w:tcPr>
          <w:p w14:paraId="1B409424">
            <w:pPr>
              <w:spacing w:line="240" w:lineRule="exact"/>
              <w:rPr>
                <w:rFonts w:eastAsia="宋体"/>
                <w:color w:val="auto"/>
                <w:sz w:val="20"/>
              </w:rPr>
            </w:pPr>
            <w:r>
              <w:rPr>
                <w:rFonts w:hint="eastAsia"/>
                <w:color w:val="auto"/>
                <w:sz w:val="20"/>
              </w:rPr>
              <w:t>工作</w:t>
            </w:r>
            <w:r>
              <w:rPr>
                <w:rFonts w:hint="eastAsia" w:cs="宋体"/>
                <w:color w:val="auto"/>
                <w:sz w:val="20"/>
              </w:rPr>
              <w:t>安排</w:t>
            </w:r>
            <w:r>
              <w:rPr>
                <w:rFonts w:hint="eastAsia"/>
                <w:color w:val="auto"/>
                <w:sz w:val="20"/>
              </w:rPr>
              <w:t>合理</w:t>
            </w:r>
            <w:r>
              <w:rPr>
                <w:rFonts w:hint="eastAsia" w:cs="宋体"/>
                <w:color w:val="auto"/>
                <w:sz w:val="20"/>
              </w:rPr>
              <w:t>可行，计划工期短于招标文件要求的合同履行期限；</w:t>
            </w:r>
          </w:p>
        </w:tc>
        <w:tc>
          <w:tcPr>
            <w:tcW w:w="594" w:type="dxa"/>
            <w:vAlign w:val="center"/>
          </w:tcPr>
          <w:p w14:paraId="61E35AC8">
            <w:pPr>
              <w:spacing w:line="240" w:lineRule="exact"/>
              <w:jc w:val="center"/>
              <w:rPr>
                <w:rFonts w:ascii="宋体" w:hAnsi="宋体"/>
                <w:color w:val="auto"/>
                <w:sz w:val="20"/>
              </w:rPr>
            </w:pPr>
            <w:r>
              <w:rPr>
                <w:rFonts w:hint="eastAsia" w:cs="宋体"/>
                <w:color w:val="auto"/>
                <w:sz w:val="20"/>
              </w:rPr>
              <w:t>5</w:t>
            </w:r>
          </w:p>
        </w:tc>
      </w:tr>
      <w:tr w14:paraId="66160A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1" w:hRule="atLeast"/>
          <w:jc w:val="center"/>
        </w:trPr>
        <w:tc>
          <w:tcPr>
            <w:tcW w:w="728" w:type="dxa"/>
            <w:vMerge w:val="continue"/>
            <w:vAlign w:val="center"/>
          </w:tcPr>
          <w:p w14:paraId="042B152B">
            <w:pPr>
              <w:spacing w:line="240" w:lineRule="exact"/>
              <w:jc w:val="center"/>
              <w:rPr>
                <w:rFonts w:ascii="宋体" w:hAnsi="宋体"/>
                <w:color w:val="auto"/>
                <w:sz w:val="20"/>
              </w:rPr>
            </w:pPr>
          </w:p>
        </w:tc>
        <w:tc>
          <w:tcPr>
            <w:tcW w:w="996" w:type="dxa"/>
            <w:vMerge w:val="continue"/>
            <w:vAlign w:val="center"/>
          </w:tcPr>
          <w:p w14:paraId="227361ED">
            <w:pPr>
              <w:spacing w:line="240" w:lineRule="exact"/>
              <w:jc w:val="center"/>
              <w:rPr>
                <w:rFonts w:ascii="宋体" w:hAnsi="宋体"/>
                <w:color w:val="auto"/>
                <w:sz w:val="20"/>
              </w:rPr>
            </w:pPr>
          </w:p>
        </w:tc>
        <w:tc>
          <w:tcPr>
            <w:tcW w:w="2557" w:type="dxa"/>
            <w:vMerge w:val="continue"/>
            <w:vAlign w:val="center"/>
          </w:tcPr>
          <w:p w14:paraId="2DBE6B95">
            <w:pPr>
              <w:spacing w:line="240" w:lineRule="exact"/>
              <w:jc w:val="center"/>
              <w:rPr>
                <w:rFonts w:ascii="宋体" w:hAnsi="宋体"/>
                <w:color w:val="auto"/>
                <w:sz w:val="20"/>
              </w:rPr>
            </w:pPr>
          </w:p>
        </w:tc>
        <w:tc>
          <w:tcPr>
            <w:tcW w:w="682" w:type="dxa"/>
            <w:vMerge w:val="continue"/>
            <w:vAlign w:val="center"/>
          </w:tcPr>
          <w:p w14:paraId="4EDCA20E">
            <w:pPr>
              <w:spacing w:line="240" w:lineRule="exact"/>
              <w:jc w:val="center"/>
              <w:rPr>
                <w:rFonts w:ascii="宋体" w:hAnsi="宋体"/>
                <w:color w:val="auto"/>
                <w:sz w:val="20"/>
              </w:rPr>
            </w:pPr>
          </w:p>
        </w:tc>
        <w:tc>
          <w:tcPr>
            <w:tcW w:w="3640" w:type="dxa"/>
            <w:vAlign w:val="center"/>
          </w:tcPr>
          <w:p w14:paraId="60C7CD24">
            <w:pPr>
              <w:spacing w:line="240" w:lineRule="exact"/>
              <w:rPr>
                <w:rFonts w:eastAsia="宋体"/>
                <w:color w:val="auto"/>
                <w:sz w:val="20"/>
              </w:rPr>
            </w:pPr>
            <w:r>
              <w:rPr>
                <w:rFonts w:hint="eastAsia"/>
                <w:color w:val="auto"/>
                <w:sz w:val="20"/>
              </w:rPr>
              <w:t>工作</w:t>
            </w:r>
            <w:r>
              <w:rPr>
                <w:rFonts w:hint="eastAsia" w:cs="宋体"/>
                <w:color w:val="auto"/>
                <w:sz w:val="20"/>
              </w:rPr>
              <w:t>安排</w:t>
            </w:r>
            <w:r>
              <w:rPr>
                <w:rFonts w:hint="eastAsia"/>
                <w:color w:val="auto"/>
                <w:sz w:val="20"/>
              </w:rPr>
              <w:t>较合理</w:t>
            </w:r>
            <w:r>
              <w:rPr>
                <w:rFonts w:hint="eastAsia" w:cs="宋体"/>
                <w:color w:val="auto"/>
                <w:sz w:val="20"/>
              </w:rPr>
              <w:t>可行，计划工期基本符合招标文件要求的合同履行期限；</w:t>
            </w:r>
          </w:p>
        </w:tc>
        <w:tc>
          <w:tcPr>
            <w:tcW w:w="594" w:type="dxa"/>
            <w:vAlign w:val="center"/>
          </w:tcPr>
          <w:p w14:paraId="4022E93A">
            <w:pPr>
              <w:spacing w:line="240" w:lineRule="exact"/>
              <w:jc w:val="center"/>
              <w:rPr>
                <w:rFonts w:ascii="宋体" w:hAnsi="宋体"/>
                <w:color w:val="auto"/>
                <w:sz w:val="20"/>
              </w:rPr>
            </w:pPr>
            <w:r>
              <w:rPr>
                <w:rFonts w:hint="eastAsia" w:cs="宋体"/>
                <w:color w:val="auto"/>
                <w:sz w:val="20"/>
              </w:rPr>
              <w:t>3</w:t>
            </w:r>
          </w:p>
        </w:tc>
      </w:tr>
      <w:tr w14:paraId="0A4B63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56" w:hRule="atLeast"/>
          <w:jc w:val="center"/>
        </w:trPr>
        <w:tc>
          <w:tcPr>
            <w:tcW w:w="728" w:type="dxa"/>
            <w:vMerge w:val="continue"/>
            <w:vAlign w:val="center"/>
          </w:tcPr>
          <w:p w14:paraId="02FE826D">
            <w:pPr>
              <w:spacing w:line="240" w:lineRule="exact"/>
              <w:jc w:val="center"/>
              <w:rPr>
                <w:rFonts w:ascii="宋体" w:hAnsi="宋体"/>
                <w:color w:val="auto"/>
                <w:sz w:val="20"/>
              </w:rPr>
            </w:pPr>
          </w:p>
        </w:tc>
        <w:tc>
          <w:tcPr>
            <w:tcW w:w="996" w:type="dxa"/>
            <w:vMerge w:val="continue"/>
            <w:vAlign w:val="center"/>
          </w:tcPr>
          <w:p w14:paraId="018C7809">
            <w:pPr>
              <w:spacing w:line="240" w:lineRule="exact"/>
              <w:jc w:val="center"/>
              <w:rPr>
                <w:rFonts w:ascii="宋体" w:hAnsi="宋体"/>
                <w:color w:val="auto"/>
                <w:sz w:val="20"/>
              </w:rPr>
            </w:pPr>
          </w:p>
        </w:tc>
        <w:tc>
          <w:tcPr>
            <w:tcW w:w="2557" w:type="dxa"/>
            <w:vMerge w:val="continue"/>
            <w:vAlign w:val="center"/>
          </w:tcPr>
          <w:p w14:paraId="3F7D66FE">
            <w:pPr>
              <w:spacing w:line="240" w:lineRule="exact"/>
              <w:jc w:val="center"/>
              <w:rPr>
                <w:rFonts w:ascii="宋体" w:hAnsi="宋体"/>
                <w:color w:val="auto"/>
                <w:sz w:val="20"/>
              </w:rPr>
            </w:pPr>
          </w:p>
        </w:tc>
        <w:tc>
          <w:tcPr>
            <w:tcW w:w="682" w:type="dxa"/>
            <w:vMerge w:val="continue"/>
            <w:vAlign w:val="center"/>
          </w:tcPr>
          <w:p w14:paraId="74758404">
            <w:pPr>
              <w:spacing w:line="240" w:lineRule="exact"/>
              <w:jc w:val="center"/>
              <w:rPr>
                <w:rFonts w:ascii="宋体" w:hAnsi="宋体"/>
                <w:color w:val="auto"/>
                <w:sz w:val="20"/>
              </w:rPr>
            </w:pPr>
          </w:p>
        </w:tc>
        <w:tc>
          <w:tcPr>
            <w:tcW w:w="3640" w:type="dxa"/>
            <w:vAlign w:val="center"/>
          </w:tcPr>
          <w:p w14:paraId="0F50D5D7">
            <w:pPr>
              <w:spacing w:line="240" w:lineRule="exact"/>
              <w:rPr>
                <w:rFonts w:eastAsia="宋体"/>
                <w:color w:val="auto"/>
                <w:sz w:val="20"/>
              </w:rPr>
            </w:pPr>
            <w:r>
              <w:rPr>
                <w:rFonts w:hint="eastAsia"/>
                <w:color w:val="auto"/>
                <w:sz w:val="20"/>
              </w:rPr>
              <w:t>工作</w:t>
            </w:r>
            <w:r>
              <w:rPr>
                <w:rFonts w:hint="eastAsia" w:cs="宋体"/>
                <w:color w:val="auto"/>
                <w:sz w:val="20"/>
              </w:rPr>
              <w:t>安排及工作阶段划分不合理，工作程序不清晰。</w:t>
            </w:r>
          </w:p>
        </w:tc>
        <w:tc>
          <w:tcPr>
            <w:tcW w:w="594" w:type="dxa"/>
            <w:vAlign w:val="center"/>
          </w:tcPr>
          <w:p w14:paraId="695B01B1">
            <w:pPr>
              <w:spacing w:line="240" w:lineRule="exact"/>
              <w:jc w:val="center"/>
              <w:rPr>
                <w:rFonts w:ascii="宋体" w:hAnsi="宋体"/>
                <w:color w:val="auto"/>
                <w:sz w:val="20"/>
              </w:rPr>
            </w:pPr>
            <w:r>
              <w:rPr>
                <w:rFonts w:hint="eastAsia" w:cs="宋体"/>
                <w:color w:val="auto"/>
                <w:sz w:val="20"/>
              </w:rPr>
              <w:t>0</w:t>
            </w:r>
          </w:p>
        </w:tc>
      </w:tr>
    </w:tbl>
    <w:p w14:paraId="27260014">
      <w:pPr>
        <w:pStyle w:val="337"/>
        <w:ind w:left="0" w:leftChars="0" w:firstLine="0"/>
        <w:rPr>
          <w:rFonts w:ascii="仿宋" w:hAnsi="仿宋" w:cs="仿宋"/>
          <w:b/>
          <w:color w:val="auto"/>
          <w:sz w:val="28"/>
          <w:szCs w:val="28"/>
        </w:rPr>
      </w:pPr>
    </w:p>
    <w:p w14:paraId="30F1795D">
      <w:pPr>
        <w:pStyle w:val="337"/>
        <w:ind w:left="0" w:leftChars="0" w:firstLine="0"/>
        <w:jc w:val="center"/>
        <w:rPr>
          <w:rFonts w:ascii="仿宋" w:hAnsi="仿宋" w:cs="仿宋"/>
          <w:b/>
          <w:color w:val="auto"/>
          <w:sz w:val="28"/>
          <w:szCs w:val="28"/>
        </w:rPr>
      </w:pPr>
      <w:r>
        <w:rPr>
          <w:rFonts w:hint="eastAsia" w:ascii="仿宋" w:hAnsi="仿宋" w:cs="仿宋"/>
          <w:b/>
          <w:color w:val="auto"/>
          <w:sz w:val="28"/>
          <w:szCs w:val="28"/>
        </w:rPr>
        <w:t>报价部分</w:t>
      </w:r>
    </w:p>
    <w:tbl>
      <w:tblPr>
        <w:tblStyle w:val="49"/>
        <w:tblW w:w="94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3"/>
        <w:gridCol w:w="1126"/>
        <w:gridCol w:w="6880"/>
      </w:tblGrid>
      <w:tr w14:paraId="33836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1413" w:type="dxa"/>
            <w:vAlign w:val="center"/>
          </w:tcPr>
          <w:p w14:paraId="27966B44">
            <w:pPr>
              <w:jc w:val="center"/>
              <w:rPr>
                <w:rFonts w:ascii="仿宋" w:hAnsi="仿宋" w:cs="仿宋"/>
                <w:b/>
                <w:bCs/>
                <w:color w:val="auto"/>
                <w:sz w:val="44"/>
                <w:szCs w:val="48"/>
              </w:rPr>
            </w:pPr>
            <w:r>
              <w:rPr>
                <w:rFonts w:hint="eastAsia"/>
                <w:b/>
                <w:color w:val="auto"/>
                <w:sz w:val="28"/>
                <w:szCs w:val="36"/>
              </w:rPr>
              <w:t>评标指标</w:t>
            </w:r>
          </w:p>
        </w:tc>
        <w:tc>
          <w:tcPr>
            <w:tcW w:w="1126" w:type="dxa"/>
            <w:vAlign w:val="center"/>
          </w:tcPr>
          <w:p w14:paraId="547C789A">
            <w:pPr>
              <w:jc w:val="center"/>
              <w:rPr>
                <w:b/>
                <w:color w:val="auto"/>
                <w:sz w:val="28"/>
                <w:szCs w:val="36"/>
              </w:rPr>
            </w:pPr>
            <w:r>
              <w:rPr>
                <w:rFonts w:hint="eastAsia"/>
                <w:b/>
                <w:color w:val="auto"/>
                <w:sz w:val="28"/>
                <w:szCs w:val="36"/>
              </w:rPr>
              <w:t>分值</w:t>
            </w:r>
          </w:p>
        </w:tc>
        <w:tc>
          <w:tcPr>
            <w:tcW w:w="6880" w:type="dxa"/>
            <w:vAlign w:val="center"/>
          </w:tcPr>
          <w:p w14:paraId="24F1FF2F">
            <w:pPr>
              <w:jc w:val="center"/>
              <w:rPr>
                <w:b/>
                <w:color w:val="auto"/>
                <w:sz w:val="28"/>
                <w:szCs w:val="36"/>
              </w:rPr>
            </w:pPr>
            <w:r>
              <w:rPr>
                <w:rFonts w:hint="eastAsia"/>
                <w:b/>
                <w:color w:val="auto"/>
                <w:sz w:val="28"/>
                <w:szCs w:val="36"/>
              </w:rPr>
              <w:t>评分标准</w:t>
            </w:r>
          </w:p>
        </w:tc>
      </w:tr>
      <w:tr w14:paraId="35CB5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7" w:hRule="atLeast"/>
          <w:jc w:val="center"/>
        </w:trPr>
        <w:tc>
          <w:tcPr>
            <w:tcW w:w="1413" w:type="dxa"/>
            <w:vAlign w:val="center"/>
          </w:tcPr>
          <w:p w14:paraId="7A9D75B8">
            <w:pPr>
              <w:spacing w:line="360" w:lineRule="auto"/>
              <w:jc w:val="center"/>
              <w:rPr>
                <w:rFonts w:ascii="仿宋" w:hAnsi="仿宋" w:cs="仿宋"/>
                <w:color w:val="auto"/>
                <w:sz w:val="24"/>
                <w:szCs w:val="28"/>
              </w:rPr>
            </w:pPr>
            <w:r>
              <w:rPr>
                <w:rFonts w:hint="eastAsia" w:ascii="仿宋" w:hAnsi="仿宋" w:cs="仿宋"/>
                <w:color w:val="auto"/>
                <w:sz w:val="24"/>
                <w:szCs w:val="28"/>
              </w:rPr>
              <w:t>投标报价</w:t>
            </w:r>
          </w:p>
        </w:tc>
        <w:tc>
          <w:tcPr>
            <w:tcW w:w="1126" w:type="dxa"/>
            <w:vAlign w:val="center"/>
          </w:tcPr>
          <w:p w14:paraId="0FFF24C1">
            <w:pPr>
              <w:spacing w:line="360" w:lineRule="auto"/>
              <w:jc w:val="center"/>
              <w:rPr>
                <w:rFonts w:ascii="仿宋" w:hAnsi="仿宋" w:cs="仿宋"/>
                <w:color w:val="auto"/>
                <w:sz w:val="24"/>
                <w:szCs w:val="28"/>
              </w:rPr>
            </w:pPr>
            <w:r>
              <w:rPr>
                <w:rFonts w:hint="eastAsia" w:ascii="仿宋" w:hAnsi="仿宋" w:cs="仿宋"/>
                <w:color w:val="auto"/>
                <w:sz w:val="24"/>
                <w:szCs w:val="28"/>
              </w:rPr>
              <w:t>10分</w:t>
            </w:r>
          </w:p>
        </w:tc>
        <w:tc>
          <w:tcPr>
            <w:tcW w:w="6880" w:type="dxa"/>
            <w:vAlign w:val="center"/>
          </w:tcPr>
          <w:p w14:paraId="23028A77">
            <w:pPr>
              <w:spacing w:line="360" w:lineRule="auto"/>
              <w:jc w:val="left"/>
              <w:rPr>
                <w:rFonts w:ascii="仿宋" w:hAnsi="仿宋" w:cs="仿宋"/>
                <w:color w:val="auto"/>
                <w:sz w:val="24"/>
                <w:szCs w:val="28"/>
              </w:rPr>
            </w:pPr>
            <w:r>
              <w:rPr>
                <w:rFonts w:hint="eastAsia" w:ascii="仿宋" w:hAnsi="仿宋" w:cs="仿宋"/>
                <w:color w:val="auto"/>
                <w:sz w:val="24"/>
                <w:szCs w:val="28"/>
              </w:rPr>
              <w:t>价格分应当采用低价优先法计算，即满足招标文件要求且投标价格最低的投标报价为评标基准价，其价格分为满分。其他投标人的价格分统一按照下列公式计算：</w:t>
            </w:r>
          </w:p>
          <w:p w14:paraId="21C99F4E">
            <w:pPr>
              <w:spacing w:line="360" w:lineRule="auto"/>
              <w:jc w:val="left"/>
              <w:rPr>
                <w:rFonts w:ascii="仿宋" w:hAnsi="仿宋" w:cs="仿宋"/>
                <w:color w:val="auto"/>
                <w:sz w:val="24"/>
                <w:szCs w:val="28"/>
              </w:rPr>
            </w:pPr>
            <w:r>
              <w:rPr>
                <w:rFonts w:hint="eastAsia" w:ascii="仿宋" w:hAnsi="仿宋" w:cs="仿宋"/>
                <w:color w:val="auto"/>
                <w:sz w:val="24"/>
                <w:szCs w:val="28"/>
              </w:rPr>
              <w:t>投标报价得分=（评标基准价／投标报价）×100×10%</w:t>
            </w:r>
          </w:p>
          <w:p w14:paraId="36C229A5">
            <w:pPr>
              <w:spacing w:line="360" w:lineRule="auto"/>
              <w:jc w:val="left"/>
              <w:rPr>
                <w:rFonts w:ascii="仿宋" w:hAnsi="仿宋" w:cs="仿宋"/>
                <w:color w:val="auto"/>
                <w:sz w:val="24"/>
                <w:szCs w:val="28"/>
              </w:rPr>
            </w:pPr>
            <w:r>
              <w:rPr>
                <w:rFonts w:hint="eastAsia" w:ascii="仿宋" w:hAnsi="仿宋" w:cs="仿宋"/>
                <w:color w:val="auto"/>
                <w:sz w:val="24"/>
                <w:szCs w:val="28"/>
              </w:rPr>
              <w:t>（评标委员会发现投标人的报价明显低于其他投标报价，应当要求该投标人做出书面说明并提供相应的证明材料。投标人不能合理说明或者不能提供相应证明材料的，评标委员会应当认定该投标人以低于成本报价竞标，并否决其投标）</w:t>
            </w:r>
          </w:p>
        </w:tc>
      </w:tr>
    </w:tbl>
    <w:p w14:paraId="24304D68">
      <w:pPr>
        <w:spacing w:line="560" w:lineRule="exact"/>
        <w:ind w:firstLine="562" w:firstLineChars="200"/>
        <w:rPr>
          <w:rFonts w:ascii="仿宋" w:hAnsi="仿宋" w:cs="仿宋"/>
          <w:color w:val="auto"/>
          <w:sz w:val="28"/>
          <w:szCs w:val="28"/>
        </w:rPr>
      </w:pPr>
      <w:r>
        <w:rPr>
          <w:rFonts w:hint="eastAsia" w:ascii="仿宋" w:hAnsi="仿宋" w:cs="仿宋"/>
          <w:b/>
          <w:bCs/>
          <w:color w:val="auto"/>
          <w:sz w:val="28"/>
          <w:szCs w:val="28"/>
        </w:rPr>
        <w:t>*备注：</w:t>
      </w:r>
    </w:p>
    <w:p w14:paraId="5BAB5521">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1.供应商编制投标文件（商务技术文件部分）时，建议按评分表顺序提供评审标准相应的商务技术资料。</w:t>
      </w:r>
    </w:p>
    <w:p w14:paraId="2D012742">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2.评分标准中要求提供复印件的证明材料须清晰可辨。</w:t>
      </w:r>
    </w:p>
    <w:p w14:paraId="6146F517">
      <w:pPr>
        <w:spacing w:line="560" w:lineRule="exact"/>
        <w:outlineLvl w:val="1"/>
        <w:rPr>
          <w:rFonts w:ascii="仿宋" w:hAnsi="仿宋" w:cs="仿宋"/>
          <w:b/>
          <w:bCs/>
          <w:color w:val="auto"/>
          <w:sz w:val="28"/>
          <w:szCs w:val="28"/>
        </w:rPr>
      </w:pPr>
      <w:bookmarkStart w:id="199" w:name="_Toc21131"/>
      <w:r>
        <w:rPr>
          <w:rFonts w:hint="eastAsia" w:ascii="仿宋" w:hAnsi="仿宋" w:cs="仿宋"/>
          <w:b/>
          <w:bCs/>
          <w:color w:val="auto"/>
          <w:sz w:val="28"/>
          <w:szCs w:val="28"/>
        </w:rPr>
        <w:t>1.17废标</w:t>
      </w:r>
      <w:bookmarkEnd w:id="199"/>
    </w:p>
    <w:p w14:paraId="04AF50E6">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本次政府采购活动中，出现下列情形之一的，予以废标：</w:t>
      </w:r>
    </w:p>
    <w:p w14:paraId="785B33CB">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1.符合专业条件的投标人或者对采购文件作实质响应的投标人不足三家的；</w:t>
      </w:r>
    </w:p>
    <w:p w14:paraId="3B321E75">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2.出现影响采购公正的违法、违规行为的；</w:t>
      </w:r>
    </w:p>
    <w:p w14:paraId="35C8125A">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3.投标人的报价均超过了采购预算，采购人不能支付的；</w:t>
      </w:r>
    </w:p>
    <w:p w14:paraId="5D996BD7">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4.因重大变故，采购任务取消的；</w:t>
      </w:r>
    </w:p>
    <w:p w14:paraId="20233A9A">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废标后，采购人或采购代理机构将在“新疆政府采购网”上公告。</w:t>
      </w:r>
    </w:p>
    <w:p w14:paraId="214E0FF0">
      <w:pPr>
        <w:keepNext/>
        <w:keepLines/>
        <w:spacing w:line="560" w:lineRule="exact"/>
        <w:outlineLvl w:val="1"/>
        <w:rPr>
          <w:rFonts w:ascii="仿宋" w:hAnsi="仿宋" w:cs="仿宋"/>
          <w:b/>
          <w:bCs/>
          <w:color w:val="auto"/>
          <w:sz w:val="28"/>
          <w:szCs w:val="28"/>
        </w:rPr>
      </w:pPr>
      <w:bookmarkStart w:id="200" w:name="_Toc4548"/>
      <w:r>
        <w:rPr>
          <w:rFonts w:hint="eastAsia" w:ascii="仿宋" w:hAnsi="仿宋" w:cs="仿宋"/>
          <w:b/>
          <w:bCs/>
          <w:color w:val="auto"/>
          <w:sz w:val="28"/>
          <w:szCs w:val="28"/>
        </w:rPr>
        <w:t>1.18定标</w:t>
      </w:r>
      <w:bookmarkEnd w:id="200"/>
    </w:p>
    <w:p w14:paraId="689C8E14">
      <w:pPr>
        <w:spacing w:line="560" w:lineRule="exact"/>
        <w:ind w:firstLine="562" w:firstLineChars="200"/>
        <w:rPr>
          <w:rFonts w:ascii="仿宋" w:hAnsi="仿宋" w:cs="仿宋"/>
          <w:b/>
          <w:bCs/>
          <w:color w:val="auto"/>
          <w:sz w:val="28"/>
          <w:szCs w:val="28"/>
        </w:rPr>
      </w:pPr>
      <w:r>
        <w:rPr>
          <w:rFonts w:hint="eastAsia" w:ascii="仿宋" w:hAnsi="仿宋" w:cs="仿宋"/>
          <w:b/>
          <w:bCs/>
          <w:color w:val="auto"/>
          <w:sz w:val="28"/>
          <w:szCs w:val="28"/>
        </w:rPr>
        <w:t>1.18.1定标原则</w:t>
      </w:r>
    </w:p>
    <w:p w14:paraId="1C9E0F7A">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本项目根据评标委员会确定的中标候选人名单，采购人按顺序确定1名中标人。中标候选供应商并列的，由采购人采取随机抽取的方式确定中标人。</w:t>
      </w:r>
    </w:p>
    <w:p w14:paraId="3B43044D">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采购人在收到评标报告5个工作日内未按评标报告推荐的中标候选人顺序确定中标人，又不能说明合法理由的，视同按评标报告推荐的顺序确定排名第一的中标候选人为中标人。</w:t>
      </w:r>
    </w:p>
    <w:p w14:paraId="3EDA70B6">
      <w:pPr>
        <w:spacing w:line="560" w:lineRule="exact"/>
        <w:ind w:firstLine="562" w:firstLineChars="200"/>
        <w:rPr>
          <w:rFonts w:ascii="仿宋" w:hAnsi="仿宋" w:cs="仿宋"/>
          <w:b/>
          <w:bCs/>
          <w:color w:val="auto"/>
          <w:sz w:val="28"/>
          <w:szCs w:val="28"/>
        </w:rPr>
      </w:pPr>
      <w:r>
        <w:rPr>
          <w:rFonts w:hint="eastAsia" w:ascii="仿宋" w:hAnsi="仿宋" w:cs="仿宋"/>
          <w:b/>
          <w:bCs/>
          <w:color w:val="auto"/>
          <w:sz w:val="28"/>
          <w:szCs w:val="28"/>
        </w:rPr>
        <w:t>1.18.2定标程序</w:t>
      </w:r>
    </w:p>
    <w:p w14:paraId="174903D2">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一、评审委员会将评审情况写出书面报告。</w:t>
      </w:r>
    </w:p>
    <w:p w14:paraId="71EDBCB3">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二、采购人或采购代理机构在评审结束之日起2个工作日内将评审报告送达采购人。</w:t>
      </w:r>
    </w:p>
    <w:p w14:paraId="1A17B1C2">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三、采购人在收到评审报告后5个工作日内，按照评审报告中推荐的中标候选人顺序确定中标人。</w:t>
      </w:r>
    </w:p>
    <w:p w14:paraId="25CC58C7">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四、根据采购人确定的中标（成交）人，采购人或采购代理机构在“新疆政府采购网”上发布中标（成交）公告，同时向中标（成交）人发出中标（成交）通知书。</w:t>
      </w:r>
    </w:p>
    <w:p w14:paraId="483AAB3D">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五、采购人、采购人或采购代理机构不解释中标（成交）或未中标（成交）原因，不退回投标文件和其他投标资料。</w:t>
      </w:r>
    </w:p>
    <w:p w14:paraId="3BA9ECB6">
      <w:pPr>
        <w:keepNext/>
        <w:keepLines/>
        <w:spacing w:line="560" w:lineRule="exact"/>
        <w:jc w:val="left"/>
        <w:outlineLvl w:val="1"/>
        <w:rPr>
          <w:rFonts w:ascii="仿宋" w:hAnsi="仿宋" w:cs="仿宋"/>
          <w:b/>
          <w:bCs/>
          <w:color w:val="auto"/>
          <w:sz w:val="28"/>
          <w:szCs w:val="28"/>
        </w:rPr>
      </w:pPr>
      <w:bookmarkStart w:id="201" w:name="_Toc21869"/>
      <w:r>
        <w:rPr>
          <w:rFonts w:hint="eastAsia" w:ascii="仿宋" w:hAnsi="仿宋" w:cs="仿宋"/>
          <w:b/>
          <w:bCs/>
          <w:color w:val="auto"/>
          <w:sz w:val="28"/>
          <w:szCs w:val="28"/>
        </w:rPr>
        <w:t>1.19评审专家在政府采购活动中承担以下义务</w:t>
      </w:r>
      <w:bookmarkEnd w:id="201"/>
    </w:p>
    <w:p w14:paraId="4F12BA33">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一、遵守评审工作纪律；</w:t>
      </w:r>
    </w:p>
    <w:p w14:paraId="1CF0DE04">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二、按照客观、公正、审慎的原则，根据采购文件规定的评审程序、评审方法和评审标准进行独立评审；</w:t>
      </w:r>
    </w:p>
    <w:p w14:paraId="44E8C173">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三、不得泄露评审文件、评审情况和在评审过程中获悉的商业秘密；</w:t>
      </w:r>
    </w:p>
    <w:p w14:paraId="72D7F646">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四、及时向财政部门报告评审过程中发现的采购人、采购代理机构向评审专家做倾向性、误导性的解释或者说明，以及供应商行贿、提供虚假材料或者串通等违法行为；</w:t>
      </w:r>
    </w:p>
    <w:p w14:paraId="36720159">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五、发现采购文件内容违反国家有关强制性规定或者采购文件存在歧义、重大缺陷导致评审工作无法进行时，停止评审并向采购人或者采购代理机构书面说明情况；</w:t>
      </w:r>
    </w:p>
    <w:p w14:paraId="7D861932">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六、及时向财政、监察等部门举报在评审过程中受到非法干预的情况；</w:t>
      </w:r>
    </w:p>
    <w:p w14:paraId="229604A4">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七、配合答复处理供应商的询问、质疑和投诉等事项；</w:t>
      </w:r>
    </w:p>
    <w:p w14:paraId="646FDD7A">
      <w:pPr>
        <w:pStyle w:val="136"/>
        <w:tabs>
          <w:tab w:val="left" w:pos="284"/>
        </w:tabs>
        <w:spacing w:line="560" w:lineRule="exact"/>
        <w:ind w:firstLine="560"/>
        <w:jc w:val="left"/>
        <w:rPr>
          <w:rFonts w:ascii="仿宋" w:hAnsi="仿宋" w:eastAsia="仿宋" w:cs="仿宋"/>
          <w:color w:val="auto"/>
          <w:sz w:val="28"/>
          <w:szCs w:val="28"/>
        </w:rPr>
      </w:pPr>
      <w:r>
        <w:rPr>
          <w:rFonts w:hint="eastAsia" w:ascii="仿宋" w:hAnsi="仿宋" w:eastAsia="仿宋" w:cs="仿宋"/>
          <w:color w:val="auto"/>
          <w:sz w:val="28"/>
          <w:szCs w:val="28"/>
        </w:rPr>
        <w:t>八、法律法规和规章规定的其他义务。</w:t>
      </w:r>
    </w:p>
    <w:p w14:paraId="3503A83C">
      <w:pPr>
        <w:keepNext/>
        <w:keepLines/>
        <w:spacing w:before="240" w:line="560" w:lineRule="exact"/>
        <w:jc w:val="left"/>
        <w:outlineLvl w:val="1"/>
        <w:rPr>
          <w:rFonts w:ascii="仿宋" w:hAnsi="仿宋" w:cs="仿宋"/>
          <w:b/>
          <w:bCs/>
          <w:color w:val="auto"/>
          <w:sz w:val="28"/>
          <w:szCs w:val="28"/>
        </w:rPr>
      </w:pPr>
      <w:bookmarkStart w:id="202" w:name="_Toc20776"/>
      <w:r>
        <w:rPr>
          <w:rFonts w:hint="eastAsia" w:ascii="仿宋" w:hAnsi="仿宋" w:cs="仿宋"/>
          <w:b/>
          <w:bCs/>
          <w:color w:val="auto"/>
          <w:sz w:val="28"/>
          <w:szCs w:val="28"/>
        </w:rPr>
        <w:t>1.20评审专家在政府采购活动中应当遵守以下工作纪律</w:t>
      </w:r>
      <w:bookmarkEnd w:id="202"/>
    </w:p>
    <w:p w14:paraId="53179839">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不得参加与自己有《中华人民共和国政府采购法实施条例》第九条规定的利害关系的政府采购项目的评审活动。发现参加了与自己有利害关系的评审活动，须主动提出回避，退出评审；</w:t>
      </w:r>
    </w:p>
    <w:p w14:paraId="3FD2E1F8">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进入评标区之前应将所有的通信设备交由工作人员统一保管。评审专家不得以任何方式将通信设备带入评标区，否则将被取消其当次项目的评审资格。遇特殊情况不能出席或途中遇阻不能按时参加评审或咨询的，应及时告知财政或者采购人或采购代理机构，不得私自转托他人；</w:t>
      </w:r>
    </w:p>
    <w:p w14:paraId="2E142E8E">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对需要专业判断的主观评审因素不得协商评分；</w:t>
      </w:r>
    </w:p>
    <w:p w14:paraId="6DB347BB">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在评审过程中不得擅离职守，影响评审程序正常进行；</w:t>
      </w:r>
    </w:p>
    <w:p w14:paraId="7DE96568">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评审过程中，不得与外界联系，因发生不可预见情况，确实需要与外界联系的，应当在监督人员监督之下办理；</w:t>
      </w:r>
    </w:p>
    <w:p w14:paraId="6A34C7A2">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评审过程中，不得发表影响评审公正的倾向性、歧视性言论，不得征询或者接受采购人的倾向性意见，不得明示或暗示供应商在澄清时表达与其投标文件原义不同的意见，不得以采购文件没有规定的评审方法和标准作为评审的依据，不得修改或者细化评审程序、评审方法、评审因素和评审标准，不得违规撰写评审意见，不得拒绝对自己的评审意见签字确认；</w:t>
      </w:r>
    </w:p>
    <w:p w14:paraId="23B69065">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在评审过程中和评审结束后，不得记录、复制或带走任何评审资料，不得向外界透露评审内容；</w:t>
      </w:r>
    </w:p>
    <w:p w14:paraId="25634504">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评审现场服从采购代理机构工作人员的管理，接受现场监督人员的合法监督；</w:t>
      </w:r>
    </w:p>
    <w:p w14:paraId="6176B736">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遵守有关廉洁自律规定，不得私下接触供应商，不得收受供应商及有关业务单位和个人的财物或好处，不得接受采购代理机构的请托。</w:t>
      </w:r>
    </w:p>
    <w:p w14:paraId="6AB4B57D">
      <w:pPr>
        <w:tabs>
          <w:tab w:val="left" w:pos="1155"/>
          <w:tab w:val="left" w:pos="1276"/>
          <w:tab w:val="left" w:pos="1418"/>
        </w:tabs>
        <w:spacing w:line="360" w:lineRule="auto"/>
        <w:rPr>
          <w:rFonts w:ascii="宋体" w:hAnsi="宋体" w:eastAsia="宋体" w:cs="宋体"/>
          <w:color w:val="auto"/>
          <w:sz w:val="24"/>
          <w:szCs w:val="24"/>
        </w:rPr>
      </w:pPr>
    </w:p>
    <w:p w14:paraId="694CDFCB">
      <w:pPr>
        <w:pStyle w:val="6"/>
        <w:rPr>
          <w:color w:val="auto"/>
          <w:sz w:val="24"/>
          <w:szCs w:val="24"/>
        </w:rPr>
      </w:pPr>
    </w:p>
    <w:bookmarkEnd w:id="2"/>
    <w:bookmarkEnd w:id="3"/>
    <w:bookmarkEnd w:id="4"/>
    <w:bookmarkEnd w:id="5"/>
    <w:bookmarkEnd w:id="113"/>
    <w:bookmarkEnd w:id="114"/>
    <w:p w14:paraId="018B65F3">
      <w:pPr>
        <w:widowControl/>
        <w:jc w:val="left"/>
        <w:rPr>
          <w:rFonts w:ascii="宋体" w:hAnsi="宋体"/>
          <w:b/>
          <w:bCs/>
          <w:color w:val="auto"/>
          <w:spacing w:val="-20"/>
          <w:kern w:val="44"/>
          <w:sz w:val="32"/>
          <w:szCs w:val="32"/>
        </w:rPr>
      </w:pPr>
      <w:bookmarkStart w:id="203" w:name="_Toc8573798"/>
      <w:bookmarkStart w:id="204" w:name="_Toc217446108"/>
      <w:bookmarkStart w:id="205" w:name="_Toc34729074"/>
      <w:r>
        <w:rPr>
          <w:rFonts w:ascii="宋体" w:hAnsi="宋体"/>
          <w:b/>
          <w:bCs/>
          <w:color w:val="auto"/>
          <w:spacing w:val="-20"/>
          <w:kern w:val="44"/>
          <w:sz w:val="24"/>
          <w:szCs w:val="24"/>
        </w:rPr>
        <w:br w:type="page"/>
      </w:r>
    </w:p>
    <w:p w14:paraId="29176EBF">
      <w:pPr>
        <w:keepNext/>
        <w:keepLines/>
        <w:spacing w:before="340" w:after="330" w:line="400" w:lineRule="exact"/>
        <w:ind w:left="-142"/>
        <w:jc w:val="center"/>
        <w:outlineLvl w:val="0"/>
        <w:rPr>
          <w:rFonts w:ascii="宋体" w:hAnsi="宋体"/>
          <w:b/>
          <w:bCs/>
          <w:color w:val="auto"/>
          <w:spacing w:val="-20"/>
          <w:kern w:val="44"/>
          <w:sz w:val="32"/>
          <w:szCs w:val="32"/>
        </w:rPr>
      </w:pPr>
      <w:bookmarkStart w:id="206" w:name="_Toc27073"/>
      <w:bookmarkStart w:id="207" w:name="_Toc11838"/>
      <w:bookmarkStart w:id="208" w:name="_Toc14865"/>
      <w:r>
        <w:rPr>
          <w:rFonts w:hint="eastAsia" w:ascii="宋体" w:hAnsi="宋体"/>
          <w:b/>
          <w:bCs/>
          <w:color w:val="auto"/>
          <w:spacing w:val="-20"/>
          <w:kern w:val="44"/>
          <w:sz w:val="32"/>
          <w:szCs w:val="32"/>
        </w:rPr>
        <w:t>第7章 拟签订的合同文本</w:t>
      </w:r>
      <w:bookmarkEnd w:id="206"/>
      <w:bookmarkEnd w:id="207"/>
      <w:bookmarkEnd w:id="208"/>
    </w:p>
    <w:p w14:paraId="2E307297">
      <w:pPr>
        <w:rPr>
          <w:color w:val="auto"/>
        </w:rPr>
      </w:pPr>
    </w:p>
    <w:bookmarkEnd w:id="203"/>
    <w:bookmarkEnd w:id="204"/>
    <w:bookmarkEnd w:id="205"/>
    <w:p w14:paraId="35A1299E">
      <w:pPr>
        <w:rPr>
          <w:rFonts w:ascii="宋体" w:hAnsi="宋体" w:cs="宋体"/>
          <w:color w:val="auto"/>
          <w:sz w:val="24"/>
          <w:u w:val="single"/>
        </w:rPr>
      </w:pPr>
      <w:r>
        <w:rPr>
          <w:rFonts w:hint="eastAsia" w:ascii="宋体" w:hAnsi="宋体" w:cs="宋体"/>
          <w:color w:val="auto"/>
          <w:sz w:val="24"/>
        </w:rPr>
        <w:t>合同编号：</w:t>
      </w:r>
      <w:r>
        <w:rPr>
          <w:rFonts w:hint="eastAsia" w:ascii="宋体" w:hAnsi="宋体" w:cs="宋体"/>
          <w:color w:val="auto"/>
          <w:sz w:val="24"/>
          <w:u w:val="single"/>
        </w:rPr>
        <w:t xml:space="preserve">           </w:t>
      </w:r>
    </w:p>
    <w:p w14:paraId="5D98DF09">
      <w:pPr>
        <w:spacing w:line="480" w:lineRule="auto"/>
        <w:jc w:val="center"/>
        <w:rPr>
          <w:rFonts w:ascii="宋体" w:hAnsi="宋体" w:cs="宋体"/>
          <w:b/>
          <w:color w:val="auto"/>
          <w:sz w:val="28"/>
          <w:szCs w:val="28"/>
        </w:rPr>
      </w:pPr>
    </w:p>
    <w:p w14:paraId="43D210BD">
      <w:pPr>
        <w:spacing w:line="480" w:lineRule="auto"/>
        <w:jc w:val="center"/>
        <w:rPr>
          <w:rFonts w:ascii="宋体" w:hAnsi="宋体" w:cs="宋体"/>
          <w:b/>
          <w:color w:val="auto"/>
          <w:sz w:val="24"/>
        </w:rPr>
      </w:pPr>
    </w:p>
    <w:p w14:paraId="4B36B83D">
      <w:pPr>
        <w:spacing w:line="480" w:lineRule="auto"/>
        <w:jc w:val="center"/>
        <w:rPr>
          <w:rFonts w:ascii="宋体" w:hAnsi="宋体" w:cs="宋体"/>
          <w:b/>
          <w:color w:val="auto"/>
          <w:sz w:val="24"/>
        </w:rPr>
      </w:pPr>
    </w:p>
    <w:p w14:paraId="4424F805">
      <w:pPr>
        <w:spacing w:line="480" w:lineRule="auto"/>
        <w:jc w:val="center"/>
        <w:rPr>
          <w:rFonts w:ascii="宋体" w:hAnsi="宋体" w:cs="宋体"/>
          <w:b/>
          <w:color w:val="auto"/>
          <w:sz w:val="36"/>
          <w:szCs w:val="36"/>
        </w:rPr>
      </w:pPr>
      <w:r>
        <w:rPr>
          <w:rFonts w:hint="eastAsia" w:ascii="宋体" w:hAnsi="宋体" w:cs="宋体"/>
          <w:b/>
          <w:color w:val="auto"/>
          <w:sz w:val="36"/>
          <w:szCs w:val="36"/>
        </w:rPr>
        <w:t>政府采购合同参考范本</w:t>
      </w:r>
    </w:p>
    <w:p w14:paraId="6242633B">
      <w:pPr>
        <w:spacing w:line="480" w:lineRule="auto"/>
        <w:jc w:val="center"/>
        <w:rPr>
          <w:rFonts w:ascii="宋体" w:hAnsi="宋体" w:cs="宋体"/>
          <w:b/>
          <w:color w:val="auto"/>
          <w:sz w:val="36"/>
          <w:szCs w:val="36"/>
        </w:rPr>
      </w:pPr>
      <w:r>
        <w:rPr>
          <w:rFonts w:hint="eastAsia" w:ascii="宋体" w:hAnsi="宋体" w:cs="宋体"/>
          <w:b/>
          <w:color w:val="auto"/>
          <w:sz w:val="36"/>
          <w:szCs w:val="36"/>
        </w:rPr>
        <w:t>（服务类）</w:t>
      </w:r>
    </w:p>
    <w:p w14:paraId="64497F9A">
      <w:pPr>
        <w:pStyle w:val="227"/>
        <w:ind w:firstLine="2843" w:firstLineChars="1180"/>
        <w:rPr>
          <w:rFonts w:ascii="宋体" w:hAnsi="宋体" w:cs="宋体"/>
          <w:b/>
          <w:color w:val="auto"/>
          <w:szCs w:val="24"/>
        </w:rPr>
      </w:pPr>
      <w:r>
        <w:rPr>
          <w:rFonts w:hint="eastAsia" w:ascii="宋体" w:hAnsi="宋体" w:cs="宋体"/>
          <w:b/>
          <w:color w:val="auto"/>
          <w:szCs w:val="24"/>
        </w:rPr>
        <w:t>第一部分 合同书</w:t>
      </w:r>
    </w:p>
    <w:p w14:paraId="26CA29B8">
      <w:pPr>
        <w:spacing w:before="120" w:line="22" w:lineRule="atLeast"/>
        <w:rPr>
          <w:rFonts w:ascii="宋体" w:hAnsi="宋体" w:cs="宋体"/>
          <w:color w:val="auto"/>
          <w:sz w:val="24"/>
        </w:rPr>
      </w:pPr>
    </w:p>
    <w:p w14:paraId="7FF9827C">
      <w:pPr>
        <w:keepNext/>
        <w:keepLines/>
        <w:tabs>
          <w:tab w:val="left" w:pos="432"/>
        </w:tabs>
        <w:ind w:left="431" w:hanging="431"/>
        <w:rPr>
          <w:color w:val="auto"/>
        </w:rPr>
      </w:pPr>
    </w:p>
    <w:p w14:paraId="2B33F569">
      <w:pPr>
        <w:spacing w:before="120" w:line="22" w:lineRule="atLeast"/>
        <w:ind w:left="960"/>
        <w:rPr>
          <w:rFonts w:ascii="宋体" w:hAnsi="宋体" w:cs="宋体"/>
          <w:color w:val="auto"/>
          <w:sz w:val="24"/>
        </w:rPr>
      </w:pPr>
      <w:r>
        <w:rPr>
          <w:rFonts w:hint="eastAsia" w:ascii="宋体" w:hAnsi="宋体" w:cs="宋体"/>
          <w:color w:val="auto"/>
          <w:sz w:val="24"/>
        </w:rPr>
        <w:t>项目名称：</w:t>
      </w:r>
      <w:r>
        <w:rPr>
          <w:rFonts w:hint="eastAsia" w:ascii="宋体" w:hAnsi="宋体" w:cs="宋体"/>
          <w:color w:val="auto"/>
          <w:sz w:val="24"/>
          <w:u w:val="single"/>
        </w:rPr>
        <w:t xml:space="preserve">                                   </w:t>
      </w:r>
    </w:p>
    <w:p w14:paraId="3B0DD266">
      <w:pPr>
        <w:pStyle w:val="215"/>
        <w:spacing w:before="120" w:line="22" w:lineRule="atLeast"/>
        <w:rPr>
          <w:rFonts w:ascii="宋体" w:hAnsi="宋体" w:eastAsia="宋体" w:cs="宋体"/>
          <w:color w:val="auto"/>
          <w:szCs w:val="24"/>
        </w:rPr>
      </w:pPr>
    </w:p>
    <w:p w14:paraId="4FE2FE58">
      <w:pPr>
        <w:pStyle w:val="215"/>
        <w:spacing w:before="120" w:line="22" w:lineRule="atLeast"/>
        <w:rPr>
          <w:rFonts w:ascii="宋体" w:hAnsi="宋体" w:eastAsia="宋体" w:cs="宋体"/>
          <w:color w:val="auto"/>
          <w:szCs w:val="24"/>
        </w:rPr>
      </w:pPr>
    </w:p>
    <w:p w14:paraId="372F5C42">
      <w:pPr>
        <w:rPr>
          <w:rFonts w:ascii="宋体" w:hAnsi="宋体" w:cs="宋体"/>
          <w:color w:val="auto"/>
          <w:sz w:val="24"/>
        </w:rPr>
      </w:pPr>
    </w:p>
    <w:p w14:paraId="36565911">
      <w:pPr>
        <w:spacing w:before="120" w:line="22" w:lineRule="atLeast"/>
        <w:ind w:left="960"/>
        <w:rPr>
          <w:rFonts w:ascii="宋体" w:hAnsi="宋体" w:cs="宋体"/>
          <w:color w:val="auto"/>
          <w:sz w:val="24"/>
          <w:u w:val="single"/>
        </w:rPr>
      </w:pPr>
      <w:r>
        <w:rPr>
          <w:rFonts w:hint="eastAsia" w:ascii="宋体" w:hAnsi="宋体" w:cs="宋体"/>
          <w:color w:val="auto"/>
          <w:sz w:val="24"/>
        </w:rPr>
        <w:t>甲方：</w:t>
      </w:r>
      <w:r>
        <w:rPr>
          <w:rFonts w:hint="eastAsia" w:ascii="宋体" w:hAnsi="宋体" w:cs="宋体"/>
          <w:color w:val="auto"/>
          <w:sz w:val="24"/>
          <w:u w:val="single"/>
        </w:rPr>
        <w:t xml:space="preserve">                                       </w:t>
      </w:r>
    </w:p>
    <w:p w14:paraId="5826564F">
      <w:pPr>
        <w:spacing w:before="120" w:line="22" w:lineRule="atLeast"/>
        <w:rPr>
          <w:rFonts w:ascii="宋体" w:hAnsi="宋体" w:cs="宋体"/>
          <w:color w:val="auto"/>
          <w:sz w:val="24"/>
        </w:rPr>
      </w:pPr>
    </w:p>
    <w:p w14:paraId="20BF02DE">
      <w:pPr>
        <w:spacing w:before="120" w:line="22" w:lineRule="atLeast"/>
        <w:ind w:left="960"/>
        <w:rPr>
          <w:rFonts w:ascii="宋体" w:hAnsi="宋体" w:cs="宋体"/>
          <w:color w:val="auto"/>
          <w:sz w:val="24"/>
          <w:u w:val="single"/>
        </w:rPr>
      </w:pPr>
      <w:r>
        <w:rPr>
          <w:rFonts w:hint="eastAsia" w:ascii="宋体" w:hAnsi="宋体" w:cs="宋体"/>
          <w:color w:val="auto"/>
          <w:sz w:val="24"/>
        </w:rPr>
        <w:t>乙方：</w:t>
      </w:r>
      <w:r>
        <w:rPr>
          <w:rFonts w:hint="eastAsia" w:ascii="宋体" w:hAnsi="宋体" w:cs="宋体"/>
          <w:color w:val="auto"/>
          <w:sz w:val="24"/>
          <w:u w:val="single"/>
        </w:rPr>
        <w:t xml:space="preserve">                                       </w:t>
      </w:r>
    </w:p>
    <w:p w14:paraId="44C72D1E">
      <w:pPr>
        <w:spacing w:before="120" w:line="22" w:lineRule="atLeast"/>
        <w:rPr>
          <w:rFonts w:ascii="宋体" w:hAnsi="宋体" w:cs="宋体"/>
          <w:color w:val="auto"/>
          <w:sz w:val="24"/>
        </w:rPr>
      </w:pPr>
    </w:p>
    <w:p w14:paraId="31E9D5C2">
      <w:pPr>
        <w:spacing w:before="120" w:line="22" w:lineRule="atLeast"/>
        <w:ind w:firstLine="960" w:firstLineChars="400"/>
        <w:rPr>
          <w:rFonts w:ascii="宋体" w:hAnsi="宋体" w:cs="宋体"/>
          <w:color w:val="auto"/>
          <w:sz w:val="24"/>
          <w:u w:val="single"/>
        </w:rPr>
      </w:pPr>
      <w:r>
        <w:rPr>
          <w:rFonts w:hint="eastAsia" w:ascii="宋体" w:hAnsi="宋体" w:cs="宋体"/>
          <w:color w:val="auto"/>
          <w:sz w:val="24"/>
        </w:rPr>
        <w:t>签订地：</w:t>
      </w:r>
      <w:r>
        <w:rPr>
          <w:rFonts w:hint="eastAsia" w:ascii="宋体" w:hAnsi="宋体" w:cs="宋体"/>
          <w:color w:val="auto"/>
          <w:sz w:val="24"/>
          <w:u w:val="single"/>
        </w:rPr>
        <w:t xml:space="preserve">                                     </w:t>
      </w:r>
    </w:p>
    <w:p w14:paraId="471D8D7D">
      <w:pPr>
        <w:spacing w:before="120" w:line="22" w:lineRule="atLeast"/>
        <w:rPr>
          <w:rFonts w:ascii="宋体" w:hAnsi="宋体" w:cs="宋体"/>
          <w:color w:val="auto"/>
          <w:sz w:val="24"/>
        </w:rPr>
      </w:pPr>
    </w:p>
    <w:p w14:paraId="4C27EA78">
      <w:pPr>
        <w:spacing w:before="120" w:line="22" w:lineRule="atLeast"/>
        <w:ind w:firstLine="960" w:firstLineChars="400"/>
        <w:rPr>
          <w:rFonts w:ascii="宋体" w:hAnsi="宋体" w:cs="宋体"/>
          <w:color w:val="auto"/>
          <w:sz w:val="24"/>
          <w:u w:val="single"/>
        </w:rPr>
      </w:pPr>
      <w:r>
        <w:rPr>
          <w:rFonts w:hint="eastAsia" w:ascii="宋体" w:hAnsi="宋体" w:cs="宋体"/>
          <w:color w:val="auto"/>
          <w:sz w:val="24"/>
        </w:rPr>
        <w:t>签订日期：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228DA4F1">
      <w:pPr>
        <w:widowControl/>
        <w:jc w:val="left"/>
        <w:rPr>
          <w:rFonts w:ascii="宋体" w:hAnsi="宋体" w:cs="宋体"/>
          <w:color w:val="auto"/>
          <w:kern w:val="0"/>
          <w:sz w:val="24"/>
        </w:rPr>
        <w:sectPr>
          <w:pgSz w:w="11907" w:h="16840"/>
          <w:pgMar w:top="1474" w:right="1814" w:bottom="1474" w:left="1814" w:header="851" w:footer="851" w:gutter="0"/>
          <w:cols w:space="720" w:num="1"/>
        </w:sectPr>
      </w:pPr>
    </w:p>
    <w:p w14:paraId="018FFB71">
      <w:pPr>
        <w:rPr>
          <w:rFonts w:ascii="宋体" w:hAnsi="宋体" w:cs="宋体"/>
          <w:b/>
          <w:color w:val="auto"/>
          <w:sz w:val="24"/>
        </w:rPr>
      </w:pPr>
    </w:p>
    <w:p w14:paraId="2140D69E">
      <w:pPr>
        <w:spacing w:line="560" w:lineRule="exact"/>
        <w:ind w:firstLine="480" w:firstLineChars="200"/>
        <w:rPr>
          <w:rFonts w:ascii="仿宋" w:hAnsi="仿宋" w:cs="仿宋"/>
          <w:color w:val="auto"/>
          <w:sz w:val="24"/>
        </w:rPr>
      </w:pPr>
      <w:r>
        <w:rPr>
          <w:rFonts w:hint="eastAsia" w:ascii="仿宋" w:hAnsi="仿宋" w:cs="仿宋"/>
          <w:color w:val="auto"/>
          <w:sz w:val="24"/>
          <w:u w:val="single"/>
          <w:lang w:val="zh-CN"/>
        </w:rPr>
        <w:t xml:space="preserve">        </w:t>
      </w:r>
      <w:r>
        <w:rPr>
          <w:rFonts w:hint="eastAsia" w:ascii="仿宋" w:hAnsi="仿宋" w:cs="仿宋"/>
          <w:color w:val="auto"/>
          <w:sz w:val="24"/>
          <w:lang w:val="zh-CN"/>
        </w:rPr>
        <w:t>年</w:t>
      </w:r>
      <w:r>
        <w:rPr>
          <w:rFonts w:hint="eastAsia" w:ascii="仿宋" w:hAnsi="仿宋" w:cs="仿宋"/>
          <w:color w:val="auto"/>
          <w:sz w:val="24"/>
          <w:u w:val="single"/>
          <w:lang w:val="zh-CN"/>
        </w:rPr>
        <w:t xml:space="preserve">    </w:t>
      </w:r>
      <w:r>
        <w:rPr>
          <w:rFonts w:hint="eastAsia" w:ascii="仿宋" w:hAnsi="仿宋" w:cs="仿宋"/>
          <w:color w:val="auto"/>
          <w:sz w:val="24"/>
          <w:lang w:val="zh-CN"/>
        </w:rPr>
        <w:t>月</w:t>
      </w:r>
      <w:r>
        <w:rPr>
          <w:rFonts w:hint="eastAsia" w:ascii="仿宋" w:hAnsi="仿宋" w:cs="仿宋"/>
          <w:color w:val="auto"/>
          <w:sz w:val="24"/>
          <w:u w:val="single"/>
          <w:lang w:val="zh-CN"/>
        </w:rPr>
        <w:t xml:space="preserve">    </w:t>
      </w:r>
      <w:r>
        <w:rPr>
          <w:rFonts w:hint="eastAsia" w:ascii="仿宋" w:hAnsi="仿宋" w:cs="仿宋"/>
          <w:color w:val="auto"/>
          <w:sz w:val="24"/>
          <w:lang w:val="zh-CN"/>
        </w:rPr>
        <w:t>日</w:t>
      </w:r>
      <w:r>
        <w:rPr>
          <w:rFonts w:hint="eastAsia" w:ascii="仿宋" w:hAnsi="仿宋" w:cs="仿宋"/>
          <w:color w:val="auto"/>
          <w:sz w:val="24"/>
        </w:rPr>
        <w:t>，</w:t>
      </w:r>
      <w:r>
        <w:rPr>
          <w:rFonts w:hint="eastAsia" w:ascii="仿宋" w:hAnsi="仿宋" w:cs="仿宋"/>
          <w:color w:val="auto"/>
          <w:sz w:val="24"/>
          <w:u w:val="single"/>
        </w:rPr>
        <w:t xml:space="preserve">   （采购人）   </w:t>
      </w:r>
      <w:r>
        <w:rPr>
          <w:rFonts w:hint="eastAsia" w:ascii="仿宋" w:hAnsi="仿宋" w:cs="仿宋"/>
          <w:color w:val="auto"/>
          <w:sz w:val="24"/>
        </w:rPr>
        <w:t>以</w:t>
      </w:r>
      <w:r>
        <w:rPr>
          <w:rFonts w:hint="eastAsia" w:ascii="仿宋" w:hAnsi="仿宋" w:cs="仿宋"/>
          <w:color w:val="auto"/>
          <w:sz w:val="24"/>
          <w:u w:val="single"/>
        </w:rPr>
        <w:t xml:space="preserve">   （政府采购方式）  </w:t>
      </w:r>
      <w:r>
        <w:rPr>
          <w:rFonts w:hint="eastAsia" w:ascii="仿宋" w:hAnsi="仿宋" w:cs="仿宋"/>
          <w:color w:val="auto"/>
          <w:sz w:val="24"/>
        </w:rPr>
        <w:t>对</w:t>
      </w:r>
      <w:r>
        <w:rPr>
          <w:rFonts w:hint="eastAsia" w:ascii="仿宋" w:hAnsi="仿宋" w:cs="仿宋"/>
          <w:color w:val="auto"/>
          <w:sz w:val="24"/>
          <w:u w:val="single"/>
        </w:rPr>
        <w:t xml:space="preserve">  （项目名称）    </w:t>
      </w:r>
      <w:r>
        <w:rPr>
          <w:rFonts w:hint="eastAsia" w:ascii="仿宋" w:hAnsi="仿宋" w:cs="仿宋"/>
          <w:color w:val="auto"/>
          <w:sz w:val="24"/>
        </w:rPr>
        <w:t>项目进行了采购。经</w:t>
      </w:r>
      <w:r>
        <w:rPr>
          <w:rFonts w:hint="eastAsia" w:ascii="仿宋" w:hAnsi="仿宋" w:cs="仿宋"/>
          <w:color w:val="auto"/>
          <w:sz w:val="24"/>
          <w:u w:val="single"/>
        </w:rPr>
        <w:t xml:space="preserve">   （相关评定主体名称）   </w:t>
      </w:r>
      <w:r>
        <w:rPr>
          <w:rFonts w:hint="eastAsia" w:ascii="仿宋" w:hAnsi="仿宋" w:cs="仿宋"/>
          <w:color w:val="auto"/>
          <w:sz w:val="24"/>
        </w:rPr>
        <w:t>评定，</w:t>
      </w:r>
      <w:r>
        <w:rPr>
          <w:rFonts w:hint="eastAsia" w:ascii="仿宋" w:hAnsi="仿宋" w:cs="仿宋"/>
          <w:color w:val="auto"/>
          <w:sz w:val="24"/>
          <w:u w:val="single"/>
        </w:rPr>
        <w:t xml:space="preserve">   （中标或者成交供应商名称） </w:t>
      </w:r>
      <w:r>
        <w:rPr>
          <w:rFonts w:hint="eastAsia" w:ascii="仿宋" w:hAnsi="仿宋" w:cs="仿宋"/>
          <w:color w:val="auto"/>
          <w:sz w:val="24"/>
        </w:rPr>
        <w:t>为该项目中标或者成交供应商。现于中标或者成交通知书发出之日起10个工作日内，按照采购文件确定的事项签订本合同。</w:t>
      </w:r>
    </w:p>
    <w:p w14:paraId="718380D9">
      <w:pPr>
        <w:spacing w:line="560" w:lineRule="exact"/>
        <w:ind w:firstLine="480" w:firstLineChars="200"/>
        <w:rPr>
          <w:rFonts w:ascii="仿宋" w:hAnsi="仿宋" w:cs="仿宋"/>
          <w:color w:val="auto"/>
          <w:sz w:val="24"/>
        </w:rPr>
      </w:pPr>
      <w:r>
        <w:rPr>
          <w:rFonts w:hint="eastAsia" w:ascii="仿宋" w:hAnsi="仿宋" w:cs="仿宋"/>
          <w:color w:val="auto"/>
          <w:sz w:val="24"/>
          <w:lang w:val="zh-CN"/>
        </w:rPr>
        <w:t>根据《中华人民共和国民法典》《中华人民共和国政府采购法》等相关法律法规之规定，按照平等、自愿、公平和诚实信用的原则，经</w:t>
      </w:r>
      <w:r>
        <w:rPr>
          <w:rFonts w:hint="eastAsia" w:ascii="仿宋" w:hAnsi="仿宋" w:cs="仿宋"/>
          <w:color w:val="auto"/>
          <w:sz w:val="24"/>
          <w:u w:val="single"/>
        </w:rPr>
        <w:t xml:space="preserve">   （采购人）   （</w:t>
      </w:r>
      <w:r>
        <w:rPr>
          <w:rFonts w:hint="eastAsia" w:ascii="仿宋" w:hAnsi="仿宋" w:cs="仿宋"/>
          <w:color w:val="auto"/>
          <w:sz w:val="24"/>
          <w:lang w:val="zh-CN"/>
        </w:rPr>
        <w:t>以下简称：甲方）和</w:t>
      </w:r>
      <w:r>
        <w:rPr>
          <w:rFonts w:hint="eastAsia" w:ascii="仿宋" w:hAnsi="仿宋" w:cs="仿宋"/>
          <w:color w:val="auto"/>
          <w:sz w:val="24"/>
          <w:u w:val="single"/>
        </w:rPr>
        <w:t xml:space="preserve">   （中或者成交标供应商名称）   （</w:t>
      </w:r>
      <w:r>
        <w:rPr>
          <w:rFonts w:hint="eastAsia" w:ascii="仿宋" w:hAnsi="仿宋" w:cs="仿宋"/>
          <w:color w:val="auto"/>
          <w:sz w:val="24"/>
          <w:lang w:val="zh-CN"/>
        </w:rPr>
        <w:t>以下简称：乙方）协商一致，约定以下合同</w:t>
      </w:r>
      <w:r>
        <w:rPr>
          <w:rFonts w:hint="eastAsia" w:ascii="仿宋" w:hAnsi="仿宋" w:cs="仿宋"/>
          <w:color w:val="auto"/>
          <w:sz w:val="24"/>
        </w:rPr>
        <w:t>条款，以兹共同遵守、全面履行。</w:t>
      </w:r>
    </w:p>
    <w:p w14:paraId="7AC2DEB8">
      <w:pPr>
        <w:spacing w:line="560" w:lineRule="exact"/>
        <w:ind w:firstLine="482" w:firstLineChars="200"/>
        <w:outlineLvl w:val="1"/>
        <w:rPr>
          <w:rFonts w:ascii="仿宋" w:hAnsi="仿宋" w:cs="仿宋"/>
          <w:color w:val="auto"/>
          <w:sz w:val="24"/>
        </w:rPr>
      </w:pPr>
      <w:bookmarkStart w:id="209" w:name="_Toc20421"/>
      <w:bookmarkStart w:id="210" w:name="_Toc15367"/>
      <w:bookmarkStart w:id="211" w:name="_Toc7366"/>
      <w:bookmarkStart w:id="212" w:name="_Toc19803"/>
      <w:bookmarkStart w:id="213" w:name="_Toc19273"/>
      <w:bookmarkStart w:id="214" w:name="_Toc22967"/>
      <w:bookmarkStart w:id="215" w:name="_Toc28855"/>
      <w:r>
        <w:rPr>
          <w:rFonts w:hint="eastAsia" w:ascii="仿宋" w:hAnsi="仿宋" w:cs="仿宋"/>
          <w:b/>
          <w:color w:val="auto"/>
          <w:sz w:val="24"/>
        </w:rPr>
        <w:t>1.1 合同组成部分</w:t>
      </w:r>
      <w:bookmarkEnd w:id="209"/>
      <w:bookmarkEnd w:id="210"/>
      <w:bookmarkEnd w:id="211"/>
      <w:bookmarkEnd w:id="212"/>
      <w:bookmarkEnd w:id="213"/>
      <w:bookmarkEnd w:id="214"/>
      <w:bookmarkEnd w:id="215"/>
    </w:p>
    <w:p w14:paraId="0F094327">
      <w:pPr>
        <w:spacing w:line="560" w:lineRule="exact"/>
        <w:ind w:firstLine="480" w:firstLineChars="200"/>
        <w:rPr>
          <w:rFonts w:ascii="仿宋" w:hAnsi="仿宋" w:cs="仿宋"/>
          <w:color w:val="auto"/>
          <w:sz w:val="24"/>
        </w:rPr>
      </w:pPr>
      <w:r>
        <w:rPr>
          <w:rFonts w:hint="eastAsia" w:ascii="仿宋" w:hAnsi="仿宋" w:cs="仿宋"/>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60D2CBD">
      <w:pPr>
        <w:spacing w:line="560" w:lineRule="exact"/>
        <w:ind w:firstLine="480" w:firstLineChars="200"/>
        <w:rPr>
          <w:rFonts w:ascii="仿宋" w:hAnsi="仿宋" w:cs="仿宋"/>
          <w:color w:val="auto"/>
          <w:sz w:val="24"/>
        </w:rPr>
      </w:pPr>
      <w:r>
        <w:rPr>
          <w:rFonts w:hint="eastAsia" w:ascii="仿宋" w:hAnsi="仿宋" w:cs="仿宋"/>
          <w:color w:val="auto"/>
          <w:sz w:val="24"/>
        </w:rPr>
        <w:t>1.1.1 本合同及其补充合同、变更协议；</w:t>
      </w:r>
    </w:p>
    <w:p w14:paraId="1C33B5BE">
      <w:pPr>
        <w:spacing w:line="560" w:lineRule="exact"/>
        <w:ind w:firstLine="480" w:firstLineChars="200"/>
        <w:rPr>
          <w:rFonts w:ascii="仿宋" w:hAnsi="仿宋" w:cs="仿宋"/>
          <w:color w:val="auto"/>
          <w:sz w:val="24"/>
        </w:rPr>
      </w:pPr>
      <w:r>
        <w:rPr>
          <w:rFonts w:hint="eastAsia" w:ascii="仿宋" w:hAnsi="仿宋" w:cs="仿宋"/>
          <w:color w:val="auto"/>
          <w:sz w:val="24"/>
        </w:rPr>
        <w:t>1.1.2 中标或者成交通知书；</w:t>
      </w:r>
    </w:p>
    <w:p w14:paraId="28AFCCAC">
      <w:pPr>
        <w:spacing w:line="560" w:lineRule="exact"/>
        <w:ind w:firstLine="480" w:firstLineChars="200"/>
        <w:rPr>
          <w:rFonts w:ascii="仿宋" w:hAnsi="仿宋" w:cs="仿宋"/>
          <w:color w:val="auto"/>
          <w:sz w:val="24"/>
        </w:rPr>
      </w:pPr>
      <w:r>
        <w:rPr>
          <w:rFonts w:hint="eastAsia" w:ascii="仿宋" w:hAnsi="仿宋" w:cs="仿宋"/>
          <w:color w:val="auto"/>
          <w:sz w:val="24"/>
        </w:rPr>
        <w:t>1.1.3 投标或者投标文件（含澄清或者说明文件）；</w:t>
      </w:r>
    </w:p>
    <w:p w14:paraId="7D9F27C3">
      <w:pPr>
        <w:spacing w:line="560" w:lineRule="exact"/>
        <w:ind w:firstLine="480" w:firstLineChars="200"/>
        <w:rPr>
          <w:rFonts w:ascii="仿宋" w:hAnsi="仿宋" w:cs="仿宋"/>
          <w:color w:val="auto"/>
          <w:sz w:val="24"/>
        </w:rPr>
      </w:pPr>
      <w:r>
        <w:rPr>
          <w:rFonts w:hint="eastAsia" w:ascii="仿宋" w:hAnsi="仿宋" w:cs="仿宋"/>
          <w:color w:val="auto"/>
          <w:sz w:val="24"/>
        </w:rPr>
        <w:t>1.1.4 采购文件（含澄清或者修改文件）；</w:t>
      </w:r>
    </w:p>
    <w:p w14:paraId="7388046D">
      <w:pPr>
        <w:spacing w:line="560" w:lineRule="exact"/>
        <w:ind w:firstLine="480" w:firstLineChars="200"/>
        <w:rPr>
          <w:rFonts w:ascii="仿宋" w:hAnsi="仿宋" w:cs="仿宋"/>
          <w:color w:val="auto"/>
          <w:sz w:val="24"/>
        </w:rPr>
      </w:pPr>
      <w:r>
        <w:rPr>
          <w:rFonts w:hint="eastAsia" w:ascii="仿宋" w:hAnsi="仿宋" w:cs="仿宋"/>
          <w:color w:val="auto"/>
          <w:sz w:val="24"/>
        </w:rPr>
        <w:t>1.1.5 其他相关采购文件。</w:t>
      </w:r>
    </w:p>
    <w:p w14:paraId="72817016">
      <w:pPr>
        <w:spacing w:line="560" w:lineRule="exact"/>
        <w:ind w:firstLine="482" w:firstLineChars="200"/>
        <w:outlineLvl w:val="1"/>
        <w:rPr>
          <w:rFonts w:ascii="仿宋" w:hAnsi="仿宋" w:cs="仿宋"/>
          <w:b/>
          <w:color w:val="auto"/>
          <w:sz w:val="24"/>
        </w:rPr>
      </w:pPr>
      <w:bookmarkStart w:id="216" w:name="_Toc18585"/>
      <w:bookmarkStart w:id="217" w:name="_Toc27828"/>
      <w:bookmarkStart w:id="218" w:name="_Toc2918"/>
      <w:bookmarkStart w:id="219" w:name="_Toc7659"/>
      <w:bookmarkStart w:id="220" w:name="_Toc6773"/>
      <w:bookmarkStart w:id="221" w:name="_Toc22185"/>
      <w:bookmarkStart w:id="222" w:name="_Toc6311"/>
      <w:r>
        <w:rPr>
          <w:rFonts w:hint="eastAsia" w:ascii="仿宋" w:hAnsi="仿宋" w:cs="仿宋"/>
          <w:b/>
          <w:color w:val="auto"/>
          <w:sz w:val="24"/>
        </w:rPr>
        <w:t>1.2 标的</w:t>
      </w:r>
      <w:bookmarkEnd w:id="216"/>
      <w:bookmarkEnd w:id="217"/>
      <w:bookmarkEnd w:id="218"/>
      <w:bookmarkEnd w:id="219"/>
      <w:bookmarkEnd w:id="220"/>
      <w:bookmarkEnd w:id="221"/>
      <w:bookmarkEnd w:id="222"/>
    </w:p>
    <w:p w14:paraId="7610A29A">
      <w:pPr>
        <w:spacing w:line="560" w:lineRule="exact"/>
        <w:ind w:firstLine="480" w:firstLineChars="200"/>
        <w:rPr>
          <w:rFonts w:ascii="仿宋" w:hAnsi="仿宋" w:cs="仿宋"/>
          <w:color w:val="auto"/>
          <w:sz w:val="24"/>
          <w:u w:val="single"/>
        </w:rPr>
      </w:pPr>
      <w:r>
        <w:rPr>
          <w:rFonts w:hint="eastAsia" w:ascii="仿宋" w:hAnsi="仿宋" w:cs="仿宋"/>
          <w:color w:val="auto"/>
          <w:sz w:val="24"/>
        </w:rPr>
        <w:t>1.2.1 服务内容：</w:t>
      </w:r>
      <w:r>
        <w:rPr>
          <w:rFonts w:hint="eastAsia" w:ascii="仿宋" w:hAnsi="仿宋" w:cs="仿宋"/>
          <w:color w:val="auto"/>
          <w:sz w:val="24"/>
          <w:u w:val="single"/>
        </w:rPr>
        <w:t xml:space="preserve">                                        </w:t>
      </w:r>
      <w:r>
        <w:rPr>
          <w:rFonts w:hint="eastAsia" w:ascii="仿宋" w:hAnsi="仿宋" w:cs="仿宋"/>
          <w:color w:val="auto"/>
          <w:sz w:val="24"/>
        </w:rPr>
        <w:t>；</w:t>
      </w:r>
    </w:p>
    <w:p w14:paraId="725127C4">
      <w:pPr>
        <w:spacing w:line="560" w:lineRule="exact"/>
        <w:ind w:firstLine="480" w:firstLineChars="200"/>
        <w:rPr>
          <w:rFonts w:ascii="仿宋" w:hAnsi="仿宋" w:cs="仿宋"/>
          <w:color w:val="auto"/>
          <w:sz w:val="24"/>
          <w:u w:val="single"/>
        </w:rPr>
      </w:pPr>
      <w:r>
        <w:rPr>
          <w:rFonts w:hint="eastAsia" w:ascii="仿宋" w:hAnsi="仿宋" w:cs="仿宋"/>
          <w:color w:val="auto"/>
          <w:sz w:val="24"/>
        </w:rPr>
        <w:t>1.2.2 服务标准：</w:t>
      </w:r>
      <w:r>
        <w:rPr>
          <w:rFonts w:hint="eastAsia" w:ascii="仿宋" w:hAnsi="仿宋" w:cs="仿宋"/>
          <w:color w:val="auto"/>
          <w:sz w:val="24"/>
          <w:u w:val="single"/>
        </w:rPr>
        <w:t xml:space="preserve">                                                </w:t>
      </w:r>
      <w:r>
        <w:rPr>
          <w:rFonts w:hint="eastAsia" w:ascii="仿宋" w:hAnsi="仿宋" w:cs="仿宋"/>
          <w:color w:val="auto"/>
          <w:sz w:val="24"/>
        </w:rPr>
        <w:t>；</w:t>
      </w:r>
    </w:p>
    <w:p w14:paraId="00FAA031">
      <w:pPr>
        <w:spacing w:line="560" w:lineRule="exact"/>
        <w:ind w:firstLine="480" w:firstLineChars="200"/>
        <w:rPr>
          <w:rFonts w:ascii="仿宋" w:hAnsi="仿宋" w:cs="仿宋"/>
          <w:color w:val="auto"/>
          <w:sz w:val="24"/>
          <w:u w:val="single"/>
        </w:rPr>
      </w:pPr>
      <w:r>
        <w:rPr>
          <w:rFonts w:hint="eastAsia" w:ascii="仿宋" w:hAnsi="仿宋" w:cs="仿宋"/>
          <w:color w:val="auto"/>
          <w:sz w:val="24"/>
        </w:rPr>
        <w:t>1.2.3 技术保障：</w:t>
      </w:r>
      <w:r>
        <w:rPr>
          <w:rFonts w:hint="eastAsia" w:ascii="仿宋" w:hAnsi="仿宋" w:cs="仿宋"/>
          <w:color w:val="auto"/>
          <w:sz w:val="24"/>
          <w:u w:val="single"/>
        </w:rPr>
        <w:t>　　　　　　　　　                      　      ；</w:t>
      </w:r>
    </w:p>
    <w:p w14:paraId="5ACF623B">
      <w:pPr>
        <w:spacing w:line="560" w:lineRule="exact"/>
        <w:ind w:firstLine="480" w:firstLineChars="200"/>
        <w:jc w:val="left"/>
        <w:rPr>
          <w:rFonts w:ascii="仿宋" w:hAnsi="仿宋" w:cs="仿宋"/>
          <w:color w:val="auto"/>
          <w:sz w:val="24"/>
        </w:rPr>
      </w:pPr>
      <w:r>
        <w:rPr>
          <w:rFonts w:hint="eastAsia" w:ascii="仿宋" w:hAnsi="仿宋" w:cs="仿宋"/>
          <w:color w:val="auto"/>
          <w:sz w:val="24"/>
        </w:rPr>
        <w:t>1.2.4 服务人员组成：</w:t>
      </w:r>
      <w:r>
        <w:rPr>
          <w:rFonts w:hint="eastAsia" w:ascii="仿宋" w:hAnsi="仿宋" w:cs="仿宋"/>
          <w:color w:val="auto"/>
          <w:sz w:val="24"/>
          <w:u w:val="single"/>
        </w:rPr>
        <w:t xml:space="preserve">　　             　      </w:t>
      </w:r>
      <w:r>
        <w:rPr>
          <w:rFonts w:hint="eastAsia" w:ascii="仿宋" w:hAnsi="仿宋" w:cs="仿宋"/>
          <w:color w:val="auto"/>
          <w:sz w:val="24"/>
        </w:rPr>
        <w:t>；</w:t>
      </w:r>
    </w:p>
    <w:p w14:paraId="64662C27">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1.2.5合同</w:t>
      </w:r>
      <w:r>
        <w:rPr>
          <w:rFonts w:hint="eastAsia" w:ascii="仿宋" w:hAnsi="仿宋" w:cs="仿宋"/>
          <w:color w:val="auto"/>
          <w:u w:val="single"/>
        </w:rPr>
        <w:t xml:space="preserve">     </w:t>
      </w:r>
      <w:r>
        <w:rPr>
          <w:rFonts w:hint="eastAsia" w:ascii="仿宋" w:hAnsi="仿宋" w:cs="仿宋"/>
          <w:color w:val="auto"/>
        </w:rPr>
        <w:t>（是/否）涉及货物。若涉及货物的的，则：</w:t>
      </w:r>
    </w:p>
    <w:p w14:paraId="7405E31E">
      <w:pPr>
        <w:spacing w:line="560" w:lineRule="exact"/>
        <w:ind w:firstLine="480" w:firstLineChars="200"/>
        <w:rPr>
          <w:rFonts w:ascii="仿宋" w:hAnsi="仿宋" w:cs="仿宋"/>
          <w:color w:val="auto"/>
          <w:sz w:val="24"/>
          <w:u w:val="single"/>
        </w:rPr>
      </w:pPr>
      <w:bookmarkStart w:id="223" w:name="_Toc13918"/>
      <w:bookmarkStart w:id="224" w:name="_Toc1386"/>
      <w:bookmarkStart w:id="225" w:name="_Toc21124"/>
      <w:bookmarkStart w:id="226" w:name="_Toc4929"/>
      <w:bookmarkStart w:id="227" w:name="_Toc5635"/>
      <w:r>
        <w:rPr>
          <w:rFonts w:hint="eastAsia" w:ascii="仿宋" w:hAnsi="仿宋" w:cs="仿宋"/>
          <w:color w:val="auto"/>
          <w:sz w:val="24"/>
        </w:rPr>
        <w:t>1.2.5.1 货物名称、品牌、规格型号、花色：</w:t>
      </w:r>
      <w:r>
        <w:rPr>
          <w:rFonts w:hint="eastAsia" w:ascii="仿宋" w:hAnsi="仿宋" w:cs="仿宋"/>
          <w:color w:val="auto"/>
          <w:sz w:val="24"/>
          <w:u w:val="single"/>
        </w:rPr>
        <w:t xml:space="preserve">                      </w:t>
      </w:r>
      <w:r>
        <w:rPr>
          <w:rFonts w:hint="eastAsia" w:ascii="仿宋" w:hAnsi="仿宋" w:cs="仿宋"/>
          <w:color w:val="auto"/>
          <w:sz w:val="24"/>
        </w:rPr>
        <w:t>；</w:t>
      </w:r>
    </w:p>
    <w:p w14:paraId="67F8C691">
      <w:pPr>
        <w:spacing w:line="560" w:lineRule="exact"/>
        <w:ind w:firstLine="480" w:firstLineChars="200"/>
        <w:rPr>
          <w:rFonts w:ascii="仿宋" w:hAnsi="仿宋" w:cs="仿宋"/>
          <w:color w:val="auto"/>
          <w:sz w:val="24"/>
          <w:u w:val="single"/>
        </w:rPr>
      </w:pPr>
      <w:r>
        <w:rPr>
          <w:rFonts w:hint="eastAsia" w:ascii="仿宋" w:hAnsi="仿宋" w:cs="仿宋"/>
          <w:color w:val="auto"/>
          <w:sz w:val="24"/>
        </w:rPr>
        <w:t>1.2.5.2 货物数量：</w:t>
      </w:r>
      <w:r>
        <w:rPr>
          <w:rFonts w:hint="eastAsia" w:ascii="仿宋" w:hAnsi="仿宋" w:cs="仿宋"/>
          <w:color w:val="auto"/>
          <w:sz w:val="24"/>
          <w:u w:val="single"/>
        </w:rPr>
        <w:t xml:space="preserve">                                       </w:t>
      </w:r>
      <w:r>
        <w:rPr>
          <w:rFonts w:hint="eastAsia" w:ascii="仿宋" w:hAnsi="仿宋" w:cs="仿宋"/>
          <w:color w:val="auto"/>
          <w:sz w:val="24"/>
        </w:rPr>
        <w:t>；</w:t>
      </w:r>
    </w:p>
    <w:p w14:paraId="5DB5BE24">
      <w:pPr>
        <w:spacing w:line="560" w:lineRule="exact"/>
        <w:ind w:firstLine="480" w:firstLineChars="200"/>
        <w:rPr>
          <w:rFonts w:ascii="仿宋" w:hAnsi="仿宋" w:cs="仿宋"/>
          <w:color w:val="auto"/>
          <w:sz w:val="24"/>
          <w:u w:val="single"/>
        </w:rPr>
      </w:pPr>
      <w:r>
        <w:rPr>
          <w:rFonts w:hint="eastAsia" w:ascii="仿宋" w:hAnsi="仿宋" w:cs="仿宋"/>
          <w:color w:val="auto"/>
          <w:sz w:val="24"/>
        </w:rPr>
        <w:t>1.2.5.3 货物质量：</w:t>
      </w:r>
      <w:r>
        <w:rPr>
          <w:rFonts w:hint="eastAsia" w:ascii="仿宋" w:hAnsi="仿宋" w:cs="仿宋"/>
          <w:color w:val="auto"/>
          <w:sz w:val="24"/>
          <w:u w:val="single"/>
        </w:rPr>
        <w:t xml:space="preserve">　　　　　　　　　                      　 </w:t>
      </w:r>
      <w:r>
        <w:rPr>
          <w:rFonts w:hint="eastAsia" w:ascii="仿宋" w:hAnsi="仿宋" w:cs="仿宋"/>
          <w:color w:val="auto"/>
          <w:sz w:val="24"/>
        </w:rPr>
        <w:t>；</w:t>
      </w:r>
    </w:p>
    <w:p w14:paraId="0B5AEC97">
      <w:pPr>
        <w:spacing w:line="560" w:lineRule="exact"/>
        <w:ind w:firstLine="482" w:firstLineChars="200"/>
        <w:outlineLvl w:val="1"/>
        <w:rPr>
          <w:rFonts w:ascii="仿宋" w:hAnsi="仿宋" w:cs="仿宋"/>
          <w:b/>
          <w:color w:val="auto"/>
          <w:sz w:val="24"/>
        </w:rPr>
      </w:pPr>
      <w:bookmarkStart w:id="228" w:name="_Toc4258"/>
      <w:bookmarkStart w:id="229" w:name="_Toc25508"/>
      <w:r>
        <w:rPr>
          <w:rFonts w:hint="eastAsia" w:ascii="仿宋" w:hAnsi="仿宋" w:cs="仿宋"/>
          <w:b/>
          <w:color w:val="auto"/>
          <w:sz w:val="24"/>
        </w:rPr>
        <w:t>1.3 价款</w:t>
      </w:r>
      <w:bookmarkEnd w:id="223"/>
      <w:bookmarkEnd w:id="224"/>
      <w:bookmarkEnd w:id="225"/>
      <w:bookmarkEnd w:id="226"/>
      <w:bookmarkEnd w:id="227"/>
      <w:bookmarkEnd w:id="228"/>
      <w:bookmarkEnd w:id="229"/>
    </w:p>
    <w:p w14:paraId="6B412567">
      <w:pPr>
        <w:spacing w:line="560" w:lineRule="exact"/>
        <w:ind w:firstLine="480" w:firstLineChars="200"/>
        <w:rPr>
          <w:rFonts w:ascii="仿宋" w:hAnsi="仿宋" w:cs="仿宋"/>
          <w:color w:val="auto"/>
          <w:sz w:val="24"/>
        </w:rPr>
      </w:pPr>
      <w:r>
        <w:rPr>
          <w:rFonts w:hint="eastAsia" w:ascii="仿宋" w:hAnsi="仿宋" w:cs="仿宋"/>
          <w:color w:val="auto"/>
          <w:sz w:val="24"/>
        </w:rPr>
        <w:t>本项目采用以下第</w:t>
      </w:r>
      <w:r>
        <w:rPr>
          <w:rFonts w:hint="eastAsia" w:ascii="仿宋" w:hAnsi="仿宋" w:cs="仿宋"/>
          <w:color w:val="auto"/>
          <w:sz w:val="24"/>
          <w:u w:val="single"/>
        </w:rPr>
        <w:t xml:space="preserve">     </w:t>
      </w:r>
      <w:r>
        <w:rPr>
          <w:rFonts w:hint="eastAsia" w:ascii="仿宋" w:hAnsi="仿宋" w:cs="仿宋"/>
          <w:color w:val="auto"/>
          <w:sz w:val="24"/>
        </w:rPr>
        <w:t>条款规定的计价方式计价。</w:t>
      </w:r>
    </w:p>
    <w:p w14:paraId="4FAE083F">
      <w:pPr>
        <w:spacing w:line="560" w:lineRule="exact"/>
        <w:ind w:firstLine="480" w:firstLineChars="200"/>
        <w:rPr>
          <w:rFonts w:ascii="仿宋" w:hAnsi="仿宋" w:cs="仿宋"/>
          <w:color w:val="auto"/>
          <w:sz w:val="24"/>
        </w:rPr>
      </w:pPr>
      <w:r>
        <w:rPr>
          <w:rFonts w:hint="eastAsia" w:ascii="仿宋" w:hAnsi="仿宋" w:cs="仿宋"/>
          <w:color w:val="auto"/>
          <w:sz w:val="24"/>
        </w:rPr>
        <w:t>1.3.1总价合同，本合同总价（含税）为：￥</w:t>
      </w:r>
      <w:r>
        <w:rPr>
          <w:rFonts w:hint="eastAsia" w:ascii="仿宋" w:hAnsi="仿宋" w:cs="仿宋"/>
          <w:color w:val="auto"/>
          <w:sz w:val="24"/>
          <w:u w:val="single"/>
        </w:rPr>
        <w:t xml:space="preserve">           </w:t>
      </w:r>
      <w:r>
        <w:rPr>
          <w:rFonts w:hint="eastAsia" w:ascii="仿宋" w:hAnsi="仿宋" w:cs="仿宋"/>
          <w:color w:val="auto"/>
          <w:sz w:val="24"/>
        </w:rPr>
        <w:t>元（大写：</w:t>
      </w:r>
      <w:r>
        <w:rPr>
          <w:rFonts w:hint="eastAsia" w:ascii="仿宋" w:hAnsi="仿宋" w:cs="仿宋"/>
          <w:color w:val="auto"/>
          <w:sz w:val="24"/>
          <w:u w:val="single"/>
        </w:rPr>
        <w:t xml:space="preserve">                 </w:t>
      </w:r>
      <w:r>
        <w:rPr>
          <w:rFonts w:hint="eastAsia" w:ascii="仿宋" w:hAnsi="仿宋" w:cs="仿宋"/>
          <w:color w:val="auto"/>
          <w:sz w:val="24"/>
        </w:rPr>
        <w:t>元人民币）。</w:t>
      </w:r>
    </w:p>
    <w:p w14:paraId="36CCC8C8">
      <w:pPr>
        <w:spacing w:line="560" w:lineRule="exact"/>
        <w:ind w:firstLine="480" w:firstLineChars="200"/>
        <w:rPr>
          <w:rFonts w:ascii="仿宋" w:hAnsi="仿宋" w:cs="仿宋"/>
          <w:color w:val="auto"/>
          <w:sz w:val="24"/>
          <w:u w:val="single"/>
        </w:rPr>
      </w:pPr>
      <w:r>
        <w:rPr>
          <w:rFonts w:hint="eastAsia" w:ascii="仿宋" w:hAnsi="仿宋" w:cs="仿宋"/>
          <w:color w:val="auto"/>
          <w:sz w:val="24"/>
        </w:rPr>
        <w:t>分项价格：</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3D7D6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5E59421">
            <w:pPr>
              <w:pStyle w:val="320"/>
              <w:spacing w:line="560" w:lineRule="exact"/>
              <w:jc w:val="center"/>
              <w:rPr>
                <w:rFonts w:ascii="仿宋" w:hAnsi="仿宋" w:cs="仿宋"/>
                <w:color w:val="auto"/>
                <w:sz w:val="24"/>
                <w:szCs w:val="24"/>
              </w:rPr>
            </w:pPr>
            <w:r>
              <w:rPr>
                <w:rFonts w:hint="eastAsia" w:ascii="仿宋" w:hAnsi="仿宋" w:cs="仿宋"/>
                <w:color w:val="auto"/>
                <w:sz w:val="24"/>
                <w:szCs w:val="24"/>
              </w:rPr>
              <w:t>序号</w:t>
            </w:r>
          </w:p>
        </w:tc>
        <w:tc>
          <w:tcPr>
            <w:tcW w:w="3402" w:type="dxa"/>
            <w:vAlign w:val="center"/>
          </w:tcPr>
          <w:p w14:paraId="796AE405">
            <w:pPr>
              <w:pStyle w:val="320"/>
              <w:spacing w:line="560" w:lineRule="exact"/>
              <w:ind w:firstLine="200"/>
              <w:jc w:val="center"/>
              <w:rPr>
                <w:rFonts w:ascii="仿宋" w:hAnsi="仿宋" w:cs="仿宋"/>
                <w:color w:val="auto"/>
                <w:sz w:val="24"/>
                <w:szCs w:val="24"/>
              </w:rPr>
            </w:pPr>
            <w:r>
              <w:rPr>
                <w:rFonts w:hint="eastAsia" w:ascii="仿宋" w:hAnsi="仿宋" w:cs="仿宋"/>
                <w:color w:val="auto"/>
                <w:sz w:val="24"/>
                <w:szCs w:val="24"/>
              </w:rPr>
              <w:t>分项名称</w:t>
            </w:r>
          </w:p>
        </w:tc>
        <w:tc>
          <w:tcPr>
            <w:tcW w:w="2552" w:type="dxa"/>
            <w:vAlign w:val="center"/>
          </w:tcPr>
          <w:p w14:paraId="17846B3B">
            <w:pPr>
              <w:pStyle w:val="320"/>
              <w:spacing w:line="560" w:lineRule="exact"/>
              <w:jc w:val="center"/>
              <w:rPr>
                <w:rFonts w:ascii="仿宋" w:hAnsi="仿宋" w:cs="仿宋"/>
                <w:color w:val="auto"/>
                <w:sz w:val="24"/>
                <w:szCs w:val="24"/>
              </w:rPr>
            </w:pPr>
            <w:r>
              <w:rPr>
                <w:rFonts w:hint="eastAsia" w:ascii="仿宋" w:hAnsi="仿宋" w:cs="仿宋"/>
                <w:color w:val="auto"/>
                <w:sz w:val="24"/>
                <w:szCs w:val="24"/>
              </w:rPr>
              <w:t>分项价格</w:t>
            </w:r>
          </w:p>
        </w:tc>
      </w:tr>
      <w:tr w14:paraId="58AEB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1E7EEA3">
            <w:pPr>
              <w:pStyle w:val="320"/>
              <w:spacing w:line="560" w:lineRule="exact"/>
              <w:ind w:firstLine="200"/>
              <w:jc w:val="center"/>
              <w:rPr>
                <w:rFonts w:ascii="仿宋" w:hAnsi="仿宋" w:cs="仿宋"/>
                <w:color w:val="auto"/>
                <w:sz w:val="24"/>
                <w:szCs w:val="24"/>
              </w:rPr>
            </w:pPr>
          </w:p>
        </w:tc>
        <w:tc>
          <w:tcPr>
            <w:tcW w:w="3402" w:type="dxa"/>
            <w:vAlign w:val="center"/>
          </w:tcPr>
          <w:p w14:paraId="5C1D1439">
            <w:pPr>
              <w:pStyle w:val="320"/>
              <w:spacing w:line="560" w:lineRule="exact"/>
              <w:ind w:firstLine="200"/>
              <w:jc w:val="center"/>
              <w:rPr>
                <w:rFonts w:ascii="仿宋" w:hAnsi="仿宋" w:cs="仿宋"/>
                <w:color w:val="auto"/>
                <w:sz w:val="24"/>
                <w:szCs w:val="24"/>
              </w:rPr>
            </w:pPr>
          </w:p>
        </w:tc>
        <w:tc>
          <w:tcPr>
            <w:tcW w:w="2552" w:type="dxa"/>
            <w:vAlign w:val="center"/>
          </w:tcPr>
          <w:p w14:paraId="49792263">
            <w:pPr>
              <w:pStyle w:val="320"/>
              <w:spacing w:line="560" w:lineRule="exact"/>
              <w:ind w:firstLine="200"/>
              <w:jc w:val="center"/>
              <w:rPr>
                <w:rFonts w:ascii="仿宋" w:hAnsi="仿宋" w:cs="仿宋"/>
                <w:color w:val="auto"/>
                <w:sz w:val="24"/>
                <w:szCs w:val="24"/>
              </w:rPr>
            </w:pPr>
          </w:p>
        </w:tc>
      </w:tr>
      <w:tr w14:paraId="2081DF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8717459">
            <w:pPr>
              <w:pStyle w:val="320"/>
              <w:spacing w:line="560" w:lineRule="exact"/>
              <w:ind w:firstLine="200"/>
              <w:jc w:val="center"/>
              <w:rPr>
                <w:rFonts w:ascii="仿宋" w:hAnsi="仿宋" w:cs="仿宋"/>
                <w:color w:val="auto"/>
                <w:sz w:val="24"/>
                <w:szCs w:val="24"/>
              </w:rPr>
            </w:pPr>
          </w:p>
        </w:tc>
        <w:tc>
          <w:tcPr>
            <w:tcW w:w="3402" w:type="dxa"/>
            <w:vAlign w:val="center"/>
          </w:tcPr>
          <w:p w14:paraId="763B4184">
            <w:pPr>
              <w:pStyle w:val="320"/>
              <w:spacing w:line="560" w:lineRule="exact"/>
              <w:ind w:firstLine="200"/>
              <w:jc w:val="center"/>
              <w:rPr>
                <w:rFonts w:ascii="仿宋" w:hAnsi="仿宋" w:cs="仿宋"/>
                <w:color w:val="auto"/>
                <w:sz w:val="24"/>
                <w:szCs w:val="24"/>
              </w:rPr>
            </w:pPr>
          </w:p>
        </w:tc>
        <w:tc>
          <w:tcPr>
            <w:tcW w:w="2552" w:type="dxa"/>
            <w:vAlign w:val="center"/>
          </w:tcPr>
          <w:p w14:paraId="2C63FC07">
            <w:pPr>
              <w:pStyle w:val="320"/>
              <w:spacing w:line="560" w:lineRule="exact"/>
              <w:ind w:firstLine="200"/>
              <w:jc w:val="center"/>
              <w:rPr>
                <w:rFonts w:ascii="仿宋" w:hAnsi="仿宋" w:cs="仿宋"/>
                <w:color w:val="auto"/>
                <w:sz w:val="24"/>
                <w:szCs w:val="24"/>
              </w:rPr>
            </w:pPr>
          </w:p>
        </w:tc>
      </w:tr>
      <w:tr w14:paraId="6E7B8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7DDDC3F">
            <w:pPr>
              <w:pStyle w:val="320"/>
              <w:spacing w:line="560" w:lineRule="exact"/>
              <w:ind w:firstLine="200"/>
              <w:jc w:val="center"/>
              <w:rPr>
                <w:rFonts w:ascii="仿宋" w:hAnsi="仿宋" w:cs="仿宋"/>
                <w:color w:val="auto"/>
                <w:sz w:val="24"/>
                <w:szCs w:val="24"/>
              </w:rPr>
            </w:pPr>
          </w:p>
        </w:tc>
        <w:tc>
          <w:tcPr>
            <w:tcW w:w="3402" w:type="dxa"/>
            <w:vAlign w:val="center"/>
          </w:tcPr>
          <w:p w14:paraId="0AA8D85E">
            <w:pPr>
              <w:pStyle w:val="320"/>
              <w:spacing w:line="560" w:lineRule="exact"/>
              <w:ind w:firstLine="200"/>
              <w:jc w:val="center"/>
              <w:rPr>
                <w:rFonts w:ascii="仿宋" w:hAnsi="仿宋" w:cs="仿宋"/>
                <w:color w:val="auto"/>
                <w:sz w:val="24"/>
                <w:szCs w:val="24"/>
              </w:rPr>
            </w:pPr>
          </w:p>
        </w:tc>
        <w:tc>
          <w:tcPr>
            <w:tcW w:w="2552" w:type="dxa"/>
            <w:vAlign w:val="center"/>
          </w:tcPr>
          <w:p w14:paraId="360A0BCD">
            <w:pPr>
              <w:pStyle w:val="320"/>
              <w:spacing w:line="560" w:lineRule="exact"/>
              <w:ind w:firstLine="200"/>
              <w:jc w:val="center"/>
              <w:rPr>
                <w:rFonts w:ascii="仿宋" w:hAnsi="仿宋" w:cs="仿宋"/>
                <w:color w:val="auto"/>
                <w:sz w:val="24"/>
                <w:szCs w:val="24"/>
              </w:rPr>
            </w:pPr>
          </w:p>
        </w:tc>
      </w:tr>
      <w:tr w14:paraId="1E6E6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0774EC2">
            <w:pPr>
              <w:pStyle w:val="320"/>
              <w:spacing w:line="560" w:lineRule="exact"/>
              <w:ind w:firstLine="200"/>
              <w:jc w:val="center"/>
              <w:rPr>
                <w:rFonts w:ascii="仿宋" w:hAnsi="仿宋" w:cs="仿宋"/>
                <w:color w:val="auto"/>
                <w:sz w:val="24"/>
                <w:szCs w:val="24"/>
              </w:rPr>
            </w:pPr>
          </w:p>
        </w:tc>
        <w:tc>
          <w:tcPr>
            <w:tcW w:w="3402" w:type="dxa"/>
            <w:vAlign w:val="center"/>
          </w:tcPr>
          <w:p w14:paraId="20BA1FFC">
            <w:pPr>
              <w:pStyle w:val="320"/>
              <w:spacing w:line="560" w:lineRule="exact"/>
              <w:ind w:firstLine="200"/>
              <w:jc w:val="center"/>
              <w:rPr>
                <w:rFonts w:ascii="仿宋" w:hAnsi="仿宋" w:cs="仿宋"/>
                <w:color w:val="auto"/>
                <w:sz w:val="24"/>
                <w:szCs w:val="24"/>
              </w:rPr>
            </w:pPr>
          </w:p>
        </w:tc>
        <w:tc>
          <w:tcPr>
            <w:tcW w:w="2552" w:type="dxa"/>
            <w:vAlign w:val="center"/>
          </w:tcPr>
          <w:p w14:paraId="4A276982">
            <w:pPr>
              <w:pStyle w:val="320"/>
              <w:spacing w:line="560" w:lineRule="exact"/>
              <w:ind w:firstLine="200"/>
              <w:jc w:val="center"/>
              <w:rPr>
                <w:rFonts w:ascii="仿宋" w:hAnsi="仿宋" w:cs="仿宋"/>
                <w:color w:val="auto"/>
                <w:sz w:val="24"/>
                <w:szCs w:val="24"/>
              </w:rPr>
            </w:pPr>
          </w:p>
        </w:tc>
      </w:tr>
      <w:tr w14:paraId="54072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0F8C63D5">
            <w:pPr>
              <w:pStyle w:val="320"/>
              <w:spacing w:line="560" w:lineRule="exact"/>
              <w:ind w:firstLine="200"/>
              <w:jc w:val="center"/>
              <w:rPr>
                <w:rFonts w:ascii="仿宋" w:hAnsi="仿宋" w:cs="仿宋"/>
                <w:color w:val="auto"/>
                <w:sz w:val="24"/>
                <w:szCs w:val="24"/>
              </w:rPr>
            </w:pPr>
            <w:r>
              <w:rPr>
                <w:rFonts w:hint="eastAsia" w:ascii="仿宋" w:hAnsi="仿宋" w:cs="仿宋"/>
                <w:color w:val="auto"/>
                <w:sz w:val="24"/>
                <w:szCs w:val="24"/>
              </w:rPr>
              <w:t>总价</w:t>
            </w:r>
          </w:p>
        </w:tc>
        <w:tc>
          <w:tcPr>
            <w:tcW w:w="2552" w:type="dxa"/>
            <w:vAlign w:val="center"/>
          </w:tcPr>
          <w:p w14:paraId="735230DC">
            <w:pPr>
              <w:pStyle w:val="320"/>
              <w:spacing w:line="560" w:lineRule="exact"/>
              <w:ind w:firstLine="200"/>
              <w:jc w:val="center"/>
              <w:rPr>
                <w:rFonts w:ascii="仿宋" w:hAnsi="仿宋" w:cs="仿宋"/>
                <w:color w:val="auto"/>
                <w:sz w:val="24"/>
                <w:szCs w:val="24"/>
              </w:rPr>
            </w:pPr>
          </w:p>
        </w:tc>
      </w:tr>
    </w:tbl>
    <w:p w14:paraId="695E14D6">
      <w:pPr>
        <w:spacing w:line="560" w:lineRule="exact"/>
        <w:ind w:firstLine="480" w:firstLineChars="200"/>
        <w:rPr>
          <w:rFonts w:ascii="仿宋" w:hAnsi="仿宋" w:cs="仿宋"/>
          <w:color w:val="auto"/>
          <w:sz w:val="24"/>
        </w:rPr>
      </w:pPr>
      <w:bookmarkStart w:id="230" w:name="_Toc14993"/>
      <w:bookmarkStart w:id="231" w:name="_Toc30506"/>
      <w:bookmarkStart w:id="232" w:name="_Toc3654"/>
      <w:bookmarkStart w:id="233" w:name="_Toc26916"/>
      <w:bookmarkStart w:id="234" w:name="_Toc30158"/>
      <w:r>
        <w:rPr>
          <w:rFonts w:hint="eastAsia" w:ascii="仿宋" w:hAnsi="仿宋" w:cs="仿宋"/>
          <w:bCs/>
          <w:color w:val="auto"/>
          <w:sz w:val="24"/>
        </w:rPr>
        <w:t>1.3.2单价合同，本合同单价（含税）标准为：</w:t>
      </w:r>
      <w:r>
        <w:rPr>
          <w:rFonts w:hint="eastAsia" w:ascii="仿宋" w:hAnsi="仿宋" w:cs="仿宋"/>
          <w:bCs/>
          <w:color w:val="auto"/>
          <w:sz w:val="24"/>
          <w:u w:val="single"/>
        </w:rPr>
        <w:t xml:space="preserve">                   </w:t>
      </w:r>
      <w:r>
        <w:rPr>
          <w:rFonts w:hint="eastAsia" w:ascii="仿宋" w:hAnsi="仿宋" w:cs="仿宋"/>
          <w:color w:val="auto"/>
          <w:sz w:val="24"/>
        </w:rPr>
        <w:t>。服务工作量的计量方式为：</w:t>
      </w:r>
      <w:r>
        <w:rPr>
          <w:rFonts w:hint="eastAsia" w:ascii="仿宋" w:hAnsi="仿宋" w:cs="仿宋"/>
          <w:bCs/>
          <w:color w:val="auto"/>
          <w:sz w:val="24"/>
          <w:u w:val="single"/>
        </w:rPr>
        <w:t xml:space="preserve">       </w:t>
      </w:r>
      <w:r>
        <w:rPr>
          <w:rFonts w:hint="eastAsia" w:ascii="仿宋" w:hAnsi="仿宋" w:cs="仿宋"/>
          <w:b/>
          <w:color w:val="auto"/>
          <w:sz w:val="24"/>
          <w:u w:val="single"/>
        </w:rPr>
        <w:t>合同专用条款</w:t>
      </w:r>
      <w:r>
        <w:rPr>
          <w:rFonts w:hint="eastAsia" w:ascii="仿宋" w:hAnsi="仿宋" w:cs="仿宋"/>
          <w:bCs/>
          <w:color w:val="auto"/>
          <w:sz w:val="24"/>
          <w:u w:val="single"/>
        </w:rPr>
        <w:t xml:space="preserve">     </w:t>
      </w:r>
      <w:r>
        <w:rPr>
          <w:rFonts w:hint="eastAsia" w:ascii="仿宋" w:hAnsi="仿宋" w:cs="仿宋"/>
          <w:color w:val="auto"/>
          <w:sz w:val="24"/>
        </w:rPr>
        <w:t>。单价合同，在合同履行期间内，根据实际完成的工作量据实结算，但结算总价上限不得超过预算金额或者双方确定的金额￥</w:t>
      </w:r>
      <w:r>
        <w:rPr>
          <w:rFonts w:hint="eastAsia" w:ascii="仿宋" w:hAnsi="仿宋" w:cs="仿宋"/>
          <w:color w:val="auto"/>
          <w:sz w:val="24"/>
          <w:u w:val="single"/>
        </w:rPr>
        <w:t xml:space="preserve">           </w:t>
      </w:r>
      <w:r>
        <w:rPr>
          <w:rFonts w:hint="eastAsia" w:ascii="仿宋" w:hAnsi="仿宋" w:cs="仿宋"/>
          <w:color w:val="auto"/>
          <w:sz w:val="24"/>
        </w:rPr>
        <w:t>元（大写：</w:t>
      </w:r>
      <w:r>
        <w:rPr>
          <w:rFonts w:hint="eastAsia" w:ascii="仿宋" w:hAnsi="仿宋" w:cs="仿宋"/>
          <w:color w:val="auto"/>
          <w:sz w:val="24"/>
          <w:u w:val="single"/>
        </w:rPr>
        <w:t xml:space="preserve">                 </w:t>
      </w:r>
      <w:r>
        <w:rPr>
          <w:rFonts w:hint="eastAsia" w:ascii="仿宋" w:hAnsi="仿宋" w:cs="仿宋"/>
          <w:color w:val="auto"/>
          <w:sz w:val="24"/>
        </w:rPr>
        <w:t>元人民币）。</w:t>
      </w:r>
    </w:p>
    <w:p w14:paraId="7753AF4F">
      <w:pPr>
        <w:tabs>
          <w:tab w:val="left" w:pos="432"/>
        </w:tabs>
        <w:rPr>
          <w:rFonts w:ascii="仿宋" w:hAnsi="仿宋" w:cs="仿宋"/>
          <w:color w:val="auto"/>
        </w:rPr>
      </w:pPr>
      <w:r>
        <w:rPr>
          <w:rFonts w:hint="eastAsia" w:ascii="仿宋" w:hAnsi="仿宋" w:cs="仿宋"/>
          <w:color w:val="auto"/>
          <w:sz w:val="24"/>
        </w:rPr>
        <w:t xml:space="preserve">    1.3.3其他计价方式：</w:t>
      </w:r>
      <w:r>
        <w:rPr>
          <w:rFonts w:hint="eastAsia" w:ascii="仿宋" w:hAnsi="仿宋" w:cs="仿宋"/>
          <w:color w:val="auto"/>
          <w:sz w:val="24"/>
          <w:u w:val="single"/>
        </w:rPr>
        <w:t xml:space="preserve">                   </w:t>
      </w:r>
      <w:r>
        <w:rPr>
          <w:rFonts w:hint="eastAsia" w:ascii="仿宋" w:hAnsi="仿宋" w:cs="仿宋"/>
          <w:color w:val="auto"/>
          <w:sz w:val="24"/>
        </w:rPr>
        <w:t>。</w:t>
      </w:r>
    </w:p>
    <w:bookmarkEnd w:id="230"/>
    <w:bookmarkEnd w:id="231"/>
    <w:bookmarkEnd w:id="232"/>
    <w:bookmarkEnd w:id="233"/>
    <w:bookmarkEnd w:id="234"/>
    <w:p w14:paraId="788DD28A">
      <w:pPr>
        <w:pStyle w:val="224"/>
        <w:spacing w:before="0" w:beforeAutospacing="0" w:after="0" w:afterAutospacing="0" w:line="360" w:lineRule="auto"/>
        <w:ind w:firstLine="480"/>
        <w:rPr>
          <w:rFonts w:ascii="仿宋" w:hAnsi="仿宋" w:cs="仿宋"/>
          <w:b/>
          <w:color w:val="auto"/>
        </w:rPr>
      </w:pPr>
      <w:bookmarkStart w:id="235" w:name="_Toc22618"/>
      <w:bookmarkStart w:id="236" w:name="_Toc1814"/>
      <w:bookmarkStart w:id="237" w:name="_Toc10340"/>
      <w:bookmarkStart w:id="238" w:name="_Toc11108"/>
      <w:bookmarkStart w:id="239" w:name="_Toc3625"/>
      <w:bookmarkStart w:id="240" w:name="_Toc8772"/>
      <w:bookmarkStart w:id="241" w:name="_Toc4760"/>
      <w:bookmarkStart w:id="242" w:name="_Toc31421"/>
      <w:r>
        <w:rPr>
          <w:rFonts w:hint="eastAsia" w:ascii="仿宋" w:hAnsi="仿宋" w:cs="仿宋"/>
          <w:b/>
          <w:color w:val="auto"/>
        </w:rPr>
        <w:t>1.4履约保函</w:t>
      </w:r>
    </w:p>
    <w:p w14:paraId="491B9C2C">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乙方</w:t>
      </w:r>
      <w:r>
        <w:rPr>
          <w:rFonts w:hint="eastAsia" w:ascii="仿宋" w:hAnsi="仿宋" w:cs="仿宋"/>
          <w:color w:val="auto"/>
          <w:u w:val="single"/>
        </w:rPr>
        <w:t xml:space="preserve">     </w:t>
      </w:r>
      <w:r>
        <w:rPr>
          <w:rFonts w:hint="eastAsia" w:ascii="仿宋" w:hAnsi="仿宋" w:cs="仿宋"/>
          <w:color w:val="auto"/>
        </w:rPr>
        <w:t>（是/否）需要支付履约保函。若需要支付履约保证金的，则：</w:t>
      </w:r>
    </w:p>
    <w:p w14:paraId="6A5ADC18">
      <w:pPr>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1.4.1履约保证金的比例为合同金额的</w:t>
      </w:r>
      <w:r>
        <w:rPr>
          <w:rFonts w:hint="eastAsia" w:ascii="仿宋" w:hAnsi="仿宋" w:cs="仿宋"/>
          <w:color w:val="auto"/>
          <w:kern w:val="0"/>
          <w:sz w:val="24"/>
          <w:u w:val="single"/>
        </w:rPr>
        <w:t xml:space="preserve">     </w:t>
      </w:r>
      <w:r>
        <w:rPr>
          <w:rFonts w:hint="eastAsia" w:ascii="仿宋" w:hAnsi="仿宋" w:cs="仿宋"/>
          <w:color w:val="auto"/>
          <w:kern w:val="0"/>
          <w:sz w:val="24"/>
        </w:rPr>
        <w:t>%；</w:t>
      </w:r>
    </w:p>
    <w:p w14:paraId="686EA093">
      <w:pPr>
        <w:adjustRightInd w:val="0"/>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1.4.2履约保证金支付方式详见</w:t>
      </w:r>
      <w:r>
        <w:rPr>
          <w:rFonts w:hint="eastAsia" w:ascii="仿宋" w:hAnsi="仿宋" w:cs="仿宋"/>
          <w:color w:val="auto"/>
          <w:kern w:val="0"/>
          <w:sz w:val="24"/>
          <w:u w:val="single"/>
        </w:rPr>
        <w:t xml:space="preserve">    </w:t>
      </w:r>
      <w:r>
        <w:rPr>
          <w:rFonts w:hint="eastAsia" w:ascii="仿宋" w:hAnsi="仿宋" w:cs="仿宋"/>
          <w:b/>
          <w:color w:val="auto"/>
          <w:sz w:val="24"/>
          <w:u w:val="single"/>
        </w:rPr>
        <w:t>合同专用条款</w:t>
      </w:r>
      <w:r>
        <w:rPr>
          <w:rFonts w:hint="eastAsia" w:ascii="仿宋" w:hAnsi="仿宋" w:cs="仿宋"/>
          <w:color w:val="auto"/>
          <w:kern w:val="0"/>
          <w:sz w:val="24"/>
          <w:u w:val="single"/>
        </w:rPr>
        <w:t xml:space="preserve">           </w:t>
      </w:r>
      <w:r>
        <w:rPr>
          <w:rFonts w:hint="eastAsia" w:ascii="仿宋" w:hAnsi="仿宋" w:cs="仿宋"/>
          <w:color w:val="auto"/>
          <w:kern w:val="0"/>
          <w:sz w:val="24"/>
        </w:rPr>
        <w:t>；</w:t>
      </w:r>
    </w:p>
    <w:p w14:paraId="57F134D5">
      <w:pPr>
        <w:tabs>
          <w:tab w:val="left" w:pos="0"/>
          <w:tab w:val="left" w:pos="432"/>
        </w:tabs>
        <w:spacing w:line="560" w:lineRule="exact"/>
        <w:ind w:firstLine="480" w:firstLineChars="200"/>
        <w:rPr>
          <w:rFonts w:ascii="仿宋" w:hAnsi="仿宋" w:cs="仿宋"/>
          <w:color w:val="auto"/>
        </w:rPr>
      </w:pPr>
      <w:r>
        <w:rPr>
          <w:rFonts w:hint="eastAsia" w:ascii="仿宋" w:hAnsi="仿宋" w:cs="仿宋"/>
          <w:color w:val="auto"/>
          <w:kern w:val="0"/>
          <w:sz w:val="24"/>
          <w:szCs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5A56BE1D">
      <w:pPr>
        <w:adjustRightInd w:val="0"/>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1.4.4甲方在项目验收结束后及时退还履约保证金。甲方在项目通过验收之日起</w:t>
      </w:r>
      <w:r>
        <w:rPr>
          <w:rFonts w:hint="eastAsia" w:ascii="仿宋" w:hAnsi="仿宋" w:cs="仿宋"/>
          <w:color w:val="auto"/>
          <w:kern w:val="0"/>
          <w:sz w:val="24"/>
          <w:u w:val="single"/>
        </w:rPr>
        <w:t xml:space="preserve">       </w:t>
      </w:r>
      <w:r>
        <w:rPr>
          <w:rFonts w:hint="eastAsia" w:ascii="仿宋" w:hAnsi="仿宋" w:cs="仿宋"/>
          <w:color w:val="auto"/>
          <w:kern w:val="0"/>
          <w:sz w:val="24"/>
        </w:rPr>
        <w:t>个工作日内将履约保证金无息退还乙方，逾期退还的，乙方可要求甲方支付违约金，违约金按每迟延退还一日的应退还而未退还金额的</w:t>
      </w:r>
      <w:r>
        <w:rPr>
          <w:rFonts w:hint="eastAsia" w:ascii="仿宋" w:hAnsi="仿宋" w:cs="仿宋"/>
          <w:color w:val="auto"/>
          <w:kern w:val="0"/>
          <w:sz w:val="24"/>
          <w:u w:val="single"/>
        </w:rPr>
        <w:t xml:space="preserve">       </w:t>
      </w:r>
      <w:r>
        <w:rPr>
          <w:rFonts w:hint="eastAsia" w:ascii="仿宋" w:hAnsi="仿宋" w:cs="仿宋"/>
          <w:color w:val="auto"/>
          <w:kern w:val="0"/>
          <w:sz w:val="24"/>
        </w:rPr>
        <w:t>%计算，最高限额为本合同履约保证金的</w:t>
      </w:r>
      <w:r>
        <w:rPr>
          <w:rFonts w:hint="eastAsia" w:ascii="仿宋" w:hAnsi="仿宋" w:cs="仿宋"/>
          <w:color w:val="auto"/>
          <w:kern w:val="0"/>
          <w:sz w:val="24"/>
          <w:u w:val="single"/>
        </w:rPr>
        <w:t xml:space="preserve">     </w:t>
      </w:r>
      <w:r>
        <w:rPr>
          <w:rFonts w:hint="eastAsia" w:ascii="仿宋" w:hAnsi="仿宋" w:cs="仿宋"/>
          <w:color w:val="auto"/>
          <w:kern w:val="0"/>
          <w:sz w:val="24"/>
        </w:rPr>
        <w:t xml:space="preserve"> %。</w:t>
      </w:r>
    </w:p>
    <w:p w14:paraId="084E3602">
      <w:pPr>
        <w:spacing w:line="560" w:lineRule="exact"/>
        <w:ind w:firstLine="482" w:firstLineChars="200"/>
        <w:outlineLvl w:val="1"/>
        <w:rPr>
          <w:rFonts w:ascii="仿宋" w:hAnsi="仿宋" w:cs="仿宋"/>
          <w:b/>
          <w:color w:val="auto"/>
          <w:sz w:val="24"/>
        </w:rPr>
      </w:pPr>
      <w:bookmarkStart w:id="243" w:name="_Toc9623"/>
      <w:bookmarkStart w:id="244" w:name="_Toc16437"/>
      <w:r>
        <w:rPr>
          <w:rFonts w:hint="eastAsia" w:ascii="仿宋" w:hAnsi="仿宋" w:cs="仿宋"/>
          <w:b/>
          <w:color w:val="auto"/>
          <w:sz w:val="24"/>
        </w:rPr>
        <w:t>1.5</w:t>
      </w:r>
      <w:bookmarkEnd w:id="235"/>
      <w:bookmarkEnd w:id="236"/>
      <w:bookmarkEnd w:id="237"/>
      <w:r>
        <w:rPr>
          <w:rFonts w:hint="eastAsia" w:ascii="仿宋" w:hAnsi="仿宋" w:cs="仿宋"/>
          <w:b/>
          <w:color w:val="auto"/>
          <w:sz w:val="24"/>
        </w:rPr>
        <w:t>预付款</w:t>
      </w:r>
      <w:bookmarkEnd w:id="243"/>
      <w:bookmarkEnd w:id="244"/>
    </w:p>
    <w:p w14:paraId="06CE706E">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甲方</w:t>
      </w:r>
      <w:r>
        <w:rPr>
          <w:rFonts w:hint="eastAsia" w:ascii="仿宋" w:hAnsi="仿宋" w:cs="仿宋"/>
          <w:color w:val="auto"/>
          <w:u w:val="single"/>
        </w:rPr>
        <w:t xml:space="preserve">     </w:t>
      </w:r>
      <w:r>
        <w:rPr>
          <w:rFonts w:hint="eastAsia" w:ascii="仿宋" w:hAnsi="仿宋" w:cs="仿宋"/>
          <w:color w:val="auto"/>
        </w:rPr>
        <w:t>（是/否）需要支付预付款。若需要支付预付款的，则：</w:t>
      </w:r>
    </w:p>
    <w:p w14:paraId="4A7DC747">
      <w:pPr>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1.5.1预付款比例、支付方式、时间详见</w:t>
      </w:r>
      <w:r>
        <w:rPr>
          <w:rFonts w:hint="eastAsia" w:ascii="仿宋" w:hAnsi="仿宋" w:cs="仿宋"/>
          <w:color w:val="auto"/>
          <w:kern w:val="0"/>
          <w:sz w:val="24"/>
          <w:u w:val="single"/>
        </w:rPr>
        <w:t xml:space="preserve">    </w:t>
      </w:r>
      <w:r>
        <w:rPr>
          <w:rFonts w:hint="eastAsia" w:ascii="仿宋" w:hAnsi="仿宋" w:cs="仿宋"/>
          <w:b/>
          <w:color w:val="auto"/>
          <w:sz w:val="24"/>
          <w:u w:val="single"/>
        </w:rPr>
        <w:t>合同专用条款</w:t>
      </w:r>
      <w:r>
        <w:rPr>
          <w:rFonts w:hint="eastAsia" w:ascii="仿宋" w:hAnsi="仿宋" w:cs="仿宋"/>
          <w:color w:val="auto"/>
          <w:kern w:val="0"/>
          <w:sz w:val="24"/>
          <w:u w:val="single"/>
        </w:rPr>
        <w:t xml:space="preserve">           </w:t>
      </w:r>
      <w:r>
        <w:rPr>
          <w:rFonts w:hint="eastAsia" w:ascii="仿宋" w:hAnsi="仿宋" w:cs="仿宋"/>
          <w:color w:val="auto"/>
          <w:kern w:val="0"/>
          <w:sz w:val="24"/>
        </w:rPr>
        <w:t>；</w:t>
      </w:r>
    </w:p>
    <w:p w14:paraId="632018C3">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1.5.2预付款的扣回方式详见</w:t>
      </w:r>
      <w:r>
        <w:rPr>
          <w:rFonts w:hint="eastAsia" w:ascii="仿宋" w:hAnsi="仿宋" w:cs="仿宋"/>
          <w:color w:val="auto"/>
          <w:u w:val="single"/>
        </w:rPr>
        <w:t xml:space="preserve">    </w:t>
      </w:r>
      <w:r>
        <w:rPr>
          <w:rFonts w:hint="eastAsia" w:ascii="仿宋" w:hAnsi="仿宋" w:cs="仿宋"/>
          <w:b/>
          <w:color w:val="auto"/>
          <w:u w:val="single"/>
        </w:rPr>
        <w:t>合同专用条款</w:t>
      </w:r>
      <w:r>
        <w:rPr>
          <w:rFonts w:hint="eastAsia" w:ascii="仿宋" w:hAnsi="仿宋" w:cs="仿宋"/>
          <w:color w:val="auto"/>
          <w:u w:val="single"/>
        </w:rPr>
        <w:t xml:space="preserve">           </w:t>
      </w:r>
      <w:r>
        <w:rPr>
          <w:rFonts w:hint="eastAsia" w:ascii="仿宋" w:hAnsi="仿宋" w:cs="仿宋"/>
          <w:color w:val="auto"/>
        </w:rPr>
        <w:t>；</w:t>
      </w:r>
    </w:p>
    <w:p w14:paraId="2CCD1B1C">
      <w:pPr>
        <w:pStyle w:val="224"/>
        <w:spacing w:before="0" w:beforeAutospacing="0" w:after="0" w:afterAutospacing="0" w:line="360" w:lineRule="auto"/>
        <w:ind w:firstLine="480"/>
        <w:rPr>
          <w:rFonts w:ascii="仿宋" w:hAnsi="仿宋" w:cs="仿宋"/>
          <w:color w:val="auto"/>
          <w:u w:val="single"/>
        </w:rPr>
      </w:pPr>
      <w:r>
        <w:rPr>
          <w:rFonts w:hint="eastAsia" w:ascii="仿宋" w:hAnsi="仿宋" w:cs="仿宋"/>
          <w:color w:val="auto"/>
        </w:rPr>
        <w:t>1.5.3预付款的担保措施详见</w:t>
      </w:r>
      <w:r>
        <w:rPr>
          <w:rFonts w:hint="eastAsia" w:ascii="仿宋" w:hAnsi="仿宋" w:cs="仿宋"/>
          <w:color w:val="auto"/>
          <w:u w:val="single"/>
        </w:rPr>
        <w:t xml:space="preserve">    </w:t>
      </w:r>
      <w:r>
        <w:rPr>
          <w:rFonts w:hint="eastAsia" w:ascii="仿宋" w:hAnsi="仿宋" w:cs="仿宋"/>
          <w:b/>
          <w:color w:val="auto"/>
          <w:u w:val="single"/>
        </w:rPr>
        <w:t>合同专用条款</w:t>
      </w:r>
      <w:r>
        <w:rPr>
          <w:rFonts w:hint="eastAsia" w:ascii="仿宋" w:hAnsi="仿宋" w:cs="仿宋"/>
          <w:color w:val="auto"/>
          <w:u w:val="single"/>
        </w:rPr>
        <w:t xml:space="preserve">          </w:t>
      </w:r>
      <w:r>
        <w:rPr>
          <w:rFonts w:hint="eastAsia" w:ascii="仿宋" w:hAnsi="仿宋" w:cs="仿宋"/>
          <w:color w:val="auto"/>
        </w:rPr>
        <w:t>。</w:t>
      </w:r>
    </w:p>
    <w:p w14:paraId="5B156A05">
      <w:pPr>
        <w:pStyle w:val="224"/>
        <w:spacing w:before="0" w:beforeAutospacing="0" w:after="0" w:afterAutospacing="0" w:line="360" w:lineRule="auto"/>
        <w:ind w:firstLine="480"/>
        <w:rPr>
          <w:rFonts w:ascii="仿宋" w:hAnsi="仿宋" w:cs="仿宋"/>
          <w:b/>
          <w:bCs/>
          <w:color w:val="auto"/>
        </w:rPr>
      </w:pPr>
      <w:r>
        <w:rPr>
          <w:rFonts w:hint="eastAsia" w:ascii="仿宋" w:hAnsi="仿宋" w:cs="仿宋"/>
          <w:b/>
          <w:bCs/>
          <w:color w:val="auto"/>
        </w:rPr>
        <w:t>1.6资金支付</w:t>
      </w:r>
    </w:p>
    <w:p w14:paraId="7D61764E">
      <w:pPr>
        <w:pStyle w:val="224"/>
        <w:spacing w:before="0" w:beforeAutospacing="0" w:after="0" w:afterAutospacing="0" w:line="360" w:lineRule="auto"/>
        <w:ind w:firstLine="480"/>
        <w:rPr>
          <w:rFonts w:ascii="仿宋" w:hAnsi="仿宋" w:cs="仿宋"/>
          <w:color w:val="auto"/>
        </w:rPr>
      </w:pPr>
      <w:r>
        <w:rPr>
          <w:rFonts w:hint="eastAsia" w:ascii="仿宋" w:hAnsi="仿宋" w:cs="仿宋"/>
          <w:color w:val="auto"/>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C5BBDAB">
      <w:pPr>
        <w:adjustRightInd w:val="0"/>
        <w:spacing w:line="560" w:lineRule="exact"/>
        <w:ind w:firstLine="480" w:firstLineChars="200"/>
        <w:rPr>
          <w:rFonts w:ascii="仿宋" w:hAnsi="仿宋" w:cs="仿宋"/>
          <w:color w:val="auto"/>
          <w:sz w:val="24"/>
        </w:rPr>
      </w:pPr>
      <w:r>
        <w:rPr>
          <w:rFonts w:hint="eastAsia" w:ascii="仿宋" w:hAnsi="仿宋" w:cs="仿宋"/>
          <w:color w:val="auto"/>
          <w:sz w:val="24"/>
        </w:rPr>
        <w:t>1.6.2资金支付的方式、时间和条件详见</w:t>
      </w:r>
      <w:r>
        <w:rPr>
          <w:rFonts w:hint="eastAsia" w:ascii="仿宋" w:hAnsi="仿宋" w:cs="仿宋"/>
          <w:b/>
          <w:color w:val="auto"/>
          <w:sz w:val="24"/>
          <w:u w:val="single"/>
        </w:rPr>
        <w:t>合同专用条款</w:t>
      </w:r>
      <w:r>
        <w:rPr>
          <w:rFonts w:hint="eastAsia" w:ascii="仿宋" w:hAnsi="仿宋" w:cs="仿宋"/>
          <w:color w:val="auto"/>
          <w:sz w:val="24"/>
        </w:rPr>
        <w:t>。</w:t>
      </w:r>
    </w:p>
    <w:p w14:paraId="7256F29E">
      <w:pPr>
        <w:spacing w:line="560" w:lineRule="exact"/>
        <w:ind w:firstLine="482" w:firstLineChars="200"/>
        <w:outlineLvl w:val="1"/>
        <w:rPr>
          <w:rFonts w:ascii="仿宋" w:hAnsi="仿宋" w:cs="仿宋"/>
          <w:b/>
          <w:color w:val="auto"/>
          <w:sz w:val="24"/>
        </w:rPr>
      </w:pPr>
      <w:bookmarkStart w:id="245" w:name="_Toc15240"/>
      <w:bookmarkStart w:id="246" w:name="_Toc6825"/>
      <w:r>
        <w:rPr>
          <w:rFonts w:hint="eastAsia" w:ascii="仿宋" w:hAnsi="仿宋" w:cs="仿宋"/>
          <w:b/>
          <w:color w:val="auto"/>
          <w:sz w:val="24"/>
        </w:rPr>
        <w:t>1.7 履行期限、地点和方式</w:t>
      </w:r>
      <w:bookmarkEnd w:id="238"/>
      <w:bookmarkEnd w:id="239"/>
      <w:bookmarkEnd w:id="240"/>
      <w:bookmarkEnd w:id="241"/>
      <w:bookmarkEnd w:id="242"/>
      <w:bookmarkEnd w:id="245"/>
      <w:bookmarkEnd w:id="246"/>
    </w:p>
    <w:p w14:paraId="2C32B0F2">
      <w:pPr>
        <w:spacing w:line="560" w:lineRule="exact"/>
        <w:ind w:firstLine="480" w:firstLineChars="200"/>
        <w:rPr>
          <w:rFonts w:ascii="仿宋" w:hAnsi="仿宋" w:cs="仿宋"/>
          <w:color w:val="auto"/>
          <w:sz w:val="24"/>
          <w:u w:val="single"/>
        </w:rPr>
      </w:pPr>
      <w:r>
        <w:rPr>
          <w:rFonts w:hint="eastAsia" w:ascii="仿宋" w:hAnsi="仿宋" w:cs="仿宋"/>
          <w:color w:val="auto"/>
          <w:sz w:val="24"/>
        </w:rPr>
        <w:t>1.7.1 服务交付（实施）的时间（期限）：</w:t>
      </w:r>
      <w:r>
        <w:rPr>
          <w:rFonts w:hint="eastAsia" w:ascii="仿宋" w:hAnsi="仿宋" w:cs="仿宋"/>
          <w:b/>
          <w:color w:val="auto"/>
          <w:sz w:val="24"/>
          <w:u w:val="single"/>
        </w:rPr>
        <w:t>合同专用条款</w:t>
      </w:r>
      <w:r>
        <w:rPr>
          <w:rFonts w:hint="eastAsia" w:ascii="仿宋" w:hAnsi="仿宋" w:cs="仿宋"/>
          <w:color w:val="auto"/>
          <w:sz w:val="24"/>
        </w:rPr>
        <w:t>；</w:t>
      </w:r>
    </w:p>
    <w:p w14:paraId="3831E286">
      <w:pPr>
        <w:spacing w:line="560" w:lineRule="exact"/>
        <w:ind w:firstLine="480" w:firstLineChars="200"/>
        <w:rPr>
          <w:rFonts w:ascii="仿宋" w:hAnsi="仿宋" w:cs="仿宋"/>
          <w:color w:val="auto"/>
          <w:sz w:val="24"/>
        </w:rPr>
      </w:pPr>
      <w:r>
        <w:rPr>
          <w:rFonts w:hint="eastAsia" w:ascii="仿宋" w:hAnsi="仿宋" w:cs="仿宋"/>
          <w:color w:val="auto"/>
          <w:sz w:val="24"/>
        </w:rPr>
        <w:t>1.7.2 服务交付（实施）的地点（地域范围）：</w:t>
      </w:r>
      <w:r>
        <w:rPr>
          <w:rFonts w:hint="eastAsia" w:ascii="仿宋" w:hAnsi="仿宋" w:cs="仿宋"/>
          <w:b/>
          <w:color w:val="auto"/>
          <w:sz w:val="24"/>
          <w:u w:val="single"/>
        </w:rPr>
        <w:t>合同专用条款</w:t>
      </w:r>
      <w:r>
        <w:rPr>
          <w:rFonts w:hint="eastAsia" w:ascii="仿宋" w:hAnsi="仿宋" w:cs="仿宋"/>
          <w:color w:val="auto"/>
          <w:sz w:val="24"/>
        </w:rPr>
        <w:t>；</w:t>
      </w:r>
    </w:p>
    <w:p w14:paraId="594C3697">
      <w:pPr>
        <w:spacing w:line="560" w:lineRule="exact"/>
        <w:ind w:firstLine="480" w:firstLineChars="200"/>
        <w:rPr>
          <w:rFonts w:ascii="仿宋" w:hAnsi="仿宋" w:cs="仿宋"/>
          <w:color w:val="auto"/>
          <w:sz w:val="24"/>
        </w:rPr>
      </w:pPr>
      <w:r>
        <w:rPr>
          <w:rFonts w:hint="eastAsia" w:ascii="仿宋" w:hAnsi="仿宋" w:cs="仿宋"/>
          <w:color w:val="auto"/>
          <w:sz w:val="24"/>
        </w:rPr>
        <w:t>1.7.3 服务交付（实施）的方式：</w:t>
      </w:r>
      <w:r>
        <w:rPr>
          <w:rFonts w:hint="eastAsia" w:ascii="仿宋" w:hAnsi="仿宋" w:cs="仿宋"/>
          <w:b/>
          <w:color w:val="auto"/>
          <w:sz w:val="24"/>
          <w:u w:val="single"/>
        </w:rPr>
        <w:t>合同专用条款</w:t>
      </w:r>
      <w:r>
        <w:rPr>
          <w:rFonts w:hint="eastAsia" w:ascii="仿宋" w:hAnsi="仿宋" w:cs="仿宋"/>
          <w:color w:val="auto"/>
          <w:sz w:val="24"/>
        </w:rPr>
        <w:t>。</w:t>
      </w:r>
    </w:p>
    <w:p w14:paraId="60315C29">
      <w:pPr>
        <w:adjustRightInd w:val="0"/>
        <w:spacing w:line="560" w:lineRule="exact"/>
        <w:ind w:firstLine="480" w:firstLineChars="200"/>
        <w:rPr>
          <w:rFonts w:ascii="仿宋" w:hAnsi="仿宋" w:cs="仿宋"/>
          <w:bCs/>
          <w:color w:val="auto"/>
          <w:sz w:val="24"/>
        </w:rPr>
      </w:pPr>
      <w:bookmarkStart w:id="247" w:name="_Toc8586"/>
      <w:bookmarkStart w:id="248" w:name="_Toc24662"/>
      <w:bookmarkStart w:id="249" w:name="_Toc2375"/>
      <w:bookmarkStart w:id="250" w:name="_Toc3079"/>
      <w:bookmarkStart w:id="251" w:name="_Toc5698"/>
      <w:r>
        <w:rPr>
          <w:rFonts w:hint="eastAsia" w:ascii="仿宋" w:hAnsi="仿宋" w:cs="仿宋"/>
          <w:bCs/>
          <w:color w:val="auto"/>
          <w:sz w:val="24"/>
        </w:rPr>
        <w:t>1.7.4若服务涉及货物的，则货物的：</w:t>
      </w:r>
    </w:p>
    <w:p w14:paraId="3A170FEF">
      <w:pPr>
        <w:adjustRightInd w:val="0"/>
        <w:spacing w:line="560" w:lineRule="exact"/>
        <w:ind w:firstLine="480" w:firstLineChars="200"/>
        <w:rPr>
          <w:rFonts w:ascii="仿宋" w:hAnsi="仿宋" w:cs="仿宋"/>
          <w:color w:val="auto"/>
          <w:sz w:val="24"/>
          <w:u w:val="single"/>
        </w:rPr>
      </w:pPr>
      <w:r>
        <w:rPr>
          <w:rFonts w:hint="eastAsia" w:ascii="仿宋" w:hAnsi="仿宋" w:cs="仿宋"/>
          <w:color w:val="auto"/>
          <w:sz w:val="24"/>
        </w:rPr>
        <w:t>1.7.4.1 交付期限：详见</w:t>
      </w:r>
      <w:r>
        <w:rPr>
          <w:rFonts w:hint="eastAsia" w:ascii="仿宋" w:hAnsi="仿宋" w:cs="仿宋"/>
          <w:b/>
          <w:color w:val="auto"/>
          <w:sz w:val="24"/>
          <w:u w:val="single"/>
        </w:rPr>
        <w:t>合同专用条款</w:t>
      </w:r>
      <w:r>
        <w:rPr>
          <w:rFonts w:hint="eastAsia" w:ascii="仿宋" w:hAnsi="仿宋" w:cs="仿宋"/>
          <w:color w:val="auto"/>
          <w:sz w:val="24"/>
        </w:rPr>
        <w:t>；</w:t>
      </w:r>
    </w:p>
    <w:p w14:paraId="561268D0">
      <w:pPr>
        <w:spacing w:line="560" w:lineRule="exact"/>
        <w:ind w:firstLine="480" w:firstLineChars="200"/>
        <w:rPr>
          <w:rFonts w:ascii="仿宋" w:hAnsi="仿宋" w:cs="仿宋"/>
          <w:color w:val="auto"/>
          <w:sz w:val="24"/>
        </w:rPr>
      </w:pPr>
      <w:r>
        <w:rPr>
          <w:rFonts w:hint="eastAsia" w:ascii="仿宋" w:hAnsi="仿宋" w:cs="仿宋"/>
          <w:color w:val="auto"/>
          <w:sz w:val="24"/>
        </w:rPr>
        <w:t>1.7.4.2 交付地点：</w:t>
      </w:r>
      <w:r>
        <w:rPr>
          <w:rFonts w:hint="eastAsia" w:ascii="仿宋" w:hAnsi="仿宋" w:cs="仿宋"/>
          <w:b/>
          <w:color w:val="auto"/>
          <w:sz w:val="24"/>
          <w:u w:val="single"/>
        </w:rPr>
        <w:t>合同专用条款</w:t>
      </w:r>
      <w:r>
        <w:rPr>
          <w:rFonts w:hint="eastAsia" w:ascii="仿宋" w:hAnsi="仿宋" w:cs="仿宋"/>
          <w:color w:val="auto"/>
          <w:sz w:val="24"/>
        </w:rPr>
        <w:t>；</w:t>
      </w:r>
    </w:p>
    <w:p w14:paraId="6CB6B89F">
      <w:pPr>
        <w:spacing w:line="560" w:lineRule="exact"/>
        <w:ind w:firstLine="480" w:firstLineChars="200"/>
        <w:rPr>
          <w:rFonts w:ascii="仿宋" w:hAnsi="仿宋" w:cs="仿宋"/>
          <w:color w:val="auto"/>
          <w:sz w:val="24"/>
        </w:rPr>
      </w:pPr>
      <w:r>
        <w:rPr>
          <w:rFonts w:hint="eastAsia" w:ascii="仿宋" w:hAnsi="仿宋" w:cs="仿宋"/>
          <w:color w:val="auto"/>
          <w:sz w:val="24"/>
        </w:rPr>
        <w:t>1.7.4.3 交付方式：</w:t>
      </w:r>
      <w:r>
        <w:rPr>
          <w:rFonts w:hint="eastAsia" w:ascii="仿宋" w:hAnsi="仿宋" w:cs="仿宋"/>
          <w:b/>
          <w:color w:val="auto"/>
          <w:sz w:val="24"/>
          <w:u w:val="single"/>
        </w:rPr>
        <w:t>合同专用条款</w:t>
      </w:r>
      <w:r>
        <w:rPr>
          <w:rFonts w:hint="eastAsia" w:ascii="仿宋" w:hAnsi="仿宋" w:cs="仿宋"/>
          <w:color w:val="auto"/>
          <w:sz w:val="24"/>
        </w:rPr>
        <w:t>。</w:t>
      </w:r>
    </w:p>
    <w:p w14:paraId="42BF702D">
      <w:pPr>
        <w:spacing w:line="560" w:lineRule="exact"/>
        <w:ind w:firstLine="482" w:firstLineChars="200"/>
        <w:outlineLvl w:val="1"/>
        <w:rPr>
          <w:rFonts w:ascii="仿宋" w:hAnsi="仿宋" w:cs="仿宋"/>
          <w:color w:val="auto"/>
          <w:sz w:val="24"/>
          <w:u w:val="single"/>
        </w:rPr>
      </w:pPr>
      <w:bookmarkStart w:id="252" w:name="_Toc2009"/>
      <w:bookmarkStart w:id="253" w:name="_Toc15653"/>
      <w:r>
        <w:rPr>
          <w:rFonts w:hint="eastAsia" w:ascii="仿宋" w:hAnsi="仿宋" w:cs="仿宋"/>
          <w:b/>
          <w:color w:val="auto"/>
          <w:sz w:val="24"/>
        </w:rPr>
        <w:t>1.8违约责任</w:t>
      </w:r>
      <w:bookmarkEnd w:id="247"/>
      <w:bookmarkEnd w:id="248"/>
      <w:bookmarkEnd w:id="249"/>
      <w:bookmarkEnd w:id="250"/>
      <w:bookmarkEnd w:id="251"/>
      <w:bookmarkEnd w:id="252"/>
      <w:bookmarkEnd w:id="253"/>
    </w:p>
    <w:p w14:paraId="20622A77">
      <w:pPr>
        <w:spacing w:line="560" w:lineRule="exact"/>
        <w:ind w:firstLine="480" w:firstLineChars="200"/>
        <w:rPr>
          <w:rFonts w:ascii="仿宋" w:hAnsi="仿宋" w:cs="仿宋"/>
          <w:color w:val="auto"/>
          <w:sz w:val="24"/>
        </w:rPr>
      </w:pPr>
      <w:r>
        <w:rPr>
          <w:rFonts w:hint="eastAsia" w:ascii="仿宋" w:hAnsi="仿宋" w:cs="仿宋"/>
          <w:color w:val="auto"/>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cs="仿宋"/>
          <w:color w:val="auto"/>
          <w:sz w:val="24"/>
          <w:u w:val="single"/>
        </w:rPr>
        <w:t xml:space="preserve">     </w:t>
      </w:r>
      <w:r>
        <w:rPr>
          <w:rFonts w:hint="eastAsia" w:ascii="仿宋" w:hAnsi="仿宋" w:cs="仿宋"/>
          <w:color w:val="auto"/>
          <w:sz w:val="24"/>
        </w:rPr>
        <w:t>%计算，最高限额为本合同总价的</w:t>
      </w:r>
      <w:r>
        <w:rPr>
          <w:rFonts w:hint="eastAsia" w:ascii="仿宋" w:hAnsi="仿宋" w:cs="仿宋"/>
          <w:color w:val="auto"/>
          <w:sz w:val="24"/>
          <w:u w:val="single"/>
        </w:rPr>
        <w:t xml:space="preserve">      </w:t>
      </w:r>
      <w:r>
        <w:rPr>
          <w:rFonts w:hint="eastAsia" w:ascii="仿宋" w:hAnsi="仿宋" w:cs="仿宋"/>
          <w:color w:val="auto"/>
          <w:sz w:val="24"/>
        </w:rPr>
        <w:t>%；迟延履行的违约金计算数额达到前述最高限额之日起，甲方有权在要求乙方支付违约金的同时，书面通知乙方解除本合同；</w:t>
      </w:r>
    </w:p>
    <w:p w14:paraId="4EDAE199">
      <w:pPr>
        <w:keepNext/>
        <w:keepLines/>
        <w:tabs>
          <w:tab w:val="left" w:pos="432"/>
        </w:tabs>
        <w:spacing w:line="560" w:lineRule="exact"/>
        <w:ind w:firstLine="480" w:firstLineChars="200"/>
        <w:rPr>
          <w:rFonts w:ascii="仿宋" w:hAnsi="仿宋" w:cs="仿宋"/>
          <w:color w:val="auto"/>
          <w:sz w:val="24"/>
          <w:szCs w:val="24"/>
        </w:rPr>
      </w:pPr>
      <w:r>
        <w:rPr>
          <w:rFonts w:hint="eastAsia" w:ascii="仿宋" w:hAnsi="仿宋" w:cs="仿宋"/>
          <w:color w:val="auto"/>
          <w:sz w:val="24"/>
          <w:szCs w:val="24"/>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cs="仿宋"/>
          <w:color w:val="auto"/>
          <w:sz w:val="24"/>
          <w:szCs w:val="24"/>
          <w:u w:val="single"/>
        </w:rPr>
        <w:t xml:space="preserve">    </w:t>
      </w:r>
      <w:r>
        <w:rPr>
          <w:rFonts w:hint="eastAsia" w:ascii="仿宋" w:hAnsi="仿宋" w:cs="仿宋"/>
          <w:color w:val="auto"/>
          <w:sz w:val="24"/>
          <w:szCs w:val="24"/>
        </w:rPr>
        <w:t xml:space="preserve">（可根据情况修改） </w:t>
      </w:r>
      <w:r>
        <w:rPr>
          <w:rFonts w:hint="eastAsia" w:ascii="仿宋" w:hAnsi="仿宋" w:cs="仿宋"/>
          <w:color w:val="auto"/>
          <w:sz w:val="24"/>
          <w:szCs w:val="24"/>
          <w:u w:val="single"/>
        </w:rPr>
        <w:t xml:space="preserve">  </w:t>
      </w:r>
      <w:r>
        <w:rPr>
          <w:rFonts w:hint="eastAsia" w:ascii="仿宋" w:hAnsi="仿宋" w:cs="仿宋"/>
          <w:color w:val="auto"/>
          <w:sz w:val="24"/>
          <w:szCs w:val="24"/>
        </w:rPr>
        <w:t>%计算，最高限额为本合同总价的</w:t>
      </w:r>
      <w:r>
        <w:rPr>
          <w:rFonts w:hint="eastAsia" w:ascii="仿宋" w:hAnsi="仿宋" w:cs="仿宋"/>
          <w:color w:val="auto"/>
          <w:sz w:val="24"/>
          <w:szCs w:val="24"/>
          <w:u w:val="single"/>
        </w:rPr>
        <w:t xml:space="preserve">      </w:t>
      </w:r>
      <w:r>
        <w:rPr>
          <w:rFonts w:hint="eastAsia" w:ascii="仿宋" w:hAnsi="仿宋" w:cs="仿宋"/>
          <w:color w:val="auto"/>
          <w:sz w:val="24"/>
          <w:szCs w:val="24"/>
        </w:rPr>
        <w:t>%；迟延交付货物的违约金计算数额达到前述最高限额之日起，甲方有权在要求乙方支付违约金的同时，书面通知乙方解除本合同；</w:t>
      </w:r>
    </w:p>
    <w:p w14:paraId="4FC0356B">
      <w:pPr>
        <w:spacing w:line="560" w:lineRule="exact"/>
        <w:ind w:firstLine="480" w:firstLineChars="200"/>
        <w:rPr>
          <w:rFonts w:ascii="仿宋" w:hAnsi="仿宋" w:cs="仿宋"/>
          <w:color w:val="auto"/>
          <w:sz w:val="24"/>
        </w:rPr>
      </w:pPr>
      <w:r>
        <w:rPr>
          <w:rFonts w:hint="eastAsia" w:ascii="仿宋" w:hAnsi="仿宋" w:cs="仿宋"/>
          <w:color w:val="auto"/>
          <w:sz w:val="24"/>
        </w:rPr>
        <w:t>1.8.3除不可抗力外，如果甲方没有按照本合同约定的付款方式付款，那么乙方可要求甲方支付违约金，违约金按每迟延付款一日的应付而未付款的</w:t>
      </w:r>
      <w:r>
        <w:rPr>
          <w:rFonts w:hint="eastAsia" w:ascii="仿宋" w:hAnsi="仿宋" w:cs="仿宋"/>
          <w:color w:val="auto"/>
          <w:sz w:val="24"/>
          <w:u w:val="single"/>
        </w:rPr>
        <w:t xml:space="preserve">        </w:t>
      </w:r>
      <w:r>
        <w:rPr>
          <w:rFonts w:hint="eastAsia" w:ascii="仿宋" w:hAnsi="仿宋" w:cs="仿宋"/>
          <w:color w:val="auto"/>
          <w:sz w:val="24"/>
        </w:rPr>
        <w:t>%计算，最高限额为本合同总价的</w:t>
      </w:r>
      <w:r>
        <w:rPr>
          <w:rFonts w:hint="eastAsia" w:ascii="仿宋" w:hAnsi="仿宋" w:cs="仿宋"/>
          <w:color w:val="auto"/>
          <w:sz w:val="24"/>
          <w:u w:val="single"/>
        </w:rPr>
        <w:t xml:space="preserve">        </w:t>
      </w:r>
      <w:r>
        <w:rPr>
          <w:rFonts w:hint="eastAsia" w:ascii="仿宋" w:hAnsi="仿宋" w:cs="仿宋"/>
          <w:color w:val="auto"/>
          <w:sz w:val="24"/>
        </w:rPr>
        <w:t>%；迟延付款的违约金计算数额达到前述最高限额之日起，乙方有权在要求甲方支付违约金的同时，书面通知甲方解除本合同；</w:t>
      </w:r>
    </w:p>
    <w:p w14:paraId="6027CD68">
      <w:pPr>
        <w:spacing w:line="560" w:lineRule="exact"/>
        <w:ind w:firstLine="480" w:firstLineChars="200"/>
        <w:rPr>
          <w:rFonts w:ascii="仿宋" w:hAnsi="仿宋" w:cs="仿宋"/>
          <w:color w:val="auto"/>
          <w:sz w:val="24"/>
        </w:rPr>
      </w:pPr>
      <w:bookmarkStart w:id="254" w:name="_Toc26807"/>
      <w:bookmarkStart w:id="255" w:name="_Toc30329"/>
      <w:bookmarkStart w:id="256" w:name="_Toc32454"/>
      <w:bookmarkStart w:id="257" w:name="_Toc9497"/>
      <w:bookmarkStart w:id="258" w:name="_Toc18683"/>
      <w:r>
        <w:rPr>
          <w:rFonts w:hint="eastAsia" w:ascii="仿宋" w:hAnsi="仿宋" w:cs="仿宋"/>
          <w:color w:val="auto"/>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CF63932">
      <w:pPr>
        <w:spacing w:line="560" w:lineRule="exact"/>
        <w:ind w:firstLine="480" w:firstLineChars="200"/>
        <w:rPr>
          <w:rFonts w:ascii="仿宋" w:hAnsi="仿宋" w:cs="仿宋"/>
          <w:color w:val="auto"/>
          <w:sz w:val="24"/>
        </w:rPr>
      </w:pPr>
      <w:r>
        <w:rPr>
          <w:rFonts w:hint="eastAsia" w:ascii="仿宋" w:hAnsi="仿宋" w:cs="仿宋"/>
          <w:color w:val="auto"/>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3DEC808A">
      <w:pPr>
        <w:spacing w:line="560" w:lineRule="exact"/>
        <w:ind w:firstLine="480" w:firstLineChars="200"/>
        <w:rPr>
          <w:rFonts w:ascii="仿宋" w:hAnsi="仿宋" w:cs="仿宋"/>
          <w:color w:val="auto"/>
          <w:sz w:val="24"/>
        </w:rPr>
      </w:pPr>
      <w:r>
        <w:rPr>
          <w:rFonts w:hint="eastAsia" w:ascii="仿宋" w:hAnsi="仿宋" w:cs="仿宋"/>
          <w:color w:val="auto"/>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20C570D6">
      <w:pPr>
        <w:spacing w:line="560" w:lineRule="exact"/>
        <w:ind w:right="-420" w:rightChars="-200" w:firstLine="480" w:firstLineChars="200"/>
        <w:rPr>
          <w:rFonts w:ascii="仿宋" w:hAnsi="仿宋" w:cs="仿宋"/>
          <w:color w:val="auto"/>
        </w:rPr>
      </w:pPr>
      <w:r>
        <w:rPr>
          <w:rFonts w:hint="eastAsia" w:ascii="仿宋" w:hAnsi="仿宋" w:cs="仿宋"/>
          <w:color w:val="auto"/>
          <w:sz w:val="24"/>
        </w:rPr>
        <w:t>1.8.7违约责任</w:t>
      </w:r>
      <w:r>
        <w:rPr>
          <w:rFonts w:hint="eastAsia" w:ascii="仿宋" w:hAnsi="仿宋" w:cs="仿宋"/>
          <w:b/>
          <w:color w:val="auto"/>
          <w:sz w:val="24"/>
          <w:u w:val="single"/>
        </w:rPr>
        <w:t>合同专用条款</w:t>
      </w:r>
      <w:r>
        <w:rPr>
          <w:rFonts w:hint="eastAsia" w:ascii="仿宋" w:hAnsi="仿宋" w:cs="仿宋"/>
          <w:color w:val="auto"/>
          <w:sz w:val="24"/>
        </w:rPr>
        <w:t>另有约定的，从其约定。</w:t>
      </w:r>
    </w:p>
    <w:bookmarkEnd w:id="254"/>
    <w:bookmarkEnd w:id="255"/>
    <w:bookmarkEnd w:id="256"/>
    <w:bookmarkEnd w:id="257"/>
    <w:bookmarkEnd w:id="258"/>
    <w:p w14:paraId="5B05D157">
      <w:pPr>
        <w:spacing w:line="560" w:lineRule="exact"/>
        <w:ind w:firstLine="482" w:firstLineChars="200"/>
        <w:outlineLvl w:val="1"/>
        <w:rPr>
          <w:rFonts w:ascii="仿宋" w:hAnsi="仿宋" w:cs="仿宋"/>
          <w:b/>
          <w:color w:val="auto"/>
          <w:sz w:val="24"/>
        </w:rPr>
      </w:pPr>
      <w:bookmarkStart w:id="259" w:name="_Toc28375"/>
      <w:bookmarkStart w:id="260" w:name="_Toc16021"/>
      <w:bookmarkStart w:id="261" w:name="_Toc15583"/>
      <w:bookmarkStart w:id="262" w:name="_Toc31049"/>
      <w:bookmarkStart w:id="263" w:name="_Toc4790"/>
      <w:r>
        <w:rPr>
          <w:rFonts w:hint="eastAsia" w:ascii="仿宋" w:hAnsi="仿宋" w:cs="仿宋"/>
          <w:b/>
          <w:color w:val="auto"/>
          <w:sz w:val="24"/>
        </w:rPr>
        <w:t>1.9合同争议的解决</w:t>
      </w:r>
      <w:bookmarkEnd w:id="259"/>
      <w:bookmarkEnd w:id="260"/>
      <w:bookmarkEnd w:id="261"/>
      <w:bookmarkEnd w:id="262"/>
      <w:bookmarkEnd w:id="263"/>
    </w:p>
    <w:p w14:paraId="3D417F07">
      <w:pPr>
        <w:spacing w:line="560" w:lineRule="exact"/>
        <w:ind w:left="-61" w:leftChars="-29" w:right="-420" w:rightChars="-200" w:firstLine="240" w:firstLineChars="100"/>
        <w:rPr>
          <w:rFonts w:ascii="仿宋" w:hAnsi="仿宋" w:cs="仿宋"/>
          <w:color w:val="auto"/>
          <w:sz w:val="24"/>
        </w:rPr>
      </w:pPr>
      <w:r>
        <w:rPr>
          <w:rFonts w:hint="eastAsia" w:ascii="仿宋" w:hAnsi="仿宋" w:cs="仿宋"/>
          <w:color w:val="auto"/>
          <w:sz w:val="24"/>
        </w:rPr>
        <w:t xml:space="preserve">  本合同履行过程中发生的任何争议，双方当事人均可通过和解或者调解解决；不愿和解、调解或者和解、调解不成的，可以选择以下第</w:t>
      </w:r>
      <w:r>
        <w:rPr>
          <w:rFonts w:hint="eastAsia" w:ascii="仿宋" w:hAnsi="仿宋" w:cs="仿宋"/>
          <w:b/>
          <w:color w:val="auto"/>
          <w:sz w:val="24"/>
          <w:u w:val="single"/>
        </w:rPr>
        <w:t xml:space="preserve">      </w:t>
      </w:r>
      <w:r>
        <w:rPr>
          <w:rFonts w:hint="eastAsia" w:ascii="仿宋" w:hAnsi="仿宋" w:cs="仿宋"/>
          <w:color w:val="auto"/>
          <w:sz w:val="24"/>
        </w:rPr>
        <w:t>条款规定的方式解决：</w:t>
      </w:r>
    </w:p>
    <w:p w14:paraId="701D0C83">
      <w:pPr>
        <w:spacing w:line="560" w:lineRule="exact"/>
        <w:ind w:left="-420" w:leftChars="-200" w:right="-420" w:rightChars="-200" w:firstLine="600" w:firstLineChars="250"/>
        <w:rPr>
          <w:rFonts w:ascii="仿宋" w:hAnsi="仿宋" w:cs="仿宋"/>
          <w:color w:val="auto"/>
          <w:sz w:val="24"/>
        </w:rPr>
      </w:pPr>
      <w:r>
        <w:rPr>
          <w:rFonts w:hint="eastAsia" w:ascii="仿宋" w:hAnsi="仿宋" w:cs="仿宋"/>
          <w:color w:val="auto"/>
          <w:sz w:val="24"/>
        </w:rPr>
        <w:t>1.9.1 将争议提交</w:t>
      </w:r>
      <w:r>
        <w:rPr>
          <w:rFonts w:hint="eastAsia" w:ascii="仿宋" w:hAnsi="仿宋" w:cs="仿宋"/>
          <w:b/>
          <w:color w:val="auto"/>
          <w:sz w:val="24"/>
          <w:u w:val="single"/>
        </w:rPr>
        <w:t>合同专用条款</w:t>
      </w:r>
      <w:r>
        <w:rPr>
          <w:rFonts w:hint="eastAsia" w:ascii="仿宋" w:hAnsi="仿宋" w:cs="仿宋"/>
          <w:color w:val="auto"/>
          <w:sz w:val="24"/>
        </w:rPr>
        <w:t>仲裁委员会依申请仲裁时其现行有效的仲裁规则裁决；</w:t>
      </w:r>
    </w:p>
    <w:p w14:paraId="735B831F">
      <w:pPr>
        <w:spacing w:line="560" w:lineRule="exact"/>
        <w:ind w:left="-420" w:leftChars="-200" w:right="-420" w:rightChars="-200" w:firstLine="600" w:firstLineChars="250"/>
        <w:rPr>
          <w:rFonts w:ascii="仿宋" w:hAnsi="仿宋" w:cs="仿宋"/>
          <w:color w:val="auto"/>
          <w:sz w:val="24"/>
        </w:rPr>
      </w:pPr>
      <w:r>
        <w:rPr>
          <w:rFonts w:hint="eastAsia" w:ascii="仿宋" w:hAnsi="仿宋" w:cs="仿宋"/>
          <w:color w:val="auto"/>
          <w:sz w:val="24"/>
        </w:rPr>
        <w:t>1.9.2 向</w:t>
      </w:r>
      <w:r>
        <w:rPr>
          <w:rFonts w:hint="eastAsia" w:ascii="仿宋" w:hAnsi="仿宋" w:cs="仿宋"/>
          <w:b/>
          <w:color w:val="auto"/>
          <w:sz w:val="24"/>
          <w:u w:val="single"/>
        </w:rPr>
        <w:t>项目所在地</w:t>
      </w:r>
      <w:r>
        <w:rPr>
          <w:rFonts w:hint="eastAsia" w:ascii="仿宋" w:hAnsi="仿宋" w:cs="仿宋"/>
          <w:color w:val="auto"/>
          <w:sz w:val="24"/>
        </w:rPr>
        <w:t>人民法院起诉。</w:t>
      </w:r>
    </w:p>
    <w:p w14:paraId="6CE9CEAB">
      <w:pPr>
        <w:spacing w:line="560" w:lineRule="exact"/>
        <w:ind w:firstLine="482" w:firstLineChars="200"/>
        <w:outlineLvl w:val="1"/>
        <w:rPr>
          <w:rFonts w:ascii="仿宋" w:hAnsi="仿宋" w:cs="仿宋"/>
          <w:b/>
          <w:color w:val="auto"/>
          <w:sz w:val="24"/>
        </w:rPr>
      </w:pPr>
      <w:bookmarkStart w:id="264" w:name="_Toc25250"/>
      <w:bookmarkStart w:id="265" w:name="_Toc8195"/>
      <w:bookmarkStart w:id="266" w:name="_Toc7245"/>
      <w:bookmarkStart w:id="267" w:name="_Toc11173"/>
      <w:bookmarkStart w:id="268" w:name="_Toc15322"/>
      <w:r>
        <w:rPr>
          <w:rFonts w:hint="eastAsia" w:ascii="仿宋" w:hAnsi="仿宋" w:cs="仿宋"/>
          <w:b/>
          <w:color w:val="auto"/>
          <w:sz w:val="24"/>
        </w:rPr>
        <w:t>2.0 合同生效</w:t>
      </w:r>
      <w:bookmarkEnd w:id="264"/>
      <w:bookmarkEnd w:id="265"/>
      <w:bookmarkEnd w:id="266"/>
      <w:bookmarkEnd w:id="267"/>
      <w:bookmarkEnd w:id="268"/>
    </w:p>
    <w:p w14:paraId="16F84ABF">
      <w:pPr>
        <w:spacing w:line="560" w:lineRule="exact"/>
        <w:ind w:firstLine="480" w:firstLineChars="200"/>
        <w:rPr>
          <w:rFonts w:ascii="仿宋" w:hAnsi="仿宋" w:cs="仿宋"/>
          <w:b/>
          <w:color w:val="auto"/>
          <w:sz w:val="24"/>
        </w:rPr>
      </w:pPr>
      <w:r>
        <w:rPr>
          <w:rFonts w:hint="eastAsia" w:ascii="仿宋" w:hAnsi="仿宋" w:cs="仿宋"/>
          <w:color w:val="auto"/>
          <w:sz w:val="24"/>
        </w:rPr>
        <w:t>本合同自双方当事人盖章签字时生效。</w:t>
      </w:r>
    </w:p>
    <w:p w14:paraId="5FC1FE89">
      <w:pPr>
        <w:autoSpaceDE w:val="0"/>
        <w:autoSpaceDN w:val="0"/>
        <w:spacing w:line="520" w:lineRule="exact"/>
        <w:rPr>
          <w:rFonts w:ascii="仿宋" w:hAnsi="仿宋" w:cs="仿宋"/>
          <w:color w:val="auto"/>
          <w:sz w:val="24"/>
          <w:lang w:val="zh-CN"/>
        </w:rPr>
      </w:pPr>
      <w:r>
        <w:rPr>
          <w:rFonts w:hint="eastAsia" w:ascii="仿宋" w:hAnsi="仿宋" w:cs="仿宋"/>
          <w:b/>
          <w:color w:val="auto"/>
          <w:sz w:val="24"/>
          <w:lang w:val="zh-CN"/>
        </w:rPr>
        <w:t>甲方</w:t>
      </w:r>
      <w:r>
        <w:rPr>
          <w:rFonts w:hint="eastAsia" w:ascii="仿宋" w:hAnsi="仿宋" w:cs="仿宋"/>
          <w:color w:val="auto"/>
          <w:sz w:val="24"/>
          <w:lang w:val="zh-CN"/>
        </w:rPr>
        <w:t xml:space="preserve">：                             </w:t>
      </w:r>
      <w:r>
        <w:rPr>
          <w:rFonts w:hint="eastAsia" w:ascii="仿宋" w:hAnsi="仿宋" w:cs="仿宋"/>
          <w:b/>
          <w:color w:val="auto"/>
          <w:sz w:val="24"/>
          <w:lang w:val="zh-CN"/>
        </w:rPr>
        <w:t xml:space="preserve">      乙方</w:t>
      </w:r>
      <w:r>
        <w:rPr>
          <w:rFonts w:hint="eastAsia" w:ascii="仿宋" w:hAnsi="仿宋" w:cs="仿宋"/>
          <w:color w:val="auto"/>
          <w:sz w:val="24"/>
          <w:lang w:val="zh-CN"/>
        </w:rPr>
        <w:t>：</w:t>
      </w:r>
    </w:p>
    <w:p w14:paraId="63BCCB99">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统一社会信用代码：                        统一社会信用代码或身份证号码：</w:t>
      </w:r>
    </w:p>
    <w:p w14:paraId="0F4FCEDD">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住所：                                   住所：</w:t>
      </w:r>
    </w:p>
    <w:p w14:paraId="12952439">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法定代表人或                             法定代表人或</w:t>
      </w:r>
    </w:p>
    <w:p w14:paraId="41C2C976">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 xml:space="preserve">授权代表（签字）：                       授权代表（签字）： </w:t>
      </w:r>
    </w:p>
    <w:p w14:paraId="5545FFE1">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联系人：                                 联系人：</w:t>
      </w:r>
    </w:p>
    <w:p w14:paraId="2F8F8292">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约定送达地址：                           约定送达地址：</w:t>
      </w:r>
    </w:p>
    <w:p w14:paraId="494ABCAC">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邮政编码：                               邮政编码：</w:t>
      </w:r>
    </w:p>
    <w:p w14:paraId="12ECB05E">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 xml:space="preserve">电话：                                    电话： </w:t>
      </w:r>
    </w:p>
    <w:p w14:paraId="52B2FF8C">
      <w:pPr>
        <w:autoSpaceDE w:val="0"/>
        <w:autoSpaceDN w:val="0"/>
        <w:spacing w:line="520" w:lineRule="exact"/>
        <w:rPr>
          <w:rFonts w:ascii="仿宋" w:hAnsi="仿宋" w:cs="仿宋"/>
          <w:color w:val="auto"/>
          <w:sz w:val="24"/>
          <w:lang w:val="zh-CN"/>
        </w:rPr>
      </w:pPr>
      <w:r>
        <w:rPr>
          <w:rFonts w:hint="eastAsia" w:ascii="仿宋" w:hAnsi="仿宋" w:cs="仿宋"/>
          <w:color w:val="auto"/>
          <w:sz w:val="24"/>
          <w:lang w:val="zh-CN"/>
        </w:rPr>
        <w:t>传真：                                    传真：</w:t>
      </w:r>
    </w:p>
    <w:p w14:paraId="7BA20FAB">
      <w:pPr>
        <w:autoSpaceDE w:val="0"/>
        <w:autoSpaceDN w:val="0"/>
        <w:spacing w:line="520" w:lineRule="exact"/>
        <w:rPr>
          <w:rFonts w:ascii="仿宋" w:hAnsi="仿宋" w:cs="仿宋"/>
          <w:color w:val="auto"/>
          <w:sz w:val="24"/>
        </w:rPr>
      </w:pPr>
      <w:r>
        <w:rPr>
          <w:rFonts w:hint="eastAsia" w:ascii="仿宋" w:hAnsi="仿宋" w:cs="仿宋"/>
          <w:color w:val="auto"/>
          <w:sz w:val="24"/>
          <w:lang w:val="zh-CN"/>
        </w:rPr>
        <w:t>电子邮箱：                               电子邮箱：</w:t>
      </w:r>
    </w:p>
    <w:p w14:paraId="37C21FD0">
      <w:pPr>
        <w:autoSpaceDE w:val="0"/>
        <w:autoSpaceDN w:val="0"/>
        <w:spacing w:line="520" w:lineRule="exact"/>
        <w:rPr>
          <w:rFonts w:ascii="仿宋" w:hAnsi="仿宋" w:cs="仿宋"/>
          <w:color w:val="auto"/>
          <w:sz w:val="24"/>
        </w:rPr>
      </w:pPr>
      <w:r>
        <w:rPr>
          <w:rFonts w:hint="eastAsia" w:ascii="仿宋" w:hAnsi="仿宋" w:cs="仿宋"/>
          <w:color w:val="auto"/>
          <w:sz w:val="24"/>
        </w:rPr>
        <w:t xml:space="preserve">开户银行：                               开户银行： </w:t>
      </w:r>
    </w:p>
    <w:p w14:paraId="70600504">
      <w:pPr>
        <w:autoSpaceDE w:val="0"/>
        <w:autoSpaceDN w:val="0"/>
        <w:spacing w:line="520" w:lineRule="exact"/>
        <w:rPr>
          <w:rFonts w:ascii="仿宋" w:hAnsi="仿宋" w:cs="仿宋"/>
          <w:color w:val="auto"/>
          <w:sz w:val="24"/>
        </w:rPr>
      </w:pPr>
      <w:r>
        <w:rPr>
          <w:rFonts w:hint="eastAsia" w:ascii="仿宋" w:hAnsi="仿宋" w:cs="仿宋"/>
          <w:color w:val="auto"/>
          <w:sz w:val="24"/>
        </w:rPr>
        <w:t xml:space="preserve">开户名称：                               开户名称： </w:t>
      </w:r>
    </w:p>
    <w:p w14:paraId="2AC1CE83">
      <w:pPr>
        <w:autoSpaceDE w:val="0"/>
        <w:autoSpaceDN w:val="0"/>
        <w:spacing w:line="520" w:lineRule="exact"/>
        <w:rPr>
          <w:rFonts w:ascii="仿宋" w:hAnsi="仿宋" w:cs="仿宋"/>
          <w:color w:val="auto"/>
          <w:sz w:val="24"/>
        </w:rPr>
      </w:pPr>
      <w:r>
        <w:rPr>
          <w:rFonts w:hint="eastAsia" w:ascii="仿宋" w:hAnsi="仿宋" w:cs="仿宋"/>
          <w:color w:val="auto"/>
          <w:sz w:val="24"/>
        </w:rPr>
        <w:t>开户账号：</w:t>
      </w:r>
      <w:r>
        <w:rPr>
          <w:rFonts w:hint="eastAsia" w:ascii="仿宋" w:hAnsi="仿宋" w:cs="仿宋"/>
          <w:color w:val="auto"/>
          <w:sz w:val="24"/>
          <w:lang w:val="zh-CN"/>
        </w:rPr>
        <w:t xml:space="preserve">                               </w:t>
      </w:r>
      <w:r>
        <w:rPr>
          <w:rFonts w:hint="eastAsia" w:ascii="仿宋" w:hAnsi="仿宋" w:cs="仿宋"/>
          <w:color w:val="auto"/>
          <w:sz w:val="24"/>
        </w:rPr>
        <w:t>开户账号：</w:t>
      </w:r>
    </w:p>
    <w:p w14:paraId="0D585F13">
      <w:pPr>
        <w:widowControl/>
        <w:jc w:val="left"/>
        <w:rPr>
          <w:rFonts w:ascii="仿宋" w:hAnsi="仿宋" w:cs="仿宋"/>
          <w:b/>
          <w:color w:val="auto"/>
          <w:sz w:val="24"/>
        </w:rPr>
      </w:pPr>
      <w:r>
        <w:rPr>
          <w:rFonts w:hint="eastAsia" w:ascii="仿宋" w:hAnsi="仿宋" w:cs="仿宋"/>
          <w:b/>
          <w:color w:val="auto"/>
        </w:rPr>
        <w:br w:type="page"/>
      </w:r>
    </w:p>
    <w:p w14:paraId="3BA6EA19">
      <w:pPr>
        <w:pStyle w:val="227"/>
        <w:spacing w:line="560" w:lineRule="exact"/>
        <w:ind w:firstLine="482"/>
        <w:jc w:val="center"/>
        <w:rPr>
          <w:rFonts w:ascii="仿宋" w:hAnsi="仿宋" w:cs="仿宋"/>
          <w:b/>
          <w:color w:val="auto"/>
          <w:szCs w:val="24"/>
        </w:rPr>
      </w:pPr>
      <w:r>
        <w:rPr>
          <w:rFonts w:hint="eastAsia" w:ascii="仿宋" w:hAnsi="仿宋" w:cs="仿宋"/>
          <w:b/>
          <w:color w:val="auto"/>
          <w:szCs w:val="24"/>
        </w:rPr>
        <w:t>第二部分 合同一般条款</w:t>
      </w:r>
    </w:p>
    <w:p w14:paraId="7646D5C4">
      <w:pPr>
        <w:spacing w:line="560" w:lineRule="exact"/>
        <w:ind w:firstLine="482" w:firstLineChars="200"/>
        <w:outlineLvl w:val="1"/>
        <w:rPr>
          <w:rFonts w:ascii="仿宋" w:hAnsi="仿宋" w:cs="仿宋"/>
          <w:b/>
          <w:color w:val="auto"/>
          <w:sz w:val="24"/>
        </w:rPr>
      </w:pPr>
      <w:bookmarkStart w:id="269" w:name="_Toc8583"/>
      <w:bookmarkStart w:id="270" w:name="_Toc5228"/>
      <w:bookmarkStart w:id="271" w:name="_Toc14021"/>
      <w:bookmarkStart w:id="272" w:name="_Toc2197"/>
      <w:bookmarkStart w:id="273" w:name="_Toc25079"/>
      <w:bookmarkStart w:id="274" w:name="_Toc31297"/>
      <w:bookmarkStart w:id="275" w:name="_Toc19680"/>
      <w:r>
        <w:rPr>
          <w:rFonts w:hint="eastAsia" w:ascii="仿宋" w:hAnsi="仿宋" w:cs="仿宋"/>
          <w:b/>
          <w:color w:val="auto"/>
          <w:sz w:val="24"/>
        </w:rPr>
        <w:t>2.1 定义</w:t>
      </w:r>
      <w:bookmarkEnd w:id="269"/>
      <w:bookmarkEnd w:id="270"/>
      <w:bookmarkEnd w:id="271"/>
      <w:bookmarkEnd w:id="272"/>
      <w:bookmarkEnd w:id="273"/>
      <w:bookmarkEnd w:id="274"/>
      <w:bookmarkEnd w:id="275"/>
    </w:p>
    <w:p w14:paraId="0DEE2FD8">
      <w:pPr>
        <w:spacing w:line="560" w:lineRule="exact"/>
        <w:ind w:firstLine="480" w:firstLineChars="200"/>
        <w:rPr>
          <w:rFonts w:ascii="仿宋" w:hAnsi="仿宋" w:cs="仿宋"/>
          <w:color w:val="auto"/>
          <w:sz w:val="24"/>
        </w:rPr>
      </w:pPr>
      <w:r>
        <w:rPr>
          <w:rFonts w:hint="eastAsia" w:ascii="仿宋" w:hAnsi="仿宋" w:cs="仿宋"/>
          <w:color w:val="auto"/>
          <w:sz w:val="24"/>
        </w:rPr>
        <w:t>本合同中的下列词语应按以下内容进行解释：</w:t>
      </w:r>
    </w:p>
    <w:p w14:paraId="73204CDC">
      <w:pPr>
        <w:spacing w:line="560" w:lineRule="exact"/>
        <w:ind w:firstLine="480" w:firstLineChars="200"/>
        <w:rPr>
          <w:rFonts w:ascii="仿宋" w:hAnsi="仿宋" w:cs="仿宋"/>
          <w:color w:val="auto"/>
          <w:sz w:val="24"/>
        </w:rPr>
      </w:pPr>
      <w:r>
        <w:rPr>
          <w:rFonts w:hint="eastAsia" w:ascii="仿宋" w:hAnsi="仿宋" w:cs="仿宋"/>
          <w:color w:val="auto"/>
          <w:sz w:val="24"/>
        </w:rPr>
        <w:t>2.1.1 “合同”系指采购人和中标或成交供应商签订的载明双方当事人所达成的协议，并包括所有的附件、附录和构成合同的其他文件。</w:t>
      </w:r>
    </w:p>
    <w:p w14:paraId="5A84B546">
      <w:pPr>
        <w:spacing w:line="560" w:lineRule="exact"/>
        <w:ind w:firstLine="480" w:firstLineChars="200"/>
        <w:rPr>
          <w:rFonts w:ascii="仿宋" w:hAnsi="仿宋" w:cs="仿宋"/>
          <w:color w:val="auto"/>
          <w:sz w:val="24"/>
        </w:rPr>
      </w:pPr>
      <w:r>
        <w:rPr>
          <w:rFonts w:hint="eastAsia" w:ascii="仿宋" w:hAnsi="仿宋" w:cs="仿宋"/>
          <w:color w:val="auto"/>
          <w:sz w:val="24"/>
        </w:rPr>
        <w:t>2.1.2 “合同价”系指根据合同约定，中标或成交供应商在完全履行合同义务后，采购人应支付给中标或成交供应商的价格。</w:t>
      </w:r>
    </w:p>
    <w:p w14:paraId="3C32FC6A">
      <w:pPr>
        <w:spacing w:line="560" w:lineRule="exact"/>
        <w:ind w:firstLine="480" w:firstLineChars="200"/>
        <w:rPr>
          <w:rFonts w:ascii="仿宋" w:hAnsi="仿宋" w:cs="仿宋"/>
          <w:color w:val="auto"/>
          <w:sz w:val="24"/>
        </w:rPr>
      </w:pPr>
      <w:r>
        <w:rPr>
          <w:rFonts w:hint="eastAsia" w:ascii="仿宋" w:hAnsi="仿宋" w:cs="仿宋"/>
          <w:color w:val="auto"/>
          <w:sz w:val="24"/>
        </w:rPr>
        <w:t>2.1.3 “服务”系指中标或成交供应商根据合同约定应向采购人履行的除货物和工程以外的其他政府采购对象，包括采购人自身需要的服务和向社会公众提供的公共服务。</w:t>
      </w:r>
    </w:p>
    <w:p w14:paraId="4FCDF9CC">
      <w:pPr>
        <w:spacing w:line="560" w:lineRule="exact"/>
        <w:ind w:firstLine="480" w:firstLineChars="200"/>
        <w:rPr>
          <w:rFonts w:ascii="仿宋" w:hAnsi="仿宋" w:cs="仿宋"/>
          <w:color w:val="auto"/>
          <w:sz w:val="24"/>
        </w:rPr>
      </w:pPr>
      <w:r>
        <w:rPr>
          <w:rFonts w:hint="eastAsia" w:ascii="仿宋" w:hAnsi="仿宋" w:cs="仿宋"/>
          <w:color w:val="auto"/>
          <w:sz w:val="24"/>
        </w:rPr>
        <w:t>2.1.4 “甲方”系指与中标或成交供应商签署合同的采购人；采购人委托采购代理机构代表其与乙方签订合同的，采购人的授权委托书作为合同附件。</w:t>
      </w:r>
    </w:p>
    <w:p w14:paraId="06BDD1C4">
      <w:pPr>
        <w:spacing w:line="560" w:lineRule="exact"/>
        <w:ind w:firstLine="480" w:firstLineChars="200"/>
        <w:rPr>
          <w:rFonts w:ascii="仿宋" w:hAnsi="仿宋" w:cs="仿宋"/>
          <w:color w:val="auto"/>
          <w:sz w:val="24"/>
        </w:rPr>
      </w:pPr>
      <w:r>
        <w:rPr>
          <w:rFonts w:hint="eastAsia" w:ascii="仿宋" w:hAnsi="仿宋" w:cs="仿宋"/>
          <w:color w:val="auto"/>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55BBD098">
      <w:pPr>
        <w:spacing w:line="560" w:lineRule="exact"/>
        <w:ind w:firstLine="480" w:firstLineChars="200"/>
        <w:rPr>
          <w:rFonts w:ascii="仿宋" w:hAnsi="仿宋" w:cs="仿宋"/>
          <w:color w:val="auto"/>
          <w:sz w:val="24"/>
        </w:rPr>
      </w:pPr>
      <w:r>
        <w:rPr>
          <w:rFonts w:hint="eastAsia" w:ascii="仿宋" w:hAnsi="仿宋" w:cs="仿宋"/>
          <w:color w:val="auto"/>
          <w:sz w:val="24"/>
        </w:rPr>
        <w:t>2.1.6 “现场”系指合同约定提供服务的地点。</w:t>
      </w:r>
    </w:p>
    <w:p w14:paraId="56EFC1BB">
      <w:pPr>
        <w:spacing w:line="560" w:lineRule="exact"/>
        <w:ind w:firstLine="482" w:firstLineChars="200"/>
        <w:outlineLvl w:val="1"/>
        <w:rPr>
          <w:rFonts w:ascii="仿宋" w:hAnsi="仿宋" w:cs="仿宋"/>
          <w:b/>
          <w:color w:val="auto"/>
          <w:sz w:val="24"/>
        </w:rPr>
      </w:pPr>
      <w:bookmarkStart w:id="276" w:name="_Toc23289"/>
      <w:bookmarkStart w:id="277" w:name="_Toc16752"/>
      <w:bookmarkStart w:id="278" w:name="_Toc6220"/>
      <w:bookmarkStart w:id="279" w:name="_Toc19539"/>
      <w:bookmarkStart w:id="280" w:name="_Toc3769"/>
      <w:bookmarkStart w:id="281" w:name="_Toc31402"/>
      <w:bookmarkStart w:id="282" w:name="_Toc11795"/>
      <w:r>
        <w:rPr>
          <w:rFonts w:hint="eastAsia" w:ascii="仿宋" w:hAnsi="仿宋" w:cs="仿宋"/>
          <w:b/>
          <w:color w:val="auto"/>
          <w:sz w:val="24"/>
        </w:rPr>
        <w:t>2.2 技术规范</w:t>
      </w:r>
      <w:bookmarkEnd w:id="276"/>
      <w:bookmarkEnd w:id="277"/>
      <w:bookmarkEnd w:id="278"/>
      <w:bookmarkEnd w:id="279"/>
      <w:bookmarkEnd w:id="280"/>
      <w:bookmarkEnd w:id="281"/>
      <w:bookmarkEnd w:id="282"/>
    </w:p>
    <w:p w14:paraId="5AF729CF">
      <w:pPr>
        <w:spacing w:line="560" w:lineRule="exact"/>
        <w:ind w:firstLine="480" w:firstLineChars="200"/>
        <w:rPr>
          <w:rFonts w:ascii="仿宋" w:hAnsi="仿宋" w:cs="仿宋"/>
          <w:color w:val="auto"/>
          <w:sz w:val="24"/>
        </w:rPr>
      </w:pPr>
      <w:r>
        <w:rPr>
          <w:rFonts w:hint="eastAsia" w:ascii="仿宋" w:hAnsi="仿宋" w:cs="仿宋"/>
          <w:color w:val="auto"/>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74322400">
      <w:pPr>
        <w:spacing w:line="560" w:lineRule="exact"/>
        <w:ind w:firstLine="482" w:firstLineChars="200"/>
        <w:outlineLvl w:val="1"/>
        <w:rPr>
          <w:rFonts w:ascii="仿宋" w:hAnsi="仿宋" w:cs="仿宋"/>
          <w:b/>
          <w:color w:val="auto"/>
          <w:sz w:val="24"/>
        </w:rPr>
      </w:pPr>
      <w:bookmarkStart w:id="283" w:name="_Toc12412"/>
      <w:bookmarkStart w:id="284" w:name="_Toc13673"/>
      <w:bookmarkStart w:id="285" w:name="_Toc9161"/>
      <w:bookmarkStart w:id="286" w:name="_Toc4133"/>
      <w:bookmarkStart w:id="287" w:name="_Toc6990"/>
      <w:bookmarkStart w:id="288" w:name="_Toc32684"/>
      <w:bookmarkStart w:id="289" w:name="_Toc27945"/>
      <w:r>
        <w:rPr>
          <w:rFonts w:hint="eastAsia" w:ascii="仿宋" w:hAnsi="仿宋" w:cs="仿宋"/>
          <w:b/>
          <w:color w:val="auto"/>
          <w:sz w:val="24"/>
        </w:rPr>
        <w:t>2.3 知识产权</w:t>
      </w:r>
      <w:bookmarkEnd w:id="283"/>
      <w:bookmarkEnd w:id="284"/>
      <w:bookmarkEnd w:id="285"/>
      <w:bookmarkEnd w:id="286"/>
      <w:bookmarkEnd w:id="287"/>
      <w:bookmarkEnd w:id="288"/>
      <w:bookmarkEnd w:id="289"/>
    </w:p>
    <w:p w14:paraId="72FBD79A">
      <w:pPr>
        <w:spacing w:line="560" w:lineRule="exact"/>
        <w:ind w:firstLine="480" w:firstLineChars="200"/>
        <w:rPr>
          <w:rFonts w:ascii="仿宋" w:hAnsi="仿宋" w:cs="仿宋"/>
          <w:color w:val="auto"/>
          <w:sz w:val="24"/>
        </w:rPr>
      </w:pPr>
      <w:r>
        <w:rPr>
          <w:rFonts w:hint="eastAsia" w:ascii="仿宋" w:hAnsi="仿宋" w:cs="仿宋"/>
          <w:color w:val="auto"/>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7BD48F7A">
      <w:pPr>
        <w:spacing w:line="560" w:lineRule="exact"/>
        <w:ind w:firstLine="480" w:firstLineChars="200"/>
        <w:rPr>
          <w:rFonts w:ascii="仿宋" w:hAnsi="仿宋" w:cs="仿宋"/>
          <w:color w:val="auto"/>
          <w:sz w:val="24"/>
        </w:rPr>
      </w:pPr>
      <w:r>
        <w:rPr>
          <w:rFonts w:hint="eastAsia" w:ascii="仿宋" w:hAnsi="仿宋" w:cs="仿宋"/>
          <w:color w:val="auto"/>
          <w:sz w:val="24"/>
        </w:rPr>
        <w:t>2.3.2 合同涉及技术成果的归属和收益的分成办法的，详见</w:t>
      </w:r>
      <w:r>
        <w:rPr>
          <w:rFonts w:hint="eastAsia" w:ascii="仿宋" w:hAnsi="仿宋" w:cs="仿宋"/>
          <w:b/>
          <w:color w:val="auto"/>
          <w:sz w:val="24"/>
          <w:u w:val="single"/>
        </w:rPr>
        <w:t>合同专用条款</w:t>
      </w:r>
      <w:r>
        <w:rPr>
          <w:rFonts w:hint="eastAsia" w:ascii="仿宋" w:hAnsi="仿宋" w:cs="仿宋"/>
          <w:color w:val="auto"/>
          <w:sz w:val="24"/>
        </w:rPr>
        <w:t>。</w:t>
      </w:r>
    </w:p>
    <w:p w14:paraId="7657F77F">
      <w:pPr>
        <w:spacing w:line="560" w:lineRule="exact"/>
        <w:ind w:firstLine="482" w:firstLineChars="200"/>
        <w:rPr>
          <w:rFonts w:ascii="仿宋" w:hAnsi="仿宋" w:cs="仿宋"/>
          <w:b/>
          <w:color w:val="auto"/>
          <w:sz w:val="24"/>
        </w:rPr>
      </w:pPr>
      <w:r>
        <w:rPr>
          <w:rFonts w:hint="eastAsia" w:ascii="仿宋" w:hAnsi="仿宋" w:cs="仿宋"/>
          <w:b/>
          <w:color w:val="auto"/>
          <w:sz w:val="24"/>
        </w:rPr>
        <w:t>2.4 履约检查和问题反馈</w:t>
      </w:r>
    </w:p>
    <w:p w14:paraId="4BDA3F27">
      <w:pPr>
        <w:spacing w:line="560" w:lineRule="exact"/>
        <w:ind w:firstLine="480" w:firstLineChars="200"/>
        <w:rPr>
          <w:rFonts w:ascii="仿宋" w:hAnsi="仿宋" w:cs="仿宋"/>
          <w:color w:val="auto"/>
          <w:sz w:val="24"/>
        </w:rPr>
      </w:pPr>
      <w:r>
        <w:rPr>
          <w:rFonts w:hint="eastAsia" w:ascii="仿宋" w:hAnsi="仿宋" w:cs="仿宋"/>
          <w:color w:val="auto"/>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1D913C0E">
      <w:pPr>
        <w:spacing w:line="560" w:lineRule="exact"/>
        <w:ind w:firstLine="480" w:firstLineChars="200"/>
        <w:rPr>
          <w:rFonts w:ascii="仿宋" w:hAnsi="仿宋" w:cs="仿宋"/>
          <w:color w:val="auto"/>
          <w:sz w:val="24"/>
        </w:rPr>
      </w:pPr>
      <w:r>
        <w:rPr>
          <w:rFonts w:hint="eastAsia" w:ascii="仿宋" w:hAnsi="仿宋" w:cs="仿宋"/>
          <w:color w:val="auto"/>
          <w:sz w:val="24"/>
        </w:rPr>
        <w:t>2.4.2 合同履行期间，甲方有权将履行过程中出现的问题反馈给乙方，双方当事人应以书面形式约定需要完善和改进的内容。</w:t>
      </w:r>
    </w:p>
    <w:p w14:paraId="60B16B28">
      <w:pPr>
        <w:spacing w:line="560" w:lineRule="exact"/>
        <w:ind w:firstLine="482" w:firstLineChars="200"/>
        <w:outlineLvl w:val="1"/>
        <w:rPr>
          <w:rFonts w:ascii="仿宋" w:hAnsi="仿宋" w:cs="仿宋"/>
          <w:b/>
          <w:color w:val="auto"/>
          <w:sz w:val="24"/>
        </w:rPr>
      </w:pPr>
      <w:bookmarkStart w:id="290" w:name="_Toc26006"/>
      <w:bookmarkStart w:id="291" w:name="_Toc26555"/>
      <w:bookmarkStart w:id="292" w:name="_Toc22011"/>
      <w:bookmarkStart w:id="293" w:name="_Toc32670"/>
      <w:bookmarkStart w:id="294" w:name="_Toc5954"/>
      <w:bookmarkStart w:id="295" w:name="_Toc15447"/>
      <w:bookmarkStart w:id="296" w:name="_Toc31233"/>
      <w:r>
        <w:rPr>
          <w:rFonts w:hint="eastAsia" w:ascii="仿宋" w:hAnsi="仿宋" w:cs="仿宋"/>
          <w:b/>
          <w:color w:val="auto"/>
          <w:sz w:val="24"/>
        </w:rPr>
        <w:t>2.5 结算方式和付款条件</w:t>
      </w:r>
      <w:bookmarkEnd w:id="290"/>
      <w:bookmarkEnd w:id="291"/>
      <w:bookmarkEnd w:id="292"/>
      <w:bookmarkEnd w:id="293"/>
      <w:bookmarkEnd w:id="294"/>
      <w:bookmarkEnd w:id="295"/>
      <w:bookmarkEnd w:id="296"/>
    </w:p>
    <w:p w14:paraId="3CDCE9DA">
      <w:pPr>
        <w:spacing w:line="560" w:lineRule="exact"/>
        <w:ind w:firstLine="480" w:firstLineChars="200"/>
        <w:rPr>
          <w:rFonts w:ascii="仿宋" w:hAnsi="仿宋" w:cs="仿宋"/>
          <w:color w:val="auto"/>
          <w:sz w:val="24"/>
        </w:rPr>
      </w:pPr>
      <w:r>
        <w:rPr>
          <w:rFonts w:hint="eastAsia" w:ascii="仿宋" w:hAnsi="仿宋" w:cs="仿宋"/>
          <w:color w:val="auto"/>
          <w:sz w:val="24"/>
        </w:rPr>
        <w:t>详见</w:t>
      </w:r>
      <w:r>
        <w:rPr>
          <w:rFonts w:hint="eastAsia" w:ascii="仿宋" w:hAnsi="仿宋" w:cs="仿宋"/>
          <w:b/>
          <w:color w:val="auto"/>
          <w:sz w:val="24"/>
          <w:u w:val="single"/>
        </w:rPr>
        <w:t>合同专用条款</w:t>
      </w:r>
      <w:r>
        <w:rPr>
          <w:rFonts w:hint="eastAsia" w:ascii="仿宋" w:hAnsi="仿宋" w:cs="仿宋"/>
          <w:color w:val="auto"/>
          <w:sz w:val="24"/>
        </w:rPr>
        <w:t>。</w:t>
      </w:r>
    </w:p>
    <w:p w14:paraId="5D3B1BE4">
      <w:pPr>
        <w:spacing w:line="560" w:lineRule="exact"/>
        <w:ind w:firstLine="482" w:firstLineChars="200"/>
        <w:outlineLvl w:val="1"/>
        <w:rPr>
          <w:rFonts w:ascii="仿宋" w:hAnsi="仿宋" w:cs="仿宋"/>
          <w:b/>
          <w:color w:val="auto"/>
          <w:sz w:val="24"/>
        </w:rPr>
      </w:pPr>
      <w:bookmarkStart w:id="297" w:name="_Toc16163"/>
      <w:bookmarkStart w:id="298" w:name="_Toc30507"/>
      <w:bookmarkStart w:id="299" w:name="_Toc13154"/>
      <w:bookmarkStart w:id="300" w:name="_Toc232"/>
      <w:bookmarkStart w:id="301" w:name="_Toc9128"/>
      <w:bookmarkStart w:id="302" w:name="_Toc18990"/>
      <w:bookmarkStart w:id="303" w:name="_Toc13467"/>
      <w:r>
        <w:rPr>
          <w:rFonts w:hint="eastAsia" w:ascii="仿宋" w:hAnsi="仿宋" w:cs="仿宋"/>
          <w:b/>
          <w:color w:val="auto"/>
          <w:sz w:val="24"/>
        </w:rPr>
        <w:t>2.6 技术资料和保密义务</w:t>
      </w:r>
      <w:bookmarkEnd w:id="297"/>
      <w:bookmarkEnd w:id="298"/>
      <w:bookmarkEnd w:id="299"/>
      <w:bookmarkEnd w:id="300"/>
      <w:bookmarkEnd w:id="301"/>
      <w:bookmarkEnd w:id="302"/>
      <w:bookmarkEnd w:id="303"/>
    </w:p>
    <w:p w14:paraId="589B6B29">
      <w:pPr>
        <w:spacing w:line="560" w:lineRule="exact"/>
        <w:ind w:firstLine="480" w:firstLineChars="200"/>
        <w:rPr>
          <w:rFonts w:ascii="仿宋" w:hAnsi="仿宋" w:cs="仿宋"/>
          <w:color w:val="auto"/>
          <w:sz w:val="24"/>
        </w:rPr>
      </w:pPr>
      <w:r>
        <w:rPr>
          <w:rFonts w:hint="eastAsia" w:ascii="仿宋" w:hAnsi="仿宋" w:cs="仿宋"/>
          <w:color w:val="auto"/>
          <w:sz w:val="24"/>
        </w:rPr>
        <w:t>2.6.1 乙方有权依据合同约定和项目需要，向甲方了解有关情况，调阅有关资料等，甲方应予积极配合；</w:t>
      </w:r>
    </w:p>
    <w:p w14:paraId="7B1EC7C8">
      <w:pPr>
        <w:spacing w:line="560" w:lineRule="exact"/>
        <w:ind w:firstLine="480" w:firstLineChars="200"/>
        <w:rPr>
          <w:rFonts w:ascii="仿宋" w:hAnsi="仿宋" w:cs="仿宋"/>
          <w:color w:val="auto"/>
          <w:sz w:val="24"/>
        </w:rPr>
      </w:pPr>
      <w:r>
        <w:rPr>
          <w:rFonts w:hint="eastAsia" w:ascii="仿宋" w:hAnsi="仿宋" w:cs="仿宋"/>
          <w:color w:val="auto"/>
          <w:sz w:val="24"/>
        </w:rPr>
        <w:t>2.6.2 乙方有义务妥善保管和保护由甲方提供的前款信息和资料等；</w:t>
      </w:r>
    </w:p>
    <w:p w14:paraId="15269210">
      <w:pPr>
        <w:spacing w:line="560" w:lineRule="exact"/>
        <w:ind w:firstLine="480" w:firstLineChars="200"/>
        <w:rPr>
          <w:rFonts w:ascii="仿宋" w:hAnsi="仿宋" w:cs="仿宋"/>
          <w:color w:val="auto"/>
          <w:sz w:val="24"/>
        </w:rPr>
      </w:pPr>
      <w:r>
        <w:rPr>
          <w:rFonts w:hint="eastAsia" w:ascii="仿宋" w:hAnsi="仿宋" w:cs="仿宋"/>
          <w:color w:val="auto"/>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77B2189E">
      <w:pPr>
        <w:spacing w:line="560" w:lineRule="exact"/>
        <w:ind w:firstLine="482" w:firstLineChars="200"/>
        <w:outlineLvl w:val="1"/>
        <w:rPr>
          <w:rFonts w:ascii="仿宋" w:hAnsi="仿宋" w:cs="仿宋"/>
          <w:b/>
          <w:color w:val="auto"/>
          <w:sz w:val="24"/>
        </w:rPr>
      </w:pPr>
      <w:bookmarkStart w:id="304" w:name="_Toc19069"/>
      <w:bookmarkStart w:id="305" w:name="_Toc4129"/>
      <w:bookmarkStart w:id="306" w:name="_Toc28724"/>
      <w:r>
        <w:rPr>
          <w:rFonts w:hint="eastAsia" w:ascii="仿宋" w:hAnsi="仿宋" w:cs="仿宋"/>
          <w:b/>
          <w:color w:val="auto"/>
          <w:sz w:val="24"/>
        </w:rPr>
        <w:t>2.7 质量保证</w:t>
      </w:r>
      <w:bookmarkEnd w:id="304"/>
      <w:bookmarkEnd w:id="305"/>
      <w:bookmarkEnd w:id="306"/>
    </w:p>
    <w:p w14:paraId="7FF59619">
      <w:pPr>
        <w:spacing w:line="560" w:lineRule="exact"/>
        <w:ind w:firstLine="480" w:firstLineChars="200"/>
        <w:rPr>
          <w:rFonts w:ascii="仿宋" w:hAnsi="仿宋" w:cs="仿宋"/>
          <w:color w:val="auto"/>
          <w:sz w:val="24"/>
        </w:rPr>
      </w:pPr>
      <w:r>
        <w:rPr>
          <w:rFonts w:hint="eastAsia" w:ascii="仿宋" w:hAnsi="仿宋" w:cs="仿宋"/>
          <w:color w:val="auto"/>
          <w:sz w:val="24"/>
        </w:rPr>
        <w:t>2.7.1 乙方应建立和完善履行合同的内部质量保证体系，并提供相关内部规章制度给甲方，以便甲方进行监督检查；</w:t>
      </w:r>
    </w:p>
    <w:p w14:paraId="57BCC786">
      <w:pPr>
        <w:spacing w:line="560" w:lineRule="exact"/>
        <w:ind w:firstLine="480" w:firstLineChars="200"/>
        <w:rPr>
          <w:rFonts w:ascii="仿宋" w:hAnsi="仿宋" w:cs="仿宋"/>
          <w:color w:val="auto"/>
          <w:sz w:val="24"/>
        </w:rPr>
      </w:pPr>
      <w:r>
        <w:rPr>
          <w:rFonts w:hint="eastAsia" w:ascii="仿宋" w:hAnsi="仿宋" w:cs="仿宋"/>
          <w:color w:val="auto"/>
          <w:sz w:val="24"/>
        </w:rPr>
        <w:t>2.7.2 乙方应保证履行合同的人员数量和素质、软件和硬件设备的配置、场地、环境和设施等满足全面履行合同的要求，并应接受甲方的监督检查。</w:t>
      </w:r>
    </w:p>
    <w:p w14:paraId="351821BD">
      <w:pPr>
        <w:spacing w:line="560" w:lineRule="exact"/>
        <w:ind w:firstLine="482" w:firstLineChars="200"/>
        <w:outlineLvl w:val="1"/>
        <w:rPr>
          <w:rFonts w:ascii="仿宋" w:hAnsi="仿宋" w:cs="仿宋"/>
          <w:b/>
          <w:color w:val="auto"/>
          <w:sz w:val="24"/>
        </w:rPr>
      </w:pPr>
      <w:bookmarkStart w:id="307" w:name="_Toc22267"/>
      <w:bookmarkStart w:id="308" w:name="_Toc9528"/>
      <w:bookmarkStart w:id="309" w:name="_Toc7782"/>
      <w:r>
        <w:rPr>
          <w:rFonts w:hint="eastAsia" w:ascii="仿宋" w:hAnsi="仿宋" w:cs="仿宋"/>
          <w:b/>
          <w:color w:val="auto"/>
          <w:sz w:val="24"/>
        </w:rPr>
        <w:t>2.8 延迟履行</w:t>
      </w:r>
      <w:bookmarkEnd w:id="307"/>
      <w:bookmarkEnd w:id="308"/>
      <w:bookmarkEnd w:id="309"/>
    </w:p>
    <w:p w14:paraId="10F676D6">
      <w:pPr>
        <w:spacing w:line="560" w:lineRule="exact"/>
        <w:ind w:firstLine="480" w:firstLineChars="200"/>
        <w:rPr>
          <w:rFonts w:ascii="仿宋" w:hAnsi="仿宋" w:cs="仿宋"/>
          <w:color w:val="auto"/>
          <w:sz w:val="24"/>
        </w:rPr>
      </w:pPr>
      <w:r>
        <w:rPr>
          <w:rFonts w:hint="eastAsia" w:ascii="仿宋" w:hAnsi="仿宋" w:cs="仿宋"/>
          <w:color w:val="auto"/>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674E46B8">
      <w:pPr>
        <w:spacing w:line="560" w:lineRule="exact"/>
        <w:ind w:firstLine="482" w:firstLineChars="200"/>
        <w:outlineLvl w:val="1"/>
        <w:rPr>
          <w:rFonts w:ascii="仿宋" w:hAnsi="仿宋" w:cs="仿宋"/>
          <w:b/>
          <w:color w:val="auto"/>
          <w:sz w:val="24"/>
        </w:rPr>
      </w:pPr>
      <w:bookmarkStart w:id="310" w:name="_Toc10611"/>
      <w:bookmarkStart w:id="311" w:name="_Toc26974"/>
      <w:bookmarkStart w:id="312" w:name="_Toc7798"/>
      <w:r>
        <w:rPr>
          <w:rFonts w:hint="eastAsia" w:ascii="仿宋" w:hAnsi="仿宋" w:cs="仿宋"/>
          <w:b/>
          <w:color w:val="auto"/>
          <w:sz w:val="24"/>
        </w:rPr>
        <w:t>2.9 合同变更</w:t>
      </w:r>
      <w:bookmarkEnd w:id="310"/>
      <w:bookmarkEnd w:id="311"/>
      <w:bookmarkEnd w:id="312"/>
    </w:p>
    <w:p w14:paraId="2E7F4DB2">
      <w:pPr>
        <w:spacing w:line="560" w:lineRule="exact"/>
        <w:ind w:firstLine="480" w:firstLineChars="200"/>
        <w:rPr>
          <w:rFonts w:ascii="仿宋" w:hAnsi="仿宋" w:cs="仿宋"/>
          <w:color w:val="auto"/>
          <w:sz w:val="24"/>
        </w:rPr>
      </w:pPr>
      <w:r>
        <w:rPr>
          <w:rFonts w:hint="eastAsia" w:ascii="仿宋" w:hAnsi="仿宋" w:cs="仿宋"/>
          <w:color w:val="auto"/>
          <w:sz w:val="24"/>
        </w:rPr>
        <w:t>合同继续履行将损害国家利益和社会公共利益的，双方当事人应当以书面形式变更合同。有过错的一方应当承担赔偿责任，双方当事人都有过错的，各自承担相应的责任。</w:t>
      </w:r>
    </w:p>
    <w:p w14:paraId="25A015EC">
      <w:pPr>
        <w:spacing w:line="560" w:lineRule="exact"/>
        <w:ind w:firstLine="482" w:firstLineChars="200"/>
        <w:outlineLvl w:val="1"/>
        <w:rPr>
          <w:rFonts w:ascii="仿宋" w:hAnsi="仿宋" w:cs="仿宋"/>
          <w:b/>
          <w:color w:val="auto"/>
          <w:sz w:val="24"/>
        </w:rPr>
      </w:pPr>
      <w:bookmarkStart w:id="313" w:name="_Toc42"/>
      <w:bookmarkStart w:id="314" w:name="_Toc21830"/>
      <w:bookmarkStart w:id="315" w:name="_Toc23368"/>
      <w:bookmarkStart w:id="316" w:name="_Toc26689"/>
      <w:bookmarkStart w:id="317" w:name="_Toc27613"/>
      <w:bookmarkStart w:id="318" w:name="_Toc28551"/>
      <w:bookmarkStart w:id="319" w:name="_Toc10663"/>
      <w:r>
        <w:rPr>
          <w:rFonts w:hint="eastAsia" w:ascii="仿宋" w:hAnsi="仿宋" w:cs="仿宋"/>
          <w:b/>
          <w:color w:val="auto"/>
          <w:sz w:val="24"/>
        </w:rPr>
        <w:t>2.10 合同转让和分包</w:t>
      </w:r>
      <w:bookmarkEnd w:id="313"/>
      <w:bookmarkEnd w:id="314"/>
      <w:bookmarkEnd w:id="315"/>
      <w:bookmarkEnd w:id="316"/>
      <w:bookmarkEnd w:id="317"/>
      <w:bookmarkEnd w:id="318"/>
      <w:bookmarkEnd w:id="319"/>
    </w:p>
    <w:p w14:paraId="6578B1D2">
      <w:pPr>
        <w:spacing w:line="560" w:lineRule="exact"/>
        <w:ind w:firstLine="480" w:firstLineChars="200"/>
        <w:rPr>
          <w:rFonts w:ascii="仿宋" w:hAnsi="仿宋" w:cs="仿宋"/>
          <w:color w:val="auto"/>
          <w:sz w:val="24"/>
        </w:rPr>
      </w:pPr>
      <w:r>
        <w:rPr>
          <w:rFonts w:hint="eastAsia" w:ascii="仿宋" w:hAnsi="仿宋" w:cs="仿宋"/>
          <w:color w:val="auto"/>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3474D4B5">
      <w:pPr>
        <w:spacing w:line="560" w:lineRule="exact"/>
        <w:ind w:firstLine="482" w:firstLineChars="200"/>
        <w:outlineLvl w:val="1"/>
        <w:rPr>
          <w:rFonts w:ascii="仿宋" w:hAnsi="仿宋" w:cs="仿宋"/>
          <w:b/>
          <w:color w:val="auto"/>
          <w:sz w:val="24"/>
        </w:rPr>
      </w:pPr>
      <w:bookmarkStart w:id="320" w:name="_Toc12456"/>
      <w:bookmarkStart w:id="321" w:name="_Toc32494"/>
      <w:bookmarkStart w:id="322" w:name="_Toc4720"/>
      <w:bookmarkStart w:id="323" w:name="_Toc28756"/>
      <w:bookmarkStart w:id="324" w:name="_Toc14371"/>
      <w:bookmarkStart w:id="325" w:name="_Toc26633"/>
      <w:bookmarkStart w:id="326" w:name="_Toc25571"/>
      <w:r>
        <w:rPr>
          <w:rFonts w:hint="eastAsia" w:ascii="仿宋" w:hAnsi="仿宋" w:cs="仿宋"/>
          <w:b/>
          <w:color w:val="auto"/>
          <w:sz w:val="24"/>
        </w:rPr>
        <w:t>2.11 不可抗力</w:t>
      </w:r>
      <w:bookmarkEnd w:id="320"/>
      <w:bookmarkEnd w:id="321"/>
      <w:bookmarkEnd w:id="322"/>
      <w:bookmarkEnd w:id="323"/>
      <w:bookmarkEnd w:id="324"/>
      <w:bookmarkEnd w:id="325"/>
      <w:bookmarkEnd w:id="326"/>
    </w:p>
    <w:p w14:paraId="27140B57">
      <w:pPr>
        <w:spacing w:line="560" w:lineRule="exact"/>
        <w:ind w:firstLine="480" w:firstLineChars="200"/>
        <w:rPr>
          <w:rFonts w:ascii="仿宋" w:hAnsi="仿宋" w:cs="仿宋"/>
          <w:color w:val="auto"/>
          <w:sz w:val="24"/>
        </w:rPr>
      </w:pPr>
      <w:r>
        <w:rPr>
          <w:rFonts w:hint="eastAsia" w:ascii="仿宋" w:hAnsi="仿宋" w:cs="仿宋"/>
          <w:color w:val="auto"/>
          <w:sz w:val="24"/>
        </w:rPr>
        <w:t>2.11.1如果任何一方遭遇法律规定的不可抗力，致使合同履行受阻时，履行合同的期限应予延长，延长的期限应相当于不可抗力所影响的时间；</w:t>
      </w:r>
    </w:p>
    <w:p w14:paraId="7817C879">
      <w:pPr>
        <w:spacing w:line="560" w:lineRule="exact"/>
        <w:ind w:firstLine="480" w:firstLineChars="200"/>
        <w:rPr>
          <w:rFonts w:ascii="仿宋" w:hAnsi="仿宋" w:cs="仿宋"/>
          <w:color w:val="auto"/>
          <w:sz w:val="24"/>
        </w:rPr>
      </w:pPr>
      <w:r>
        <w:rPr>
          <w:rFonts w:hint="eastAsia" w:ascii="仿宋" w:hAnsi="仿宋" w:cs="仿宋"/>
          <w:color w:val="auto"/>
          <w:sz w:val="24"/>
        </w:rPr>
        <w:t>2.11.1 因不可抗力致使不能实现合同目的的，当事人可以解除合同；</w:t>
      </w:r>
    </w:p>
    <w:p w14:paraId="4AAAD0FA">
      <w:pPr>
        <w:spacing w:line="560" w:lineRule="exact"/>
        <w:ind w:firstLine="480" w:firstLineChars="200"/>
        <w:rPr>
          <w:rFonts w:ascii="仿宋" w:hAnsi="仿宋" w:cs="仿宋"/>
          <w:color w:val="auto"/>
          <w:sz w:val="24"/>
        </w:rPr>
      </w:pPr>
      <w:r>
        <w:rPr>
          <w:rFonts w:hint="eastAsia" w:ascii="仿宋" w:hAnsi="仿宋" w:cs="仿宋"/>
          <w:color w:val="auto"/>
          <w:sz w:val="24"/>
        </w:rPr>
        <w:t>2.11.2 因不可抗力致使合同有变更必要的，双方当事人应在</w:t>
      </w:r>
      <w:r>
        <w:rPr>
          <w:rFonts w:hint="eastAsia" w:ascii="仿宋" w:hAnsi="仿宋" w:cs="仿宋"/>
          <w:b/>
          <w:color w:val="auto"/>
          <w:sz w:val="24"/>
          <w:u w:val="single"/>
        </w:rPr>
        <w:t>合同专用条款</w:t>
      </w:r>
      <w:r>
        <w:rPr>
          <w:rFonts w:hint="eastAsia" w:ascii="仿宋" w:hAnsi="仿宋" w:cs="仿宋"/>
          <w:color w:val="auto"/>
          <w:sz w:val="24"/>
        </w:rPr>
        <w:t>约定时间内以书面形式变更合同；</w:t>
      </w:r>
    </w:p>
    <w:p w14:paraId="1D363A84">
      <w:pPr>
        <w:spacing w:line="560" w:lineRule="exact"/>
        <w:ind w:firstLine="480" w:firstLineChars="200"/>
        <w:rPr>
          <w:rFonts w:ascii="仿宋" w:hAnsi="仿宋" w:cs="仿宋"/>
          <w:color w:val="auto"/>
          <w:sz w:val="24"/>
        </w:rPr>
      </w:pPr>
      <w:r>
        <w:rPr>
          <w:rFonts w:hint="eastAsia" w:ascii="仿宋" w:hAnsi="仿宋" w:cs="仿宋"/>
          <w:color w:val="auto"/>
          <w:sz w:val="24"/>
        </w:rPr>
        <w:t>2.11.4受不可抗力影响的一方在不可抗力发生后，应在</w:t>
      </w:r>
      <w:r>
        <w:rPr>
          <w:rFonts w:hint="eastAsia" w:ascii="仿宋" w:hAnsi="仿宋" w:cs="仿宋"/>
          <w:b/>
          <w:color w:val="auto"/>
          <w:sz w:val="24"/>
          <w:u w:val="single"/>
        </w:rPr>
        <w:t>合同专用条款</w:t>
      </w:r>
      <w:r>
        <w:rPr>
          <w:rFonts w:hint="eastAsia" w:ascii="仿宋" w:hAnsi="仿宋" w:cs="仿宋"/>
          <w:color w:val="auto"/>
          <w:sz w:val="24"/>
        </w:rPr>
        <w:t>约定时间内以书面形式通知对方当事人，并在</w:t>
      </w:r>
      <w:r>
        <w:rPr>
          <w:rFonts w:hint="eastAsia" w:ascii="仿宋" w:hAnsi="仿宋" w:cs="仿宋"/>
          <w:b/>
          <w:color w:val="auto"/>
          <w:sz w:val="24"/>
          <w:u w:val="single"/>
        </w:rPr>
        <w:t>合同专用条款</w:t>
      </w:r>
      <w:r>
        <w:rPr>
          <w:rFonts w:hint="eastAsia" w:ascii="仿宋" w:hAnsi="仿宋" w:cs="仿宋"/>
          <w:color w:val="auto"/>
          <w:sz w:val="24"/>
        </w:rPr>
        <w:t>约定时间内，将有关部门出具的证明文件送达对方当事人。</w:t>
      </w:r>
    </w:p>
    <w:p w14:paraId="700EA177">
      <w:pPr>
        <w:spacing w:line="560" w:lineRule="exact"/>
        <w:ind w:firstLine="482" w:firstLineChars="200"/>
        <w:outlineLvl w:val="1"/>
        <w:rPr>
          <w:rFonts w:ascii="仿宋" w:hAnsi="仿宋" w:cs="仿宋"/>
          <w:b/>
          <w:color w:val="auto"/>
          <w:sz w:val="24"/>
        </w:rPr>
      </w:pPr>
      <w:bookmarkStart w:id="327" w:name="_Toc23854"/>
      <w:bookmarkStart w:id="328" w:name="_Toc3638"/>
      <w:bookmarkStart w:id="329" w:name="_Toc20515"/>
      <w:bookmarkStart w:id="330" w:name="_Toc24465"/>
      <w:bookmarkStart w:id="331" w:name="_Toc14115"/>
      <w:bookmarkStart w:id="332" w:name="_Toc23706"/>
      <w:bookmarkStart w:id="333" w:name="_Toc25783"/>
      <w:r>
        <w:rPr>
          <w:rFonts w:hint="eastAsia" w:ascii="仿宋" w:hAnsi="仿宋" w:cs="仿宋"/>
          <w:b/>
          <w:color w:val="auto"/>
          <w:sz w:val="24"/>
        </w:rPr>
        <w:t>2.12 税费</w:t>
      </w:r>
      <w:bookmarkEnd w:id="327"/>
      <w:bookmarkEnd w:id="328"/>
      <w:bookmarkEnd w:id="329"/>
      <w:bookmarkEnd w:id="330"/>
      <w:bookmarkEnd w:id="331"/>
      <w:bookmarkEnd w:id="332"/>
      <w:bookmarkEnd w:id="333"/>
    </w:p>
    <w:p w14:paraId="12D9792D">
      <w:pPr>
        <w:spacing w:line="560" w:lineRule="exact"/>
        <w:ind w:firstLine="480" w:firstLineChars="200"/>
        <w:rPr>
          <w:rFonts w:ascii="仿宋" w:hAnsi="仿宋" w:cs="仿宋"/>
          <w:color w:val="auto"/>
          <w:sz w:val="24"/>
        </w:rPr>
      </w:pPr>
      <w:r>
        <w:rPr>
          <w:rFonts w:hint="eastAsia" w:ascii="仿宋" w:hAnsi="仿宋" w:cs="仿宋"/>
          <w:color w:val="auto"/>
          <w:sz w:val="24"/>
        </w:rPr>
        <w:t>与合同有关的一切税费，均按照中华人民共和国法律的相关规定缴纳。</w:t>
      </w:r>
    </w:p>
    <w:p w14:paraId="6120F47D">
      <w:pPr>
        <w:spacing w:line="560" w:lineRule="exact"/>
        <w:ind w:firstLine="482" w:firstLineChars="200"/>
        <w:outlineLvl w:val="1"/>
        <w:rPr>
          <w:rFonts w:ascii="仿宋" w:hAnsi="仿宋" w:cs="仿宋"/>
          <w:b/>
          <w:color w:val="auto"/>
          <w:sz w:val="24"/>
        </w:rPr>
      </w:pPr>
      <w:bookmarkStart w:id="334" w:name="_Toc7315"/>
      <w:bookmarkStart w:id="335" w:name="_Toc14814"/>
      <w:bookmarkStart w:id="336" w:name="_Toc25525"/>
      <w:bookmarkStart w:id="337" w:name="_Toc11189"/>
      <w:bookmarkStart w:id="338" w:name="_Toc26883"/>
      <w:bookmarkStart w:id="339" w:name="_Toc30105"/>
      <w:bookmarkStart w:id="340" w:name="_Toc28684"/>
      <w:r>
        <w:rPr>
          <w:rFonts w:hint="eastAsia" w:ascii="仿宋" w:hAnsi="仿宋" w:cs="仿宋"/>
          <w:b/>
          <w:color w:val="auto"/>
          <w:sz w:val="24"/>
        </w:rPr>
        <w:t>2.13 乙方破产</w:t>
      </w:r>
      <w:bookmarkEnd w:id="334"/>
      <w:bookmarkEnd w:id="335"/>
      <w:bookmarkEnd w:id="336"/>
      <w:bookmarkEnd w:id="337"/>
      <w:bookmarkEnd w:id="338"/>
      <w:bookmarkEnd w:id="339"/>
      <w:bookmarkEnd w:id="340"/>
    </w:p>
    <w:p w14:paraId="03DB790F">
      <w:pPr>
        <w:spacing w:line="560" w:lineRule="exact"/>
        <w:ind w:firstLine="480" w:firstLineChars="200"/>
        <w:rPr>
          <w:rFonts w:ascii="仿宋" w:hAnsi="仿宋" w:cs="仿宋"/>
          <w:color w:val="auto"/>
          <w:sz w:val="24"/>
        </w:rPr>
      </w:pPr>
      <w:r>
        <w:rPr>
          <w:rFonts w:hint="eastAsia" w:ascii="仿宋" w:hAnsi="仿宋" w:cs="仿宋"/>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4CC8B130">
      <w:pPr>
        <w:spacing w:line="560" w:lineRule="exact"/>
        <w:ind w:firstLine="482" w:firstLineChars="200"/>
        <w:outlineLvl w:val="1"/>
        <w:rPr>
          <w:rFonts w:ascii="仿宋" w:hAnsi="仿宋" w:cs="仿宋"/>
          <w:b/>
          <w:color w:val="auto"/>
          <w:sz w:val="24"/>
        </w:rPr>
      </w:pPr>
      <w:bookmarkStart w:id="341" w:name="_Toc1123"/>
      <w:bookmarkStart w:id="342" w:name="_Toc16331"/>
      <w:bookmarkStart w:id="343" w:name="_Toc2016"/>
      <w:bookmarkStart w:id="344" w:name="_Toc23323"/>
      <w:bookmarkStart w:id="345" w:name="_Toc24695"/>
      <w:r>
        <w:rPr>
          <w:rFonts w:hint="eastAsia" w:ascii="仿宋" w:hAnsi="仿宋" w:cs="仿宋"/>
          <w:b/>
          <w:color w:val="auto"/>
          <w:sz w:val="24"/>
        </w:rPr>
        <w:t>2.14 合同中止、终止</w:t>
      </w:r>
      <w:bookmarkEnd w:id="341"/>
      <w:bookmarkEnd w:id="342"/>
      <w:bookmarkEnd w:id="343"/>
      <w:bookmarkEnd w:id="344"/>
      <w:bookmarkEnd w:id="345"/>
    </w:p>
    <w:p w14:paraId="08B24BAA">
      <w:pPr>
        <w:spacing w:line="560" w:lineRule="exact"/>
        <w:ind w:firstLine="480" w:firstLineChars="200"/>
        <w:rPr>
          <w:rFonts w:ascii="仿宋" w:hAnsi="仿宋" w:cs="仿宋"/>
          <w:color w:val="auto"/>
          <w:sz w:val="24"/>
        </w:rPr>
      </w:pPr>
      <w:r>
        <w:rPr>
          <w:rFonts w:hint="eastAsia" w:ascii="仿宋" w:hAnsi="仿宋" w:cs="仿宋"/>
          <w:color w:val="auto"/>
          <w:sz w:val="24"/>
        </w:rPr>
        <w:t>2.14.1 双方当事人不得擅自中止或者终止合同；</w:t>
      </w:r>
    </w:p>
    <w:p w14:paraId="2341F1D2">
      <w:pPr>
        <w:spacing w:line="560" w:lineRule="exact"/>
        <w:ind w:firstLine="480" w:firstLineChars="200"/>
        <w:rPr>
          <w:rFonts w:ascii="仿宋" w:hAnsi="仿宋" w:cs="仿宋"/>
          <w:color w:val="auto"/>
          <w:sz w:val="24"/>
        </w:rPr>
      </w:pPr>
      <w:r>
        <w:rPr>
          <w:rFonts w:hint="eastAsia" w:ascii="仿宋" w:hAnsi="仿宋" w:cs="仿宋"/>
          <w:color w:val="auto"/>
          <w:sz w:val="24"/>
        </w:rPr>
        <w:t>2.14.2合同继续履行将损害国家利益和社会公共利益的，双方当事人应当中止或者终止合同。有过错的一方应当承担赔偿责任，双方当事人都有过错的，各自承担相应的责任。</w:t>
      </w:r>
    </w:p>
    <w:p w14:paraId="78F9C1B1">
      <w:pPr>
        <w:spacing w:line="560" w:lineRule="exact"/>
        <w:ind w:firstLine="482" w:firstLineChars="200"/>
        <w:outlineLvl w:val="1"/>
        <w:rPr>
          <w:rFonts w:ascii="仿宋" w:hAnsi="仿宋" w:cs="仿宋"/>
          <w:b/>
          <w:color w:val="auto"/>
          <w:sz w:val="24"/>
        </w:rPr>
      </w:pPr>
      <w:bookmarkStart w:id="346" w:name="_Toc1987"/>
      <w:bookmarkStart w:id="347" w:name="_Toc17363"/>
      <w:bookmarkStart w:id="348" w:name="_Toc1969"/>
      <w:bookmarkStart w:id="349" w:name="_Toc32055"/>
      <w:bookmarkStart w:id="350" w:name="_Toc14525"/>
      <w:r>
        <w:rPr>
          <w:rFonts w:hint="eastAsia" w:ascii="仿宋" w:hAnsi="仿宋" w:cs="仿宋"/>
          <w:b/>
          <w:color w:val="auto"/>
          <w:sz w:val="24"/>
        </w:rPr>
        <w:t>2.15 检验和验收</w:t>
      </w:r>
      <w:bookmarkEnd w:id="346"/>
      <w:bookmarkEnd w:id="347"/>
      <w:bookmarkEnd w:id="348"/>
      <w:bookmarkEnd w:id="349"/>
      <w:bookmarkEnd w:id="350"/>
    </w:p>
    <w:p w14:paraId="1C3E2D65">
      <w:pPr>
        <w:tabs>
          <w:tab w:val="left" w:pos="360"/>
          <w:tab w:val="left" w:pos="540"/>
          <w:tab w:val="left" w:pos="1080"/>
        </w:tabs>
        <w:spacing w:line="560" w:lineRule="exact"/>
        <w:ind w:firstLine="480" w:firstLineChars="200"/>
        <w:rPr>
          <w:rFonts w:ascii="仿宋" w:hAnsi="仿宋" w:cs="仿宋"/>
          <w:color w:val="auto"/>
          <w:sz w:val="24"/>
        </w:rPr>
      </w:pPr>
      <w:r>
        <w:rPr>
          <w:rFonts w:hint="eastAsia" w:ascii="仿宋" w:hAnsi="仿宋" w:cs="仿宋"/>
          <w:color w:val="auto"/>
          <w:sz w:val="24"/>
        </w:rPr>
        <w:t>2.15.1 乙方按照</w:t>
      </w:r>
      <w:r>
        <w:rPr>
          <w:rFonts w:hint="eastAsia" w:ascii="仿宋" w:hAnsi="仿宋" w:cs="仿宋"/>
          <w:b/>
          <w:color w:val="auto"/>
          <w:sz w:val="24"/>
          <w:u w:val="single"/>
        </w:rPr>
        <w:t>合同专用条款</w:t>
      </w:r>
      <w:r>
        <w:rPr>
          <w:rFonts w:hint="eastAsia" w:ascii="仿宋" w:hAnsi="仿宋" w:cs="仿宋"/>
          <w:color w:val="auto"/>
          <w:sz w:val="24"/>
        </w:rPr>
        <w:t>的约定，定期提交服务报告，甲方按照</w:t>
      </w:r>
      <w:r>
        <w:rPr>
          <w:rFonts w:hint="eastAsia" w:ascii="仿宋" w:hAnsi="仿宋" w:cs="仿宋"/>
          <w:b/>
          <w:color w:val="auto"/>
          <w:sz w:val="24"/>
          <w:u w:val="single"/>
        </w:rPr>
        <w:t>合同专用条款</w:t>
      </w:r>
      <w:r>
        <w:rPr>
          <w:rFonts w:hint="eastAsia" w:ascii="仿宋" w:hAnsi="仿宋" w:cs="仿宋"/>
          <w:color w:val="auto"/>
          <w:sz w:val="24"/>
        </w:rPr>
        <w:t>的约定进行定期验收；</w:t>
      </w:r>
    </w:p>
    <w:p w14:paraId="1D7F23F3">
      <w:pPr>
        <w:tabs>
          <w:tab w:val="left" w:pos="360"/>
          <w:tab w:val="left" w:pos="540"/>
          <w:tab w:val="left" w:pos="1080"/>
        </w:tabs>
        <w:spacing w:line="560" w:lineRule="exact"/>
        <w:ind w:firstLine="480" w:firstLineChars="200"/>
        <w:rPr>
          <w:rFonts w:ascii="仿宋" w:hAnsi="仿宋" w:cs="仿宋"/>
          <w:color w:val="auto"/>
          <w:sz w:val="24"/>
        </w:rPr>
      </w:pPr>
      <w:r>
        <w:rPr>
          <w:rFonts w:hint="eastAsia" w:ascii="仿宋" w:hAnsi="仿宋" w:cs="仿宋"/>
          <w:color w:val="auto"/>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3918EF20">
      <w:pPr>
        <w:tabs>
          <w:tab w:val="left" w:pos="360"/>
          <w:tab w:val="left" w:pos="540"/>
          <w:tab w:val="left" w:pos="1080"/>
        </w:tabs>
        <w:spacing w:line="560" w:lineRule="exact"/>
        <w:ind w:firstLine="480" w:firstLineChars="200"/>
        <w:rPr>
          <w:rFonts w:ascii="仿宋" w:hAnsi="仿宋" w:cs="仿宋"/>
          <w:color w:val="auto"/>
          <w:sz w:val="24"/>
        </w:rPr>
      </w:pPr>
      <w:r>
        <w:rPr>
          <w:rFonts w:hint="eastAsia" w:ascii="仿宋" w:hAnsi="仿宋" w:cs="仿宋"/>
          <w:color w:val="auto"/>
          <w:sz w:val="24"/>
        </w:rPr>
        <w:t>2.15.3 检验和验收标准、程序等具体内容以及前述验收书的效力详见</w:t>
      </w:r>
      <w:r>
        <w:rPr>
          <w:rFonts w:hint="eastAsia" w:ascii="仿宋" w:hAnsi="仿宋" w:cs="仿宋"/>
          <w:b/>
          <w:color w:val="auto"/>
          <w:sz w:val="24"/>
          <w:u w:val="single"/>
        </w:rPr>
        <w:t>合同专用条款</w:t>
      </w:r>
      <w:r>
        <w:rPr>
          <w:rFonts w:hint="eastAsia" w:ascii="仿宋" w:hAnsi="仿宋" w:cs="仿宋"/>
          <w:color w:val="auto"/>
          <w:sz w:val="24"/>
        </w:rPr>
        <w:t>。</w:t>
      </w:r>
    </w:p>
    <w:p w14:paraId="2736241E">
      <w:pPr>
        <w:spacing w:line="560" w:lineRule="exact"/>
        <w:ind w:firstLine="482" w:firstLineChars="200"/>
        <w:outlineLvl w:val="1"/>
        <w:rPr>
          <w:rFonts w:ascii="仿宋" w:hAnsi="仿宋" w:cs="仿宋"/>
          <w:b/>
          <w:color w:val="auto"/>
          <w:sz w:val="24"/>
        </w:rPr>
      </w:pPr>
      <w:bookmarkStart w:id="351" w:name="_Toc416"/>
      <w:bookmarkStart w:id="352" w:name="_Toc31892"/>
      <w:bookmarkStart w:id="353" w:name="_Toc2308"/>
      <w:bookmarkStart w:id="354" w:name="_Toc25198"/>
      <w:bookmarkStart w:id="355" w:name="_Toc9808"/>
      <w:bookmarkStart w:id="356" w:name="_Toc18910"/>
      <w:bookmarkStart w:id="357" w:name="_Toc12666"/>
      <w:r>
        <w:rPr>
          <w:rFonts w:hint="eastAsia" w:ascii="仿宋" w:hAnsi="仿宋" w:cs="仿宋"/>
          <w:b/>
          <w:color w:val="auto"/>
          <w:sz w:val="24"/>
        </w:rPr>
        <w:t>2.16 通知和送达</w:t>
      </w:r>
      <w:bookmarkEnd w:id="351"/>
      <w:bookmarkEnd w:id="352"/>
      <w:bookmarkEnd w:id="353"/>
      <w:bookmarkEnd w:id="354"/>
      <w:bookmarkEnd w:id="355"/>
      <w:bookmarkEnd w:id="356"/>
      <w:bookmarkEnd w:id="357"/>
    </w:p>
    <w:p w14:paraId="4963B012">
      <w:pPr>
        <w:spacing w:line="560" w:lineRule="exact"/>
        <w:ind w:firstLine="480" w:firstLineChars="200"/>
        <w:rPr>
          <w:rFonts w:ascii="仿宋" w:hAnsi="仿宋" w:cs="仿宋"/>
          <w:color w:val="auto"/>
          <w:sz w:val="24"/>
        </w:rPr>
      </w:pPr>
      <w:bookmarkStart w:id="358" w:name="_Toc18401"/>
      <w:bookmarkStart w:id="359" w:name="_Toc27674"/>
      <w:r>
        <w:rPr>
          <w:rFonts w:hint="eastAsia" w:ascii="仿宋" w:hAnsi="仿宋" w:cs="仿宋"/>
          <w:color w:val="auto"/>
          <w:sz w:val="24"/>
        </w:rPr>
        <w:t xml:space="preserve">2.17.1任何一方因履行合同而以合同第一部分尾部所列明的传真或电子邮件 </w:t>
      </w:r>
      <w:r>
        <w:rPr>
          <w:rFonts w:hint="eastAsia" w:ascii="仿宋" w:hAnsi="仿宋" w:cs="仿宋"/>
          <w:color w:val="auto"/>
          <w:sz w:val="24"/>
          <w:u w:val="single"/>
        </w:rPr>
        <w:t xml:space="preserve">       </w:t>
      </w:r>
      <w:r>
        <w:rPr>
          <w:rFonts w:hint="eastAsia" w:ascii="仿宋" w:hAnsi="仿宋" w:cs="仿宋"/>
          <w:color w:val="auto"/>
          <w:sz w:val="24"/>
        </w:rPr>
        <w:t>发出的所有通知、文件、材料，均视为已向对方当事人送达；任何一方变更上述送达方式或者地址的，应于</w:t>
      </w:r>
      <w:r>
        <w:rPr>
          <w:rFonts w:hint="eastAsia" w:ascii="仿宋" w:hAnsi="仿宋" w:cs="仿宋"/>
          <w:color w:val="auto"/>
          <w:sz w:val="24"/>
          <w:u w:val="single"/>
        </w:rPr>
        <w:t>3</w:t>
      </w:r>
      <w:r>
        <w:rPr>
          <w:rFonts w:hint="eastAsia" w:ascii="仿宋" w:hAnsi="仿宋" w:cs="仿宋"/>
          <w:color w:val="auto"/>
          <w:sz w:val="24"/>
        </w:rPr>
        <w:t>个工作日内书面通知对方当事人，在对方当事人收到有关变更通知之前，变更前的约定送达方式或者地址仍视为有效。</w:t>
      </w:r>
    </w:p>
    <w:p w14:paraId="775CF8E9">
      <w:pPr>
        <w:spacing w:line="560" w:lineRule="exact"/>
        <w:ind w:firstLine="480" w:firstLineChars="200"/>
        <w:rPr>
          <w:rFonts w:ascii="仿宋" w:hAnsi="仿宋" w:cs="仿宋"/>
          <w:color w:val="auto"/>
          <w:sz w:val="24"/>
        </w:rPr>
      </w:pPr>
      <w:r>
        <w:rPr>
          <w:rFonts w:hint="eastAsia" w:ascii="仿宋" w:hAnsi="仿宋" w:cs="仿宋"/>
          <w:color w:val="auto"/>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358"/>
      <w:bookmarkEnd w:id="359"/>
    </w:p>
    <w:p w14:paraId="44C5E19A">
      <w:pPr>
        <w:spacing w:line="560" w:lineRule="exact"/>
        <w:ind w:firstLine="482" w:firstLineChars="200"/>
        <w:outlineLvl w:val="1"/>
        <w:rPr>
          <w:rFonts w:ascii="仿宋" w:hAnsi="仿宋" w:cs="仿宋"/>
          <w:b/>
          <w:color w:val="auto"/>
          <w:sz w:val="24"/>
        </w:rPr>
      </w:pPr>
      <w:bookmarkStart w:id="360" w:name="_Toc27644"/>
      <w:bookmarkStart w:id="361" w:name="_Toc28906"/>
      <w:bookmarkStart w:id="362" w:name="_Toc12254"/>
      <w:bookmarkStart w:id="363" w:name="_Toc5063"/>
      <w:bookmarkStart w:id="364" w:name="_Toc20808"/>
      <w:bookmarkStart w:id="365" w:name="_Toc13906"/>
      <w:bookmarkStart w:id="366" w:name="_Toc375"/>
      <w:r>
        <w:rPr>
          <w:rFonts w:hint="eastAsia" w:ascii="仿宋" w:hAnsi="仿宋" w:cs="仿宋"/>
          <w:b/>
          <w:color w:val="auto"/>
          <w:sz w:val="24"/>
        </w:rPr>
        <w:t>2.17 合同使用的文字和适用的法律</w:t>
      </w:r>
      <w:bookmarkEnd w:id="360"/>
      <w:bookmarkEnd w:id="361"/>
      <w:bookmarkEnd w:id="362"/>
      <w:bookmarkEnd w:id="363"/>
      <w:bookmarkEnd w:id="364"/>
      <w:bookmarkEnd w:id="365"/>
      <w:bookmarkEnd w:id="366"/>
    </w:p>
    <w:p w14:paraId="7BDC479B">
      <w:pPr>
        <w:spacing w:line="560" w:lineRule="exact"/>
        <w:ind w:firstLine="480" w:firstLineChars="200"/>
        <w:rPr>
          <w:rFonts w:ascii="仿宋" w:hAnsi="仿宋" w:cs="仿宋"/>
          <w:color w:val="auto"/>
          <w:sz w:val="24"/>
        </w:rPr>
      </w:pPr>
      <w:r>
        <w:rPr>
          <w:rFonts w:hint="eastAsia" w:ascii="仿宋" w:hAnsi="仿宋" w:cs="仿宋"/>
          <w:color w:val="auto"/>
          <w:sz w:val="24"/>
        </w:rPr>
        <w:t>2.17.1 合同使用汉语书就、变更和解释；</w:t>
      </w:r>
    </w:p>
    <w:p w14:paraId="046FD14C">
      <w:pPr>
        <w:spacing w:line="560" w:lineRule="exact"/>
        <w:ind w:firstLine="480" w:firstLineChars="200"/>
        <w:rPr>
          <w:rFonts w:ascii="仿宋" w:hAnsi="仿宋" w:cs="仿宋"/>
          <w:color w:val="auto"/>
          <w:sz w:val="24"/>
        </w:rPr>
      </w:pPr>
      <w:r>
        <w:rPr>
          <w:rFonts w:hint="eastAsia" w:ascii="仿宋" w:hAnsi="仿宋" w:cs="仿宋"/>
          <w:color w:val="auto"/>
          <w:sz w:val="24"/>
        </w:rPr>
        <w:t>2.17.2 合同适用中华人民共和国法律。</w:t>
      </w:r>
    </w:p>
    <w:p w14:paraId="14FF5D5B">
      <w:pPr>
        <w:spacing w:line="560" w:lineRule="exact"/>
        <w:ind w:firstLine="482" w:firstLineChars="200"/>
        <w:outlineLvl w:val="1"/>
        <w:rPr>
          <w:rFonts w:ascii="仿宋" w:hAnsi="仿宋" w:cs="仿宋"/>
          <w:b/>
          <w:color w:val="auto"/>
          <w:sz w:val="24"/>
        </w:rPr>
      </w:pPr>
      <w:bookmarkStart w:id="367" w:name="_Toc18540"/>
      <w:bookmarkStart w:id="368" w:name="_Toc15649"/>
      <w:bookmarkStart w:id="369" w:name="_Toc4355"/>
      <w:bookmarkStart w:id="370" w:name="_Toc7335"/>
      <w:bookmarkStart w:id="371" w:name="_Toc30599"/>
      <w:r>
        <w:rPr>
          <w:rFonts w:hint="eastAsia" w:ascii="仿宋" w:hAnsi="仿宋" w:cs="仿宋"/>
          <w:b/>
          <w:color w:val="auto"/>
          <w:sz w:val="24"/>
        </w:rPr>
        <w:t>2.18 计量单位</w:t>
      </w:r>
      <w:bookmarkEnd w:id="367"/>
      <w:bookmarkEnd w:id="368"/>
      <w:bookmarkEnd w:id="369"/>
      <w:bookmarkEnd w:id="370"/>
      <w:bookmarkEnd w:id="371"/>
    </w:p>
    <w:p w14:paraId="52FEE2FC">
      <w:pPr>
        <w:spacing w:line="560" w:lineRule="exact"/>
        <w:ind w:firstLine="480" w:firstLineChars="200"/>
        <w:rPr>
          <w:rFonts w:ascii="仿宋" w:hAnsi="仿宋" w:cs="仿宋"/>
          <w:color w:val="auto"/>
          <w:sz w:val="24"/>
        </w:rPr>
      </w:pPr>
      <w:r>
        <w:rPr>
          <w:rFonts w:hint="eastAsia" w:ascii="仿宋" w:hAnsi="仿宋" w:cs="仿宋"/>
          <w:color w:val="auto"/>
          <w:sz w:val="24"/>
        </w:rPr>
        <w:t>除技术规范中另有规定外，合同的计量单位均使用国家法定计量单位。</w:t>
      </w:r>
    </w:p>
    <w:p w14:paraId="449AD8D0">
      <w:pPr>
        <w:spacing w:line="560" w:lineRule="exact"/>
        <w:ind w:firstLine="482" w:firstLineChars="200"/>
        <w:rPr>
          <w:rFonts w:ascii="仿宋" w:hAnsi="仿宋" w:cs="仿宋"/>
          <w:b/>
          <w:color w:val="auto"/>
          <w:sz w:val="24"/>
        </w:rPr>
      </w:pPr>
      <w:r>
        <w:rPr>
          <w:rFonts w:hint="eastAsia" w:ascii="仿宋" w:hAnsi="仿宋" w:cs="仿宋"/>
          <w:b/>
          <w:color w:val="auto"/>
          <w:sz w:val="24"/>
        </w:rPr>
        <w:t>2.19合同份数</w:t>
      </w:r>
    </w:p>
    <w:p w14:paraId="5CDEAAC4">
      <w:pPr>
        <w:spacing w:line="560" w:lineRule="exact"/>
        <w:ind w:firstLine="480" w:firstLineChars="200"/>
        <w:rPr>
          <w:rFonts w:ascii="仿宋" w:hAnsi="仿宋" w:cs="仿宋"/>
          <w:color w:val="auto"/>
          <w:sz w:val="24"/>
        </w:rPr>
      </w:pPr>
      <w:r>
        <w:rPr>
          <w:rFonts w:hint="eastAsia" w:ascii="仿宋" w:hAnsi="仿宋" w:cs="仿宋"/>
          <w:color w:val="auto"/>
          <w:sz w:val="24"/>
        </w:rPr>
        <w:t>合同份数按</w:t>
      </w:r>
      <w:r>
        <w:rPr>
          <w:rFonts w:hint="eastAsia" w:ascii="仿宋" w:hAnsi="仿宋" w:cs="仿宋"/>
          <w:b/>
          <w:color w:val="auto"/>
          <w:sz w:val="24"/>
          <w:u w:val="single"/>
        </w:rPr>
        <w:t>合同专用条款</w:t>
      </w:r>
      <w:r>
        <w:rPr>
          <w:rFonts w:hint="eastAsia" w:ascii="仿宋" w:hAnsi="仿宋" w:cs="仿宋"/>
          <w:color w:val="auto"/>
          <w:sz w:val="24"/>
        </w:rPr>
        <w:t>规定，每份均具有同等法律效力。</w:t>
      </w:r>
    </w:p>
    <w:p w14:paraId="6C90B9F3">
      <w:pPr>
        <w:spacing w:line="360" w:lineRule="auto"/>
        <w:jc w:val="center"/>
        <w:rPr>
          <w:rFonts w:ascii="仿宋" w:hAnsi="仿宋" w:cs="仿宋"/>
          <w:b/>
          <w:color w:val="auto"/>
          <w:sz w:val="24"/>
        </w:rPr>
      </w:pPr>
      <w:r>
        <w:rPr>
          <w:rFonts w:hint="eastAsia" w:ascii="仿宋" w:hAnsi="仿宋" w:cs="仿宋"/>
          <w:color w:val="auto"/>
          <w:kern w:val="0"/>
        </w:rPr>
        <w:br w:type="page"/>
      </w:r>
      <w:bookmarkStart w:id="372" w:name="_Toc331685784"/>
      <w:r>
        <w:rPr>
          <w:rFonts w:hint="eastAsia" w:ascii="仿宋" w:hAnsi="仿宋" w:cs="仿宋"/>
          <w:b/>
          <w:color w:val="auto"/>
          <w:sz w:val="24"/>
        </w:rPr>
        <w:t xml:space="preserve"> </w:t>
      </w:r>
      <w:bookmarkEnd w:id="372"/>
      <w:r>
        <w:rPr>
          <w:rFonts w:hint="eastAsia" w:ascii="仿宋" w:hAnsi="仿宋" w:cs="仿宋"/>
          <w:b/>
          <w:color w:val="auto"/>
          <w:sz w:val="24"/>
        </w:rPr>
        <w:t>第三部分  合同专用条款</w:t>
      </w:r>
    </w:p>
    <w:p w14:paraId="377C8353">
      <w:pPr>
        <w:spacing w:line="560" w:lineRule="exact"/>
        <w:ind w:left="-420" w:leftChars="-200" w:right="-420" w:rightChars="-200" w:firstLine="480" w:firstLineChars="200"/>
        <w:rPr>
          <w:rFonts w:ascii="仿宋" w:hAnsi="仿宋" w:cs="仿宋"/>
          <w:color w:val="auto"/>
        </w:rPr>
      </w:pPr>
      <w:r>
        <w:rPr>
          <w:rFonts w:hint="eastAsia" w:ascii="仿宋" w:hAnsi="仿宋" w:cs="仿宋"/>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49"/>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96"/>
        <w:gridCol w:w="7472"/>
      </w:tblGrid>
      <w:tr w14:paraId="751981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96" w:type="dxa"/>
            <w:tcBorders>
              <w:left w:val="single" w:color="auto" w:sz="4" w:space="0"/>
            </w:tcBorders>
            <w:vAlign w:val="center"/>
          </w:tcPr>
          <w:p w14:paraId="0443B476">
            <w:pPr>
              <w:spacing w:line="360" w:lineRule="auto"/>
              <w:jc w:val="center"/>
              <w:rPr>
                <w:rFonts w:ascii="仿宋" w:hAnsi="仿宋" w:cs="仿宋"/>
                <w:b/>
                <w:color w:val="auto"/>
                <w:sz w:val="24"/>
              </w:rPr>
            </w:pPr>
            <w:r>
              <w:rPr>
                <w:rFonts w:hint="eastAsia" w:ascii="仿宋" w:hAnsi="仿宋" w:cs="仿宋"/>
                <w:b/>
                <w:color w:val="auto"/>
                <w:sz w:val="24"/>
              </w:rPr>
              <w:t>条款号</w:t>
            </w:r>
          </w:p>
        </w:tc>
        <w:tc>
          <w:tcPr>
            <w:tcW w:w="7472" w:type="dxa"/>
            <w:vAlign w:val="center"/>
          </w:tcPr>
          <w:p w14:paraId="2D95827E">
            <w:pPr>
              <w:spacing w:line="360" w:lineRule="auto"/>
              <w:jc w:val="center"/>
              <w:rPr>
                <w:rFonts w:ascii="仿宋" w:hAnsi="仿宋" w:cs="仿宋"/>
                <w:b/>
                <w:color w:val="auto"/>
                <w:sz w:val="24"/>
              </w:rPr>
            </w:pPr>
            <w:r>
              <w:rPr>
                <w:rFonts w:hint="eastAsia" w:ascii="仿宋" w:hAnsi="仿宋" w:cs="仿宋"/>
                <w:b/>
                <w:color w:val="auto"/>
                <w:sz w:val="24"/>
              </w:rPr>
              <w:t>约定内容</w:t>
            </w:r>
          </w:p>
        </w:tc>
      </w:tr>
      <w:tr w14:paraId="0969BE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3E14FF47">
            <w:pPr>
              <w:spacing w:line="360" w:lineRule="auto"/>
              <w:rPr>
                <w:rFonts w:ascii="仿宋" w:hAnsi="仿宋" w:cs="仿宋"/>
                <w:color w:val="auto"/>
                <w:sz w:val="24"/>
              </w:rPr>
            </w:pPr>
            <w:r>
              <w:rPr>
                <w:rFonts w:hint="eastAsia" w:ascii="仿宋" w:hAnsi="仿宋" w:cs="仿宋"/>
                <w:color w:val="auto"/>
                <w:sz w:val="24"/>
              </w:rPr>
              <w:t>1.3.2</w:t>
            </w:r>
          </w:p>
        </w:tc>
        <w:tc>
          <w:tcPr>
            <w:tcW w:w="7472" w:type="dxa"/>
            <w:vAlign w:val="center"/>
          </w:tcPr>
          <w:p w14:paraId="00C5D882">
            <w:pPr>
              <w:spacing w:line="360" w:lineRule="auto"/>
              <w:rPr>
                <w:rFonts w:ascii="仿宋" w:hAnsi="仿宋" w:cs="仿宋"/>
                <w:color w:val="auto"/>
                <w:sz w:val="24"/>
              </w:rPr>
            </w:pPr>
          </w:p>
        </w:tc>
      </w:tr>
      <w:tr w14:paraId="2BE0FA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6A6AA48B">
            <w:pPr>
              <w:spacing w:line="360" w:lineRule="auto"/>
              <w:rPr>
                <w:rFonts w:ascii="仿宋" w:hAnsi="仿宋" w:cs="仿宋"/>
                <w:color w:val="auto"/>
                <w:sz w:val="24"/>
              </w:rPr>
            </w:pPr>
            <w:r>
              <w:rPr>
                <w:rFonts w:hint="eastAsia" w:ascii="仿宋" w:hAnsi="仿宋" w:cs="仿宋"/>
                <w:color w:val="auto"/>
                <w:sz w:val="24"/>
              </w:rPr>
              <w:t>1.4.2</w:t>
            </w:r>
          </w:p>
        </w:tc>
        <w:tc>
          <w:tcPr>
            <w:tcW w:w="7472" w:type="dxa"/>
            <w:vAlign w:val="center"/>
          </w:tcPr>
          <w:p w14:paraId="242068B0">
            <w:pPr>
              <w:spacing w:line="360" w:lineRule="auto"/>
              <w:rPr>
                <w:rFonts w:ascii="仿宋" w:hAnsi="仿宋" w:cs="仿宋"/>
                <w:color w:val="auto"/>
                <w:sz w:val="24"/>
              </w:rPr>
            </w:pPr>
          </w:p>
        </w:tc>
      </w:tr>
      <w:tr w14:paraId="64E83D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301A34F2">
            <w:pPr>
              <w:spacing w:line="360" w:lineRule="auto"/>
              <w:rPr>
                <w:rFonts w:ascii="仿宋" w:hAnsi="仿宋" w:cs="仿宋"/>
                <w:color w:val="auto"/>
                <w:sz w:val="24"/>
              </w:rPr>
            </w:pPr>
            <w:r>
              <w:rPr>
                <w:rFonts w:hint="eastAsia" w:ascii="仿宋" w:hAnsi="仿宋" w:cs="仿宋"/>
                <w:color w:val="auto"/>
                <w:sz w:val="24"/>
              </w:rPr>
              <w:t xml:space="preserve">1.5.1 </w:t>
            </w:r>
          </w:p>
        </w:tc>
        <w:tc>
          <w:tcPr>
            <w:tcW w:w="7472" w:type="dxa"/>
            <w:vAlign w:val="center"/>
          </w:tcPr>
          <w:p w14:paraId="32BC1962">
            <w:pPr>
              <w:spacing w:line="360" w:lineRule="auto"/>
              <w:rPr>
                <w:rFonts w:ascii="仿宋" w:hAnsi="仿宋" w:cs="仿宋"/>
                <w:color w:val="auto"/>
                <w:sz w:val="24"/>
              </w:rPr>
            </w:pPr>
          </w:p>
        </w:tc>
      </w:tr>
      <w:tr w14:paraId="324C1D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3F950AA5">
            <w:pPr>
              <w:spacing w:line="360" w:lineRule="auto"/>
              <w:rPr>
                <w:rFonts w:ascii="仿宋" w:hAnsi="仿宋" w:cs="仿宋"/>
                <w:color w:val="auto"/>
                <w:sz w:val="24"/>
              </w:rPr>
            </w:pPr>
            <w:r>
              <w:rPr>
                <w:rFonts w:hint="eastAsia" w:ascii="仿宋" w:hAnsi="仿宋" w:cs="仿宋"/>
                <w:color w:val="auto"/>
                <w:sz w:val="24"/>
              </w:rPr>
              <w:t>1.5.2</w:t>
            </w:r>
          </w:p>
        </w:tc>
        <w:tc>
          <w:tcPr>
            <w:tcW w:w="7472" w:type="dxa"/>
            <w:vAlign w:val="center"/>
          </w:tcPr>
          <w:p w14:paraId="162A5E3B">
            <w:pPr>
              <w:spacing w:line="360" w:lineRule="auto"/>
              <w:rPr>
                <w:rFonts w:ascii="仿宋" w:hAnsi="仿宋" w:cs="仿宋"/>
                <w:color w:val="auto"/>
                <w:sz w:val="24"/>
              </w:rPr>
            </w:pPr>
          </w:p>
        </w:tc>
      </w:tr>
      <w:tr w14:paraId="3E387B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2D3ACD2E">
            <w:pPr>
              <w:spacing w:line="360" w:lineRule="auto"/>
              <w:rPr>
                <w:rFonts w:ascii="仿宋" w:hAnsi="仿宋" w:cs="仿宋"/>
                <w:color w:val="auto"/>
                <w:sz w:val="24"/>
              </w:rPr>
            </w:pPr>
            <w:r>
              <w:rPr>
                <w:rFonts w:hint="eastAsia" w:ascii="仿宋" w:hAnsi="仿宋" w:cs="仿宋"/>
                <w:color w:val="auto"/>
                <w:sz w:val="24"/>
              </w:rPr>
              <w:t xml:space="preserve">1.5.3 </w:t>
            </w:r>
          </w:p>
        </w:tc>
        <w:tc>
          <w:tcPr>
            <w:tcW w:w="7472" w:type="dxa"/>
            <w:vAlign w:val="center"/>
          </w:tcPr>
          <w:p w14:paraId="1DED740A">
            <w:pPr>
              <w:spacing w:line="360" w:lineRule="auto"/>
              <w:rPr>
                <w:rFonts w:ascii="仿宋" w:hAnsi="仿宋" w:cs="仿宋"/>
                <w:color w:val="auto"/>
                <w:sz w:val="24"/>
              </w:rPr>
            </w:pPr>
          </w:p>
        </w:tc>
      </w:tr>
      <w:tr w14:paraId="076E9F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769574EE">
            <w:pPr>
              <w:spacing w:line="360" w:lineRule="auto"/>
              <w:rPr>
                <w:rFonts w:ascii="仿宋" w:hAnsi="仿宋" w:cs="仿宋"/>
                <w:color w:val="auto"/>
                <w:sz w:val="24"/>
              </w:rPr>
            </w:pPr>
            <w:r>
              <w:rPr>
                <w:rFonts w:hint="eastAsia" w:ascii="仿宋" w:hAnsi="仿宋" w:cs="仿宋"/>
                <w:color w:val="auto"/>
                <w:sz w:val="24"/>
              </w:rPr>
              <w:t>1.6.2</w:t>
            </w:r>
          </w:p>
        </w:tc>
        <w:tc>
          <w:tcPr>
            <w:tcW w:w="7472" w:type="dxa"/>
            <w:vAlign w:val="center"/>
          </w:tcPr>
          <w:p w14:paraId="0A6A63F7">
            <w:pPr>
              <w:spacing w:line="360" w:lineRule="auto"/>
              <w:rPr>
                <w:rFonts w:ascii="仿宋" w:hAnsi="仿宋" w:cs="仿宋"/>
                <w:color w:val="auto"/>
                <w:sz w:val="24"/>
              </w:rPr>
            </w:pPr>
          </w:p>
        </w:tc>
      </w:tr>
      <w:tr w14:paraId="620B04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2BF65AC6">
            <w:pPr>
              <w:spacing w:line="360" w:lineRule="auto"/>
              <w:rPr>
                <w:rFonts w:ascii="仿宋" w:hAnsi="仿宋" w:cs="仿宋"/>
                <w:color w:val="auto"/>
                <w:sz w:val="24"/>
              </w:rPr>
            </w:pPr>
            <w:r>
              <w:rPr>
                <w:rFonts w:hint="eastAsia" w:ascii="仿宋" w:hAnsi="仿宋" w:cs="仿宋"/>
                <w:color w:val="auto"/>
                <w:sz w:val="24"/>
              </w:rPr>
              <w:t>1.7.1</w:t>
            </w:r>
          </w:p>
        </w:tc>
        <w:tc>
          <w:tcPr>
            <w:tcW w:w="7472" w:type="dxa"/>
            <w:vAlign w:val="center"/>
          </w:tcPr>
          <w:p w14:paraId="3CB29255">
            <w:pPr>
              <w:spacing w:line="360" w:lineRule="auto"/>
              <w:rPr>
                <w:rFonts w:ascii="仿宋" w:hAnsi="仿宋" w:cs="仿宋"/>
                <w:color w:val="auto"/>
                <w:sz w:val="24"/>
              </w:rPr>
            </w:pPr>
          </w:p>
        </w:tc>
      </w:tr>
      <w:tr w14:paraId="0DCE37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4187CBE3">
            <w:pPr>
              <w:spacing w:line="360" w:lineRule="auto"/>
              <w:rPr>
                <w:rFonts w:ascii="仿宋" w:hAnsi="仿宋" w:cs="仿宋"/>
                <w:color w:val="auto"/>
                <w:sz w:val="24"/>
              </w:rPr>
            </w:pPr>
            <w:r>
              <w:rPr>
                <w:rFonts w:hint="eastAsia" w:ascii="仿宋" w:hAnsi="仿宋" w:cs="仿宋"/>
                <w:color w:val="auto"/>
                <w:sz w:val="24"/>
              </w:rPr>
              <w:t>1.7.2</w:t>
            </w:r>
          </w:p>
        </w:tc>
        <w:tc>
          <w:tcPr>
            <w:tcW w:w="7472" w:type="dxa"/>
            <w:vAlign w:val="center"/>
          </w:tcPr>
          <w:p w14:paraId="7E32EF88">
            <w:pPr>
              <w:spacing w:line="360" w:lineRule="auto"/>
              <w:rPr>
                <w:rFonts w:ascii="仿宋" w:hAnsi="仿宋" w:cs="仿宋"/>
                <w:color w:val="auto"/>
                <w:sz w:val="24"/>
              </w:rPr>
            </w:pPr>
          </w:p>
        </w:tc>
      </w:tr>
      <w:tr w14:paraId="490B6F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4C4559E5">
            <w:pPr>
              <w:spacing w:line="360" w:lineRule="auto"/>
              <w:rPr>
                <w:rFonts w:ascii="仿宋" w:hAnsi="仿宋" w:cs="仿宋"/>
                <w:color w:val="auto"/>
                <w:sz w:val="24"/>
              </w:rPr>
            </w:pPr>
            <w:r>
              <w:rPr>
                <w:rFonts w:hint="eastAsia" w:ascii="仿宋" w:hAnsi="仿宋" w:cs="仿宋"/>
                <w:color w:val="auto"/>
                <w:sz w:val="24"/>
              </w:rPr>
              <w:t>1.7.3</w:t>
            </w:r>
          </w:p>
        </w:tc>
        <w:tc>
          <w:tcPr>
            <w:tcW w:w="7472" w:type="dxa"/>
            <w:vAlign w:val="center"/>
          </w:tcPr>
          <w:p w14:paraId="0C0BA255">
            <w:pPr>
              <w:spacing w:line="360" w:lineRule="auto"/>
              <w:rPr>
                <w:rFonts w:ascii="仿宋" w:hAnsi="仿宋" w:cs="仿宋"/>
                <w:color w:val="auto"/>
                <w:sz w:val="24"/>
              </w:rPr>
            </w:pPr>
          </w:p>
        </w:tc>
      </w:tr>
      <w:tr w14:paraId="25CEC2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539EC2EC">
            <w:pPr>
              <w:spacing w:line="360" w:lineRule="auto"/>
              <w:rPr>
                <w:rFonts w:ascii="仿宋" w:hAnsi="仿宋" w:cs="仿宋"/>
                <w:color w:val="auto"/>
                <w:sz w:val="24"/>
              </w:rPr>
            </w:pPr>
            <w:r>
              <w:rPr>
                <w:rFonts w:hint="eastAsia" w:ascii="仿宋" w:hAnsi="仿宋" w:cs="仿宋"/>
                <w:color w:val="auto"/>
                <w:sz w:val="24"/>
              </w:rPr>
              <w:t>1.7.4.1</w:t>
            </w:r>
          </w:p>
        </w:tc>
        <w:tc>
          <w:tcPr>
            <w:tcW w:w="7472" w:type="dxa"/>
            <w:vAlign w:val="center"/>
          </w:tcPr>
          <w:p w14:paraId="55F82D99">
            <w:pPr>
              <w:spacing w:line="360" w:lineRule="auto"/>
              <w:rPr>
                <w:rFonts w:ascii="仿宋" w:hAnsi="仿宋" w:cs="仿宋"/>
                <w:color w:val="auto"/>
                <w:sz w:val="24"/>
              </w:rPr>
            </w:pPr>
          </w:p>
        </w:tc>
      </w:tr>
      <w:tr w14:paraId="12B51E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7FE7AE44">
            <w:pPr>
              <w:spacing w:line="360" w:lineRule="auto"/>
              <w:rPr>
                <w:rFonts w:ascii="仿宋" w:hAnsi="仿宋" w:cs="仿宋"/>
                <w:color w:val="auto"/>
                <w:sz w:val="24"/>
              </w:rPr>
            </w:pPr>
            <w:r>
              <w:rPr>
                <w:rFonts w:hint="eastAsia" w:ascii="仿宋" w:hAnsi="仿宋" w:cs="仿宋"/>
                <w:color w:val="auto"/>
                <w:sz w:val="24"/>
              </w:rPr>
              <w:t>1.7.4.2</w:t>
            </w:r>
          </w:p>
        </w:tc>
        <w:tc>
          <w:tcPr>
            <w:tcW w:w="7472" w:type="dxa"/>
            <w:vAlign w:val="center"/>
          </w:tcPr>
          <w:p w14:paraId="276CAF92">
            <w:pPr>
              <w:spacing w:line="360" w:lineRule="auto"/>
              <w:rPr>
                <w:rFonts w:ascii="仿宋" w:hAnsi="仿宋" w:cs="仿宋"/>
                <w:color w:val="auto"/>
                <w:sz w:val="24"/>
              </w:rPr>
            </w:pPr>
          </w:p>
        </w:tc>
      </w:tr>
      <w:tr w14:paraId="33BC85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07AFF17C">
            <w:pPr>
              <w:spacing w:line="360" w:lineRule="auto"/>
              <w:rPr>
                <w:rFonts w:ascii="仿宋" w:hAnsi="仿宋" w:cs="仿宋"/>
                <w:color w:val="auto"/>
                <w:sz w:val="24"/>
              </w:rPr>
            </w:pPr>
            <w:r>
              <w:rPr>
                <w:rFonts w:hint="eastAsia" w:ascii="仿宋" w:hAnsi="仿宋" w:cs="仿宋"/>
                <w:color w:val="auto"/>
                <w:sz w:val="24"/>
              </w:rPr>
              <w:t>1.7.4.3</w:t>
            </w:r>
          </w:p>
        </w:tc>
        <w:tc>
          <w:tcPr>
            <w:tcW w:w="7472" w:type="dxa"/>
            <w:vAlign w:val="center"/>
          </w:tcPr>
          <w:p w14:paraId="6F5A7624">
            <w:pPr>
              <w:spacing w:line="360" w:lineRule="auto"/>
              <w:rPr>
                <w:rFonts w:ascii="仿宋" w:hAnsi="仿宋" w:cs="仿宋"/>
                <w:color w:val="auto"/>
                <w:sz w:val="24"/>
              </w:rPr>
            </w:pPr>
          </w:p>
        </w:tc>
      </w:tr>
      <w:tr w14:paraId="2E42C4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35C39B65">
            <w:pPr>
              <w:spacing w:line="360" w:lineRule="auto"/>
              <w:rPr>
                <w:rFonts w:ascii="仿宋" w:hAnsi="仿宋" w:cs="仿宋"/>
                <w:color w:val="auto"/>
                <w:sz w:val="24"/>
              </w:rPr>
            </w:pPr>
            <w:r>
              <w:rPr>
                <w:rFonts w:hint="eastAsia" w:ascii="仿宋" w:hAnsi="仿宋" w:cs="仿宋"/>
                <w:color w:val="auto"/>
                <w:sz w:val="24"/>
              </w:rPr>
              <w:t>1.8.7</w:t>
            </w:r>
          </w:p>
        </w:tc>
        <w:tc>
          <w:tcPr>
            <w:tcW w:w="7472" w:type="dxa"/>
            <w:vAlign w:val="center"/>
          </w:tcPr>
          <w:p w14:paraId="3B3D9ED8">
            <w:pPr>
              <w:spacing w:line="360" w:lineRule="auto"/>
              <w:rPr>
                <w:rFonts w:ascii="仿宋" w:hAnsi="仿宋" w:cs="仿宋"/>
                <w:color w:val="auto"/>
                <w:sz w:val="24"/>
              </w:rPr>
            </w:pPr>
          </w:p>
        </w:tc>
      </w:tr>
      <w:tr w14:paraId="5A3955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28E0FD68">
            <w:pPr>
              <w:spacing w:line="360" w:lineRule="auto"/>
              <w:rPr>
                <w:rFonts w:ascii="仿宋" w:hAnsi="仿宋" w:cs="仿宋"/>
                <w:color w:val="auto"/>
                <w:sz w:val="24"/>
              </w:rPr>
            </w:pPr>
            <w:r>
              <w:rPr>
                <w:rFonts w:hint="eastAsia" w:ascii="仿宋" w:hAnsi="仿宋" w:cs="仿宋"/>
                <w:color w:val="auto"/>
                <w:sz w:val="24"/>
              </w:rPr>
              <w:t>1.9.1</w:t>
            </w:r>
          </w:p>
        </w:tc>
        <w:tc>
          <w:tcPr>
            <w:tcW w:w="7472" w:type="dxa"/>
            <w:vAlign w:val="center"/>
          </w:tcPr>
          <w:p w14:paraId="2B8FACE9">
            <w:pPr>
              <w:spacing w:line="360" w:lineRule="auto"/>
              <w:rPr>
                <w:rFonts w:ascii="仿宋" w:hAnsi="仿宋" w:cs="仿宋"/>
                <w:color w:val="auto"/>
                <w:sz w:val="24"/>
              </w:rPr>
            </w:pPr>
          </w:p>
        </w:tc>
      </w:tr>
      <w:tr w14:paraId="509E5F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02CA7FCF">
            <w:pPr>
              <w:spacing w:line="360" w:lineRule="auto"/>
              <w:rPr>
                <w:rFonts w:ascii="仿宋" w:hAnsi="仿宋" w:cs="仿宋"/>
                <w:color w:val="auto"/>
                <w:sz w:val="24"/>
              </w:rPr>
            </w:pPr>
            <w:r>
              <w:rPr>
                <w:rFonts w:hint="eastAsia" w:ascii="仿宋" w:hAnsi="仿宋" w:cs="仿宋"/>
                <w:color w:val="auto"/>
                <w:sz w:val="24"/>
              </w:rPr>
              <w:t>1.9.2</w:t>
            </w:r>
          </w:p>
        </w:tc>
        <w:tc>
          <w:tcPr>
            <w:tcW w:w="7472" w:type="dxa"/>
            <w:vAlign w:val="center"/>
          </w:tcPr>
          <w:p w14:paraId="64AA0F57">
            <w:pPr>
              <w:spacing w:line="360" w:lineRule="auto"/>
              <w:rPr>
                <w:rFonts w:ascii="仿宋" w:hAnsi="仿宋" w:cs="仿宋"/>
                <w:color w:val="auto"/>
                <w:sz w:val="24"/>
              </w:rPr>
            </w:pPr>
          </w:p>
        </w:tc>
      </w:tr>
      <w:tr w14:paraId="5C2917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7CB9D6FD">
            <w:pPr>
              <w:spacing w:line="360" w:lineRule="auto"/>
              <w:rPr>
                <w:rFonts w:ascii="仿宋" w:hAnsi="仿宋" w:cs="仿宋"/>
                <w:color w:val="auto"/>
                <w:sz w:val="24"/>
              </w:rPr>
            </w:pPr>
            <w:r>
              <w:rPr>
                <w:rFonts w:hint="eastAsia" w:ascii="仿宋" w:hAnsi="仿宋" w:cs="仿宋"/>
                <w:color w:val="auto"/>
                <w:sz w:val="24"/>
              </w:rPr>
              <w:t>2.3.2</w:t>
            </w:r>
          </w:p>
        </w:tc>
        <w:tc>
          <w:tcPr>
            <w:tcW w:w="7472" w:type="dxa"/>
            <w:vAlign w:val="center"/>
          </w:tcPr>
          <w:p w14:paraId="3FDBF007">
            <w:pPr>
              <w:spacing w:line="360" w:lineRule="auto"/>
              <w:ind w:left="-420" w:leftChars="-200" w:right="-420" w:rightChars="-200" w:firstLine="480" w:firstLineChars="200"/>
              <w:rPr>
                <w:rFonts w:ascii="仿宋" w:hAnsi="仿宋" w:cs="仿宋"/>
                <w:color w:val="auto"/>
                <w:sz w:val="24"/>
              </w:rPr>
            </w:pPr>
          </w:p>
        </w:tc>
      </w:tr>
      <w:tr w14:paraId="42310C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2BB8FDFB">
            <w:pPr>
              <w:spacing w:line="360" w:lineRule="auto"/>
              <w:rPr>
                <w:rFonts w:ascii="仿宋" w:hAnsi="仿宋" w:cs="仿宋"/>
                <w:color w:val="auto"/>
                <w:sz w:val="24"/>
              </w:rPr>
            </w:pPr>
            <w:r>
              <w:rPr>
                <w:rFonts w:hint="eastAsia" w:ascii="仿宋" w:hAnsi="仿宋" w:cs="仿宋"/>
                <w:color w:val="auto"/>
                <w:sz w:val="24"/>
              </w:rPr>
              <w:t>2.5</w:t>
            </w:r>
          </w:p>
        </w:tc>
        <w:tc>
          <w:tcPr>
            <w:tcW w:w="7472" w:type="dxa"/>
            <w:vAlign w:val="center"/>
          </w:tcPr>
          <w:p w14:paraId="7702D93A">
            <w:pPr>
              <w:spacing w:line="360" w:lineRule="auto"/>
              <w:ind w:left="-420" w:leftChars="-200" w:right="-420" w:rightChars="-200" w:firstLine="480" w:firstLineChars="200"/>
              <w:rPr>
                <w:rFonts w:ascii="仿宋" w:hAnsi="仿宋" w:cs="仿宋"/>
                <w:color w:val="auto"/>
                <w:sz w:val="24"/>
              </w:rPr>
            </w:pPr>
          </w:p>
        </w:tc>
      </w:tr>
      <w:tr w14:paraId="52CC64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252D0B20">
            <w:pPr>
              <w:spacing w:line="360" w:lineRule="auto"/>
              <w:rPr>
                <w:rFonts w:ascii="仿宋" w:hAnsi="仿宋" w:cs="仿宋"/>
                <w:color w:val="auto"/>
                <w:sz w:val="24"/>
              </w:rPr>
            </w:pPr>
            <w:r>
              <w:rPr>
                <w:rFonts w:hint="eastAsia" w:ascii="仿宋" w:hAnsi="仿宋" w:cs="仿宋"/>
                <w:color w:val="auto"/>
                <w:sz w:val="24"/>
              </w:rPr>
              <w:t>2.11.2</w:t>
            </w:r>
          </w:p>
        </w:tc>
        <w:tc>
          <w:tcPr>
            <w:tcW w:w="7472" w:type="dxa"/>
            <w:vAlign w:val="center"/>
          </w:tcPr>
          <w:p w14:paraId="5DE493C3">
            <w:pPr>
              <w:spacing w:line="360" w:lineRule="auto"/>
              <w:rPr>
                <w:rFonts w:ascii="仿宋" w:hAnsi="仿宋" w:cs="仿宋"/>
                <w:color w:val="auto"/>
                <w:sz w:val="24"/>
              </w:rPr>
            </w:pPr>
          </w:p>
        </w:tc>
      </w:tr>
      <w:tr w14:paraId="01791A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tcPr>
          <w:p w14:paraId="3E834159">
            <w:pPr>
              <w:spacing w:line="360" w:lineRule="auto"/>
              <w:rPr>
                <w:rFonts w:ascii="仿宋" w:hAnsi="仿宋" w:cs="仿宋"/>
                <w:color w:val="auto"/>
                <w:sz w:val="24"/>
              </w:rPr>
            </w:pPr>
            <w:r>
              <w:rPr>
                <w:rFonts w:hint="eastAsia" w:ascii="仿宋" w:hAnsi="仿宋" w:cs="仿宋"/>
                <w:color w:val="auto"/>
                <w:sz w:val="24"/>
              </w:rPr>
              <w:t xml:space="preserve">2.11.4 </w:t>
            </w:r>
          </w:p>
        </w:tc>
        <w:tc>
          <w:tcPr>
            <w:tcW w:w="7472" w:type="dxa"/>
          </w:tcPr>
          <w:p w14:paraId="198DA14A">
            <w:pPr>
              <w:spacing w:line="360" w:lineRule="auto"/>
              <w:rPr>
                <w:rFonts w:ascii="仿宋" w:hAnsi="仿宋" w:cs="仿宋"/>
                <w:color w:val="auto"/>
                <w:sz w:val="24"/>
              </w:rPr>
            </w:pPr>
          </w:p>
        </w:tc>
      </w:tr>
      <w:tr w14:paraId="42902D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0979FE1D">
            <w:pPr>
              <w:spacing w:line="360" w:lineRule="auto"/>
              <w:rPr>
                <w:rFonts w:ascii="仿宋" w:hAnsi="仿宋" w:cs="仿宋"/>
                <w:color w:val="auto"/>
                <w:sz w:val="24"/>
              </w:rPr>
            </w:pPr>
            <w:r>
              <w:rPr>
                <w:rFonts w:hint="eastAsia" w:ascii="仿宋" w:hAnsi="仿宋" w:cs="仿宋"/>
                <w:color w:val="auto"/>
                <w:sz w:val="24"/>
              </w:rPr>
              <w:t>2.15.1</w:t>
            </w:r>
          </w:p>
        </w:tc>
        <w:tc>
          <w:tcPr>
            <w:tcW w:w="7472" w:type="dxa"/>
            <w:vAlign w:val="center"/>
          </w:tcPr>
          <w:p w14:paraId="54988614">
            <w:pPr>
              <w:spacing w:line="360" w:lineRule="auto"/>
              <w:rPr>
                <w:rFonts w:ascii="仿宋" w:hAnsi="仿宋" w:cs="仿宋"/>
                <w:color w:val="auto"/>
                <w:sz w:val="24"/>
              </w:rPr>
            </w:pPr>
          </w:p>
        </w:tc>
      </w:tr>
      <w:tr w14:paraId="20F19C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vAlign w:val="center"/>
          </w:tcPr>
          <w:p w14:paraId="4E476347">
            <w:pPr>
              <w:spacing w:line="360" w:lineRule="auto"/>
              <w:rPr>
                <w:rFonts w:ascii="仿宋" w:hAnsi="仿宋" w:cs="仿宋"/>
                <w:color w:val="auto"/>
                <w:sz w:val="24"/>
              </w:rPr>
            </w:pPr>
            <w:r>
              <w:rPr>
                <w:rFonts w:hint="eastAsia" w:ascii="仿宋" w:hAnsi="仿宋" w:cs="仿宋"/>
                <w:color w:val="auto"/>
                <w:sz w:val="24"/>
              </w:rPr>
              <w:t>2.15.3</w:t>
            </w:r>
          </w:p>
        </w:tc>
        <w:tc>
          <w:tcPr>
            <w:tcW w:w="7472" w:type="dxa"/>
            <w:vAlign w:val="center"/>
          </w:tcPr>
          <w:p w14:paraId="4A780357">
            <w:pPr>
              <w:spacing w:line="360" w:lineRule="auto"/>
              <w:rPr>
                <w:rFonts w:ascii="仿宋" w:hAnsi="仿宋" w:cs="仿宋"/>
                <w:color w:val="auto"/>
                <w:sz w:val="24"/>
              </w:rPr>
            </w:pPr>
          </w:p>
        </w:tc>
      </w:tr>
      <w:tr w14:paraId="6C837B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96" w:type="dxa"/>
            <w:tcBorders>
              <w:left w:val="single" w:color="auto" w:sz="4" w:space="0"/>
            </w:tcBorders>
          </w:tcPr>
          <w:p w14:paraId="22D5818B">
            <w:pPr>
              <w:spacing w:line="360" w:lineRule="auto"/>
              <w:rPr>
                <w:rFonts w:ascii="仿宋" w:hAnsi="仿宋" w:cs="仿宋"/>
                <w:color w:val="auto"/>
                <w:sz w:val="24"/>
              </w:rPr>
            </w:pPr>
            <w:r>
              <w:rPr>
                <w:rFonts w:hint="eastAsia" w:ascii="仿宋" w:hAnsi="仿宋" w:cs="仿宋"/>
                <w:color w:val="auto"/>
                <w:sz w:val="24"/>
              </w:rPr>
              <w:t>2.19</w:t>
            </w:r>
          </w:p>
        </w:tc>
        <w:tc>
          <w:tcPr>
            <w:tcW w:w="7472" w:type="dxa"/>
          </w:tcPr>
          <w:p w14:paraId="60CE18D0">
            <w:pPr>
              <w:spacing w:line="360" w:lineRule="auto"/>
              <w:rPr>
                <w:rFonts w:ascii="仿宋" w:hAnsi="仿宋" w:cs="仿宋"/>
                <w:color w:val="auto"/>
                <w:sz w:val="24"/>
              </w:rPr>
            </w:pPr>
          </w:p>
        </w:tc>
      </w:tr>
    </w:tbl>
    <w:p w14:paraId="0CA9A7CC">
      <w:pPr>
        <w:rPr>
          <w:rFonts w:ascii="仿宋" w:hAnsi="仿宋" w:cs="仿宋"/>
          <w:color w:val="auto"/>
        </w:rPr>
      </w:pPr>
    </w:p>
    <w:sectPr>
      <w:headerReference r:id="rId18" w:type="default"/>
      <w:footerReference r:id="rId19" w:type="default"/>
      <w:pgSz w:w="11906" w:h="16838"/>
      <w:pgMar w:top="1440" w:right="1797" w:bottom="1440" w:left="179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56439120-4531-4DD6-9EFB-EB6EB6987298}"/>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embedRegular r:id="rId2" w:fontKey="{831B122B-C442-4E8B-A6E3-F86C60049569}"/>
  </w:font>
  <w:font w:name="Arial Narrow">
    <w:altName w:val="Arial"/>
    <w:panose1 w:val="020B0606020202030204"/>
    <w:charset w:val="00"/>
    <w:family w:val="swiss"/>
    <w:pitch w:val="default"/>
    <w:sig w:usb0="00000000" w:usb1="00000000" w:usb2="00000000" w:usb3="00000000" w:csb0="2000009F" w:csb1="DFD7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auto"/>
    <w:pitch w:val="default"/>
    <w:sig w:usb0="00000001" w:usb1="080E0000" w:usb2="00000000" w:usb3="00000000" w:csb0="00040000" w:csb1="00000000"/>
    <w:embedRegular r:id="rId3" w:fontKey="{25C482CA-A2D6-4320-BBE5-46A9BCC28870}"/>
  </w:font>
  <w:font w:name="等线 Light">
    <w:panose1 w:val="02010600030101010101"/>
    <w:charset w:val="86"/>
    <w:family w:val="auto"/>
    <w:pitch w:val="default"/>
    <w:sig w:usb0="A00002BF" w:usb1="38CF7CFA" w:usb2="00000016" w:usb3="00000000" w:csb0="0004000F" w:csb1="00000000"/>
  </w:font>
  <w:font w:name="Times New (W1)">
    <w:altName w:val="Segoe Print"/>
    <w:panose1 w:val="00000000000000000000"/>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3F" w:usb3="00000000" w:csb0="003F01FF" w:csb1="00000000"/>
  </w:font>
  <w:font w:name="隶书">
    <w:altName w:val="微软雅黑"/>
    <w:panose1 w:val="0201050906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Arial (W1)">
    <w:altName w:val="Arial"/>
    <w:panose1 w:val="00000000000000000000"/>
    <w:charset w:val="00"/>
    <w:family w:val="swiss"/>
    <w:pitch w:val="default"/>
    <w:sig w:usb0="00000000" w:usb1="00000000" w:usb2="00000008" w:usb3="00000000" w:csb0="000001FF" w:csb1="00000000"/>
  </w:font>
  <w:font w:name="Verdana">
    <w:panose1 w:val="020B0604030504040204"/>
    <w:charset w:val="00"/>
    <w:family w:val="swiss"/>
    <w:pitch w:val="default"/>
    <w:sig w:usb0="A00006FF" w:usb1="4000205B" w:usb2="0000001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680412">
    <w:pPr>
      <w:pStyle w:val="3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A1691B">
    <w:pPr>
      <w:pStyle w:val="30"/>
      <w:ind w:right="360" w:firstLine="360"/>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914F9B">
    <w:pPr>
      <w:pStyle w:val="30"/>
      <w:ind w:right="360" w:firstLine="360"/>
      <w:jc w:val="right"/>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C5543F0">
                          <w:pPr>
                            <w:pStyle w:val="3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66</w:t>
                          </w:r>
                          <w:r>
                            <w:fldChar w:fldCharType="end"/>
                          </w:r>
                          <w:r>
                            <w:t xml:space="preserve"> 页</w:t>
                          </w:r>
                        </w:p>
                      </w:txbxContent>
                    </wps:txbx>
                    <wps:bodyPr vert="horz" wrap="none" lIns="0" tIns="0" rIns="0" bIns="0" anchor="t" anchorCtr="0">
                      <a:spAutoFit/>
                    </wps:bodyPr>
                  </wps:wsp>
                </a:graphicData>
              </a:graphic>
            </wp:anchor>
          </w:drawing>
        </mc:Choice>
        <mc:Fallback>
          <w:pict>
            <v:shape id="文本框 17"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6pebnPAAAABQEAAA8AAAAAAAAAAQAgAAAAIgAA&#10;AGRycy9kb3ducmV2LnhtbFBLAQIUABQAAAAIAIdO4kBwyxCy2AEAALQDAAAOAAAAAAAAAAEAIAAA&#10;AB4BAABkcnMvZTJvRG9jLnhtbFBLBQYAAAAABgAGAFkBAABoBQAAAAA=&#10;">
              <v:fill on="f" focussize="0,0"/>
              <v:stroke on="f"/>
              <v:imagedata o:title=""/>
              <o:lock v:ext="edit" aspectratio="f"/>
              <v:textbox inset="0mm,0mm,0mm,0mm" style="mso-fit-shape-to-text:t;">
                <w:txbxContent>
                  <w:p w14:paraId="6C5543F0">
                    <w:pPr>
                      <w:pStyle w:val="3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66</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54A9E0">
    <w:pPr>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C71566F">
                          <w:pPr>
                            <w:pStyle w:val="30"/>
                          </w:pPr>
                          <w:r>
                            <w:t xml:space="preserve">第 </w:t>
                          </w:r>
                          <w:r>
                            <w:fldChar w:fldCharType="begin"/>
                          </w:r>
                          <w:r>
                            <w:instrText xml:space="preserve"> PAGE  \* MERGEFORMAT </w:instrText>
                          </w:r>
                          <w:r>
                            <w:fldChar w:fldCharType="separate"/>
                          </w:r>
                          <w:r>
                            <w:t>27</w:t>
                          </w:r>
                          <w:r>
                            <w:fldChar w:fldCharType="end"/>
                          </w:r>
                          <w:r>
                            <w:t xml:space="preserve"> 页 共 </w:t>
                          </w:r>
                          <w:r>
                            <w:fldChar w:fldCharType="begin"/>
                          </w:r>
                          <w:r>
                            <w:instrText xml:space="preserve"> NUMPAGES  \* MERGEFORMAT </w:instrText>
                          </w:r>
                          <w:r>
                            <w:fldChar w:fldCharType="separate"/>
                          </w:r>
                          <w:r>
                            <w:t>29</w:t>
                          </w:r>
                          <w:r>
                            <w:fldChar w:fldCharType="end"/>
                          </w:r>
                          <w:r>
                            <w:t xml:space="preserve"> 页</w:t>
                          </w:r>
                        </w:p>
                      </w:txbxContent>
                    </wps:txbx>
                    <wps:bodyPr vert="horz" wrap="none" lIns="0" tIns="0" rIns="0" bIns="0" anchor="t" anchorCtr="0">
                      <a:spAutoFit/>
                    </wps:bodyPr>
                  </wps:wsp>
                </a:graphicData>
              </a:graphic>
            </wp:anchor>
          </w:drawing>
        </mc:Choice>
        <mc:Fallback>
          <w:pict>
            <v:shape id="文本框 1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B4nIHzXAQAAswMAAA4AAAAAAAAAAQAgAAAA&#10;HgEAAGRycy9lMm9Eb2MueG1sUEsFBgAAAAAGAAYAWQEAAGcFAAAAAA==&#10;">
              <v:fill on="f" focussize="0,0"/>
              <v:stroke on="f"/>
              <v:imagedata o:title=""/>
              <o:lock v:ext="edit" aspectratio="f"/>
              <v:textbox inset="0mm,0mm,0mm,0mm" style="mso-fit-shape-to-text:t;">
                <w:txbxContent>
                  <w:p w14:paraId="7C71566F">
                    <w:pPr>
                      <w:pStyle w:val="30"/>
                    </w:pPr>
                    <w:r>
                      <w:t xml:space="preserve">第 </w:t>
                    </w:r>
                    <w:r>
                      <w:fldChar w:fldCharType="begin"/>
                    </w:r>
                    <w:r>
                      <w:instrText xml:space="preserve"> PAGE  \* MERGEFORMAT </w:instrText>
                    </w:r>
                    <w:r>
                      <w:fldChar w:fldCharType="separate"/>
                    </w:r>
                    <w:r>
                      <w:t>27</w:t>
                    </w:r>
                    <w:r>
                      <w:fldChar w:fldCharType="end"/>
                    </w:r>
                    <w:r>
                      <w:t xml:space="preserve"> 页 共 </w:t>
                    </w:r>
                    <w:r>
                      <w:fldChar w:fldCharType="begin"/>
                    </w:r>
                    <w:r>
                      <w:instrText xml:space="preserve"> NUMPAGES  \* MERGEFORMAT </w:instrText>
                    </w:r>
                    <w:r>
                      <w:fldChar w:fldCharType="separate"/>
                    </w:r>
                    <w:r>
                      <w:t>29</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520E3A">
    <w:pPr>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0151A43">
                          <w:pPr>
                            <w:pStyle w:val="30"/>
                          </w:pPr>
                          <w:r>
                            <w:t xml:space="preserve">第 </w:t>
                          </w:r>
                          <w:r>
                            <w:fldChar w:fldCharType="begin"/>
                          </w:r>
                          <w:r>
                            <w:instrText xml:space="preserve"> PAGE  \* MERGEFORMAT </w:instrText>
                          </w:r>
                          <w:r>
                            <w:fldChar w:fldCharType="separate"/>
                          </w:r>
                          <w:r>
                            <w:t>26</w:t>
                          </w:r>
                          <w:r>
                            <w:fldChar w:fldCharType="end"/>
                          </w:r>
                          <w:r>
                            <w:t xml:space="preserve"> 页 共 </w:t>
                          </w:r>
                          <w:r>
                            <w:fldChar w:fldCharType="begin"/>
                          </w:r>
                          <w:r>
                            <w:instrText xml:space="preserve"> NUMPAGES  \* MERGEFORMAT </w:instrText>
                          </w:r>
                          <w:r>
                            <w:fldChar w:fldCharType="separate"/>
                          </w:r>
                          <w:r>
                            <w:t>28</w:t>
                          </w:r>
                          <w:r>
                            <w:fldChar w:fldCharType="end"/>
                          </w:r>
                          <w:r>
                            <w:t xml:space="preserve"> 页</w:t>
                          </w:r>
                        </w:p>
                      </w:txbxContent>
                    </wps:txbx>
                    <wps:bodyPr vert="horz" wrap="none" lIns="0" tIns="0" rIns="0" bIns="0" anchor="t" anchorCtr="0">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BNQwJLXAQAAswMAAA4AAAAAAAAAAQAgAAAA&#10;HgEAAGRycy9lMm9Eb2MueG1sUEsFBgAAAAAGAAYAWQEAAGcFAAAAAA==&#10;">
              <v:fill on="f" focussize="0,0"/>
              <v:stroke on="f"/>
              <v:imagedata o:title=""/>
              <o:lock v:ext="edit" aspectratio="f"/>
              <v:textbox inset="0mm,0mm,0mm,0mm" style="mso-fit-shape-to-text:t;">
                <w:txbxContent>
                  <w:p w14:paraId="00151A43">
                    <w:pPr>
                      <w:pStyle w:val="30"/>
                    </w:pPr>
                    <w:r>
                      <w:t xml:space="preserve">第 </w:t>
                    </w:r>
                    <w:r>
                      <w:fldChar w:fldCharType="begin"/>
                    </w:r>
                    <w:r>
                      <w:instrText xml:space="preserve"> PAGE  \* MERGEFORMAT </w:instrText>
                    </w:r>
                    <w:r>
                      <w:fldChar w:fldCharType="separate"/>
                    </w:r>
                    <w:r>
                      <w:t>26</w:t>
                    </w:r>
                    <w:r>
                      <w:fldChar w:fldCharType="end"/>
                    </w:r>
                    <w:r>
                      <w:t xml:space="preserve"> 页 共 </w:t>
                    </w:r>
                    <w:r>
                      <w:fldChar w:fldCharType="begin"/>
                    </w:r>
                    <w:r>
                      <w:instrText xml:space="preserve"> NUMPAGES  \* MERGEFORMAT </w:instrText>
                    </w:r>
                    <w:r>
                      <w:fldChar w:fldCharType="separate"/>
                    </w:r>
                    <w:r>
                      <w:t>28</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460C20">
    <w:pP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8111BBB">
                          <w:pPr>
                            <w:pStyle w:val="30"/>
                          </w:pPr>
                          <w:r>
                            <w:t xml:space="preserve">第 </w:t>
                          </w:r>
                          <w:r>
                            <w:fldChar w:fldCharType="begin"/>
                          </w:r>
                          <w:r>
                            <w:instrText xml:space="preserve"> PAGE  \* MERGEFORMAT </w:instrText>
                          </w:r>
                          <w:r>
                            <w:fldChar w:fldCharType="separate"/>
                          </w:r>
                          <w:r>
                            <w:t>29</w:t>
                          </w:r>
                          <w:r>
                            <w:fldChar w:fldCharType="end"/>
                          </w:r>
                          <w:r>
                            <w:t xml:space="preserve"> 页 共 </w:t>
                          </w:r>
                          <w:r>
                            <w:fldChar w:fldCharType="begin"/>
                          </w:r>
                          <w:r>
                            <w:instrText xml:space="preserve"> NUMPAGES  \* MERGEFORMAT </w:instrText>
                          </w:r>
                          <w:r>
                            <w:fldChar w:fldCharType="separate"/>
                          </w:r>
                          <w:r>
                            <w:t>31</w:t>
                          </w:r>
                          <w:r>
                            <w:fldChar w:fldCharType="end"/>
                          </w:r>
                          <w:r>
                            <w:t xml:space="preserve"> 页</w:t>
                          </w:r>
                        </w:p>
                      </w:txbxContent>
                    </wps:txbx>
                    <wps:bodyPr vert="horz" wrap="none" lIns="0" tIns="0" rIns="0" bIns="0" anchor="t" anchorCtr="0">
                      <a:spAutoFit/>
                    </wps:bodyPr>
                  </wps:wsp>
                </a:graphicData>
              </a:graphic>
            </wp:anchor>
          </w:drawing>
        </mc:Choice>
        <mc:Fallback>
          <w:pict>
            <v:shape id="文本框 13"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6pebnPAAAABQEAAA8AAAAAAAAAAQAgAAAAIgAA&#10;AGRycy9kb3ducmV2LnhtbFBLAQIUABQAAAAIAIdO4kANI+Hm2AEAALMDAAAOAAAAAAAAAAEAIAAA&#10;AB4BAABkcnMvZTJvRG9jLnhtbFBLBQYAAAAABgAGAFkBAABoBQAAAAA=&#10;">
              <v:fill on="f" focussize="0,0"/>
              <v:stroke on="f"/>
              <v:imagedata o:title=""/>
              <o:lock v:ext="edit" aspectratio="f"/>
              <v:textbox inset="0mm,0mm,0mm,0mm" style="mso-fit-shape-to-text:t;">
                <w:txbxContent>
                  <w:p w14:paraId="18111BBB">
                    <w:pPr>
                      <w:pStyle w:val="30"/>
                    </w:pPr>
                    <w:r>
                      <w:t xml:space="preserve">第 </w:t>
                    </w:r>
                    <w:r>
                      <w:fldChar w:fldCharType="begin"/>
                    </w:r>
                    <w:r>
                      <w:instrText xml:space="preserve"> PAGE  \* MERGEFORMAT </w:instrText>
                    </w:r>
                    <w:r>
                      <w:fldChar w:fldCharType="separate"/>
                    </w:r>
                    <w:r>
                      <w:t>29</w:t>
                    </w:r>
                    <w:r>
                      <w:fldChar w:fldCharType="end"/>
                    </w:r>
                    <w:r>
                      <w:t xml:space="preserve"> 页 共 </w:t>
                    </w:r>
                    <w:r>
                      <w:fldChar w:fldCharType="begin"/>
                    </w:r>
                    <w:r>
                      <w:instrText xml:space="preserve"> NUMPAGES  \* MERGEFORMAT </w:instrText>
                    </w:r>
                    <w:r>
                      <w:fldChar w:fldCharType="separate"/>
                    </w:r>
                    <w:r>
                      <w:t>31</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6C9FB0">
    <w:pP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8E71BF0">
                          <w:pPr>
                            <w:pStyle w:val="30"/>
                          </w:pPr>
                          <w:r>
                            <w:t xml:space="preserve">第 </w:t>
                          </w:r>
                          <w:r>
                            <w:fldChar w:fldCharType="begin"/>
                          </w:r>
                          <w:r>
                            <w:instrText xml:space="preserve"> PAGE  \* MERGEFORMAT </w:instrText>
                          </w:r>
                          <w:r>
                            <w:fldChar w:fldCharType="separate"/>
                          </w:r>
                          <w:r>
                            <w:t>28</w:t>
                          </w:r>
                          <w:r>
                            <w:fldChar w:fldCharType="end"/>
                          </w:r>
                          <w:r>
                            <w:t xml:space="preserve"> 页 共 </w:t>
                          </w:r>
                          <w:r>
                            <w:fldChar w:fldCharType="begin"/>
                          </w:r>
                          <w:r>
                            <w:instrText xml:space="preserve"> NUMPAGES  \* MERGEFORMAT </w:instrText>
                          </w:r>
                          <w:r>
                            <w:fldChar w:fldCharType="separate"/>
                          </w:r>
                          <w:r>
                            <w:t>30</w:t>
                          </w:r>
                          <w:r>
                            <w:fldChar w:fldCharType="end"/>
                          </w:r>
                          <w:r>
                            <w:t xml:space="preserve"> 页</w:t>
                          </w:r>
                        </w:p>
                      </w:txbxContent>
                    </wps:txbx>
                    <wps:bodyPr vert="horz" wrap="none" lIns="0" tIns="0" rIns="0" bIns="0" anchor="t" anchorCtr="0">
                      <a:spAutoFit/>
                    </wps:bodyPr>
                  </wps:wsp>
                </a:graphicData>
              </a:graphic>
            </wp:anchor>
          </w:drawing>
        </mc:Choice>
        <mc:Fallback>
          <w:pict>
            <v:shape id="文本框 14"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JN9KpPXAQAAtAMAAA4AAAAAAAAAAQAgAAAA&#10;HgEAAGRycy9lMm9Eb2MueG1sUEsFBgAAAAAGAAYAWQEAAGcFAAAAAA==&#10;">
              <v:fill on="f" focussize="0,0"/>
              <v:stroke on="f"/>
              <v:imagedata o:title=""/>
              <o:lock v:ext="edit" aspectratio="f"/>
              <v:textbox inset="0mm,0mm,0mm,0mm" style="mso-fit-shape-to-text:t;">
                <w:txbxContent>
                  <w:p w14:paraId="18E71BF0">
                    <w:pPr>
                      <w:pStyle w:val="30"/>
                    </w:pPr>
                    <w:r>
                      <w:t xml:space="preserve">第 </w:t>
                    </w:r>
                    <w:r>
                      <w:fldChar w:fldCharType="begin"/>
                    </w:r>
                    <w:r>
                      <w:instrText xml:space="preserve"> PAGE  \* MERGEFORMAT </w:instrText>
                    </w:r>
                    <w:r>
                      <w:fldChar w:fldCharType="separate"/>
                    </w:r>
                    <w:r>
                      <w:t>28</w:t>
                    </w:r>
                    <w:r>
                      <w:fldChar w:fldCharType="end"/>
                    </w:r>
                    <w:r>
                      <w:t xml:space="preserve"> 页 共 </w:t>
                    </w:r>
                    <w:r>
                      <w:fldChar w:fldCharType="begin"/>
                    </w:r>
                    <w:r>
                      <w:instrText xml:space="preserve"> NUMPAGES  \* MERGEFORMAT </w:instrText>
                    </w:r>
                    <w:r>
                      <w:fldChar w:fldCharType="separate"/>
                    </w:r>
                    <w:r>
                      <w:t>30</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809638">
    <w:pPr>
      <w:pStyle w:val="30"/>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74E8C31">
                          <w:pPr>
                            <w:pStyle w:val="30"/>
                          </w:pPr>
                          <w:r>
                            <w:t xml:space="preserve">第 </w:t>
                          </w:r>
                          <w:r>
                            <w:fldChar w:fldCharType="begin"/>
                          </w:r>
                          <w:r>
                            <w:instrText xml:space="preserve"> PAGE  \* MERGEFORMAT </w:instrText>
                          </w:r>
                          <w:r>
                            <w:fldChar w:fldCharType="separate"/>
                          </w:r>
                          <w:r>
                            <w:t>53</w:t>
                          </w:r>
                          <w:r>
                            <w:fldChar w:fldCharType="end"/>
                          </w:r>
                          <w:r>
                            <w:t xml:space="preserve"> 页 共 </w:t>
                          </w:r>
                          <w:r>
                            <w:fldChar w:fldCharType="begin"/>
                          </w:r>
                          <w:r>
                            <w:instrText xml:space="preserve"> NUMPAGES  \* MERGEFORMAT </w:instrText>
                          </w:r>
                          <w:r>
                            <w:fldChar w:fldCharType="separate"/>
                          </w:r>
                          <w:r>
                            <w:t>55</w:t>
                          </w:r>
                          <w:r>
                            <w:fldChar w:fldCharType="end"/>
                          </w:r>
                          <w:r>
                            <w:t xml:space="preserve"> 页</w:t>
                          </w:r>
                        </w:p>
                      </w:txbxContent>
                    </wps:txbx>
                    <wps:bodyPr vert="horz" wrap="none" lIns="0" tIns="0" rIns="0" bIns="0" anchor="t" anchorCtr="0">
                      <a:spAutoFit/>
                    </wps:bodyPr>
                  </wps:wsp>
                </a:graphicData>
              </a:graphic>
            </wp:anchor>
          </w:drawing>
        </mc:Choice>
        <mc:Fallback>
          <w:pict>
            <v:shape id="文本框 15"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DIQPIzXAQAAtAMAAA4AAAAAAAAAAQAgAAAA&#10;HgEAAGRycy9lMm9Eb2MueG1sUEsFBgAAAAAGAAYAWQEAAGcFAAAAAA==&#10;">
              <v:fill on="f" focussize="0,0"/>
              <v:stroke on="f"/>
              <v:imagedata o:title=""/>
              <o:lock v:ext="edit" aspectratio="f"/>
              <v:textbox inset="0mm,0mm,0mm,0mm" style="mso-fit-shape-to-text:t;">
                <w:txbxContent>
                  <w:p w14:paraId="174E8C31">
                    <w:pPr>
                      <w:pStyle w:val="30"/>
                    </w:pPr>
                    <w:r>
                      <w:t xml:space="preserve">第 </w:t>
                    </w:r>
                    <w:r>
                      <w:fldChar w:fldCharType="begin"/>
                    </w:r>
                    <w:r>
                      <w:instrText xml:space="preserve"> PAGE  \* MERGEFORMAT </w:instrText>
                    </w:r>
                    <w:r>
                      <w:fldChar w:fldCharType="separate"/>
                    </w:r>
                    <w:r>
                      <w:t>53</w:t>
                    </w:r>
                    <w:r>
                      <w:fldChar w:fldCharType="end"/>
                    </w:r>
                    <w:r>
                      <w:t xml:space="preserve"> 页 共 </w:t>
                    </w:r>
                    <w:r>
                      <w:fldChar w:fldCharType="begin"/>
                    </w:r>
                    <w:r>
                      <w:instrText xml:space="preserve"> NUMPAGES  \* MERGEFORMAT </w:instrText>
                    </w:r>
                    <w:r>
                      <w:fldChar w:fldCharType="separate"/>
                    </w:r>
                    <w:r>
                      <w:t>55</w:t>
                    </w:r>
                    <w:r>
                      <w:fldChar w:fldCharType="end"/>
                    </w:r>
                    <w: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DA1997">
    <w:pPr>
      <w:pStyle w:val="30"/>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8AA0B9E">
                          <w:pPr>
                            <w:pStyle w:val="30"/>
                          </w:pPr>
                          <w:r>
                            <w:t xml:space="preserve">第 </w:t>
                          </w:r>
                          <w:r>
                            <w:fldChar w:fldCharType="begin"/>
                          </w:r>
                          <w:r>
                            <w:instrText xml:space="preserve"> PAGE  \* MERGEFORMAT </w:instrText>
                          </w:r>
                          <w:r>
                            <w:fldChar w:fldCharType="separate"/>
                          </w:r>
                          <w:r>
                            <w:t>64</w:t>
                          </w:r>
                          <w:r>
                            <w:fldChar w:fldCharType="end"/>
                          </w:r>
                          <w:r>
                            <w:t xml:space="preserve"> 页 共 </w:t>
                          </w:r>
                          <w:r>
                            <w:fldChar w:fldCharType="begin"/>
                          </w:r>
                          <w:r>
                            <w:instrText xml:space="preserve"> NUMPAGES  \* MERGEFORMAT </w:instrText>
                          </w:r>
                          <w:r>
                            <w:fldChar w:fldCharType="separate"/>
                          </w:r>
                          <w:r>
                            <w:t>66</w:t>
                          </w:r>
                          <w:r>
                            <w:fldChar w:fldCharType="end"/>
                          </w:r>
                          <w:r>
                            <w:t xml:space="preserve"> 页</w:t>
                          </w:r>
                        </w:p>
                      </w:txbxContent>
                    </wps:txbx>
                    <wps:bodyPr vert="horz" wrap="none" lIns="0" tIns="0" rIns="0" bIns="0" anchor="t" anchorCtr="0">
                      <a:spAutoFit/>
                    </wps:bodyPr>
                  </wps:wsp>
                </a:graphicData>
              </a:graphic>
            </wp:anchor>
          </w:drawing>
        </mc:Choice>
        <mc:Fallback>
          <w:pict>
            <v:shape id="文本框 1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NGmBq3XAQAAtAMAAA4AAAAAAAAAAQAgAAAA&#10;HgEAAGRycy9lMm9Eb2MueG1sUEsFBgAAAAAGAAYAWQEAAGcFAAAAAA==&#10;">
              <v:fill on="f" focussize="0,0"/>
              <v:stroke on="f"/>
              <v:imagedata o:title=""/>
              <o:lock v:ext="edit" aspectratio="f"/>
              <v:textbox inset="0mm,0mm,0mm,0mm" style="mso-fit-shape-to-text:t;">
                <w:txbxContent>
                  <w:p w14:paraId="78AA0B9E">
                    <w:pPr>
                      <w:pStyle w:val="30"/>
                    </w:pPr>
                    <w:r>
                      <w:t xml:space="preserve">第 </w:t>
                    </w:r>
                    <w:r>
                      <w:fldChar w:fldCharType="begin"/>
                    </w:r>
                    <w:r>
                      <w:instrText xml:space="preserve"> PAGE  \* MERGEFORMAT </w:instrText>
                    </w:r>
                    <w:r>
                      <w:fldChar w:fldCharType="separate"/>
                    </w:r>
                    <w:r>
                      <w:t>64</w:t>
                    </w:r>
                    <w:r>
                      <w:fldChar w:fldCharType="end"/>
                    </w:r>
                    <w:r>
                      <w:t xml:space="preserve"> 页 共 </w:t>
                    </w:r>
                    <w:r>
                      <w:fldChar w:fldCharType="begin"/>
                    </w:r>
                    <w:r>
                      <w:instrText xml:space="preserve"> NUMPAGES  \* MERGEFORMAT </w:instrText>
                    </w:r>
                    <w:r>
                      <w:fldChar w:fldCharType="separate"/>
                    </w:r>
                    <w:r>
                      <w:t>66</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E8C57A">
    <w:pPr>
      <w:pStyle w:val="31"/>
      <w:pBdr>
        <w:bottom w:val="none" w:color="auto" w:sz="0" w:space="1"/>
      </w:pBdr>
      <w:rPr>
        <w:rFonts w:ascii="仿宋_GB2312" w:eastAsia="仿宋_GB2312"/>
        <w:b/>
        <w:i/>
        <w:u w:val="single"/>
      </w:rPr>
    </w:pPr>
    <w:r>
      <w:t></w:t>
    </w:r>
    <w:r>
      <w:rPr>
        <w:rFonts w:hint="eastAsia"/>
      </w:rPr>
      <w:t xml:space="preserve">                                                </w:t>
    </w:r>
  </w:p>
  <w:p w14:paraId="116B33C6">
    <w:pPr>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A07664">
    <w:pPr>
      <w:pStyle w:val="3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124DEF">
    <w:pPr>
      <w:pStyle w:val="31"/>
      <w:pBdr>
        <w:bottom w:val="none" w:color="auto" w:sz="0" w:space="1"/>
      </w:pBdr>
      <w:jc w:val="right"/>
      <w:rPr>
        <w:rFonts w:ascii="仿宋_GB2312" w:eastAsia="仿宋_GB2312"/>
        <w:b/>
        <w:i/>
        <w:u w:val="single"/>
      </w:rPr>
    </w:pPr>
    <w:r>
      <w:rPr>
        <w:rFonts w:hint="eastAsia"/>
      </w:rPr>
      <w:t xml:space="preserve">                                 </w:t>
    </w:r>
  </w:p>
  <w:p w14:paraId="62587EB3">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BDC7E2">
    <w:pPr>
      <w:pStyle w:val="31"/>
      <w:pBdr>
        <w:bottom w:val="none" w:color="auto" w:sz="0" w:space="1"/>
      </w:pBdr>
      <w:jc w:val="right"/>
    </w:pPr>
    <w:r>
      <w:rPr>
        <w:rFonts w:hint="eastAsia"/>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4A6A96">
    <w:pPr>
      <w:pStyle w:val="31"/>
      <w:pBdr>
        <w:bottom w:val="none" w:color="auto" w:sz="0" w:space="1"/>
      </w:pBdr>
      <w:rPr>
        <w:rFonts w:ascii="仿宋_GB2312" w:eastAsia="仿宋_GB2312"/>
        <w:b/>
        <w:i/>
        <w:u w:val="single"/>
      </w:rPr>
    </w:pPr>
    <w:r>
      <w:t></w:t>
    </w:r>
    <w:r>
      <w:rPr>
        <w:rFonts w:hint="eastAsia"/>
      </w:rPr>
      <w:t xml:space="preserve">                                                 </w:t>
    </w:r>
  </w:p>
  <w:p w14:paraId="5310FD1C">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391182">
    <w:pPr>
      <w:pStyle w:val="31"/>
      <w:pBdr>
        <w:bottom w:val="none" w:color="auto" w:sz="0" w:space="1"/>
      </w:pBdr>
      <w:jc w:val="right"/>
    </w:pPr>
    <w:r>
      <w:t></w:t>
    </w:r>
    <w:r>
      <w:rPr>
        <w:rFonts w:hint="eastAsia"/>
      </w:rPr>
      <w:t xml:space="preserve">                 </w:t>
    </w:r>
    <w:r>
      <w:t xml:space="preserve">                                </w:t>
    </w: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0E26ED">
    <w:pPr>
      <w:pStyle w:val="31"/>
      <w:pBdr>
        <w:bottom w:val="none" w:color="auto" w:sz="0" w:space="4"/>
      </w:pBdr>
      <w:jc w:val="right"/>
    </w:pPr>
    <w:r>
      <w:t></w:t>
    </w:r>
    <w:r>
      <w:rPr>
        <w:rFonts w:hint="eastAsia"/>
      </w:rPr>
      <w:t xml:space="preserve">           </w:t>
    </w:r>
  </w:p>
  <w:p w14:paraId="1C88FC64">
    <w:pPr>
      <w:pStyle w:val="46"/>
      <w:tabs>
        <w:tab w:val="center" w:pos="4535"/>
        <w:tab w:val="right" w:pos="9070"/>
      </w:tabs>
      <w:ind w:firstLine="180" w:firstLineChars="100"/>
      <w:jc w:val="both"/>
      <w:rPr>
        <w:rFonts w:ascii="仿宋_GB2312" w:eastAsia="仿宋_GB2312"/>
        <w:b w:val="0"/>
        <w:i/>
        <w:sz w:val="18"/>
        <w:u w:val="single"/>
        <w:lang w:val="en-US"/>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6BDCC5">
    <w:pPr>
      <w:pStyle w:val="31"/>
      <w:pBdr>
        <w:bottom w:val="none" w:color="auto" w:sz="0" w:space="1"/>
      </w:pBdr>
      <w:jc w:val="right"/>
      <w:rPr>
        <w:rFonts w:ascii="仿宋_GB2312" w:eastAsia="仿宋_GB2312"/>
        <w:b/>
        <w:i/>
        <w:u w:val="single"/>
      </w:rPr>
    </w:pPr>
    <w:r>
      <w:rPr>
        <w:rFonts w:hint="eastAsia"/>
      </w:rPr>
      <w:t xml:space="preserve">                                 </w:t>
    </w:r>
  </w:p>
  <w:p w14:paraId="76296426">
    <w:pPr>
      <w:rPr>
        <w:rFonts w:ascii="仿宋_GB2312" w:eastAsia="仿宋_GB2312"/>
        <w:b/>
        <w:i/>
        <w:sz w:val="18"/>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82FC8C"/>
    <w:multiLevelType w:val="singleLevel"/>
    <w:tmpl w:val="8E82FC8C"/>
    <w:lvl w:ilvl="0" w:tentative="0">
      <w:start w:val="1"/>
      <w:numFmt w:val="chineseCounting"/>
      <w:suff w:val="nothing"/>
      <w:lvlText w:val="%1、"/>
      <w:lvlJc w:val="left"/>
      <w:pPr>
        <w:ind w:left="-147"/>
      </w:pPr>
      <w:rPr>
        <w:rFonts w:hint="eastAsia"/>
      </w:rPr>
    </w:lvl>
  </w:abstractNum>
  <w:abstractNum w:abstractNumId="1">
    <w:nsid w:val="BAA1BC5A"/>
    <w:multiLevelType w:val="singleLevel"/>
    <w:tmpl w:val="BAA1BC5A"/>
    <w:lvl w:ilvl="0" w:tentative="0">
      <w:start w:val="1"/>
      <w:numFmt w:val="chineseCounting"/>
      <w:suff w:val="nothing"/>
      <w:lvlText w:val="%1、"/>
      <w:lvlJc w:val="left"/>
      <w:rPr>
        <w:rFonts w:hint="eastAsia"/>
      </w:rPr>
    </w:lvl>
  </w:abstractNum>
  <w:abstractNum w:abstractNumId="2">
    <w:nsid w:val="00000016"/>
    <w:multiLevelType w:val="multilevel"/>
    <w:tmpl w:val="00000016"/>
    <w:lvl w:ilvl="0" w:tentative="0">
      <w:start w:val="1"/>
      <w:numFmt w:val="decimal"/>
      <w:lvlText w:val="%1."/>
      <w:lvlJc w:val="left"/>
      <w:pPr>
        <w:tabs>
          <w:tab w:val="left" w:pos="704"/>
        </w:tabs>
        <w:ind w:left="704" w:hanging="420"/>
      </w:pPr>
    </w:lvl>
    <w:lvl w:ilvl="1" w:tentative="0">
      <w:start w:val="1"/>
      <w:numFmt w:val="lowerLetter"/>
      <w:pStyle w:val="328"/>
      <w:lvlText w:val="%2)"/>
      <w:lvlJc w:val="left"/>
      <w:pPr>
        <w:tabs>
          <w:tab w:val="left" w:pos="1124"/>
        </w:tabs>
        <w:ind w:left="1124" w:hanging="420"/>
      </w:pPr>
    </w:lvl>
    <w:lvl w:ilvl="2" w:tentative="0">
      <w:start w:val="1"/>
      <w:numFmt w:val="lowerRoman"/>
      <w:lvlText w:val="%3."/>
      <w:lvlJc w:val="right"/>
      <w:pPr>
        <w:tabs>
          <w:tab w:val="left" w:pos="1544"/>
        </w:tabs>
        <w:ind w:left="1544" w:hanging="420"/>
      </w:pPr>
    </w:lvl>
    <w:lvl w:ilvl="3" w:tentative="0">
      <w:start w:val="1"/>
      <w:numFmt w:val="decimal"/>
      <w:lvlText w:val="%4."/>
      <w:lvlJc w:val="left"/>
      <w:pPr>
        <w:tabs>
          <w:tab w:val="left" w:pos="1964"/>
        </w:tabs>
        <w:ind w:left="1964" w:hanging="420"/>
      </w:pPr>
    </w:lvl>
    <w:lvl w:ilvl="4" w:tentative="0">
      <w:start w:val="1"/>
      <w:numFmt w:val="lowerLetter"/>
      <w:lvlText w:val="%5)"/>
      <w:lvlJc w:val="left"/>
      <w:pPr>
        <w:tabs>
          <w:tab w:val="left" w:pos="2384"/>
        </w:tabs>
        <w:ind w:left="2384" w:hanging="420"/>
      </w:pPr>
    </w:lvl>
    <w:lvl w:ilvl="5" w:tentative="0">
      <w:start w:val="1"/>
      <w:numFmt w:val="lowerRoman"/>
      <w:lvlText w:val="%6."/>
      <w:lvlJc w:val="right"/>
      <w:pPr>
        <w:tabs>
          <w:tab w:val="left" w:pos="2804"/>
        </w:tabs>
        <w:ind w:left="2804" w:hanging="420"/>
      </w:pPr>
    </w:lvl>
    <w:lvl w:ilvl="6" w:tentative="0">
      <w:start w:val="1"/>
      <w:numFmt w:val="decimal"/>
      <w:lvlText w:val="%7."/>
      <w:lvlJc w:val="left"/>
      <w:pPr>
        <w:tabs>
          <w:tab w:val="left" w:pos="3224"/>
        </w:tabs>
        <w:ind w:left="3224" w:hanging="420"/>
      </w:pPr>
    </w:lvl>
    <w:lvl w:ilvl="7" w:tentative="0">
      <w:start w:val="1"/>
      <w:numFmt w:val="lowerLetter"/>
      <w:lvlText w:val="%8)"/>
      <w:lvlJc w:val="left"/>
      <w:pPr>
        <w:tabs>
          <w:tab w:val="left" w:pos="3644"/>
        </w:tabs>
        <w:ind w:left="3644" w:hanging="420"/>
      </w:pPr>
    </w:lvl>
    <w:lvl w:ilvl="8" w:tentative="0">
      <w:start w:val="1"/>
      <w:numFmt w:val="lowerRoman"/>
      <w:lvlText w:val="%9."/>
      <w:lvlJc w:val="right"/>
      <w:pPr>
        <w:tabs>
          <w:tab w:val="left" w:pos="4064"/>
        </w:tabs>
        <w:ind w:left="4064" w:hanging="420"/>
      </w:pPr>
    </w:lvl>
  </w:abstractNum>
  <w:abstractNum w:abstractNumId="3">
    <w:nsid w:val="00000018"/>
    <w:multiLevelType w:val="multilevel"/>
    <w:tmpl w:val="00000018"/>
    <w:lvl w:ilvl="0" w:tentative="0">
      <w:start w:val="1"/>
      <w:numFmt w:val="chineseCountingThousand"/>
      <w:lvlText w:val="%1、"/>
      <w:lvlJc w:val="left"/>
      <w:pPr>
        <w:ind w:left="966" w:hanging="420"/>
      </w:pPr>
    </w:lvl>
    <w:lvl w:ilvl="1" w:tentative="0">
      <w:start w:val="1"/>
      <w:numFmt w:val="lowerLetter"/>
      <w:lvlText w:val="%2)"/>
      <w:lvlJc w:val="left"/>
      <w:pPr>
        <w:ind w:left="1833" w:hanging="420"/>
      </w:pPr>
    </w:lvl>
    <w:lvl w:ilvl="2" w:tentative="0">
      <w:start w:val="1"/>
      <w:numFmt w:val="lowerRoman"/>
      <w:lvlText w:val="%3."/>
      <w:lvlJc w:val="right"/>
      <w:pPr>
        <w:ind w:left="2253" w:hanging="420"/>
      </w:pPr>
    </w:lvl>
    <w:lvl w:ilvl="3" w:tentative="0">
      <w:start w:val="1"/>
      <w:numFmt w:val="decimal"/>
      <w:lvlText w:val="%4."/>
      <w:lvlJc w:val="left"/>
      <w:pPr>
        <w:ind w:left="2673" w:hanging="420"/>
      </w:pPr>
    </w:lvl>
    <w:lvl w:ilvl="4" w:tentative="0">
      <w:start w:val="1"/>
      <w:numFmt w:val="lowerLetter"/>
      <w:lvlText w:val="%5)"/>
      <w:lvlJc w:val="left"/>
      <w:pPr>
        <w:ind w:left="3093" w:hanging="420"/>
      </w:pPr>
    </w:lvl>
    <w:lvl w:ilvl="5" w:tentative="0">
      <w:start w:val="1"/>
      <w:numFmt w:val="lowerRoman"/>
      <w:lvlText w:val="%6."/>
      <w:lvlJc w:val="right"/>
      <w:pPr>
        <w:ind w:left="3513" w:hanging="420"/>
      </w:pPr>
    </w:lvl>
    <w:lvl w:ilvl="6" w:tentative="0">
      <w:start w:val="1"/>
      <w:numFmt w:val="decimal"/>
      <w:lvlText w:val="%7."/>
      <w:lvlJc w:val="left"/>
      <w:pPr>
        <w:ind w:left="3933" w:hanging="420"/>
      </w:pPr>
    </w:lvl>
    <w:lvl w:ilvl="7" w:tentative="0">
      <w:start w:val="1"/>
      <w:numFmt w:val="lowerLetter"/>
      <w:lvlText w:val="%8)"/>
      <w:lvlJc w:val="left"/>
      <w:pPr>
        <w:ind w:left="4353" w:hanging="420"/>
      </w:pPr>
    </w:lvl>
    <w:lvl w:ilvl="8" w:tentative="0">
      <w:start w:val="1"/>
      <w:numFmt w:val="lowerRoman"/>
      <w:lvlText w:val="%9."/>
      <w:lvlJc w:val="right"/>
      <w:pPr>
        <w:ind w:left="4773" w:hanging="420"/>
      </w:pPr>
    </w:lvl>
  </w:abstractNum>
  <w:abstractNum w:abstractNumId="4">
    <w:nsid w:val="00000022"/>
    <w:multiLevelType w:val="multilevel"/>
    <w:tmpl w:val="00000022"/>
    <w:lvl w:ilvl="0" w:tentative="0">
      <w:start w:val="1"/>
      <w:numFmt w:val="decimal"/>
      <w:lvlText w:val="第%1章"/>
      <w:lvlJc w:val="left"/>
      <w:pPr>
        <w:tabs>
          <w:tab w:val="left" w:pos="2630"/>
        </w:tabs>
        <w:ind w:left="2630" w:hanging="425"/>
      </w:pPr>
      <w:rPr>
        <w:rFonts w:hint="eastAsia" w:ascii="宋体" w:hAnsi="宋体" w:eastAsia="宋体" w:cs="Times New Roman"/>
        <w:i w:val="0"/>
        <w:iCs w:val="0"/>
        <w:caps w:val="0"/>
        <w:smallCaps w:val="0"/>
        <w:strike w:val="0"/>
        <w:dstrike w:val="0"/>
        <w:vanish w:val="0"/>
        <w:color w:val="000000"/>
        <w:spacing w:val="0"/>
        <w:kern w:val="0"/>
        <w:position w:val="0"/>
        <w:u w:val="none"/>
        <w:vertAlign w:val="baseline"/>
      </w:rPr>
    </w:lvl>
    <w:lvl w:ilvl="1" w:tentative="0">
      <w:start w:val="1"/>
      <w:numFmt w:val="decimal"/>
      <w:suff w:val="space"/>
      <w:lvlText w:val="%1.%2."/>
      <w:lvlJc w:val="left"/>
      <w:pPr>
        <w:ind w:left="4538" w:hanging="567"/>
      </w:pPr>
      <w:rPr>
        <w:rFonts w:hint="default" w:ascii="Times New Roman" w:hAnsi="Times New Roman" w:eastAsia="宋体" w:cs="Times New Roman"/>
        <w:b/>
        <w:i w:val="0"/>
        <w:sz w:val="28"/>
        <w:szCs w:val="28"/>
      </w:rPr>
    </w:lvl>
    <w:lvl w:ilvl="2" w:tentative="0">
      <w:start w:val="1"/>
      <w:numFmt w:val="decimal"/>
      <w:lvlText w:val="%1.%2.%3."/>
      <w:lvlJc w:val="left"/>
      <w:pPr>
        <w:tabs>
          <w:tab w:val="left" w:pos="709"/>
        </w:tabs>
        <w:ind w:left="709" w:hanging="709"/>
      </w:pPr>
      <w:rPr>
        <w:rFonts w:hint="default" w:ascii="Times New Roman" w:hAnsi="Times New Roman" w:cs="Times New Roman"/>
      </w:rPr>
    </w:lvl>
    <w:lvl w:ilvl="3" w:tentative="0">
      <w:start w:val="1"/>
      <w:numFmt w:val="decimal"/>
      <w:lvlText w:val="%1.%2.%3.%4."/>
      <w:lvlJc w:val="left"/>
      <w:pPr>
        <w:tabs>
          <w:tab w:val="left" w:pos="1779"/>
        </w:tabs>
        <w:ind w:left="1779" w:hanging="851"/>
      </w:pPr>
      <w:rPr>
        <w:rFonts w:hint="default" w:ascii="Times New Roman" w:hAnsi="Times New Roman" w:cs="Times New Roman"/>
        <w:i w:val="0"/>
        <w:iCs w:val="0"/>
        <w:caps w:val="0"/>
        <w:smallCaps w:val="0"/>
        <w:strike w:val="0"/>
        <w:dstrike w:val="0"/>
        <w:vanish w:val="0"/>
        <w:color w:val="000000"/>
        <w:spacing w:val="0"/>
        <w:kern w:val="0"/>
        <w:position w:val="0"/>
        <w:u w:val="none"/>
        <w:vertAlign w:val="baseline"/>
      </w:rPr>
    </w:lvl>
    <w:lvl w:ilvl="4" w:tentative="0">
      <w:start w:val="1"/>
      <w:numFmt w:val="decimal"/>
      <w:pStyle w:val="8"/>
      <w:lvlText w:val="%1.%2.%3.%4.%5."/>
      <w:lvlJc w:val="left"/>
      <w:pPr>
        <w:tabs>
          <w:tab w:val="left" w:pos="1560"/>
        </w:tabs>
        <w:ind w:left="1560" w:hanging="992"/>
      </w:pPr>
      <w:rPr>
        <w:rFonts w:hint="default" w:ascii="Times New Roman" w:hAnsi="Times New Roman" w:eastAsia="宋体" w:cs="Times New Roman"/>
        <w:b/>
        <w:i w:val="0"/>
        <w:sz w:val="28"/>
        <w:szCs w:val="28"/>
      </w:rPr>
    </w:lvl>
    <w:lvl w:ilvl="5" w:tentative="0">
      <w:start w:val="1"/>
      <w:numFmt w:val="decimal"/>
      <w:pStyle w:val="9"/>
      <w:lvlText w:val="%1.%2.%3.%4.%5.%6."/>
      <w:lvlJc w:val="left"/>
      <w:pPr>
        <w:tabs>
          <w:tab w:val="left" w:pos="1702"/>
        </w:tabs>
        <w:ind w:left="1702" w:hanging="1134"/>
      </w:pPr>
      <w:rPr>
        <w:rFonts w:cs="Times New Roman"/>
        <w:i w:val="0"/>
        <w:iCs w:val="0"/>
        <w:caps w:val="0"/>
        <w:smallCaps w:val="0"/>
        <w:strike w:val="0"/>
        <w:dstrike w:val="0"/>
        <w:vanish w:val="0"/>
        <w:color w:val="000000"/>
        <w:spacing w:val="0"/>
        <w:kern w:val="0"/>
        <w:position w:val="0"/>
        <w:u w:val="none"/>
        <w:vertAlign w:val="baseline"/>
      </w:rPr>
    </w:lvl>
    <w:lvl w:ilvl="6" w:tentative="0">
      <w:start w:val="1"/>
      <w:numFmt w:val="decimal"/>
      <w:lvlText w:val="%1.%2.%3.%4.%5.%6.%7."/>
      <w:lvlJc w:val="left"/>
      <w:pPr>
        <w:tabs>
          <w:tab w:val="left" w:pos="1844"/>
        </w:tabs>
        <w:ind w:left="1844" w:hanging="1276"/>
      </w:pPr>
    </w:lvl>
    <w:lvl w:ilvl="7" w:tentative="0">
      <w:start w:val="1"/>
      <w:numFmt w:val="decimal"/>
      <w:lvlText w:val="%1.%2.%3.%4.%5.%6.%7.%8."/>
      <w:lvlJc w:val="left"/>
      <w:pPr>
        <w:tabs>
          <w:tab w:val="left" w:pos="1986"/>
        </w:tabs>
        <w:ind w:left="1986" w:hanging="1418"/>
      </w:pPr>
    </w:lvl>
    <w:lvl w:ilvl="8" w:tentative="0">
      <w:start w:val="1"/>
      <w:numFmt w:val="decimal"/>
      <w:lvlText w:val="%1.%2.%3.%4.%5.%6.%7.%8.%9."/>
      <w:lvlJc w:val="left"/>
      <w:pPr>
        <w:tabs>
          <w:tab w:val="left" w:pos="2127"/>
        </w:tabs>
        <w:ind w:left="2127" w:hanging="1559"/>
      </w:pPr>
    </w:lvl>
  </w:abstractNum>
  <w:abstractNum w:abstractNumId="5">
    <w:nsid w:val="0000002E"/>
    <w:multiLevelType w:val="multilevel"/>
    <w:tmpl w:val="0000002E"/>
    <w:lvl w:ilvl="0" w:tentative="0">
      <w:start w:val="1"/>
      <w:numFmt w:val="decimal"/>
      <w:pStyle w:val="2"/>
      <w:lvlText w:val="第%1章"/>
      <w:lvlJc w:val="left"/>
      <w:pPr>
        <w:ind w:left="283" w:hanging="425"/>
      </w:pPr>
      <w:rPr>
        <w:rFonts w:hint="default" w:ascii="Times New Roman" w:hAnsi="Times New Roman" w:eastAsia="宋体" w:cs="Times New Roman"/>
        <w:b/>
        <w:i w:val="0"/>
        <w:sz w:val="32"/>
        <w:szCs w:val="32"/>
      </w:rPr>
    </w:lvl>
    <w:lvl w:ilvl="1" w:tentative="0">
      <w:start w:val="1"/>
      <w:numFmt w:val="decimal"/>
      <w:pStyle w:val="3"/>
      <w:suff w:val="nothing"/>
      <w:lvlText w:val="%1.%2"/>
      <w:lvlJc w:val="left"/>
      <w:pPr>
        <w:ind w:left="567" w:hanging="567"/>
      </w:pPr>
      <w:rPr>
        <w:rFonts w:hint="default" w:ascii="Times New Roman" w:hAnsi="Times New Roman" w:eastAsia="宋体" w:cs="Times New Roman"/>
        <w:b/>
        <w:i w:val="0"/>
        <w:color w:val="auto"/>
        <w:sz w:val="28"/>
        <w:szCs w:val="28"/>
      </w:rPr>
    </w:lvl>
    <w:lvl w:ilvl="2" w:tentative="0">
      <w:start w:val="1"/>
      <w:numFmt w:val="decimal"/>
      <w:pStyle w:val="4"/>
      <w:suff w:val="space"/>
      <w:lvlText w:val="%1.%2.%3"/>
      <w:lvlJc w:val="left"/>
      <w:pPr>
        <w:ind w:left="3260" w:hanging="567"/>
      </w:pPr>
      <w:rPr>
        <w:rFonts w:hint="default" w:ascii="Times New Roman" w:hAnsi="Times New Roman" w:eastAsia="宋体" w:cs="Times New Roman"/>
        <w:b/>
        <w:i w:val="0"/>
        <w:sz w:val="28"/>
      </w:rPr>
    </w:lvl>
    <w:lvl w:ilvl="3" w:tentative="0">
      <w:start w:val="1"/>
      <w:numFmt w:val="decimal"/>
      <w:pStyle w:val="7"/>
      <w:suff w:val="nothing"/>
      <w:lvlText w:val="%1.%2.%3.%4"/>
      <w:lvlJc w:val="left"/>
      <w:pPr>
        <w:ind w:left="2830" w:hanging="708"/>
      </w:pPr>
      <w:rPr>
        <w:rFonts w:hint="default" w:ascii="Times New Roman" w:hAnsi="Times New Roman" w:eastAsia="宋体" w:cs="Times New Roman"/>
        <w:b/>
        <w:i w:val="0"/>
        <w:sz w:val="28"/>
      </w:rPr>
    </w:lvl>
    <w:lvl w:ilvl="4" w:tentative="0">
      <w:start w:val="1"/>
      <w:numFmt w:val="decimal"/>
      <w:lvlText w:val="%1.%2.%3.%4.%5"/>
      <w:lvlJc w:val="left"/>
      <w:pPr>
        <w:ind w:left="2409" w:hanging="850"/>
      </w:pPr>
      <w:rPr>
        <w:rFonts w:hint="default" w:ascii="Times New Roman" w:hAnsi="Times New Roman" w:cs="Times New Roman"/>
      </w:rPr>
    </w:lvl>
    <w:lvl w:ilvl="5" w:tentative="0">
      <w:start w:val="1"/>
      <w:numFmt w:val="decimal"/>
      <w:lvlText w:val="%1.%2.%3.%4.%5.%6"/>
      <w:lvlJc w:val="left"/>
      <w:pPr>
        <w:ind w:left="3118" w:hanging="1134"/>
      </w:pPr>
    </w:lvl>
    <w:lvl w:ilvl="6" w:tentative="0">
      <w:start w:val="1"/>
      <w:numFmt w:val="decimal"/>
      <w:lvlText w:val="%1.%2.%3.%4.%5.%6.%7"/>
      <w:lvlJc w:val="left"/>
      <w:pPr>
        <w:ind w:left="3685" w:hanging="1276"/>
      </w:pPr>
    </w:lvl>
    <w:lvl w:ilvl="7" w:tentative="0">
      <w:start w:val="1"/>
      <w:numFmt w:val="decimal"/>
      <w:lvlText w:val="%1.%2.%3.%4.%5.%6.%7.%8"/>
      <w:lvlJc w:val="left"/>
      <w:pPr>
        <w:ind w:left="4252" w:hanging="1418"/>
      </w:pPr>
    </w:lvl>
    <w:lvl w:ilvl="8" w:tentative="0">
      <w:start w:val="1"/>
      <w:numFmt w:val="decimal"/>
      <w:lvlText w:val="%1.%2.%3.%4.%5.%6.%7.%8.%9"/>
      <w:lvlJc w:val="left"/>
      <w:pPr>
        <w:ind w:left="4960" w:hanging="1700"/>
      </w:pPr>
    </w:lvl>
  </w:abstractNum>
  <w:abstractNum w:abstractNumId="6">
    <w:nsid w:val="00000031"/>
    <w:multiLevelType w:val="multilevel"/>
    <w:tmpl w:val="00000031"/>
    <w:lvl w:ilvl="0" w:tentative="0">
      <w:start w:val="1"/>
      <w:numFmt w:val="chineseCountingThousand"/>
      <w:lvlText w:val="%1、"/>
      <w:lvlJc w:val="left"/>
      <w:pPr>
        <w:ind w:left="966" w:hanging="420"/>
      </w:p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7">
    <w:nsid w:val="00000043"/>
    <w:multiLevelType w:val="multilevel"/>
    <w:tmpl w:val="00000043"/>
    <w:lvl w:ilvl="0" w:tentative="0">
      <w:start w:val="1"/>
      <w:numFmt w:val="chineseCountingThousand"/>
      <w:lvlText w:val="%1、"/>
      <w:lvlJc w:val="left"/>
      <w:pPr>
        <w:ind w:left="1413" w:hanging="420"/>
      </w:pPr>
      <w:rPr>
        <w:color w:val="auto"/>
        <w:sz w:val="28"/>
        <w:szCs w:val="28"/>
        <w:lang w:val="en-US"/>
      </w:rPr>
    </w:lvl>
    <w:lvl w:ilvl="1" w:tentative="0">
      <w:start w:val="1"/>
      <w:numFmt w:val="decimal"/>
      <w:isLgl/>
      <w:lvlText w:val="%1.%2"/>
      <w:lvlJc w:val="left"/>
      <w:pPr>
        <w:ind w:left="1669" w:hanging="960"/>
      </w:pPr>
    </w:lvl>
    <w:lvl w:ilvl="2" w:tentative="0">
      <w:start w:val="1"/>
      <w:numFmt w:val="decimal"/>
      <w:isLgl/>
      <w:lvlText w:val="%1.%2.%3"/>
      <w:lvlJc w:val="left"/>
      <w:pPr>
        <w:ind w:left="1669" w:hanging="960"/>
      </w:pPr>
    </w:lvl>
    <w:lvl w:ilvl="3" w:tentative="0">
      <w:start w:val="1"/>
      <w:numFmt w:val="decimal"/>
      <w:isLgl/>
      <w:lvlText w:val="%1.%2.%3.%4"/>
      <w:lvlJc w:val="left"/>
      <w:pPr>
        <w:ind w:left="1789" w:hanging="1080"/>
      </w:pPr>
    </w:lvl>
    <w:lvl w:ilvl="4" w:tentative="0">
      <w:start w:val="1"/>
      <w:numFmt w:val="decimal"/>
      <w:isLgl/>
      <w:lvlText w:val="%1.%2.%3.%4.%5"/>
      <w:lvlJc w:val="left"/>
      <w:pPr>
        <w:ind w:left="1789" w:hanging="1080"/>
      </w:pPr>
    </w:lvl>
    <w:lvl w:ilvl="5" w:tentative="0">
      <w:start w:val="1"/>
      <w:numFmt w:val="decimal"/>
      <w:isLgl/>
      <w:lvlText w:val="%1.%2.%3.%4.%5.%6"/>
      <w:lvlJc w:val="left"/>
      <w:pPr>
        <w:ind w:left="2149" w:hanging="1440"/>
      </w:pPr>
    </w:lvl>
    <w:lvl w:ilvl="6" w:tentative="0">
      <w:start w:val="1"/>
      <w:numFmt w:val="decimal"/>
      <w:isLgl/>
      <w:lvlText w:val="%1.%2.%3.%4.%5.%6.%7"/>
      <w:lvlJc w:val="left"/>
      <w:pPr>
        <w:ind w:left="2509" w:hanging="1800"/>
      </w:pPr>
    </w:lvl>
    <w:lvl w:ilvl="7" w:tentative="0">
      <w:start w:val="1"/>
      <w:numFmt w:val="decimal"/>
      <w:isLgl/>
      <w:lvlText w:val="%1.%2.%3.%4.%5.%6.%7.%8"/>
      <w:lvlJc w:val="left"/>
      <w:pPr>
        <w:ind w:left="2509" w:hanging="1800"/>
      </w:pPr>
    </w:lvl>
    <w:lvl w:ilvl="8" w:tentative="0">
      <w:start w:val="1"/>
      <w:numFmt w:val="decimal"/>
      <w:isLgl/>
      <w:lvlText w:val="%1.%2.%3.%4.%5.%6.%7.%8.%9"/>
      <w:lvlJc w:val="left"/>
      <w:pPr>
        <w:ind w:left="2869" w:hanging="2160"/>
      </w:pPr>
    </w:lvl>
  </w:abstractNum>
  <w:abstractNum w:abstractNumId="8">
    <w:nsid w:val="06AF180E"/>
    <w:multiLevelType w:val="multilevel"/>
    <w:tmpl w:val="06AF180E"/>
    <w:lvl w:ilvl="0" w:tentative="0">
      <w:start w:val="1"/>
      <w:numFmt w:val="japaneseCounting"/>
      <w:lvlText w:val="（%1）"/>
      <w:lvlJc w:val="left"/>
      <w:pPr>
        <w:ind w:left="3123" w:hanging="855"/>
      </w:pPr>
    </w:lvl>
    <w:lvl w:ilvl="1" w:tentative="0">
      <w:start w:val="1"/>
      <w:numFmt w:val="lowerLetter"/>
      <w:lvlText w:val="%2)"/>
      <w:lvlJc w:val="left"/>
      <w:pPr>
        <w:ind w:left="1406" w:hanging="420"/>
      </w:pPr>
    </w:lvl>
    <w:lvl w:ilvl="2" w:tentative="0">
      <w:start w:val="1"/>
      <w:numFmt w:val="lowerRoman"/>
      <w:lvlText w:val="%3."/>
      <w:lvlJc w:val="right"/>
      <w:pPr>
        <w:ind w:left="1826" w:hanging="420"/>
      </w:pPr>
    </w:lvl>
    <w:lvl w:ilvl="3" w:tentative="0">
      <w:start w:val="1"/>
      <w:numFmt w:val="decimal"/>
      <w:lvlText w:val="%4."/>
      <w:lvlJc w:val="left"/>
      <w:pPr>
        <w:ind w:left="2246" w:hanging="420"/>
      </w:pPr>
    </w:lvl>
    <w:lvl w:ilvl="4" w:tentative="0">
      <w:start w:val="1"/>
      <w:numFmt w:val="lowerLetter"/>
      <w:lvlText w:val="%5)"/>
      <w:lvlJc w:val="left"/>
      <w:pPr>
        <w:ind w:left="2666" w:hanging="420"/>
      </w:pPr>
    </w:lvl>
    <w:lvl w:ilvl="5" w:tentative="0">
      <w:start w:val="1"/>
      <w:numFmt w:val="lowerRoman"/>
      <w:lvlText w:val="%6."/>
      <w:lvlJc w:val="right"/>
      <w:pPr>
        <w:ind w:left="3086" w:hanging="420"/>
      </w:pPr>
    </w:lvl>
    <w:lvl w:ilvl="6" w:tentative="0">
      <w:start w:val="1"/>
      <w:numFmt w:val="decimal"/>
      <w:lvlText w:val="%7."/>
      <w:lvlJc w:val="left"/>
      <w:pPr>
        <w:ind w:left="3506" w:hanging="420"/>
      </w:pPr>
    </w:lvl>
    <w:lvl w:ilvl="7" w:tentative="0">
      <w:start w:val="1"/>
      <w:numFmt w:val="lowerLetter"/>
      <w:lvlText w:val="%8)"/>
      <w:lvlJc w:val="left"/>
      <w:pPr>
        <w:ind w:left="3926" w:hanging="420"/>
      </w:pPr>
    </w:lvl>
    <w:lvl w:ilvl="8" w:tentative="0">
      <w:start w:val="1"/>
      <w:numFmt w:val="lowerRoman"/>
      <w:lvlText w:val="%9."/>
      <w:lvlJc w:val="right"/>
      <w:pPr>
        <w:ind w:left="4346" w:hanging="420"/>
      </w:pPr>
    </w:lvl>
  </w:abstractNum>
  <w:abstractNum w:abstractNumId="9">
    <w:nsid w:val="139D6B61"/>
    <w:multiLevelType w:val="singleLevel"/>
    <w:tmpl w:val="139D6B61"/>
    <w:lvl w:ilvl="0" w:tentative="0">
      <w:start w:val="1"/>
      <w:numFmt w:val="decimal"/>
      <w:suff w:val="nothing"/>
      <w:lvlText w:val="（%1）"/>
      <w:lvlJc w:val="left"/>
      <w:pPr>
        <w:ind w:left="420"/>
      </w:pPr>
    </w:lvl>
  </w:abstractNum>
  <w:abstractNum w:abstractNumId="10">
    <w:nsid w:val="1A032D52"/>
    <w:multiLevelType w:val="multilevel"/>
    <w:tmpl w:val="1A032D52"/>
    <w:lvl w:ilvl="0" w:tentative="0">
      <w:start w:val="1"/>
      <w:numFmt w:val="chineseCountingThousand"/>
      <w:lvlText w:val="%1、"/>
      <w:lvlJc w:val="left"/>
      <w:pPr>
        <w:ind w:left="1413" w:hanging="420"/>
      </w:pPr>
    </w:lvl>
    <w:lvl w:ilvl="1" w:tentative="0">
      <w:start w:val="1"/>
      <w:numFmt w:val="lowerLetter"/>
      <w:lvlText w:val="%2)"/>
      <w:lvlJc w:val="left"/>
      <w:pPr>
        <w:tabs>
          <w:tab w:val="left" w:pos="847"/>
        </w:tabs>
        <w:ind w:left="847" w:hanging="420"/>
      </w:pPr>
    </w:lvl>
    <w:lvl w:ilvl="2" w:tentative="0">
      <w:start w:val="1"/>
      <w:numFmt w:val="lowerRoman"/>
      <w:lvlText w:val="%3."/>
      <w:lvlJc w:val="right"/>
      <w:pPr>
        <w:tabs>
          <w:tab w:val="left" w:pos="1267"/>
        </w:tabs>
        <w:ind w:left="1267" w:hanging="420"/>
      </w:pPr>
    </w:lvl>
    <w:lvl w:ilvl="3" w:tentative="0">
      <w:start w:val="1"/>
      <w:numFmt w:val="decimal"/>
      <w:lvlText w:val="%4."/>
      <w:lvlJc w:val="left"/>
      <w:pPr>
        <w:tabs>
          <w:tab w:val="left" w:pos="1687"/>
        </w:tabs>
        <w:ind w:left="1687" w:hanging="420"/>
      </w:pPr>
    </w:lvl>
    <w:lvl w:ilvl="4" w:tentative="0">
      <w:start w:val="1"/>
      <w:numFmt w:val="lowerLetter"/>
      <w:lvlText w:val="%5)"/>
      <w:lvlJc w:val="left"/>
      <w:pPr>
        <w:tabs>
          <w:tab w:val="left" w:pos="2107"/>
        </w:tabs>
        <w:ind w:left="2107" w:hanging="420"/>
      </w:pPr>
    </w:lvl>
    <w:lvl w:ilvl="5" w:tentative="0">
      <w:start w:val="1"/>
      <w:numFmt w:val="lowerRoman"/>
      <w:lvlText w:val="%6."/>
      <w:lvlJc w:val="right"/>
      <w:pPr>
        <w:tabs>
          <w:tab w:val="left" w:pos="2527"/>
        </w:tabs>
        <w:ind w:left="2527" w:hanging="420"/>
      </w:pPr>
    </w:lvl>
    <w:lvl w:ilvl="6" w:tentative="0">
      <w:start w:val="1"/>
      <w:numFmt w:val="decimal"/>
      <w:lvlText w:val="%7."/>
      <w:lvlJc w:val="left"/>
      <w:pPr>
        <w:tabs>
          <w:tab w:val="left" w:pos="2947"/>
        </w:tabs>
        <w:ind w:left="2947" w:hanging="420"/>
      </w:pPr>
    </w:lvl>
    <w:lvl w:ilvl="7" w:tentative="0">
      <w:start w:val="1"/>
      <w:numFmt w:val="lowerLetter"/>
      <w:lvlText w:val="%8)"/>
      <w:lvlJc w:val="left"/>
      <w:pPr>
        <w:tabs>
          <w:tab w:val="left" w:pos="3367"/>
        </w:tabs>
        <w:ind w:left="3367" w:hanging="420"/>
      </w:pPr>
    </w:lvl>
    <w:lvl w:ilvl="8" w:tentative="0">
      <w:start w:val="1"/>
      <w:numFmt w:val="lowerRoman"/>
      <w:lvlText w:val="%9."/>
      <w:lvlJc w:val="right"/>
      <w:pPr>
        <w:tabs>
          <w:tab w:val="left" w:pos="3787"/>
        </w:tabs>
        <w:ind w:left="3787" w:hanging="420"/>
      </w:pPr>
    </w:lvl>
  </w:abstractNum>
  <w:abstractNum w:abstractNumId="11">
    <w:nsid w:val="2C5917C3"/>
    <w:multiLevelType w:val="multilevel"/>
    <w:tmpl w:val="2C5917C3"/>
    <w:lvl w:ilvl="0" w:tentative="0">
      <w:start w:val="1"/>
      <w:numFmt w:val="none"/>
      <w:pStyle w:val="229"/>
      <w:suff w:val="nothing"/>
      <w:lvlText w:val="%1——"/>
      <w:lvlJc w:val="left"/>
      <w:pPr>
        <w:ind w:left="833" w:hanging="408"/>
      </w:pPr>
    </w:lvl>
    <w:lvl w:ilvl="1" w:tentative="0">
      <w:start w:val="1"/>
      <w:numFmt w:val="bullet"/>
      <w:lvlText w:val=""/>
      <w:lvlJc w:val="left"/>
      <w:pPr>
        <w:tabs>
          <w:tab w:val="left" w:pos="760"/>
        </w:tabs>
        <w:ind w:left="1264" w:hanging="413"/>
      </w:pPr>
      <w:rPr>
        <w:rFonts w:hint="default" w:ascii="Symbol" w:hAnsi="Symbol"/>
        <w:color w:val="auto"/>
      </w:rPr>
    </w:lvl>
    <w:lvl w:ilvl="2" w:tentative="0">
      <w:start w:val="1"/>
      <w:numFmt w:val="bullet"/>
      <w:lvlText w:val=""/>
      <w:lvlJc w:val="left"/>
      <w:pPr>
        <w:tabs>
          <w:tab w:val="left" w:pos="1678"/>
        </w:tabs>
        <w:ind w:left="1678" w:hanging="414"/>
      </w:pPr>
      <w:rPr>
        <w:rFonts w:hint="default" w:ascii="Symbol" w:hAnsi="Symbol"/>
        <w:color w:val="auto"/>
      </w:rPr>
    </w:lvl>
    <w:lvl w:ilvl="3" w:tentative="0">
      <w:start w:val="1"/>
      <w:numFmt w:val="decimal"/>
      <w:lvlText w:val="%4."/>
      <w:lvlJc w:val="left"/>
      <w:pPr>
        <w:tabs>
          <w:tab w:val="left" w:pos="2071"/>
        </w:tabs>
        <w:ind w:left="1884" w:hanging="528"/>
      </w:pPr>
    </w:lvl>
    <w:lvl w:ilvl="4" w:tentative="0">
      <w:start w:val="1"/>
      <w:numFmt w:val="lowerLetter"/>
      <w:lvlText w:val="%5)"/>
      <w:lvlJc w:val="left"/>
      <w:pPr>
        <w:tabs>
          <w:tab w:val="left" w:pos="2383"/>
        </w:tabs>
        <w:ind w:left="2196" w:hanging="528"/>
      </w:pPr>
    </w:lvl>
    <w:lvl w:ilvl="5" w:tentative="0">
      <w:start w:val="1"/>
      <w:numFmt w:val="lowerRoman"/>
      <w:lvlText w:val="%6."/>
      <w:lvlJc w:val="right"/>
      <w:pPr>
        <w:tabs>
          <w:tab w:val="left" w:pos="2695"/>
        </w:tabs>
        <w:ind w:left="2508" w:hanging="528"/>
      </w:pPr>
    </w:lvl>
    <w:lvl w:ilvl="6" w:tentative="0">
      <w:start w:val="1"/>
      <w:numFmt w:val="decimal"/>
      <w:lvlText w:val="%7."/>
      <w:lvlJc w:val="left"/>
      <w:pPr>
        <w:tabs>
          <w:tab w:val="left" w:pos="3007"/>
        </w:tabs>
        <w:ind w:left="2820" w:hanging="528"/>
      </w:pPr>
    </w:lvl>
    <w:lvl w:ilvl="7" w:tentative="0">
      <w:start w:val="1"/>
      <w:numFmt w:val="lowerLetter"/>
      <w:lvlText w:val="%8)"/>
      <w:lvlJc w:val="left"/>
      <w:pPr>
        <w:tabs>
          <w:tab w:val="left" w:pos="3319"/>
        </w:tabs>
        <w:ind w:left="3132" w:hanging="528"/>
      </w:pPr>
    </w:lvl>
    <w:lvl w:ilvl="8" w:tentative="0">
      <w:start w:val="1"/>
      <w:numFmt w:val="lowerRoman"/>
      <w:lvlText w:val="%9."/>
      <w:lvlJc w:val="right"/>
      <w:pPr>
        <w:tabs>
          <w:tab w:val="left" w:pos="3631"/>
        </w:tabs>
        <w:ind w:left="3444" w:hanging="528"/>
      </w:pPr>
    </w:lvl>
  </w:abstractNum>
  <w:abstractNum w:abstractNumId="12">
    <w:nsid w:val="46AF771C"/>
    <w:multiLevelType w:val="singleLevel"/>
    <w:tmpl w:val="46AF771C"/>
    <w:lvl w:ilvl="0" w:tentative="0">
      <w:start w:val="3"/>
      <w:numFmt w:val="chineseCounting"/>
      <w:suff w:val="nothing"/>
      <w:lvlText w:val="%1、"/>
      <w:lvlJc w:val="left"/>
      <w:rPr>
        <w:rFonts w:hint="eastAsia"/>
      </w:rPr>
    </w:lvl>
  </w:abstractNum>
  <w:abstractNum w:abstractNumId="13">
    <w:nsid w:val="53F22A82"/>
    <w:multiLevelType w:val="multilevel"/>
    <w:tmpl w:val="53F22A82"/>
    <w:lvl w:ilvl="0" w:tentative="0">
      <w:start w:val="1"/>
      <w:numFmt w:val="chineseCountingThousand"/>
      <w:lvlText w:val="(%1)"/>
      <w:lvlJc w:val="left"/>
      <w:pPr>
        <w:ind w:left="900" w:hanging="420"/>
      </w:pPr>
      <w:rPr>
        <w:sz w:val="28"/>
        <w:szCs w:val="28"/>
      </w:rPr>
    </w:lvl>
    <w:lvl w:ilvl="1" w:tentative="0">
      <w:start w:val="1"/>
      <w:numFmt w:val="chineseCountingThousand"/>
      <w:lvlText w:val="(%2)"/>
      <w:lvlJc w:val="left"/>
      <w:pPr>
        <w:ind w:left="1320" w:hanging="420"/>
      </w:pPr>
      <w:rPr>
        <w:sz w:val="28"/>
        <w:szCs w:val="28"/>
      </w:rPr>
    </w:lvl>
    <w:lvl w:ilvl="2" w:tentative="0">
      <w:start w:val="1"/>
      <w:numFmt w:val="decimalEnclosedCircle"/>
      <w:lvlText w:val="%3"/>
      <w:lvlJc w:val="left"/>
      <w:pPr>
        <w:ind w:left="1680" w:hanging="360"/>
      </w:pPr>
      <w:rPr>
        <w:rFonts w:hint="eastAsia" w:ascii="宋体" w:hAnsi="Times New Roman" w:eastAsia="宋体" w:cs="Times New Roman"/>
      </w:r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4">
    <w:nsid w:val="60642B38"/>
    <w:multiLevelType w:val="multilevel"/>
    <w:tmpl w:val="60642B38"/>
    <w:lvl w:ilvl="0" w:tentative="0">
      <w:start w:val="1"/>
      <w:numFmt w:val="chineseCountingThousand"/>
      <w:lvlText w:val="%1、"/>
      <w:lvlJc w:val="left"/>
      <w:pPr>
        <w:ind w:left="840" w:hanging="420"/>
      </w:pPr>
    </w:lvl>
    <w:lvl w:ilvl="1" w:tentative="0">
      <w:start w:val="1"/>
      <w:numFmt w:val="lowerLetter"/>
      <w:lvlText w:val="%2)"/>
      <w:lvlJc w:val="left"/>
      <w:pPr>
        <w:tabs>
          <w:tab w:val="left" w:pos="274"/>
        </w:tabs>
        <w:ind w:left="274" w:hanging="420"/>
      </w:pPr>
    </w:lvl>
    <w:lvl w:ilvl="2" w:tentative="0">
      <w:start w:val="1"/>
      <w:numFmt w:val="lowerRoman"/>
      <w:lvlText w:val="%3."/>
      <w:lvlJc w:val="right"/>
      <w:pPr>
        <w:tabs>
          <w:tab w:val="left" w:pos="694"/>
        </w:tabs>
        <w:ind w:left="694" w:hanging="420"/>
      </w:pPr>
    </w:lvl>
    <w:lvl w:ilvl="3" w:tentative="0">
      <w:start w:val="1"/>
      <w:numFmt w:val="decimal"/>
      <w:lvlText w:val="%4."/>
      <w:lvlJc w:val="left"/>
      <w:pPr>
        <w:tabs>
          <w:tab w:val="left" w:pos="1114"/>
        </w:tabs>
        <w:ind w:left="1114" w:hanging="420"/>
      </w:pPr>
    </w:lvl>
    <w:lvl w:ilvl="4" w:tentative="0">
      <w:start w:val="1"/>
      <w:numFmt w:val="lowerLetter"/>
      <w:lvlText w:val="%5)"/>
      <w:lvlJc w:val="left"/>
      <w:pPr>
        <w:tabs>
          <w:tab w:val="left" w:pos="1534"/>
        </w:tabs>
        <w:ind w:left="1534" w:hanging="420"/>
      </w:pPr>
    </w:lvl>
    <w:lvl w:ilvl="5" w:tentative="0">
      <w:start w:val="1"/>
      <w:numFmt w:val="lowerRoman"/>
      <w:lvlText w:val="%6."/>
      <w:lvlJc w:val="right"/>
      <w:pPr>
        <w:tabs>
          <w:tab w:val="left" w:pos="1954"/>
        </w:tabs>
        <w:ind w:left="1954" w:hanging="420"/>
      </w:pPr>
    </w:lvl>
    <w:lvl w:ilvl="6" w:tentative="0">
      <w:start w:val="1"/>
      <w:numFmt w:val="decimal"/>
      <w:lvlText w:val="%7."/>
      <w:lvlJc w:val="left"/>
      <w:pPr>
        <w:tabs>
          <w:tab w:val="left" w:pos="2374"/>
        </w:tabs>
        <w:ind w:left="2374" w:hanging="420"/>
      </w:pPr>
    </w:lvl>
    <w:lvl w:ilvl="7" w:tentative="0">
      <w:start w:val="1"/>
      <w:numFmt w:val="lowerLetter"/>
      <w:lvlText w:val="%8)"/>
      <w:lvlJc w:val="left"/>
      <w:pPr>
        <w:tabs>
          <w:tab w:val="left" w:pos="2794"/>
        </w:tabs>
        <w:ind w:left="2794" w:hanging="420"/>
      </w:pPr>
    </w:lvl>
    <w:lvl w:ilvl="8" w:tentative="0">
      <w:start w:val="1"/>
      <w:numFmt w:val="lowerRoman"/>
      <w:lvlText w:val="%9."/>
      <w:lvlJc w:val="right"/>
      <w:pPr>
        <w:tabs>
          <w:tab w:val="left" w:pos="3214"/>
        </w:tabs>
        <w:ind w:left="3214" w:hanging="420"/>
      </w:pPr>
    </w:lvl>
  </w:abstractNum>
  <w:abstractNum w:abstractNumId="15">
    <w:nsid w:val="61FA781F"/>
    <w:multiLevelType w:val="multilevel"/>
    <w:tmpl w:val="61FA781F"/>
    <w:lvl w:ilvl="0" w:tentative="0">
      <w:start w:val="1"/>
      <w:numFmt w:val="chineseCountingThousand"/>
      <w:lvlText w:val="%1、"/>
      <w:lvlJc w:val="left"/>
      <w:pPr>
        <w:ind w:left="6375" w:hanging="420"/>
      </w:pPr>
    </w:lvl>
    <w:lvl w:ilvl="1" w:tentative="0">
      <w:start w:val="1"/>
      <w:numFmt w:val="lowerLetter"/>
      <w:lvlText w:val="%2)"/>
      <w:lvlJc w:val="left"/>
      <w:pPr>
        <w:tabs>
          <w:tab w:val="left" w:pos="5809"/>
        </w:tabs>
        <w:ind w:left="5809" w:hanging="420"/>
      </w:pPr>
    </w:lvl>
    <w:lvl w:ilvl="2" w:tentative="0">
      <w:start w:val="1"/>
      <w:numFmt w:val="lowerRoman"/>
      <w:lvlText w:val="%3."/>
      <w:lvlJc w:val="right"/>
      <w:pPr>
        <w:tabs>
          <w:tab w:val="left" w:pos="6229"/>
        </w:tabs>
        <w:ind w:left="6229" w:hanging="420"/>
      </w:pPr>
    </w:lvl>
    <w:lvl w:ilvl="3" w:tentative="0">
      <w:start w:val="1"/>
      <w:numFmt w:val="decimal"/>
      <w:lvlText w:val="%4."/>
      <w:lvlJc w:val="left"/>
      <w:pPr>
        <w:tabs>
          <w:tab w:val="left" w:pos="6649"/>
        </w:tabs>
        <w:ind w:left="6649" w:hanging="420"/>
      </w:pPr>
    </w:lvl>
    <w:lvl w:ilvl="4" w:tentative="0">
      <w:start w:val="1"/>
      <w:numFmt w:val="lowerLetter"/>
      <w:lvlText w:val="%5)"/>
      <w:lvlJc w:val="left"/>
      <w:pPr>
        <w:tabs>
          <w:tab w:val="left" w:pos="7069"/>
        </w:tabs>
        <w:ind w:left="7069" w:hanging="420"/>
      </w:pPr>
    </w:lvl>
    <w:lvl w:ilvl="5" w:tentative="0">
      <w:start w:val="1"/>
      <w:numFmt w:val="lowerRoman"/>
      <w:lvlText w:val="%6."/>
      <w:lvlJc w:val="right"/>
      <w:pPr>
        <w:tabs>
          <w:tab w:val="left" w:pos="7489"/>
        </w:tabs>
        <w:ind w:left="7489" w:hanging="420"/>
      </w:pPr>
    </w:lvl>
    <w:lvl w:ilvl="6" w:tentative="0">
      <w:start w:val="1"/>
      <w:numFmt w:val="decimal"/>
      <w:lvlText w:val="%7."/>
      <w:lvlJc w:val="left"/>
      <w:pPr>
        <w:tabs>
          <w:tab w:val="left" w:pos="7909"/>
        </w:tabs>
        <w:ind w:left="7909" w:hanging="420"/>
      </w:pPr>
    </w:lvl>
    <w:lvl w:ilvl="7" w:tentative="0">
      <w:start w:val="1"/>
      <w:numFmt w:val="lowerLetter"/>
      <w:lvlText w:val="%8)"/>
      <w:lvlJc w:val="left"/>
      <w:pPr>
        <w:tabs>
          <w:tab w:val="left" w:pos="8329"/>
        </w:tabs>
        <w:ind w:left="8329" w:hanging="420"/>
      </w:pPr>
    </w:lvl>
    <w:lvl w:ilvl="8" w:tentative="0">
      <w:start w:val="1"/>
      <w:numFmt w:val="lowerRoman"/>
      <w:lvlText w:val="%9."/>
      <w:lvlJc w:val="right"/>
      <w:pPr>
        <w:tabs>
          <w:tab w:val="left" w:pos="8749"/>
        </w:tabs>
        <w:ind w:left="8749" w:hanging="420"/>
      </w:pPr>
    </w:lvl>
  </w:abstractNum>
  <w:abstractNum w:abstractNumId="16">
    <w:nsid w:val="67753F1F"/>
    <w:multiLevelType w:val="multilevel"/>
    <w:tmpl w:val="67753F1F"/>
    <w:lvl w:ilvl="0" w:tentative="0">
      <w:start w:val="5"/>
      <w:numFmt w:val="japaneseCounting"/>
      <w:lvlText w:val="（%1）"/>
      <w:lvlJc w:val="left"/>
      <w:pPr>
        <w:ind w:left="1200" w:hanging="7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7">
    <w:nsid w:val="6F352E91"/>
    <w:multiLevelType w:val="singleLevel"/>
    <w:tmpl w:val="6F352E91"/>
    <w:lvl w:ilvl="0" w:tentative="0">
      <w:start w:val="1"/>
      <w:numFmt w:val="decimal"/>
      <w:pStyle w:val="35"/>
      <w:lvlText w:val="%1."/>
      <w:lvlJc w:val="left"/>
      <w:pPr>
        <w:tabs>
          <w:tab w:val="left" w:pos="2040"/>
        </w:tabs>
        <w:ind w:left="2040" w:hanging="360"/>
      </w:pPr>
    </w:lvl>
  </w:abstractNum>
  <w:abstractNum w:abstractNumId="18">
    <w:nsid w:val="7F511D7D"/>
    <w:multiLevelType w:val="multilevel"/>
    <w:tmpl w:val="7F511D7D"/>
    <w:lvl w:ilvl="0" w:tentative="0">
      <w:start w:val="1"/>
      <w:numFmt w:val="chineseCountingThousand"/>
      <w:lvlText w:val="%1、"/>
      <w:lvlJc w:val="left"/>
      <w:pPr>
        <w:ind w:left="988" w:hanging="420"/>
      </w:pPr>
      <w:rPr>
        <w:sz w:val="28"/>
        <w:szCs w:val="28"/>
      </w:rPr>
    </w:lvl>
    <w:lvl w:ilvl="1" w:tentative="0">
      <w:start w:val="1"/>
      <w:numFmt w:val="decimal"/>
      <w:isLgl/>
      <w:lvlText w:val="%1.%2"/>
      <w:lvlJc w:val="left"/>
      <w:pPr>
        <w:ind w:left="1528" w:hanging="960"/>
      </w:pPr>
    </w:lvl>
    <w:lvl w:ilvl="2" w:tentative="0">
      <w:start w:val="1"/>
      <w:numFmt w:val="decimal"/>
      <w:isLgl/>
      <w:lvlText w:val="%1.%2.%3"/>
      <w:lvlJc w:val="left"/>
      <w:pPr>
        <w:ind w:left="1528" w:hanging="960"/>
      </w:pPr>
    </w:lvl>
    <w:lvl w:ilvl="3" w:tentative="0">
      <w:start w:val="1"/>
      <w:numFmt w:val="decimal"/>
      <w:isLgl/>
      <w:lvlText w:val="%1.%2.%3.%4"/>
      <w:lvlJc w:val="left"/>
      <w:pPr>
        <w:ind w:left="1648" w:hanging="1080"/>
      </w:pPr>
    </w:lvl>
    <w:lvl w:ilvl="4" w:tentative="0">
      <w:start w:val="1"/>
      <w:numFmt w:val="decimal"/>
      <w:isLgl/>
      <w:lvlText w:val="%1.%2.%3.%4.%5"/>
      <w:lvlJc w:val="left"/>
      <w:pPr>
        <w:ind w:left="1648" w:hanging="1080"/>
      </w:pPr>
    </w:lvl>
    <w:lvl w:ilvl="5" w:tentative="0">
      <w:start w:val="1"/>
      <w:numFmt w:val="decimal"/>
      <w:isLgl/>
      <w:lvlText w:val="%1.%2.%3.%4.%5.%6"/>
      <w:lvlJc w:val="left"/>
      <w:pPr>
        <w:ind w:left="2008" w:hanging="1440"/>
      </w:pPr>
    </w:lvl>
    <w:lvl w:ilvl="6" w:tentative="0">
      <w:start w:val="1"/>
      <w:numFmt w:val="decimal"/>
      <w:isLgl/>
      <w:lvlText w:val="%1.%2.%3.%4.%5.%6.%7"/>
      <w:lvlJc w:val="left"/>
      <w:pPr>
        <w:ind w:left="2368" w:hanging="1800"/>
      </w:pPr>
    </w:lvl>
    <w:lvl w:ilvl="7" w:tentative="0">
      <w:start w:val="1"/>
      <w:numFmt w:val="decimal"/>
      <w:isLgl/>
      <w:lvlText w:val="%1.%2.%3.%4.%5.%6.%7.%8"/>
      <w:lvlJc w:val="left"/>
      <w:pPr>
        <w:ind w:left="2368" w:hanging="1800"/>
      </w:pPr>
    </w:lvl>
    <w:lvl w:ilvl="8" w:tentative="0">
      <w:start w:val="1"/>
      <w:numFmt w:val="decimal"/>
      <w:isLgl/>
      <w:lvlText w:val="%1.%2.%3.%4.%5.%6.%7.%8.%9"/>
      <w:lvlJc w:val="left"/>
      <w:pPr>
        <w:ind w:left="2728" w:hanging="2160"/>
      </w:pPr>
    </w:lvl>
  </w:abstractNum>
  <w:num w:numId="1">
    <w:abstractNumId w:val="5"/>
  </w:num>
  <w:num w:numId="2">
    <w:abstractNumId w:val="4"/>
  </w:num>
  <w:num w:numId="3">
    <w:abstractNumId w:val="17"/>
  </w:num>
  <w:num w:numId="4">
    <w:abstractNumId w:val="11"/>
  </w:num>
  <w:num w:numId="5">
    <w:abstractNumId w:val="2"/>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num>
  <w:num w:numId="12">
    <w:abstractNumId w:val="9"/>
  </w:num>
  <w:num w:numId="13">
    <w:abstractNumId w:val="16"/>
  </w:num>
  <w:num w:numId="14">
    <w:abstractNumId w:val="0"/>
  </w:num>
  <w:num w:numId="1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E5NGFiZTgxNzM3NmQ2MzZiOGU2ZTYwYmY5NjcxZTIifQ=="/>
    <w:docVar w:name="KGWebUrl" w:val="https://portal.cdggzy.com/iWebOffice2015/OfficeHandler.ashx?directory=/CgProject/BidFile/File/%e6%88%90%e9%83%bd%e5%b8%82%e6%94%bf%e9%87%87%e6%8b%9b%e3%80%942021%e3%80%95024%e5%8f%b7/"/>
  </w:docVars>
  <w:rsids>
    <w:rsidRoot w:val="001F73B0"/>
    <w:rsid w:val="000023C4"/>
    <w:rsid w:val="000039F2"/>
    <w:rsid w:val="000042B8"/>
    <w:rsid w:val="000061EF"/>
    <w:rsid w:val="00012882"/>
    <w:rsid w:val="00016549"/>
    <w:rsid w:val="00016F4D"/>
    <w:rsid w:val="000174E4"/>
    <w:rsid w:val="000179A0"/>
    <w:rsid w:val="0002126F"/>
    <w:rsid w:val="00022CDD"/>
    <w:rsid w:val="00025A57"/>
    <w:rsid w:val="00026529"/>
    <w:rsid w:val="00026535"/>
    <w:rsid w:val="00026B21"/>
    <w:rsid w:val="00027703"/>
    <w:rsid w:val="0003136B"/>
    <w:rsid w:val="00033F49"/>
    <w:rsid w:val="0003438F"/>
    <w:rsid w:val="00034458"/>
    <w:rsid w:val="00051C0A"/>
    <w:rsid w:val="000532CE"/>
    <w:rsid w:val="0005344D"/>
    <w:rsid w:val="00057989"/>
    <w:rsid w:val="000610AF"/>
    <w:rsid w:val="00063981"/>
    <w:rsid w:val="0006474F"/>
    <w:rsid w:val="00065981"/>
    <w:rsid w:val="000713C0"/>
    <w:rsid w:val="00072234"/>
    <w:rsid w:val="000743C6"/>
    <w:rsid w:val="00074521"/>
    <w:rsid w:val="000777D1"/>
    <w:rsid w:val="0008146D"/>
    <w:rsid w:val="0008655E"/>
    <w:rsid w:val="00086E37"/>
    <w:rsid w:val="00092D67"/>
    <w:rsid w:val="00095FF1"/>
    <w:rsid w:val="000A0B0A"/>
    <w:rsid w:val="000A4B6A"/>
    <w:rsid w:val="000A5233"/>
    <w:rsid w:val="000A76A1"/>
    <w:rsid w:val="000B2356"/>
    <w:rsid w:val="000B274E"/>
    <w:rsid w:val="000B33FA"/>
    <w:rsid w:val="000B3D82"/>
    <w:rsid w:val="000B43E4"/>
    <w:rsid w:val="000B6A1D"/>
    <w:rsid w:val="000C0069"/>
    <w:rsid w:val="000C1083"/>
    <w:rsid w:val="000C121B"/>
    <w:rsid w:val="000C688A"/>
    <w:rsid w:val="000C6C5E"/>
    <w:rsid w:val="000C7BCC"/>
    <w:rsid w:val="000D0693"/>
    <w:rsid w:val="000D268F"/>
    <w:rsid w:val="000D722D"/>
    <w:rsid w:val="000D75ED"/>
    <w:rsid w:val="000E0284"/>
    <w:rsid w:val="000E3112"/>
    <w:rsid w:val="000F06CD"/>
    <w:rsid w:val="000F5178"/>
    <w:rsid w:val="000F554C"/>
    <w:rsid w:val="000F59D2"/>
    <w:rsid w:val="00100866"/>
    <w:rsid w:val="00101BE9"/>
    <w:rsid w:val="0010265F"/>
    <w:rsid w:val="00103846"/>
    <w:rsid w:val="00106C2E"/>
    <w:rsid w:val="001108D6"/>
    <w:rsid w:val="00110A0B"/>
    <w:rsid w:val="0011456A"/>
    <w:rsid w:val="00122F99"/>
    <w:rsid w:val="0013319F"/>
    <w:rsid w:val="001346A7"/>
    <w:rsid w:val="00140768"/>
    <w:rsid w:val="0014140F"/>
    <w:rsid w:val="00143A28"/>
    <w:rsid w:val="00152860"/>
    <w:rsid w:val="001565CC"/>
    <w:rsid w:val="00161402"/>
    <w:rsid w:val="00163F7C"/>
    <w:rsid w:val="0016758C"/>
    <w:rsid w:val="00167755"/>
    <w:rsid w:val="00167B1D"/>
    <w:rsid w:val="0017400D"/>
    <w:rsid w:val="00175BA2"/>
    <w:rsid w:val="001801DC"/>
    <w:rsid w:val="00183360"/>
    <w:rsid w:val="00185E01"/>
    <w:rsid w:val="00186578"/>
    <w:rsid w:val="00187861"/>
    <w:rsid w:val="0019367D"/>
    <w:rsid w:val="00194408"/>
    <w:rsid w:val="001968B4"/>
    <w:rsid w:val="001A18E5"/>
    <w:rsid w:val="001A2AA6"/>
    <w:rsid w:val="001A3D45"/>
    <w:rsid w:val="001A4DAE"/>
    <w:rsid w:val="001A5481"/>
    <w:rsid w:val="001B1D79"/>
    <w:rsid w:val="001B6D15"/>
    <w:rsid w:val="001B7C8D"/>
    <w:rsid w:val="001C02C9"/>
    <w:rsid w:val="001C45E9"/>
    <w:rsid w:val="001C5E7E"/>
    <w:rsid w:val="001D2889"/>
    <w:rsid w:val="001D467A"/>
    <w:rsid w:val="001D54DB"/>
    <w:rsid w:val="001D56CD"/>
    <w:rsid w:val="001E655A"/>
    <w:rsid w:val="001E7017"/>
    <w:rsid w:val="001E7086"/>
    <w:rsid w:val="001F0037"/>
    <w:rsid w:val="001F0E31"/>
    <w:rsid w:val="001F4627"/>
    <w:rsid w:val="001F6251"/>
    <w:rsid w:val="001F73B0"/>
    <w:rsid w:val="00201633"/>
    <w:rsid w:val="00202454"/>
    <w:rsid w:val="0020287B"/>
    <w:rsid w:val="00203649"/>
    <w:rsid w:val="0020671B"/>
    <w:rsid w:val="002067B1"/>
    <w:rsid w:val="0020789B"/>
    <w:rsid w:val="0021451B"/>
    <w:rsid w:val="00214972"/>
    <w:rsid w:val="00215AB3"/>
    <w:rsid w:val="0021701C"/>
    <w:rsid w:val="002177D1"/>
    <w:rsid w:val="00220DA3"/>
    <w:rsid w:val="0022692C"/>
    <w:rsid w:val="00226EC5"/>
    <w:rsid w:val="002451C3"/>
    <w:rsid w:val="002502A1"/>
    <w:rsid w:val="002512CF"/>
    <w:rsid w:val="002513A6"/>
    <w:rsid w:val="00254631"/>
    <w:rsid w:val="00255928"/>
    <w:rsid w:val="00262433"/>
    <w:rsid w:val="0026307F"/>
    <w:rsid w:val="002651C5"/>
    <w:rsid w:val="00265BDE"/>
    <w:rsid w:val="00270ECA"/>
    <w:rsid w:val="002729FF"/>
    <w:rsid w:val="00277F16"/>
    <w:rsid w:val="00280E6A"/>
    <w:rsid w:val="002847DB"/>
    <w:rsid w:val="00295F97"/>
    <w:rsid w:val="0029697C"/>
    <w:rsid w:val="002A1489"/>
    <w:rsid w:val="002A261C"/>
    <w:rsid w:val="002A3A1C"/>
    <w:rsid w:val="002B1434"/>
    <w:rsid w:val="002B2023"/>
    <w:rsid w:val="002C764F"/>
    <w:rsid w:val="002D11D5"/>
    <w:rsid w:val="002E123D"/>
    <w:rsid w:val="002E12F4"/>
    <w:rsid w:val="002E236A"/>
    <w:rsid w:val="002E303E"/>
    <w:rsid w:val="002E4801"/>
    <w:rsid w:val="002F4342"/>
    <w:rsid w:val="002F6F67"/>
    <w:rsid w:val="0030035A"/>
    <w:rsid w:val="00300CA1"/>
    <w:rsid w:val="003025FE"/>
    <w:rsid w:val="00305097"/>
    <w:rsid w:val="003053DA"/>
    <w:rsid w:val="00305CE7"/>
    <w:rsid w:val="003062AA"/>
    <w:rsid w:val="0031394D"/>
    <w:rsid w:val="0031411F"/>
    <w:rsid w:val="00316913"/>
    <w:rsid w:val="0032282D"/>
    <w:rsid w:val="00323C1A"/>
    <w:rsid w:val="00327950"/>
    <w:rsid w:val="00330BEF"/>
    <w:rsid w:val="00334BCB"/>
    <w:rsid w:val="00335EB1"/>
    <w:rsid w:val="00340235"/>
    <w:rsid w:val="003420BA"/>
    <w:rsid w:val="00342B69"/>
    <w:rsid w:val="00346403"/>
    <w:rsid w:val="00346943"/>
    <w:rsid w:val="003514B8"/>
    <w:rsid w:val="0035201E"/>
    <w:rsid w:val="00354EA2"/>
    <w:rsid w:val="0036212C"/>
    <w:rsid w:val="003621E0"/>
    <w:rsid w:val="003623D7"/>
    <w:rsid w:val="00362718"/>
    <w:rsid w:val="00363E87"/>
    <w:rsid w:val="003646B9"/>
    <w:rsid w:val="0036536F"/>
    <w:rsid w:val="00370D4D"/>
    <w:rsid w:val="003710A5"/>
    <w:rsid w:val="00371B12"/>
    <w:rsid w:val="00372ECF"/>
    <w:rsid w:val="00374619"/>
    <w:rsid w:val="003752BF"/>
    <w:rsid w:val="00377C8B"/>
    <w:rsid w:val="00383D6E"/>
    <w:rsid w:val="00384480"/>
    <w:rsid w:val="00385E5F"/>
    <w:rsid w:val="00392E65"/>
    <w:rsid w:val="003944EB"/>
    <w:rsid w:val="003A09B9"/>
    <w:rsid w:val="003A4409"/>
    <w:rsid w:val="003A7FD2"/>
    <w:rsid w:val="003B1162"/>
    <w:rsid w:val="003B256D"/>
    <w:rsid w:val="003B5C98"/>
    <w:rsid w:val="003B7398"/>
    <w:rsid w:val="003C140E"/>
    <w:rsid w:val="003C2195"/>
    <w:rsid w:val="003C2D62"/>
    <w:rsid w:val="003C61DC"/>
    <w:rsid w:val="003D27CA"/>
    <w:rsid w:val="003D2A89"/>
    <w:rsid w:val="003D2F7D"/>
    <w:rsid w:val="003D4F92"/>
    <w:rsid w:val="003D7BD8"/>
    <w:rsid w:val="003D7D0F"/>
    <w:rsid w:val="003E2110"/>
    <w:rsid w:val="003E3793"/>
    <w:rsid w:val="003E4B6B"/>
    <w:rsid w:val="003F0EDE"/>
    <w:rsid w:val="003F222E"/>
    <w:rsid w:val="003F3C42"/>
    <w:rsid w:val="003F50CC"/>
    <w:rsid w:val="003F598B"/>
    <w:rsid w:val="003F6487"/>
    <w:rsid w:val="004010F6"/>
    <w:rsid w:val="004013FD"/>
    <w:rsid w:val="004022F4"/>
    <w:rsid w:val="00402344"/>
    <w:rsid w:val="00404442"/>
    <w:rsid w:val="0040511A"/>
    <w:rsid w:val="004051C9"/>
    <w:rsid w:val="00405F8B"/>
    <w:rsid w:val="00411516"/>
    <w:rsid w:val="00411DA5"/>
    <w:rsid w:val="0041221B"/>
    <w:rsid w:val="004134AD"/>
    <w:rsid w:val="004134AF"/>
    <w:rsid w:val="00417CF3"/>
    <w:rsid w:val="004238EB"/>
    <w:rsid w:val="004245A8"/>
    <w:rsid w:val="004273F2"/>
    <w:rsid w:val="00430BFF"/>
    <w:rsid w:val="00430FD1"/>
    <w:rsid w:val="004311E9"/>
    <w:rsid w:val="00431A3C"/>
    <w:rsid w:val="0043246A"/>
    <w:rsid w:val="004357C7"/>
    <w:rsid w:val="0043700B"/>
    <w:rsid w:val="00437836"/>
    <w:rsid w:val="00437E6C"/>
    <w:rsid w:val="0044346E"/>
    <w:rsid w:val="00445184"/>
    <w:rsid w:val="00445E0E"/>
    <w:rsid w:val="00446126"/>
    <w:rsid w:val="0044761D"/>
    <w:rsid w:val="00447C57"/>
    <w:rsid w:val="004517C9"/>
    <w:rsid w:val="00452997"/>
    <w:rsid w:val="00452ACF"/>
    <w:rsid w:val="00460489"/>
    <w:rsid w:val="00467476"/>
    <w:rsid w:val="0047177D"/>
    <w:rsid w:val="00476ACB"/>
    <w:rsid w:val="00477041"/>
    <w:rsid w:val="00477A00"/>
    <w:rsid w:val="00484CF8"/>
    <w:rsid w:val="00486594"/>
    <w:rsid w:val="00487A84"/>
    <w:rsid w:val="00495010"/>
    <w:rsid w:val="00496797"/>
    <w:rsid w:val="00497555"/>
    <w:rsid w:val="004A4458"/>
    <w:rsid w:val="004A5EC3"/>
    <w:rsid w:val="004B06E4"/>
    <w:rsid w:val="004B1CA7"/>
    <w:rsid w:val="004B337C"/>
    <w:rsid w:val="004C5ED2"/>
    <w:rsid w:val="004D1568"/>
    <w:rsid w:val="004D2CFC"/>
    <w:rsid w:val="004D48DE"/>
    <w:rsid w:val="004D599A"/>
    <w:rsid w:val="004E1E1E"/>
    <w:rsid w:val="004E4261"/>
    <w:rsid w:val="004E6200"/>
    <w:rsid w:val="004E7635"/>
    <w:rsid w:val="004F1F81"/>
    <w:rsid w:val="004F2626"/>
    <w:rsid w:val="004F3133"/>
    <w:rsid w:val="004F4893"/>
    <w:rsid w:val="0050332B"/>
    <w:rsid w:val="00503936"/>
    <w:rsid w:val="00504133"/>
    <w:rsid w:val="00505DC1"/>
    <w:rsid w:val="00510C65"/>
    <w:rsid w:val="00510FC6"/>
    <w:rsid w:val="0052113C"/>
    <w:rsid w:val="00523994"/>
    <w:rsid w:val="00531A79"/>
    <w:rsid w:val="00531B44"/>
    <w:rsid w:val="00540FC0"/>
    <w:rsid w:val="005430FD"/>
    <w:rsid w:val="005446FD"/>
    <w:rsid w:val="00545DE3"/>
    <w:rsid w:val="00550A52"/>
    <w:rsid w:val="005538C1"/>
    <w:rsid w:val="00556F88"/>
    <w:rsid w:val="005570C1"/>
    <w:rsid w:val="0056027F"/>
    <w:rsid w:val="005617EF"/>
    <w:rsid w:val="00564730"/>
    <w:rsid w:val="00564FA0"/>
    <w:rsid w:val="00565940"/>
    <w:rsid w:val="00567D64"/>
    <w:rsid w:val="0057517B"/>
    <w:rsid w:val="00576EE9"/>
    <w:rsid w:val="0057742C"/>
    <w:rsid w:val="005776CC"/>
    <w:rsid w:val="005808D3"/>
    <w:rsid w:val="00582B28"/>
    <w:rsid w:val="005830E8"/>
    <w:rsid w:val="0059336C"/>
    <w:rsid w:val="005957A3"/>
    <w:rsid w:val="005972D6"/>
    <w:rsid w:val="005975EC"/>
    <w:rsid w:val="005A021E"/>
    <w:rsid w:val="005A0484"/>
    <w:rsid w:val="005A5361"/>
    <w:rsid w:val="005A5831"/>
    <w:rsid w:val="005A64EB"/>
    <w:rsid w:val="005B3D92"/>
    <w:rsid w:val="005B41FA"/>
    <w:rsid w:val="005B7209"/>
    <w:rsid w:val="005C2589"/>
    <w:rsid w:val="005C3C4F"/>
    <w:rsid w:val="005D055B"/>
    <w:rsid w:val="005D6B69"/>
    <w:rsid w:val="005D7B75"/>
    <w:rsid w:val="005E1230"/>
    <w:rsid w:val="005E123D"/>
    <w:rsid w:val="005E269C"/>
    <w:rsid w:val="005E35EF"/>
    <w:rsid w:val="005E3722"/>
    <w:rsid w:val="005E43E2"/>
    <w:rsid w:val="005E5653"/>
    <w:rsid w:val="005E599B"/>
    <w:rsid w:val="005E739A"/>
    <w:rsid w:val="005F676E"/>
    <w:rsid w:val="005F7685"/>
    <w:rsid w:val="00600377"/>
    <w:rsid w:val="00607F95"/>
    <w:rsid w:val="00611A72"/>
    <w:rsid w:val="00614AFD"/>
    <w:rsid w:val="00624151"/>
    <w:rsid w:val="00624F1E"/>
    <w:rsid w:val="0063097C"/>
    <w:rsid w:val="0063107A"/>
    <w:rsid w:val="00633F88"/>
    <w:rsid w:val="00634B5C"/>
    <w:rsid w:val="00636282"/>
    <w:rsid w:val="006435DE"/>
    <w:rsid w:val="00645B37"/>
    <w:rsid w:val="00662EBE"/>
    <w:rsid w:val="00673C2B"/>
    <w:rsid w:val="006766EC"/>
    <w:rsid w:val="0067729F"/>
    <w:rsid w:val="0068036F"/>
    <w:rsid w:val="0068261B"/>
    <w:rsid w:val="00695DDC"/>
    <w:rsid w:val="006970C0"/>
    <w:rsid w:val="006A45CF"/>
    <w:rsid w:val="006A5E19"/>
    <w:rsid w:val="006B4FC1"/>
    <w:rsid w:val="006B54C4"/>
    <w:rsid w:val="006B6747"/>
    <w:rsid w:val="006B7421"/>
    <w:rsid w:val="006C10D5"/>
    <w:rsid w:val="006C1FB4"/>
    <w:rsid w:val="006C3900"/>
    <w:rsid w:val="006C4CE8"/>
    <w:rsid w:val="006C5491"/>
    <w:rsid w:val="006C7335"/>
    <w:rsid w:val="006C7FCA"/>
    <w:rsid w:val="006D3124"/>
    <w:rsid w:val="006D4AEC"/>
    <w:rsid w:val="006D595F"/>
    <w:rsid w:val="006E399C"/>
    <w:rsid w:val="006E3B14"/>
    <w:rsid w:val="006E50A2"/>
    <w:rsid w:val="006E5F06"/>
    <w:rsid w:val="006E6231"/>
    <w:rsid w:val="006F0A73"/>
    <w:rsid w:val="006F320A"/>
    <w:rsid w:val="006F327A"/>
    <w:rsid w:val="006F4B1C"/>
    <w:rsid w:val="007007DA"/>
    <w:rsid w:val="007101A4"/>
    <w:rsid w:val="007106A3"/>
    <w:rsid w:val="00712338"/>
    <w:rsid w:val="00713541"/>
    <w:rsid w:val="00715A71"/>
    <w:rsid w:val="00720519"/>
    <w:rsid w:val="00727427"/>
    <w:rsid w:val="00730B24"/>
    <w:rsid w:val="00733724"/>
    <w:rsid w:val="0073414A"/>
    <w:rsid w:val="007345B7"/>
    <w:rsid w:val="0073713B"/>
    <w:rsid w:val="007407F8"/>
    <w:rsid w:val="00743020"/>
    <w:rsid w:val="00743B0A"/>
    <w:rsid w:val="00744EFD"/>
    <w:rsid w:val="00744F10"/>
    <w:rsid w:val="007475F3"/>
    <w:rsid w:val="00750983"/>
    <w:rsid w:val="00756241"/>
    <w:rsid w:val="00760162"/>
    <w:rsid w:val="00760560"/>
    <w:rsid w:val="00761A0B"/>
    <w:rsid w:val="00761A8D"/>
    <w:rsid w:val="0076602A"/>
    <w:rsid w:val="00767BD1"/>
    <w:rsid w:val="007754EF"/>
    <w:rsid w:val="00777CF3"/>
    <w:rsid w:val="00780DA1"/>
    <w:rsid w:val="00780DA4"/>
    <w:rsid w:val="00783D0C"/>
    <w:rsid w:val="00784088"/>
    <w:rsid w:val="007848BF"/>
    <w:rsid w:val="00785133"/>
    <w:rsid w:val="00786A79"/>
    <w:rsid w:val="00792287"/>
    <w:rsid w:val="00795D62"/>
    <w:rsid w:val="007970C5"/>
    <w:rsid w:val="007B0AE5"/>
    <w:rsid w:val="007B1592"/>
    <w:rsid w:val="007B1DF0"/>
    <w:rsid w:val="007B2FA6"/>
    <w:rsid w:val="007B3969"/>
    <w:rsid w:val="007B3BB8"/>
    <w:rsid w:val="007B4E18"/>
    <w:rsid w:val="007B6CE9"/>
    <w:rsid w:val="007B6E21"/>
    <w:rsid w:val="007C1D34"/>
    <w:rsid w:val="007C41A7"/>
    <w:rsid w:val="007C5C78"/>
    <w:rsid w:val="007D1114"/>
    <w:rsid w:val="007D5E6F"/>
    <w:rsid w:val="007D69A9"/>
    <w:rsid w:val="007E017C"/>
    <w:rsid w:val="007E14ED"/>
    <w:rsid w:val="007E3C07"/>
    <w:rsid w:val="007F3094"/>
    <w:rsid w:val="007F6422"/>
    <w:rsid w:val="007F74E1"/>
    <w:rsid w:val="00800943"/>
    <w:rsid w:val="00801179"/>
    <w:rsid w:val="00801195"/>
    <w:rsid w:val="008041B9"/>
    <w:rsid w:val="00804D91"/>
    <w:rsid w:val="00812794"/>
    <w:rsid w:val="0081441A"/>
    <w:rsid w:val="00815E8B"/>
    <w:rsid w:val="00823001"/>
    <w:rsid w:val="0082347A"/>
    <w:rsid w:val="00823DE8"/>
    <w:rsid w:val="00824003"/>
    <w:rsid w:val="00824784"/>
    <w:rsid w:val="00825BDF"/>
    <w:rsid w:val="00825CAB"/>
    <w:rsid w:val="008266D3"/>
    <w:rsid w:val="00826AB7"/>
    <w:rsid w:val="0082744F"/>
    <w:rsid w:val="0083340E"/>
    <w:rsid w:val="00833604"/>
    <w:rsid w:val="00833D36"/>
    <w:rsid w:val="00834A7F"/>
    <w:rsid w:val="0083586D"/>
    <w:rsid w:val="008361D5"/>
    <w:rsid w:val="00843B93"/>
    <w:rsid w:val="00846650"/>
    <w:rsid w:val="00847895"/>
    <w:rsid w:val="00853FEC"/>
    <w:rsid w:val="00854FF5"/>
    <w:rsid w:val="008567F1"/>
    <w:rsid w:val="00857478"/>
    <w:rsid w:val="00861D7A"/>
    <w:rsid w:val="00865F44"/>
    <w:rsid w:val="008716D3"/>
    <w:rsid w:val="00872312"/>
    <w:rsid w:val="00872B11"/>
    <w:rsid w:val="008835ED"/>
    <w:rsid w:val="0088582A"/>
    <w:rsid w:val="00886A8E"/>
    <w:rsid w:val="008900B3"/>
    <w:rsid w:val="00890F59"/>
    <w:rsid w:val="00892485"/>
    <w:rsid w:val="00893649"/>
    <w:rsid w:val="0089574F"/>
    <w:rsid w:val="00896A3B"/>
    <w:rsid w:val="008A015F"/>
    <w:rsid w:val="008A1E44"/>
    <w:rsid w:val="008A2104"/>
    <w:rsid w:val="008A6375"/>
    <w:rsid w:val="008A78E9"/>
    <w:rsid w:val="008B25E2"/>
    <w:rsid w:val="008B278F"/>
    <w:rsid w:val="008B2E66"/>
    <w:rsid w:val="008B3FCC"/>
    <w:rsid w:val="008B55B1"/>
    <w:rsid w:val="008B58F7"/>
    <w:rsid w:val="008C7C54"/>
    <w:rsid w:val="008D4D2E"/>
    <w:rsid w:val="008D64BC"/>
    <w:rsid w:val="008E687B"/>
    <w:rsid w:val="008F40CC"/>
    <w:rsid w:val="008F4D64"/>
    <w:rsid w:val="008F77CB"/>
    <w:rsid w:val="009013EA"/>
    <w:rsid w:val="00902A9C"/>
    <w:rsid w:val="00904079"/>
    <w:rsid w:val="0090510B"/>
    <w:rsid w:val="00912E83"/>
    <w:rsid w:val="00914BDE"/>
    <w:rsid w:val="00914E95"/>
    <w:rsid w:val="009158C4"/>
    <w:rsid w:val="009205E7"/>
    <w:rsid w:val="009207E0"/>
    <w:rsid w:val="00922252"/>
    <w:rsid w:val="00923918"/>
    <w:rsid w:val="0093196A"/>
    <w:rsid w:val="00932889"/>
    <w:rsid w:val="00934D85"/>
    <w:rsid w:val="009358AF"/>
    <w:rsid w:val="00936E04"/>
    <w:rsid w:val="00941FD8"/>
    <w:rsid w:val="00942E25"/>
    <w:rsid w:val="00943C87"/>
    <w:rsid w:val="0094658B"/>
    <w:rsid w:val="00961E7C"/>
    <w:rsid w:val="009622A7"/>
    <w:rsid w:val="00962A42"/>
    <w:rsid w:val="009638DD"/>
    <w:rsid w:val="00963ADD"/>
    <w:rsid w:val="00964532"/>
    <w:rsid w:val="0096458D"/>
    <w:rsid w:val="00964D79"/>
    <w:rsid w:val="0096528F"/>
    <w:rsid w:val="009656B5"/>
    <w:rsid w:val="00965A4C"/>
    <w:rsid w:val="00967937"/>
    <w:rsid w:val="00967C85"/>
    <w:rsid w:val="00970A58"/>
    <w:rsid w:val="00970D20"/>
    <w:rsid w:val="00970E2F"/>
    <w:rsid w:val="009710C8"/>
    <w:rsid w:val="0097213B"/>
    <w:rsid w:val="009774B3"/>
    <w:rsid w:val="009810E1"/>
    <w:rsid w:val="009A15A6"/>
    <w:rsid w:val="009A185E"/>
    <w:rsid w:val="009A317C"/>
    <w:rsid w:val="009A5138"/>
    <w:rsid w:val="009B371F"/>
    <w:rsid w:val="009B44E4"/>
    <w:rsid w:val="009B7173"/>
    <w:rsid w:val="009B74D5"/>
    <w:rsid w:val="009C3BFE"/>
    <w:rsid w:val="009C4CB6"/>
    <w:rsid w:val="009D0BEB"/>
    <w:rsid w:val="009D1302"/>
    <w:rsid w:val="009D1BB3"/>
    <w:rsid w:val="009D2860"/>
    <w:rsid w:val="009D62EA"/>
    <w:rsid w:val="009D78B5"/>
    <w:rsid w:val="009F3945"/>
    <w:rsid w:val="009F54B5"/>
    <w:rsid w:val="00A00C84"/>
    <w:rsid w:val="00A0136A"/>
    <w:rsid w:val="00A01F37"/>
    <w:rsid w:val="00A0638C"/>
    <w:rsid w:val="00A11BA9"/>
    <w:rsid w:val="00A14A7E"/>
    <w:rsid w:val="00A26812"/>
    <w:rsid w:val="00A26D4A"/>
    <w:rsid w:val="00A3002C"/>
    <w:rsid w:val="00A35B76"/>
    <w:rsid w:val="00A35F40"/>
    <w:rsid w:val="00A36339"/>
    <w:rsid w:val="00A40483"/>
    <w:rsid w:val="00A43C7A"/>
    <w:rsid w:val="00A44684"/>
    <w:rsid w:val="00A446EB"/>
    <w:rsid w:val="00A44DCD"/>
    <w:rsid w:val="00A44FB9"/>
    <w:rsid w:val="00A47DD6"/>
    <w:rsid w:val="00A532C0"/>
    <w:rsid w:val="00A534B9"/>
    <w:rsid w:val="00A56C26"/>
    <w:rsid w:val="00A577CC"/>
    <w:rsid w:val="00A606EE"/>
    <w:rsid w:val="00A628CF"/>
    <w:rsid w:val="00A62B86"/>
    <w:rsid w:val="00A63656"/>
    <w:rsid w:val="00A718A5"/>
    <w:rsid w:val="00A71E22"/>
    <w:rsid w:val="00A7242B"/>
    <w:rsid w:val="00A74D3B"/>
    <w:rsid w:val="00A752AC"/>
    <w:rsid w:val="00A84F11"/>
    <w:rsid w:val="00A87377"/>
    <w:rsid w:val="00A87B7C"/>
    <w:rsid w:val="00A90EB2"/>
    <w:rsid w:val="00A916FD"/>
    <w:rsid w:val="00A919C4"/>
    <w:rsid w:val="00A9315A"/>
    <w:rsid w:val="00A94DE0"/>
    <w:rsid w:val="00AA0252"/>
    <w:rsid w:val="00AA3CE3"/>
    <w:rsid w:val="00AB18DC"/>
    <w:rsid w:val="00AC2EAD"/>
    <w:rsid w:val="00AC2F50"/>
    <w:rsid w:val="00AC6233"/>
    <w:rsid w:val="00AC73BF"/>
    <w:rsid w:val="00AD114C"/>
    <w:rsid w:val="00AE029F"/>
    <w:rsid w:val="00AE1EE1"/>
    <w:rsid w:val="00AE31D5"/>
    <w:rsid w:val="00AE33A0"/>
    <w:rsid w:val="00AE3933"/>
    <w:rsid w:val="00AE3D5D"/>
    <w:rsid w:val="00AE5115"/>
    <w:rsid w:val="00AF04F6"/>
    <w:rsid w:val="00AF344C"/>
    <w:rsid w:val="00AF4CB3"/>
    <w:rsid w:val="00AF6DDC"/>
    <w:rsid w:val="00AF7800"/>
    <w:rsid w:val="00B046CA"/>
    <w:rsid w:val="00B04AFD"/>
    <w:rsid w:val="00B05122"/>
    <w:rsid w:val="00B061DF"/>
    <w:rsid w:val="00B06889"/>
    <w:rsid w:val="00B15863"/>
    <w:rsid w:val="00B15A3D"/>
    <w:rsid w:val="00B21BB0"/>
    <w:rsid w:val="00B2508B"/>
    <w:rsid w:val="00B259ED"/>
    <w:rsid w:val="00B26CE9"/>
    <w:rsid w:val="00B26EAF"/>
    <w:rsid w:val="00B306FA"/>
    <w:rsid w:val="00B31DA4"/>
    <w:rsid w:val="00B33C19"/>
    <w:rsid w:val="00B34616"/>
    <w:rsid w:val="00B364C4"/>
    <w:rsid w:val="00B412D3"/>
    <w:rsid w:val="00B43A7C"/>
    <w:rsid w:val="00B442EE"/>
    <w:rsid w:val="00B51B2E"/>
    <w:rsid w:val="00B525E0"/>
    <w:rsid w:val="00B53566"/>
    <w:rsid w:val="00B53751"/>
    <w:rsid w:val="00B56BFB"/>
    <w:rsid w:val="00B6046D"/>
    <w:rsid w:val="00B632AD"/>
    <w:rsid w:val="00B63629"/>
    <w:rsid w:val="00B73285"/>
    <w:rsid w:val="00B802D5"/>
    <w:rsid w:val="00B83C35"/>
    <w:rsid w:val="00B83FE9"/>
    <w:rsid w:val="00B86086"/>
    <w:rsid w:val="00B90F33"/>
    <w:rsid w:val="00B94F78"/>
    <w:rsid w:val="00B9538F"/>
    <w:rsid w:val="00BA0376"/>
    <w:rsid w:val="00BA3661"/>
    <w:rsid w:val="00BA3803"/>
    <w:rsid w:val="00BB03A7"/>
    <w:rsid w:val="00BB2695"/>
    <w:rsid w:val="00BB4C3F"/>
    <w:rsid w:val="00BB50F3"/>
    <w:rsid w:val="00BB6F4C"/>
    <w:rsid w:val="00BB706C"/>
    <w:rsid w:val="00BD6D61"/>
    <w:rsid w:val="00BD6DE0"/>
    <w:rsid w:val="00BD73C5"/>
    <w:rsid w:val="00BE4117"/>
    <w:rsid w:val="00BE48F5"/>
    <w:rsid w:val="00BE4EB3"/>
    <w:rsid w:val="00BE52DB"/>
    <w:rsid w:val="00BE5D06"/>
    <w:rsid w:val="00BE633F"/>
    <w:rsid w:val="00BF1B5A"/>
    <w:rsid w:val="00C00004"/>
    <w:rsid w:val="00C00B49"/>
    <w:rsid w:val="00C04ECC"/>
    <w:rsid w:val="00C0568F"/>
    <w:rsid w:val="00C05CD3"/>
    <w:rsid w:val="00C06090"/>
    <w:rsid w:val="00C1157F"/>
    <w:rsid w:val="00C125E8"/>
    <w:rsid w:val="00C160C2"/>
    <w:rsid w:val="00C24F42"/>
    <w:rsid w:val="00C27CED"/>
    <w:rsid w:val="00C27FF7"/>
    <w:rsid w:val="00C30482"/>
    <w:rsid w:val="00C31BD8"/>
    <w:rsid w:val="00C346C6"/>
    <w:rsid w:val="00C35095"/>
    <w:rsid w:val="00C35605"/>
    <w:rsid w:val="00C375D3"/>
    <w:rsid w:val="00C40119"/>
    <w:rsid w:val="00C40156"/>
    <w:rsid w:val="00C419D6"/>
    <w:rsid w:val="00C43381"/>
    <w:rsid w:val="00C44CBC"/>
    <w:rsid w:val="00C50FEC"/>
    <w:rsid w:val="00C529C0"/>
    <w:rsid w:val="00C601F5"/>
    <w:rsid w:val="00C61D17"/>
    <w:rsid w:val="00C6309B"/>
    <w:rsid w:val="00C631D6"/>
    <w:rsid w:val="00C71357"/>
    <w:rsid w:val="00C71725"/>
    <w:rsid w:val="00C74E87"/>
    <w:rsid w:val="00C7520E"/>
    <w:rsid w:val="00C771FF"/>
    <w:rsid w:val="00C80609"/>
    <w:rsid w:val="00C80D49"/>
    <w:rsid w:val="00C91790"/>
    <w:rsid w:val="00C919FA"/>
    <w:rsid w:val="00CA0318"/>
    <w:rsid w:val="00CA26DF"/>
    <w:rsid w:val="00CA2CC5"/>
    <w:rsid w:val="00CA62AD"/>
    <w:rsid w:val="00CB0D2E"/>
    <w:rsid w:val="00CB22F2"/>
    <w:rsid w:val="00CB2337"/>
    <w:rsid w:val="00CB4707"/>
    <w:rsid w:val="00CB4D61"/>
    <w:rsid w:val="00CB5A9B"/>
    <w:rsid w:val="00CB702E"/>
    <w:rsid w:val="00CB719B"/>
    <w:rsid w:val="00CC23FE"/>
    <w:rsid w:val="00CC4F5C"/>
    <w:rsid w:val="00CC4F73"/>
    <w:rsid w:val="00CC6F6B"/>
    <w:rsid w:val="00CD0B7F"/>
    <w:rsid w:val="00CD2582"/>
    <w:rsid w:val="00CD2B89"/>
    <w:rsid w:val="00CD54C6"/>
    <w:rsid w:val="00CD5760"/>
    <w:rsid w:val="00CD661D"/>
    <w:rsid w:val="00CD70F8"/>
    <w:rsid w:val="00CE2477"/>
    <w:rsid w:val="00CE2669"/>
    <w:rsid w:val="00CE27BD"/>
    <w:rsid w:val="00CE31BA"/>
    <w:rsid w:val="00CE32B7"/>
    <w:rsid w:val="00CE4639"/>
    <w:rsid w:val="00CE4A43"/>
    <w:rsid w:val="00CE4C21"/>
    <w:rsid w:val="00CF3593"/>
    <w:rsid w:val="00CF394A"/>
    <w:rsid w:val="00CF583E"/>
    <w:rsid w:val="00CF6148"/>
    <w:rsid w:val="00D02487"/>
    <w:rsid w:val="00D04E6C"/>
    <w:rsid w:val="00D07809"/>
    <w:rsid w:val="00D15522"/>
    <w:rsid w:val="00D15755"/>
    <w:rsid w:val="00D17694"/>
    <w:rsid w:val="00D23726"/>
    <w:rsid w:val="00D238E8"/>
    <w:rsid w:val="00D23FF0"/>
    <w:rsid w:val="00D258C2"/>
    <w:rsid w:val="00D321C4"/>
    <w:rsid w:val="00D325E8"/>
    <w:rsid w:val="00D34AA2"/>
    <w:rsid w:val="00D379AA"/>
    <w:rsid w:val="00D4100D"/>
    <w:rsid w:val="00D41833"/>
    <w:rsid w:val="00D4387F"/>
    <w:rsid w:val="00D44B46"/>
    <w:rsid w:val="00D46BB2"/>
    <w:rsid w:val="00D46C9D"/>
    <w:rsid w:val="00D4744E"/>
    <w:rsid w:val="00D47B99"/>
    <w:rsid w:val="00D51CD9"/>
    <w:rsid w:val="00D53098"/>
    <w:rsid w:val="00D53896"/>
    <w:rsid w:val="00D559E0"/>
    <w:rsid w:val="00D61908"/>
    <w:rsid w:val="00D6455E"/>
    <w:rsid w:val="00D66019"/>
    <w:rsid w:val="00D67066"/>
    <w:rsid w:val="00D7011A"/>
    <w:rsid w:val="00D72565"/>
    <w:rsid w:val="00D7389B"/>
    <w:rsid w:val="00D74C5E"/>
    <w:rsid w:val="00D80945"/>
    <w:rsid w:val="00D80950"/>
    <w:rsid w:val="00D817FC"/>
    <w:rsid w:val="00D83086"/>
    <w:rsid w:val="00D8385E"/>
    <w:rsid w:val="00D871C5"/>
    <w:rsid w:val="00D95C60"/>
    <w:rsid w:val="00DA2476"/>
    <w:rsid w:val="00DA2965"/>
    <w:rsid w:val="00DA3390"/>
    <w:rsid w:val="00DA4C21"/>
    <w:rsid w:val="00DA6E93"/>
    <w:rsid w:val="00DA7F6C"/>
    <w:rsid w:val="00DB01D1"/>
    <w:rsid w:val="00DB3587"/>
    <w:rsid w:val="00DB5AD9"/>
    <w:rsid w:val="00DB6B7D"/>
    <w:rsid w:val="00DC1D94"/>
    <w:rsid w:val="00DC43DA"/>
    <w:rsid w:val="00DC6A41"/>
    <w:rsid w:val="00DD1368"/>
    <w:rsid w:val="00DD3979"/>
    <w:rsid w:val="00DD4E54"/>
    <w:rsid w:val="00DD6412"/>
    <w:rsid w:val="00DD72A4"/>
    <w:rsid w:val="00DE1F88"/>
    <w:rsid w:val="00DE2EC4"/>
    <w:rsid w:val="00DE3E1B"/>
    <w:rsid w:val="00DF27F6"/>
    <w:rsid w:val="00DF2B5A"/>
    <w:rsid w:val="00DF4EC4"/>
    <w:rsid w:val="00DF6252"/>
    <w:rsid w:val="00DF6C51"/>
    <w:rsid w:val="00E00684"/>
    <w:rsid w:val="00E010A2"/>
    <w:rsid w:val="00E02D1D"/>
    <w:rsid w:val="00E068BC"/>
    <w:rsid w:val="00E06B61"/>
    <w:rsid w:val="00E13367"/>
    <w:rsid w:val="00E13610"/>
    <w:rsid w:val="00E170E6"/>
    <w:rsid w:val="00E17558"/>
    <w:rsid w:val="00E22FAC"/>
    <w:rsid w:val="00E27149"/>
    <w:rsid w:val="00E345DE"/>
    <w:rsid w:val="00E37998"/>
    <w:rsid w:val="00E439B0"/>
    <w:rsid w:val="00E440B9"/>
    <w:rsid w:val="00E45375"/>
    <w:rsid w:val="00E4572A"/>
    <w:rsid w:val="00E4675A"/>
    <w:rsid w:val="00E52F76"/>
    <w:rsid w:val="00E572D4"/>
    <w:rsid w:val="00E60C1F"/>
    <w:rsid w:val="00E61E2B"/>
    <w:rsid w:val="00E6373B"/>
    <w:rsid w:val="00E70C80"/>
    <w:rsid w:val="00E7290F"/>
    <w:rsid w:val="00E73B4C"/>
    <w:rsid w:val="00E742CD"/>
    <w:rsid w:val="00E75525"/>
    <w:rsid w:val="00E76418"/>
    <w:rsid w:val="00E77521"/>
    <w:rsid w:val="00E80670"/>
    <w:rsid w:val="00E820F4"/>
    <w:rsid w:val="00E8589B"/>
    <w:rsid w:val="00E85908"/>
    <w:rsid w:val="00E87B94"/>
    <w:rsid w:val="00E905A3"/>
    <w:rsid w:val="00E916FF"/>
    <w:rsid w:val="00EA2B43"/>
    <w:rsid w:val="00EA3447"/>
    <w:rsid w:val="00EB05E8"/>
    <w:rsid w:val="00EB2AE7"/>
    <w:rsid w:val="00EB472E"/>
    <w:rsid w:val="00EB4CD6"/>
    <w:rsid w:val="00EB7F88"/>
    <w:rsid w:val="00EC037E"/>
    <w:rsid w:val="00EC3C04"/>
    <w:rsid w:val="00EC75AF"/>
    <w:rsid w:val="00ED2FEE"/>
    <w:rsid w:val="00ED4215"/>
    <w:rsid w:val="00ED469C"/>
    <w:rsid w:val="00ED7517"/>
    <w:rsid w:val="00EE2003"/>
    <w:rsid w:val="00EE394F"/>
    <w:rsid w:val="00EE6929"/>
    <w:rsid w:val="00EF045D"/>
    <w:rsid w:val="00EF51B1"/>
    <w:rsid w:val="00F00A4F"/>
    <w:rsid w:val="00F01FB6"/>
    <w:rsid w:val="00F0222D"/>
    <w:rsid w:val="00F03763"/>
    <w:rsid w:val="00F03C25"/>
    <w:rsid w:val="00F04B7A"/>
    <w:rsid w:val="00F07987"/>
    <w:rsid w:val="00F12B8A"/>
    <w:rsid w:val="00F1576F"/>
    <w:rsid w:val="00F158CD"/>
    <w:rsid w:val="00F172CC"/>
    <w:rsid w:val="00F21769"/>
    <w:rsid w:val="00F223A1"/>
    <w:rsid w:val="00F22B4C"/>
    <w:rsid w:val="00F2508D"/>
    <w:rsid w:val="00F30A98"/>
    <w:rsid w:val="00F33ED8"/>
    <w:rsid w:val="00F367A9"/>
    <w:rsid w:val="00F37F15"/>
    <w:rsid w:val="00F42C44"/>
    <w:rsid w:val="00F4391B"/>
    <w:rsid w:val="00F4418B"/>
    <w:rsid w:val="00F4485C"/>
    <w:rsid w:val="00F456BB"/>
    <w:rsid w:val="00F46378"/>
    <w:rsid w:val="00F53213"/>
    <w:rsid w:val="00F53550"/>
    <w:rsid w:val="00F60576"/>
    <w:rsid w:val="00F60591"/>
    <w:rsid w:val="00F60613"/>
    <w:rsid w:val="00F61D52"/>
    <w:rsid w:val="00F62EAD"/>
    <w:rsid w:val="00F70283"/>
    <w:rsid w:val="00F72F70"/>
    <w:rsid w:val="00F73029"/>
    <w:rsid w:val="00F730EA"/>
    <w:rsid w:val="00F7371D"/>
    <w:rsid w:val="00F7503C"/>
    <w:rsid w:val="00F75230"/>
    <w:rsid w:val="00F77716"/>
    <w:rsid w:val="00F80CEE"/>
    <w:rsid w:val="00F8144F"/>
    <w:rsid w:val="00F85A7B"/>
    <w:rsid w:val="00F9037D"/>
    <w:rsid w:val="00F91B56"/>
    <w:rsid w:val="00F93C71"/>
    <w:rsid w:val="00F948F3"/>
    <w:rsid w:val="00FA11D8"/>
    <w:rsid w:val="00FA318B"/>
    <w:rsid w:val="00FB4547"/>
    <w:rsid w:val="00FB7100"/>
    <w:rsid w:val="00FC0A2B"/>
    <w:rsid w:val="00FC51C6"/>
    <w:rsid w:val="00FD19F2"/>
    <w:rsid w:val="00FD70FA"/>
    <w:rsid w:val="00FE1559"/>
    <w:rsid w:val="00FE182B"/>
    <w:rsid w:val="00FE4188"/>
    <w:rsid w:val="00FE5D02"/>
    <w:rsid w:val="010A3A5C"/>
    <w:rsid w:val="01483505"/>
    <w:rsid w:val="01545A05"/>
    <w:rsid w:val="015E4ACC"/>
    <w:rsid w:val="02113806"/>
    <w:rsid w:val="02225B04"/>
    <w:rsid w:val="024C492F"/>
    <w:rsid w:val="025516F7"/>
    <w:rsid w:val="026C6D7F"/>
    <w:rsid w:val="02785724"/>
    <w:rsid w:val="028E1533"/>
    <w:rsid w:val="02AA727D"/>
    <w:rsid w:val="02D037B2"/>
    <w:rsid w:val="02F04A0F"/>
    <w:rsid w:val="02FE503E"/>
    <w:rsid w:val="031F1F3F"/>
    <w:rsid w:val="034129D1"/>
    <w:rsid w:val="03522419"/>
    <w:rsid w:val="035347B0"/>
    <w:rsid w:val="0361265C"/>
    <w:rsid w:val="036D7252"/>
    <w:rsid w:val="03710AF1"/>
    <w:rsid w:val="03B1713F"/>
    <w:rsid w:val="03F90AE6"/>
    <w:rsid w:val="042D2064"/>
    <w:rsid w:val="044D160A"/>
    <w:rsid w:val="046046C1"/>
    <w:rsid w:val="046B5540"/>
    <w:rsid w:val="04C3537C"/>
    <w:rsid w:val="04CB4231"/>
    <w:rsid w:val="04DB00C6"/>
    <w:rsid w:val="04E6106A"/>
    <w:rsid w:val="04FA6F14"/>
    <w:rsid w:val="05355B4E"/>
    <w:rsid w:val="05450FD3"/>
    <w:rsid w:val="054B4292"/>
    <w:rsid w:val="055661F0"/>
    <w:rsid w:val="056D178C"/>
    <w:rsid w:val="057F5710"/>
    <w:rsid w:val="058A1CAE"/>
    <w:rsid w:val="058A40EC"/>
    <w:rsid w:val="058D598A"/>
    <w:rsid w:val="059D3E1F"/>
    <w:rsid w:val="059F0E35"/>
    <w:rsid w:val="05AA7D54"/>
    <w:rsid w:val="05DB75EA"/>
    <w:rsid w:val="05FD2B10"/>
    <w:rsid w:val="06233BF8"/>
    <w:rsid w:val="06540256"/>
    <w:rsid w:val="068648B3"/>
    <w:rsid w:val="068723D9"/>
    <w:rsid w:val="06B036DE"/>
    <w:rsid w:val="06B807E5"/>
    <w:rsid w:val="06C95D55"/>
    <w:rsid w:val="06ED4932"/>
    <w:rsid w:val="06F7130D"/>
    <w:rsid w:val="070103DE"/>
    <w:rsid w:val="07126147"/>
    <w:rsid w:val="071579E5"/>
    <w:rsid w:val="071E0F8F"/>
    <w:rsid w:val="072D3722"/>
    <w:rsid w:val="073A744C"/>
    <w:rsid w:val="073C1416"/>
    <w:rsid w:val="07464042"/>
    <w:rsid w:val="07524795"/>
    <w:rsid w:val="075718DD"/>
    <w:rsid w:val="075B1F71"/>
    <w:rsid w:val="077E1A2E"/>
    <w:rsid w:val="07A174CB"/>
    <w:rsid w:val="07AF1BE8"/>
    <w:rsid w:val="07B87E6F"/>
    <w:rsid w:val="07BC4304"/>
    <w:rsid w:val="07CF7529"/>
    <w:rsid w:val="07D13575"/>
    <w:rsid w:val="07D21D7A"/>
    <w:rsid w:val="07EE5C7F"/>
    <w:rsid w:val="08404F36"/>
    <w:rsid w:val="08422A5C"/>
    <w:rsid w:val="08427A79"/>
    <w:rsid w:val="085A7D0E"/>
    <w:rsid w:val="086724C2"/>
    <w:rsid w:val="08687FE8"/>
    <w:rsid w:val="087F7F1A"/>
    <w:rsid w:val="08803584"/>
    <w:rsid w:val="089D4136"/>
    <w:rsid w:val="08B36841"/>
    <w:rsid w:val="08C72F61"/>
    <w:rsid w:val="08E104C7"/>
    <w:rsid w:val="08F17FDE"/>
    <w:rsid w:val="08F55D20"/>
    <w:rsid w:val="09063A89"/>
    <w:rsid w:val="090C7B82"/>
    <w:rsid w:val="092E4D8E"/>
    <w:rsid w:val="09456C20"/>
    <w:rsid w:val="095742E5"/>
    <w:rsid w:val="096B1B3E"/>
    <w:rsid w:val="09955CA0"/>
    <w:rsid w:val="09AD65FB"/>
    <w:rsid w:val="09B538F1"/>
    <w:rsid w:val="09CA0F5B"/>
    <w:rsid w:val="09DE3D12"/>
    <w:rsid w:val="09ED0EE7"/>
    <w:rsid w:val="0A083831"/>
    <w:rsid w:val="0A0A1357"/>
    <w:rsid w:val="0A195A3E"/>
    <w:rsid w:val="0A5E78F5"/>
    <w:rsid w:val="0A764C3F"/>
    <w:rsid w:val="0A96708F"/>
    <w:rsid w:val="0AC21CF8"/>
    <w:rsid w:val="0AE778EA"/>
    <w:rsid w:val="0AF618DB"/>
    <w:rsid w:val="0AF71A49"/>
    <w:rsid w:val="0B1A7CC0"/>
    <w:rsid w:val="0B3643CE"/>
    <w:rsid w:val="0B633415"/>
    <w:rsid w:val="0B8D2240"/>
    <w:rsid w:val="0BE04A65"/>
    <w:rsid w:val="0C225226"/>
    <w:rsid w:val="0C5745FC"/>
    <w:rsid w:val="0C763D5D"/>
    <w:rsid w:val="0C7C4110"/>
    <w:rsid w:val="0C805B63"/>
    <w:rsid w:val="0C880C59"/>
    <w:rsid w:val="0C882A07"/>
    <w:rsid w:val="0C932295"/>
    <w:rsid w:val="0CAE6912"/>
    <w:rsid w:val="0CC04897"/>
    <w:rsid w:val="0CF10BD3"/>
    <w:rsid w:val="0D044784"/>
    <w:rsid w:val="0D0D5F25"/>
    <w:rsid w:val="0D12146D"/>
    <w:rsid w:val="0D246BD4"/>
    <w:rsid w:val="0D336E17"/>
    <w:rsid w:val="0D353129"/>
    <w:rsid w:val="0D40475F"/>
    <w:rsid w:val="0D483AB4"/>
    <w:rsid w:val="0D6276FC"/>
    <w:rsid w:val="0D7A4A46"/>
    <w:rsid w:val="0DA675E9"/>
    <w:rsid w:val="0DB77A48"/>
    <w:rsid w:val="0DBF4B4E"/>
    <w:rsid w:val="0DCB704F"/>
    <w:rsid w:val="0DF447F8"/>
    <w:rsid w:val="0E3C619F"/>
    <w:rsid w:val="0E706739"/>
    <w:rsid w:val="0E8A6F0A"/>
    <w:rsid w:val="0E9E29B6"/>
    <w:rsid w:val="0EA0228A"/>
    <w:rsid w:val="0EDB2781"/>
    <w:rsid w:val="0EDE6977"/>
    <w:rsid w:val="0EEF4FBF"/>
    <w:rsid w:val="0F087E2F"/>
    <w:rsid w:val="0F1B0275"/>
    <w:rsid w:val="0F274BF4"/>
    <w:rsid w:val="0F6B6D3C"/>
    <w:rsid w:val="0FB61CDC"/>
    <w:rsid w:val="0FD54DB2"/>
    <w:rsid w:val="102E1B18"/>
    <w:rsid w:val="103B1021"/>
    <w:rsid w:val="10525806"/>
    <w:rsid w:val="106B68C8"/>
    <w:rsid w:val="107F4121"/>
    <w:rsid w:val="10850234"/>
    <w:rsid w:val="10C06C14"/>
    <w:rsid w:val="10D84CE9"/>
    <w:rsid w:val="10DD5A17"/>
    <w:rsid w:val="10F60887"/>
    <w:rsid w:val="11511F61"/>
    <w:rsid w:val="11621A79"/>
    <w:rsid w:val="11651569"/>
    <w:rsid w:val="116972AB"/>
    <w:rsid w:val="11965BC6"/>
    <w:rsid w:val="11A264BB"/>
    <w:rsid w:val="11A3235C"/>
    <w:rsid w:val="11C6025A"/>
    <w:rsid w:val="11D84431"/>
    <w:rsid w:val="11E701D0"/>
    <w:rsid w:val="11EB0692"/>
    <w:rsid w:val="12015736"/>
    <w:rsid w:val="124408C2"/>
    <w:rsid w:val="12460E7A"/>
    <w:rsid w:val="124D097B"/>
    <w:rsid w:val="12575356"/>
    <w:rsid w:val="125B6B77"/>
    <w:rsid w:val="127759F8"/>
    <w:rsid w:val="12791B85"/>
    <w:rsid w:val="12C02EFB"/>
    <w:rsid w:val="12D469A6"/>
    <w:rsid w:val="13023513"/>
    <w:rsid w:val="131274CE"/>
    <w:rsid w:val="13255877"/>
    <w:rsid w:val="13315BA7"/>
    <w:rsid w:val="133B6A25"/>
    <w:rsid w:val="13517FF7"/>
    <w:rsid w:val="135C4CF2"/>
    <w:rsid w:val="1379754E"/>
    <w:rsid w:val="137D5290"/>
    <w:rsid w:val="13C86F3F"/>
    <w:rsid w:val="14072DAB"/>
    <w:rsid w:val="140A28B9"/>
    <w:rsid w:val="14321BD6"/>
    <w:rsid w:val="143B7C08"/>
    <w:rsid w:val="144B0EEA"/>
    <w:rsid w:val="14587163"/>
    <w:rsid w:val="14757D15"/>
    <w:rsid w:val="14C30A80"/>
    <w:rsid w:val="14E530ED"/>
    <w:rsid w:val="14E804E7"/>
    <w:rsid w:val="14EF5D19"/>
    <w:rsid w:val="14F926F4"/>
    <w:rsid w:val="15485429"/>
    <w:rsid w:val="15A46B04"/>
    <w:rsid w:val="16285CD8"/>
    <w:rsid w:val="16293AC8"/>
    <w:rsid w:val="162C6DB0"/>
    <w:rsid w:val="1654122A"/>
    <w:rsid w:val="166762ED"/>
    <w:rsid w:val="166B13D0"/>
    <w:rsid w:val="167F30CD"/>
    <w:rsid w:val="16C54E10"/>
    <w:rsid w:val="16F90698"/>
    <w:rsid w:val="17397720"/>
    <w:rsid w:val="174F2A9F"/>
    <w:rsid w:val="174F484D"/>
    <w:rsid w:val="1756356C"/>
    <w:rsid w:val="17620A24"/>
    <w:rsid w:val="178070FD"/>
    <w:rsid w:val="178C5AA1"/>
    <w:rsid w:val="179901BE"/>
    <w:rsid w:val="17E551B2"/>
    <w:rsid w:val="17EF6030"/>
    <w:rsid w:val="17F6116D"/>
    <w:rsid w:val="17FB2C27"/>
    <w:rsid w:val="181A63F7"/>
    <w:rsid w:val="1820292F"/>
    <w:rsid w:val="182C4B8E"/>
    <w:rsid w:val="183103F7"/>
    <w:rsid w:val="18477C1A"/>
    <w:rsid w:val="185145F5"/>
    <w:rsid w:val="187C78C4"/>
    <w:rsid w:val="18891FE1"/>
    <w:rsid w:val="18B708FC"/>
    <w:rsid w:val="18C9062F"/>
    <w:rsid w:val="18DF766D"/>
    <w:rsid w:val="18FF04F5"/>
    <w:rsid w:val="19267830"/>
    <w:rsid w:val="192A0414"/>
    <w:rsid w:val="199155F1"/>
    <w:rsid w:val="19A85DF7"/>
    <w:rsid w:val="19D84FCE"/>
    <w:rsid w:val="19E27BFB"/>
    <w:rsid w:val="19EA4A5E"/>
    <w:rsid w:val="19F53DD2"/>
    <w:rsid w:val="1A02029D"/>
    <w:rsid w:val="1A023DF9"/>
    <w:rsid w:val="1A077661"/>
    <w:rsid w:val="1A0C36BB"/>
    <w:rsid w:val="1A3348FA"/>
    <w:rsid w:val="1A62284A"/>
    <w:rsid w:val="1AB07CF9"/>
    <w:rsid w:val="1AC50599"/>
    <w:rsid w:val="1ADD089B"/>
    <w:rsid w:val="1ADE1868"/>
    <w:rsid w:val="1AE17EB2"/>
    <w:rsid w:val="1AED5037"/>
    <w:rsid w:val="1B1F09DB"/>
    <w:rsid w:val="1B4E306E"/>
    <w:rsid w:val="1B602EC3"/>
    <w:rsid w:val="1B6D7998"/>
    <w:rsid w:val="1B723200"/>
    <w:rsid w:val="1B75684C"/>
    <w:rsid w:val="1B966EEF"/>
    <w:rsid w:val="1B9D47B8"/>
    <w:rsid w:val="1BDC68CC"/>
    <w:rsid w:val="1BFB4FA4"/>
    <w:rsid w:val="1C2E5379"/>
    <w:rsid w:val="1C49357F"/>
    <w:rsid w:val="1C705992"/>
    <w:rsid w:val="1C913B5A"/>
    <w:rsid w:val="1C9D605B"/>
    <w:rsid w:val="1CAC629E"/>
    <w:rsid w:val="1CF10155"/>
    <w:rsid w:val="1D1E3640"/>
    <w:rsid w:val="1D232A04"/>
    <w:rsid w:val="1D3F5364"/>
    <w:rsid w:val="1D4330A6"/>
    <w:rsid w:val="1D444728"/>
    <w:rsid w:val="1D8A2A83"/>
    <w:rsid w:val="1DB23D88"/>
    <w:rsid w:val="1DC20C9E"/>
    <w:rsid w:val="1DDA4CC4"/>
    <w:rsid w:val="1DDA67CD"/>
    <w:rsid w:val="1DF60118"/>
    <w:rsid w:val="1E562965"/>
    <w:rsid w:val="1E6A4309"/>
    <w:rsid w:val="1E766B63"/>
    <w:rsid w:val="1E8130CF"/>
    <w:rsid w:val="1E894AE9"/>
    <w:rsid w:val="1EA330B9"/>
    <w:rsid w:val="1EDB10BC"/>
    <w:rsid w:val="1EFF2FFD"/>
    <w:rsid w:val="1F1F544D"/>
    <w:rsid w:val="1F3A5DE3"/>
    <w:rsid w:val="1F3C1B5B"/>
    <w:rsid w:val="1F55541F"/>
    <w:rsid w:val="1F792DAF"/>
    <w:rsid w:val="1F7B7336"/>
    <w:rsid w:val="1FAF557A"/>
    <w:rsid w:val="1FB5190D"/>
    <w:rsid w:val="1FDC2DBE"/>
    <w:rsid w:val="1FE90F79"/>
    <w:rsid w:val="1FEF6BCD"/>
    <w:rsid w:val="200563F1"/>
    <w:rsid w:val="200C3C23"/>
    <w:rsid w:val="200F54C2"/>
    <w:rsid w:val="203B452A"/>
    <w:rsid w:val="20580C17"/>
    <w:rsid w:val="206770AC"/>
    <w:rsid w:val="207407CA"/>
    <w:rsid w:val="207D1B0E"/>
    <w:rsid w:val="20A35C0A"/>
    <w:rsid w:val="20CF328F"/>
    <w:rsid w:val="20DD111C"/>
    <w:rsid w:val="20F546B7"/>
    <w:rsid w:val="20FB77F4"/>
    <w:rsid w:val="21153A04"/>
    <w:rsid w:val="21303E8B"/>
    <w:rsid w:val="217838C6"/>
    <w:rsid w:val="21787096"/>
    <w:rsid w:val="21A04A27"/>
    <w:rsid w:val="21BA76AF"/>
    <w:rsid w:val="21D544E9"/>
    <w:rsid w:val="21DE15EF"/>
    <w:rsid w:val="21F77FBB"/>
    <w:rsid w:val="21FA1852"/>
    <w:rsid w:val="22034BB2"/>
    <w:rsid w:val="22056B7C"/>
    <w:rsid w:val="22853819"/>
    <w:rsid w:val="229C0B63"/>
    <w:rsid w:val="22C5455D"/>
    <w:rsid w:val="22D93B65"/>
    <w:rsid w:val="22EC1AEA"/>
    <w:rsid w:val="232A332A"/>
    <w:rsid w:val="233146F3"/>
    <w:rsid w:val="234A1FCB"/>
    <w:rsid w:val="235651B5"/>
    <w:rsid w:val="23733CC5"/>
    <w:rsid w:val="23801031"/>
    <w:rsid w:val="239B2715"/>
    <w:rsid w:val="23C2284B"/>
    <w:rsid w:val="23C35D37"/>
    <w:rsid w:val="23E822B1"/>
    <w:rsid w:val="23F13D6D"/>
    <w:rsid w:val="23F549CE"/>
    <w:rsid w:val="24030E99"/>
    <w:rsid w:val="241E4539"/>
    <w:rsid w:val="241E461F"/>
    <w:rsid w:val="241F1A4B"/>
    <w:rsid w:val="2435301D"/>
    <w:rsid w:val="243F3E9B"/>
    <w:rsid w:val="244514B2"/>
    <w:rsid w:val="244914BD"/>
    <w:rsid w:val="246A716A"/>
    <w:rsid w:val="248024EA"/>
    <w:rsid w:val="248B49C8"/>
    <w:rsid w:val="249917FE"/>
    <w:rsid w:val="24D000E3"/>
    <w:rsid w:val="24D40A88"/>
    <w:rsid w:val="24E0742D"/>
    <w:rsid w:val="24F1163A"/>
    <w:rsid w:val="24F479AF"/>
    <w:rsid w:val="25227A45"/>
    <w:rsid w:val="253357AE"/>
    <w:rsid w:val="2536704D"/>
    <w:rsid w:val="25387269"/>
    <w:rsid w:val="255D0A7D"/>
    <w:rsid w:val="25787665"/>
    <w:rsid w:val="257F27A2"/>
    <w:rsid w:val="25947D35"/>
    <w:rsid w:val="25BB3952"/>
    <w:rsid w:val="25CE3729"/>
    <w:rsid w:val="25D66AED"/>
    <w:rsid w:val="25E44CFA"/>
    <w:rsid w:val="26121868"/>
    <w:rsid w:val="26543C2E"/>
    <w:rsid w:val="26655E3B"/>
    <w:rsid w:val="26995AE5"/>
    <w:rsid w:val="26BB5A5B"/>
    <w:rsid w:val="26D1527F"/>
    <w:rsid w:val="270513CC"/>
    <w:rsid w:val="27225B0B"/>
    <w:rsid w:val="27280C17"/>
    <w:rsid w:val="27595274"/>
    <w:rsid w:val="275F0ADD"/>
    <w:rsid w:val="276A6233"/>
    <w:rsid w:val="278E09B2"/>
    <w:rsid w:val="27985D9D"/>
    <w:rsid w:val="27A44741"/>
    <w:rsid w:val="27CC5A46"/>
    <w:rsid w:val="27DF39CB"/>
    <w:rsid w:val="28011B94"/>
    <w:rsid w:val="281178FD"/>
    <w:rsid w:val="282833B3"/>
    <w:rsid w:val="283C0E1E"/>
    <w:rsid w:val="284E28FF"/>
    <w:rsid w:val="285E0D94"/>
    <w:rsid w:val="288527C5"/>
    <w:rsid w:val="289522DC"/>
    <w:rsid w:val="28976054"/>
    <w:rsid w:val="28A605AF"/>
    <w:rsid w:val="28A7384C"/>
    <w:rsid w:val="28E13773"/>
    <w:rsid w:val="28F90ABD"/>
    <w:rsid w:val="290D6316"/>
    <w:rsid w:val="291642FB"/>
    <w:rsid w:val="292F44DF"/>
    <w:rsid w:val="293D61E7"/>
    <w:rsid w:val="296F6FD1"/>
    <w:rsid w:val="29C56BF1"/>
    <w:rsid w:val="29D37560"/>
    <w:rsid w:val="29EB00DB"/>
    <w:rsid w:val="29F00112"/>
    <w:rsid w:val="29F15C38"/>
    <w:rsid w:val="29F2365B"/>
    <w:rsid w:val="2A0C2A72"/>
    <w:rsid w:val="2A27165A"/>
    <w:rsid w:val="2A297180"/>
    <w:rsid w:val="2A337FFE"/>
    <w:rsid w:val="2A355B25"/>
    <w:rsid w:val="2A677CA8"/>
    <w:rsid w:val="2A8E6137"/>
    <w:rsid w:val="2A9E7F4C"/>
    <w:rsid w:val="2AAA4765"/>
    <w:rsid w:val="2AD6263E"/>
    <w:rsid w:val="2ADE3BCF"/>
    <w:rsid w:val="2AF53506"/>
    <w:rsid w:val="2B083239"/>
    <w:rsid w:val="2B430715"/>
    <w:rsid w:val="2B54647E"/>
    <w:rsid w:val="2B762899"/>
    <w:rsid w:val="2B915E51"/>
    <w:rsid w:val="2B960845"/>
    <w:rsid w:val="2BBB64FD"/>
    <w:rsid w:val="2C250A37"/>
    <w:rsid w:val="2C4402A1"/>
    <w:rsid w:val="2C680433"/>
    <w:rsid w:val="2C6923A6"/>
    <w:rsid w:val="2C6941AB"/>
    <w:rsid w:val="2C6C77F8"/>
    <w:rsid w:val="2C815051"/>
    <w:rsid w:val="2C840FE5"/>
    <w:rsid w:val="2C934D84"/>
    <w:rsid w:val="2CCB2770"/>
    <w:rsid w:val="2CCE2260"/>
    <w:rsid w:val="2CED0939"/>
    <w:rsid w:val="2D0143E4"/>
    <w:rsid w:val="2D044592"/>
    <w:rsid w:val="2D085772"/>
    <w:rsid w:val="2D142369"/>
    <w:rsid w:val="2D346567"/>
    <w:rsid w:val="2D841FE4"/>
    <w:rsid w:val="2D8F19F0"/>
    <w:rsid w:val="2D962D7E"/>
    <w:rsid w:val="2DB43204"/>
    <w:rsid w:val="2DF906C5"/>
    <w:rsid w:val="2E045F3A"/>
    <w:rsid w:val="2E3569FF"/>
    <w:rsid w:val="2E5F13C2"/>
    <w:rsid w:val="2E960B5C"/>
    <w:rsid w:val="2EAE5EA6"/>
    <w:rsid w:val="2EB55486"/>
    <w:rsid w:val="2EBD433B"/>
    <w:rsid w:val="2EC76F67"/>
    <w:rsid w:val="2ED81174"/>
    <w:rsid w:val="2EF37D5C"/>
    <w:rsid w:val="2F4C58A8"/>
    <w:rsid w:val="2F590507"/>
    <w:rsid w:val="2F5C1DA5"/>
    <w:rsid w:val="2F60557A"/>
    <w:rsid w:val="2F7D38FC"/>
    <w:rsid w:val="2F845F39"/>
    <w:rsid w:val="2F8F5CD7"/>
    <w:rsid w:val="2F9C03F4"/>
    <w:rsid w:val="2FB355FE"/>
    <w:rsid w:val="2FB83480"/>
    <w:rsid w:val="2FC02334"/>
    <w:rsid w:val="302E2617"/>
    <w:rsid w:val="302E3742"/>
    <w:rsid w:val="304E7F5C"/>
    <w:rsid w:val="30515682"/>
    <w:rsid w:val="308D4B79"/>
    <w:rsid w:val="309B0095"/>
    <w:rsid w:val="30A43A04"/>
    <w:rsid w:val="30B8125D"/>
    <w:rsid w:val="30DF4A3C"/>
    <w:rsid w:val="30F4023B"/>
    <w:rsid w:val="31262BAF"/>
    <w:rsid w:val="3139239E"/>
    <w:rsid w:val="314B0324"/>
    <w:rsid w:val="31871801"/>
    <w:rsid w:val="319E66A5"/>
    <w:rsid w:val="31BE28A4"/>
    <w:rsid w:val="31D245A1"/>
    <w:rsid w:val="320209E2"/>
    <w:rsid w:val="32087D02"/>
    <w:rsid w:val="32291291"/>
    <w:rsid w:val="323D1808"/>
    <w:rsid w:val="32807B59"/>
    <w:rsid w:val="32951856"/>
    <w:rsid w:val="32A23F73"/>
    <w:rsid w:val="32E225C2"/>
    <w:rsid w:val="330B7D6A"/>
    <w:rsid w:val="334201D4"/>
    <w:rsid w:val="33507EA5"/>
    <w:rsid w:val="3353526D"/>
    <w:rsid w:val="335A484E"/>
    <w:rsid w:val="337C3C09"/>
    <w:rsid w:val="338E17C4"/>
    <w:rsid w:val="33977850"/>
    <w:rsid w:val="33B10912"/>
    <w:rsid w:val="33BA493A"/>
    <w:rsid w:val="33BF2903"/>
    <w:rsid w:val="33C85C5B"/>
    <w:rsid w:val="33E5680D"/>
    <w:rsid w:val="33F46A50"/>
    <w:rsid w:val="340D7B12"/>
    <w:rsid w:val="340F73E6"/>
    <w:rsid w:val="34167AA0"/>
    <w:rsid w:val="341E587B"/>
    <w:rsid w:val="343B642D"/>
    <w:rsid w:val="34677222"/>
    <w:rsid w:val="346A286F"/>
    <w:rsid w:val="346D235F"/>
    <w:rsid w:val="34733E19"/>
    <w:rsid w:val="34761214"/>
    <w:rsid w:val="34806536"/>
    <w:rsid w:val="34A51AF9"/>
    <w:rsid w:val="34AE4E51"/>
    <w:rsid w:val="34C12DD7"/>
    <w:rsid w:val="34E11C86"/>
    <w:rsid w:val="34FB5B11"/>
    <w:rsid w:val="352549E8"/>
    <w:rsid w:val="35402150"/>
    <w:rsid w:val="355D7A0A"/>
    <w:rsid w:val="35843E04"/>
    <w:rsid w:val="359A53D6"/>
    <w:rsid w:val="35AF34A4"/>
    <w:rsid w:val="35C44201"/>
    <w:rsid w:val="35CA6C17"/>
    <w:rsid w:val="35D4709C"/>
    <w:rsid w:val="35E825E5"/>
    <w:rsid w:val="35EA010B"/>
    <w:rsid w:val="35EE39A6"/>
    <w:rsid w:val="35F20D6E"/>
    <w:rsid w:val="36080591"/>
    <w:rsid w:val="36392E40"/>
    <w:rsid w:val="36401AD9"/>
    <w:rsid w:val="364610BA"/>
    <w:rsid w:val="36581519"/>
    <w:rsid w:val="36B67FED"/>
    <w:rsid w:val="36C95F72"/>
    <w:rsid w:val="36FF1994"/>
    <w:rsid w:val="370E7E29"/>
    <w:rsid w:val="371942C5"/>
    <w:rsid w:val="3723731E"/>
    <w:rsid w:val="375B2943"/>
    <w:rsid w:val="376B702A"/>
    <w:rsid w:val="379C3687"/>
    <w:rsid w:val="37AB3C23"/>
    <w:rsid w:val="37D050DF"/>
    <w:rsid w:val="37E961A0"/>
    <w:rsid w:val="3801173C"/>
    <w:rsid w:val="38082ACA"/>
    <w:rsid w:val="381C3783"/>
    <w:rsid w:val="382E309D"/>
    <w:rsid w:val="38855EC9"/>
    <w:rsid w:val="3894610C"/>
    <w:rsid w:val="38CA5FD2"/>
    <w:rsid w:val="38E579A2"/>
    <w:rsid w:val="390777C2"/>
    <w:rsid w:val="39495149"/>
    <w:rsid w:val="396E2E01"/>
    <w:rsid w:val="39755F3E"/>
    <w:rsid w:val="398C590D"/>
    <w:rsid w:val="39E87CBE"/>
    <w:rsid w:val="3A157721"/>
    <w:rsid w:val="3A1A6AE5"/>
    <w:rsid w:val="3A331955"/>
    <w:rsid w:val="3A4122C4"/>
    <w:rsid w:val="3A4F01C9"/>
    <w:rsid w:val="3A6F0BDF"/>
    <w:rsid w:val="3A777A93"/>
    <w:rsid w:val="3A7C154E"/>
    <w:rsid w:val="3AB02FA5"/>
    <w:rsid w:val="3AD153F6"/>
    <w:rsid w:val="3AD273C0"/>
    <w:rsid w:val="3AEA04C9"/>
    <w:rsid w:val="3AED5FA8"/>
    <w:rsid w:val="3AEF1D20"/>
    <w:rsid w:val="3B143534"/>
    <w:rsid w:val="3B181276"/>
    <w:rsid w:val="3B5D18A3"/>
    <w:rsid w:val="3B9603ED"/>
    <w:rsid w:val="3BA00890"/>
    <w:rsid w:val="3BF710CB"/>
    <w:rsid w:val="3BFF41E4"/>
    <w:rsid w:val="3C017F5D"/>
    <w:rsid w:val="3C0D6901"/>
    <w:rsid w:val="3C1557B6"/>
    <w:rsid w:val="3C1B0EFA"/>
    <w:rsid w:val="3C2D2B00"/>
    <w:rsid w:val="3C385439"/>
    <w:rsid w:val="3C697CDF"/>
    <w:rsid w:val="3C7E0814"/>
    <w:rsid w:val="3C826855"/>
    <w:rsid w:val="3C941696"/>
    <w:rsid w:val="3C951B66"/>
    <w:rsid w:val="3CAA5A88"/>
    <w:rsid w:val="3CEF4259"/>
    <w:rsid w:val="3CF950D8"/>
    <w:rsid w:val="3D685FD9"/>
    <w:rsid w:val="3D7838A1"/>
    <w:rsid w:val="3D842BF3"/>
    <w:rsid w:val="3D874491"/>
    <w:rsid w:val="3D9A41C5"/>
    <w:rsid w:val="3DA07301"/>
    <w:rsid w:val="3DC01751"/>
    <w:rsid w:val="3E104487"/>
    <w:rsid w:val="3E295549"/>
    <w:rsid w:val="3E2E7003"/>
    <w:rsid w:val="3E3A1504"/>
    <w:rsid w:val="3E6B5B61"/>
    <w:rsid w:val="3E6D7B2B"/>
    <w:rsid w:val="3E7E3AE6"/>
    <w:rsid w:val="3E891A94"/>
    <w:rsid w:val="3EA370A9"/>
    <w:rsid w:val="3EA90437"/>
    <w:rsid w:val="3ECE00C6"/>
    <w:rsid w:val="3EE7531C"/>
    <w:rsid w:val="3EE8391D"/>
    <w:rsid w:val="3EF142B8"/>
    <w:rsid w:val="3F01138F"/>
    <w:rsid w:val="3F012022"/>
    <w:rsid w:val="3F6A7BC7"/>
    <w:rsid w:val="3FBB0422"/>
    <w:rsid w:val="3FBD23EC"/>
    <w:rsid w:val="3FE33995"/>
    <w:rsid w:val="3FEF5C9B"/>
    <w:rsid w:val="40011C70"/>
    <w:rsid w:val="40055B41"/>
    <w:rsid w:val="4012098A"/>
    <w:rsid w:val="4013025E"/>
    <w:rsid w:val="402334C8"/>
    <w:rsid w:val="402F1E52"/>
    <w:rsid w:val="405F34A4"/>
    <w:rsid w:val="406229AA"/>
    <w:rsid w:val="407256EF"/>
    <w:rsid w:val="40972C3D"/>
    <w:rsid w:val="40B76E3C"/>
    <w:rsid w:val="40D774DE"/>
    <w:rsid w:val="40E1035D"/>
    <w:rsid w:val="40EF2A79"/>
    <w:rsid w:val="41031A19"/>
    <w:rsid w:val="41216FF5"/>
    <w:rsid w:val="415B010F"/>
    <w:rsid w:val="41744D2D"/>
    <w:rsid w:val="419B050B"/>
    <w:rsid w:val="41AC096A"/>
    <w:rsid w:val="41AF26D6"/>
    <w:rsid w:val="41C537DA"/>
    <w:rsid w:val="41D43A1D"/>
    <w:rsid w:val="41E41EB2"/>
    <w:rsid w:val="41F67E38"/>
    <w:rsid w:val="424741EF"/>
    <w:rsid w:val="42731488"/>
    <w:rsid w:val="42B45D29"/>
    <w:rsid w:val="42CF2F33"/>
    <w:rsid w:val="4374370A"/>
    <w:rsid w:val="437B6846"/>
    <w:rsid w:val="43B34232"/>
    <w:rsid w:val="43CA5CE8"/>
    <w:rsid w:val="43CC7701"/>
    <w:rsid w:val="43D146B8"/>
    <w:rsid w:val="43DE4235"/>
    <w:rsid w:val="43F108B7"/>
    <w:rsid w:val="43F839F3"/>
    <w:rsid w:val="44000AFA"/>
    <w:rsid w:val="44020D16"/>
    <w:rsid w:val="44046CCD"/>
    <w:rsid w:val="441E71D2"/>
    <w:rsid w:val="44330ECF"/>
    <w:rsid w:val="44352E99"/>
    <w:rsid w:val="447514E8"/>
    <w:rsid w:val="44A973E3"/>
    <w:rsid w:val="44C47D79"/>
    <w:rsid w:val="44DD0E3B"/>
    <w:rsid w:val="44E71197"/>
    <w:rsid w:val="45181E73"/>
    <w:rsid w:val="451C1963"/>
    <w:rsid w:val="45232CF2"/>
    <w:rsid w:val="459534C4"/>
    <w:rsid w:val="45BD59F1"/>
    <w:rsid w:val="45C344D5"/>
    <w:rsid w:val="45E306D3"/>
    <w:rsid w:val="46396545"/>
    <w:rsid w:val="46623F1C"/>
    <w:rsid w:val="468E4C9D"/>
    <w:rsid w:val="46A67ADA"/>
    <w:rsid w:val="46BE601F"/>
    <w:rsid w:val="46C6427C"/>
    <w:rsid w:val="46CB1893"/>
    <w:rsid w:val="46CE4EDF"/>
    <w:rsid w:val="46D324F5"/>
    <w:rsid w:val="46E75FA1"/>
    <w:rsid w:val="470019A9"/>
    <w:rsid w:val="47017EC7"/>
    <w:rsid w:val="472C1F22"/>
    <w:rsid w:val="476D46F8"/>
    <w:rsid w:val="47777325"/>
    <w:rsid w:val="47CC229D"/>
    <w:rsid w:val="47E726FC"/>
    <w:rsid w:val="480212E4"/>
    <w:rsid w:val="480768FB"/>
    <w:rsid w:val="480D3C37"/>
    <w:rsid w:val="4832149E"/>
    <w:rsid w:val="48345216"/>
    <w:rsid w:val="483D056E"/>
    <w:rsid w:val="48420B71"/>
    <w:rsid w:val="48457423"/>
    <w:rsid w:val="48515DC8"/>
    <w:rsid w:val="48831CF9"/>
    <w:rsid w:val="488B4EF9"/>
    <w:rsid w:val="489D100D"/>
    <w:rsid w:val="48BA1BBF"/>
    <w:rsid w:val="48E44E8E"/>
    <w:rsid w:val="48F86243"/>
    <w:rsid w:val="491A440C"/>
    <w:rsid w:val="49390B26"/>
    <w:rsid w:val="493D00FA"/>
    <w:rsid w:val="496D09DF"/>
    <w:rsid w:val="497A3B61"/>
    <w:rsid w:val="4980428B"/>
    <w:rsid w:val="49A85EBB"/>
    <w:rsid w:val="49B4660E"/>
    <w:rsid w:val="49F033BE"/>
    <w:rsid w:val="4A525E27"/>
    <w:rsid w:val="4A667F43"/>
    <w:rsid w:val="4A7D10F6"/>
    <w:rsid w:val="4A875AD1"/>
    <w:rsid w:val="4AB03279"/>
    <w:rsid w:val="4AB10DA0"/>
    <w:rsid w:val="4ABB39CC"/>
    <w:rsid w:val="4ACA3C0F"/>
    <w:rsid w:val="4AD56D70"/>
    <w:rsid w:val="4B007631"/>
    <w:rsid w:val="4B137364"/>
    <w:rsid w:val="4B223A4B"/>
    <w:rsid w:val="4B5114C4"/>
    <w:rsid w:val="4B5736F5"/>
    <w:rsid w:val="4B5D4A84"/>
    <w:rsid w:val="4B7109E7"/>
    <w:rsid w:val="4B8E10E1"/>
    <w:rsid w:val="4BB53DC4"/>
    <w:rsid w:val="4BBF129A"/>
    <w:rsid w:val="4BE85B56"/>
    <w:rsid w:val="4C0D3267"/>
    <w:rsid w:val="4C4579F1"/>
    <w:rsid w:val="4C4F60C5"/>
    <w:rsid w:val="4C8449BE"/>
    <w:rsid w:val="4C8A18A8"/>
    <w:rsid w:val="4C975D73"/>
    <w:rsid w:val="4C991AEB"/>
    <w:rsid w:val="4CAA019C"/>
    <w:rsid w:val="4CAA3CF8"/>
    <w:rsid w:val="4CD310EA"/>
    <w:rsid w:val="4D001B6A"/>
    <w:rsid w:val="4D333CEE"/>
    <w:rsid w:val="4D4D7800"/>
    <w:rsid w:val="4D5C3245"/>
    <w:rsid w:val="4D783DF7"/>
    <w:rsid w:val="4DAB68C6"/>
    <w:rsid w:val="4DC62DB4"/>
    <w:rsid w:val="4DC70C51"/>
    <w:rsid w:val="4E0972F8"/>
    <w:rsid w:val="4E197388"/>
    <w:rsid w:val="4E235B10"/>
    <w:rsid w:val="4EC512BE"/>
    <w:rsid w:val="4EDB288F"/>
    <w:rsid w:val="4EEC23A6"/>
    <w:rsid w:val="4EEC684A"/>
    <w:rsid w:val="4EF8660B"/>
    <w:rsid w:val="4F043B94"/>
    <w:rsid w:val="4F10078B"/>
    <w:rsid w:val="4F381A8F"/>
    <w:rsid w:val="4F6A2E34"/>
    <w:rsid w:val="4F786330"/>
    <w:rsid w:val="4F8B7E11"/>
    <w:rsid w:val="4F8E345D"/>
    <w:rsid w:val="4F952A3E"/>
    <w:rsid w:val="4F9A3E18"/>
    <w:rsid w:val="4F9B5B7A"/>
    <w:rsid w:val="4FC357FD"/>
    <w:rsid w:val="4FC96B8B"/>
    <w:rsid w:val="4FDA66A3"/>
    <w:rsid w:val="4FDC241B"/>
    <w:rsid w:val="4FFE4A87"/>
    <w:rsid w:val="50082F83"/>
    <w:rsid w:val="50096F88"/>
    <w:rsid w:val="500D0826"/>
    <w:rsid w:val="506863A4"/>
    <w:rsid w:val="50774D39"/>
    <w:rsid w:val="50940F47"/>
    <w:rsid w:val="509C1BAA"/>
    <w:rsid w:val="509C7D2A"/>
    <w:rsid w:val="50BD049E"/>
    <w:rsid w:val="50C51101"/>
    <w:rsid w:val="50D45BDC"/>
    <w:rsid w:val="50DB26D2"/>
    <w:rsid w:val="50DB6B76"/>
    <w:rsid w:val="51053BF3"/>
    <w:rsid w:val="510E0CFA"/>
    <w:rsid w:val="512C5EFE"/>
    <w:rsid w:val="51422751"/>
    <w:rsid w:val="514364CA"/>
    <w:rsid w:val="51475FBA"/>
    <w:rsid w:val="515B2FF3"/>
    <w:rsid w:val="51851B58"/>
    <w:rsid w:val="518C74EB"/>
    <w:rsid w:val="519D3E2C"/>
    <w:rsid w:val="51B23FBA"/>
    <w:rsid w:val="51BD002A"/>
    <w:rsid w:val="51BF3DA2"/>
    <w:rsid w:val="51D75590"/>
    <w:rsid w:val="51DA0BDC"/>
    <w:rsid w:val="52020133"/>
    <w:rsid w:val="520B348B"/>
    <w:rsid w:val="52151C14"/>
    <w:rsid w:val="521A1920"/>
    <w:rsid w:val="523C1897"/>
    <w:rsid w:val="5244074B"/>
    <w:rsid w:val="52524C16"/>
    <w:rsid w:val="526606C2"/>
    <w:rsid w:val="527B5D61"/>
    <w:rsid w:val="52973092"/>
    <w:rsid w:val="529E42FF"/>
    <w:rsid w:val="52A336C4"/>
    <w:rsid w:val="52A372F4"/>
    <w:rsid w:val="52CA01FE"/>
    <w:rsid w:val="52CB0F01"/>
    <w:rsid w:val="52D25D57"/>
    <w:rsid w:val="52DB4C0C"/>
    <w:rsid w:val="52EF6BFD"/>
    <w:rsid w:val="531B2676"/>
    <w:rsid w:val="532D11DF"/>
    <w:rsid w:val="5334431C"/>
    <w:rsid w:val="53654E1D"/>
    <w:rsid w:val="536A41E2"/>
    <w:rsid w:val="5385247B"/>
    <w:rsid w:val="538A03E0"/>
    <w:rsid w:val="53A21BCD"/>
    <w:rsid w:val="53BB67EB"/>
    <w:rsid w:val="53CA0592"/>
    <w:rsid w:val="53CD5B26"/>
    <w:rsid w:val="53E75832"/>
    <w:rsid w:val="53E915AA"/>
    <w:rsid w:val="53FD5056"/>
    <w:rsid w:val="54106B37"/>
    <w:rsid w:val="5422686A"/>
    <w:rsid w:val="543B0F20"/>
    <w:rsid w:val="54420CBA"/>
    <w:rsid w:val="5458228C"/>
    <w:rsid w:val="545F3A4F"/>
    <w:rsid w:val="54921539"/>
    <w:rsid w:val="54B020C8"/>
    <w:rsid w:val="54C2281C"/>
    <w:rsid w:val="54D1276A"/>
    <w:rsid w:val="54DB119A"/>
    <w:rsid w:val="54EC3C29"/>
    <w:rsid w:val="54FF773A"/>
    <w:rsid w:val="55173EF5"/>
    <w:rsid w:val="55216B22"/>
    <w:rsid w:val="552B174F"/>
    <w:rsid w:val="552F53EA"/>
    <w:rsid w:val="553B5E36"/>
    <w:rsid w:val="554271C4"/>
    <w:rsid w:val="5551361E"/>
    <w:rsid w:val="5568271A"/>
    <w:rsid w:val="55686E01"/>
    <w:rsid w:val="55804190"/>
    <w:rsid w:val="55872E29"/>
    <w:rsid w:val="55AE6607"/>
    <w:rsid w:val="55BB0D24"/>
    <w:rsid w:val="55C2009B"/>
    <w:rsid w:val="55C45E2B"/>
    <w:rsid w:val="55D342C0"/>
    <w:rsid w:val="55D3606E"/>
    <w:rsid w:val="56586573"/>
    <w:rsid w:val="567B0038"/>
    <w:rsid w:val="568F4F11"/>
    <w:rsid w:val="569357FD"/>
    <w:rsid w:val="56CF2CD9"/>
    <w:rsid w:val="57064221"/>
    <w:rsid w:val="57106E4E"/>
    <w:rsid w:val="57AE0B41"/>
    <w:rsid w:val="57D165DD"/>
    <w:rsid w:val="57D80DA2"/>
    <w:rsid w:val="57D91936"/>
    <w:rsid w:val="57E207EA"/>
    <w:rsid w:val="57EB233C"/>
    <w:rsid w:val="57FE2D3D"/>
    <w:rsid w:val="580C5867"/>
    <w:rsid w:val="581D7C2B"/>
    <w:rsid w:val="58276B45"/>
    <w:rsid w:val="582A3F3F"/>
    <w:rsid w:val="5898534D"/>
    <w:rsid w:val="59012EF2"/>
    <w:rsid w:val="59653481"/>
    <w:rsid w:val="59710078"/>
    <w:rsid w:val="597C6A1D"/>
    <w:rsid w:val="59943D66"/>
    <w:rsid w:val="5999312B"/>
    <w:rsid w:val="59A246D5"/>
    <w:rsid w:val="59B14918"/>
    <w:rsid w:val="59B937CD"/>
    <w:rsid w:val="59DD570D"/>
    <w:rsid w:val="59E14089"/>
    <w:rsid w:val="59EE791A"/>
    <w:rsid w:val="5A2E056D"/>
    <w:rsid w:val="5A4C4641"/>
    <w:rsid w:val="5AA75EB9"/>
    <w:rsid w:val="5B3550D5"/>
    <w:rsid w:val="5B555777"/>
    <w:rsid w:val="5B5E63DA"/>
    <w:rsid w:val="5B694D7F"/>
    <w:rsid w:val="5B765E19"/>
    <w:rsid w:val="5B793214"/>
    <w:rsid w:val="5B7D11B9"/>
    <w:rsid w:val="5B885B4D"/>
    <w:rsid w:val="5BB71F8E"/>
    <w:rsid w:val="5BBE42D4"/>
    <w:rsid w:val="5BD01D75"/>
    <w:rsid w:val="5BD448EE"/>
    <w:rsid w:val="5BE2700B"/>
    <w:rsid w:val="5C25514A"/>
    <w:rsid w:val="5C272404"/>
    <w:rsid w:val="5C2C3309"/>
    <w:rsid w:val="5C2D3FFE"/>
    <w:rsid w:val="5C313AEE"/>
    <w:rsid w:val="5C621EFA"/>
    <w:rsid w:val="5CA73DB1"/>
    <w:rsid w:val="5CAE513F"/>
    <w:rsid w:val="5CB20CFC"/>
    <w:rsid w:val="5CB364D3"/>
    <w:rsid w:val="5CDE12A4"/>
    <w:rsid w:val="5CFF1E3E"/>
    <w:rsid w:val="5D041203"/>
    <w:rsid w:val="5D072AA1"/>
    <w:rsid w:val="5D0D6309"/>
    <w:rsid w:val="5D0E5BDE"/>
    <w:rsid w:val="5D101956"/>
    <w:rsid w:val="5D170F36"/>
    <w:rsid w:val="5D3173C8"/>
    <w:rsid w:val="5D325574"/>
    <w:rsid w:val="5D683540"/>
    <w:rsid w:val="5D8A795A"/>
    <w:rsid w:val="5D92736F"/>
    <w:rsid w:val="5DAC58CF"/>
    <w:rsid w:val="5DBD090F"/>
    <w:rsid w:val="5DE4004A"/>
    <w:rsid w:val="5E0314BA"/>
    <w:rsid w:val="5E127950"/>
    <w:rsid w:val="5E174F66"/>
    <w:rsid w:val="5E2A7BF7"/>
    <w:rsid w:val="5E545884"/>
    <w:rsid w:val="5E5B2DF6"/>
    <w:rsid w:val="5E70724C"/>
    <w:rsid w:val="5E954808"/>
    <w:rsid w:val="5EC46E9C"/>
    <w:rsid w:val="5EC94920"/>
    <w:rsid w:val="5ECC7AFE"/>
    <w:rsid w:val="5EE93308"/>
    <w:rsid w:val="5EF62DCD"/>
    <w:rsid w:val="5EFC4888"/>
    <w:rsid w:val="5F12274B"/>
    <w:rsid w:val="5F1871E8"/>
    <w:rsid w:val="5F223BC2"/>
    <w:rsid w:val="5F2C67EF"/>
    <w:rsid w:val="5F3E2940"/>
    <w:rsid w:val="5F4104EC"/>
    <w:rsid w:val="5F5A335C"/>
    <w:rsid w:val="5F6441DB"/>
    <w:rsid w:val="5F893C41"/>
    <w:rsid w:val="5F923927"/>
    <w:rsid w:val="5FB24F46"/>
    <w:rsid w:val="603B4F3C"/>
    <w:rsid w:val="604F1663"/>
    <w:rsid w:val="60566219"/>
    <w:rsid w:val="605B2315"/>
    <w:rsid w:val="60634492"/>
    <w:rsid w:val="606C0419"/>
    <w:rsid w:val="60BB378C"/>
    <w:rsid w:val="60DA29A7"/>
    <w:rsid w:val="60DF1D6B"/>
    <w:rsid w:val="612260FC"/>
    <w:rsid w:val="61371BA7"/>
    <w:rsid w:val="616B7AA3"/>
    <w:rsid w:val="61722BDF"/>
    <w:rsid w:val="617A7CE6"/>
    <w:rsid w:val="617C1087"/>
    <w:rsid w:val="61882403"/>
    <w:rsid w:val="61897F29"/>
    <w:rsid w:val="61A23345"/>
    <w:rsid w:val="61A86601"/>
    <w:rsid w:val="61AE798F"/>
    <w:rsid w:val="61B76844"/>
    <w:rsid w:val="61CA2A1B"/>
    <w:rsid w:val="61D5316E"/>
    <w:rsid w:val="61DF1CED"/>
    <w:rsid w:val="620D2908"/>
    <w:rsid w:val="62233ED9"/>
    <w:rsid w:val="62CE02E9"/>
    <w:rsid w:val="62F615EE"/>
    <w:rsid w:val="62FC6014"/>
    <w:rsid w:val="63155766"/>
    <w:rsid w:val="632379EE"/>
    <w:rsid w:val="633B16F7"/>
    <w:rsid w:val="633D546F"/>
    <w:rsid w:val="633F1AE4"/>
    <w:rsid w:val="63651864"/>
    <w:rsid w:val="636B1FDC"/>
    <w:rsid w:val="637A3FCD"/>
    <w:rsid w:val="639F7D2D"/>
    <w:rsid w:val="63B01036"/>
    <w:rsid w:val="63D80CF3"/>
    <w:rsid w:val="63ED29F1"/>
    <w:rsid w:val="63FA6EBC"/>
    <w:rsid w:val="6401649C"/>
    <w:rsid w:val="64834155"/>
    <w:rsid w:val="64921BE4"/>
    <w:rsid w:val="64923598"/>
    <w:rsid w:val="64B82FFF"/>
    <w:rsid w:val="64C5396E"/>
    <w:rsid w:val="64DD0462"/>
    <w:rsid w:val="64E35BA2"/>
    <w:rsid w:val="650C334B"/>
    <w:rsid w:val="65143A5F"/>
    <w:rsid w:val="65242442"/>
    <w:rsid w:val="652A37D1"/>
    <w:rsid w:val="653267BA"/>
    <w:rsid w:val="653D52B2"/>
    <w:rsid w:val="65620B1F"/>
    <w:rsid w:val="656E5DB3"/>
    <w:rsid w:val="656F7435"/>
    <w:rsid w:val="659B022A"/>
    <w:rsid w:val="65A05841"/>
    <w:rsid w:val="65D5373C"/>
    <w:rsid w:val="65EB11B2"/>
    <w:rsid w:val="664851AC"/>
    <w:rsid w:val="66682803"/>
    <w:rsid w:val="666A657B"/>
    <w:rsid w:val="668605EE"/>
    <w:rsid w:val="66AB5A82"/>
    <w:rsid w:val="66B912B0"/>
    <w:rsid w:val="66BA2932"/>
    <w:rsid w:val="66CA0DC7"/>
    <w:rsid w:val="66E300DB"/>
    <w:rsid w:val="66F513A4"/>
    <w:rsid w:val="67430B7A"/>
    <w:rsid w:val="674F5770"/>
    <w:rsid w:val="67762CFD"/>
    <w:rsid w:val="678C2521"/>
    <w:rsid w:val="67EC1211"/>
    <w:rsid w:val="67EE3D0F"/>
    <w:rsid w:val="67FC294A"/>
    <w:rsid w:val="68330BEE"/>
    <w:rsid w:val="684D1CB0"/>
    <w:rsid w:val="685079F2"/>
    <w:rsid w:val="68812B97"/>
    <w:rsid w:val="689A0C6D"/>
    <w:rsid w:val="689C49E5"/>
    <w:rsid w:val="68A11FFC"/>
    <w:rsid w:val="68B65AA7"/>
    <w:rsid w:val="68CE0A78"/>
    <w:rsid w:val="68DC4DE2"/>
    <w:rsid w:val="68F70A31"/>
    <w:rsid w:val="68F760C0"/>
    <w:rsid w:val="69224EEB"/>
    <w:rsid w:val="692549DB"/>
    <w:rsid w:val="692A1FF1"/>
    <w:rsid w:val="6943410F"/>
    <w:rsid w:val="69470DF5"/>
    <w:rsid w:val="69540E1C"/>
    <w:rsid w:val="6958090C"/>
    <w:rsid w:val="69821E2D"/>
    <w:rsid w:val="699B6A4B"/>
    <w:rsid w:val="699E769D"/>
    <w:rsid w:val="69D6694F"/>
    <w:rsid w:val="69DD7064"/>
    <w:rsid w:val="69E623BC"/>
    <w:rsid w:val="6A010FA4"/>
    <w:rsid w:val="6A0960AB"/>
    <w:rsid w:val="6A154A4F"/>
    <w:rsid w:val="6A1F12E0"/>
    <w:rsid w:val="6A3B1D37"/>
    <w:rsid w:val="6A7259FE"/>
    <w:rsid w:val="6A794FDE"/>
    <w:rsid w:val="6A9A4F55"/>
    <w:rsid w:val="6AA162E3"/>
    <w:rsid w:val="6AA30604"/>
    <w:rsid w:val="6AA4419D"/>
    <w:rsid w:val="6AA47B81"/>
    <w:rsid w:val="6AAB0F10"/>
    <w:rsid w:val="6ADD627B"/>
    <w:rsid w:val="6AE10DD5"/>
    <w:rsid w:val="6AEF52A0"/>
    <w:rsid w:val="6AF44665"/>
    <w:rsid w:val="6B062C1F"/>
    <w:rsid w:val="6B105B62"/>
    <w:rsid w:val="6B1C00C9"/>
    <w:rsid w:val="6B2D53A2"/>
    <w:rsid w:val="6B4D1FC7"/>
    <w:rsid w:val="6B854358"/>
    <w:rsid w:val="6B923E7E"/>
    <w:rsid w:val="6BB4327D"/>
    <w:rsid w:val="6BB67B6C"/>
    <w:rsid w:val="6BEF7967"/>
    <w:rsid w:val="6BF25EAE"/>
    <w:rsid w:val="6C027255"/>
    <w:rsid w:val="6C0F54CE"/>
    <w:rsid w:val="6C360CAD"/>
    <w:rsid w:val="6C8639E2"/>
    <w:rsid w:val="6C9C1458"/>
    <w:rsid w:val="6CAD0F6F"/>
    <w:rsid w:val="6CAE4CE7"/>
    <w:rsid w:val="6CBE317C"/>
    <w:rsid w:val="6CC22541"/>
    <w:rsid w:val="6CCD33BF"/>
    <w:rsid w:val="6CD54525"/>
    <w:rsid w:val="6D1C7EA3"/>
    <w:rsid w:val="6D375489"/>
    <w:rsid w:val="6D3F50F4"/>
    <w:rsid w:val="6D502C2F"/>
    <w:rsid w:val="6D54763D"/>
    <w:rsid w:val="6DA2484C"/>
    <w:rsid w:val="6DB6210A"/>
    <w:rsid w:val="6E2622CC"/>
    <w:rsid w:val="6E2E0238"/>
    <w:rsid w:val="6E315BD0"/>
    <w:rsid w:val="6E3E7318"/>
    <w:rsid w:val="6E421B8B"/>
    <w:rsid w:val="6E4968E0"/>
    <w:rsid w:val="6E4E22DE"/>
    <w:rsid w:val="6E4E6782"/>
    <w:rsid w:val="6E895A0C"/>
    <w:rsid w:val="6E9248C1"/>
    <w:rsid w:val="6EB80C6F"/>
    <w:rsid w:val="6EC95E08"/>
    <w:rsid w:val="6EEB2223"/>
    <w:rsid w:val="6EED7D49"/>
    <w:rsid w:val="6EEE47E4"/>
    <w:rsid w:val="6EF92E29"/>
    <w:rsid w:val="6F571666"/>
    <w:rsid w:val="6F7E042E"/>
    <w:rsid w:val="6F8232BD"/>
    <w:rsid w:val="6FB823B9"/>
    <w:rsid w:val="6FE0340A"/>
    <w:rsid w:val="700C06A3"/>
    <w:rsid w:val="70115CB9"/>
    <w:rsid w:val="701337DF"/>
    <w:rsid w:val="70187047"/>
    <w:rsid w:val="701C5148"/>
    <w:rsid w:val="70560679"/>
    <w:rsid w:val="705B6F34"/>
    <w:rsid w:val="709B5583"/>
    <w:rsid w:val="70A72D1E"/>
    <w:rsid w:val="70B30B1E"/>
    <w:rsid w:val="70BA1EAD"/>
    <w:rsid w:val="70BF5715"/>
    <w:rsid w:val="70D8163A"/>
    <w:rsid w:val="70FF3D63"/>
    <w:rsid w:val="712A5284"/>
    <w:rsid w:val="712E63F7"/>
    <w:rsid w:val="71486D13"/>
    <w:rsid w:val="71557E27"/>
    <w:rsid w:val="71562C1B"/>
    <w:rsid w:val="717209D9"/>
    <w:rsid w:val="71A072F4"/>
    <w:rsid w:val="71BE3C1E"/>
    <w:rsid w:val="71C241AC"/>
    <w:rsid w:val="71C64881"/>
    <w:rsid w:val="71DF582A"/>
    <w:rsid w:val="72435ED2"/>
    <w:rsid w:val="72473C14"/>
    <w:rsid w:val="726A7902"/>
    <w:rsid w:val="728E2EEB"/>
    <w:rsid w:val="729350C8"/>
    <w:rsid w:val="72A050D2"/>
    <w:rsid w:val="72B34E05"/>
    <w:rsid w:val="72C07522"/>
    <w:rsid w:val="72FE1503"/>
    <w:rsid w:val="731F06ED"/>
    <w:rsid w:val="7329331A"/>
    <w:rsid w:val="733001EA"/>
    <w:rsid w:val="73353A6C"/>
    <w:rsid w:val="733E5017"/>
    <w:rsid w:val="733F0A43"/>
    <w:rsid w:val="73886292"/>
    <w:rsid w:val="73B47087"/>
    <w:rsid w:val="74196D88"/>
    <w:rsid w:val="741C09D1"/>
    <w:rsid w:val="742C4E6F"/>
    <w:rsid w:val="742F670E"/>
    <w:rsid w:val="743B3304"/>
    <w:rsid w:val="747F2476"/>
    <w:rsid w:val="748F53FE"/>
    <w:rsid w:val="74A54C22"/>
    <w:rsid w:val="74B310ED"/>
    <w:rsid w:val="74CE4179"/>
    <w:rsid w:val="74DD43BC"/>
    <w:rsid w:val="74E27C24"/>
    <w:rsid w:val="74EA75CD"/>
    <w:rsid w:val="74FC4F26"/>
    <w:rsid w:val="752913AF"/>
    <w:rsid w:val="754461E9"/>
    <w:rsid w:val="75662603"/>
    <w:rsid w:val="757A4300"/>
    <w:rsid w:val="75802A52"/>
    <w:rsid w:val="75812F99"/>
    <w:rsid w:val="75842A89"/>
    <w:rsid w:val="758D4034"/>
    <w:rsid w:val="75E96649"/>
    <w:rsid w:val="75F714AD"/>
    <w:rsid w:val="768F1F08"/>
    <w:rsid w:val="76B65922"/>
    <w:rsid w:val="76C45833"/>
    <w:rsid w:val="76F31C74"/>
    <w:rsid w:val="771542E1"/>
    <w:rsid w:val="771816DB"/>
    <w:rsid w:val="771B741D"/>
    <w:rsid w:val="77207389"/>
    <w:rsid w:val="7725204A"/>
    <w:rsid w:val="772E3E17"/>
    <w:rsid w:val="77530965"/>
    <w:rsid w:val="77764653"/>
    <w:rsid w:val="777E6C5D"/>
    <w:rsid w:val="77A03A22"/>
    <w:rsid w:val="77CD7B6D"/>
    <w:rsid w:val="77CE623E"/>
    <w:rsid w:val="77D01459"/>
    <w:rsid w:val="77E872FF"/>
    <w:rsid w:val="77F43B0E"/>
    <w:rsid w:val="77FA6C1F"/>
    <w:rsid w:val="77FA7033"/>
    <w:rsid w:val="77FF289B"/>
    <w:rsid w:val="78267E28"/>
    <w:rsid w:val="7863107C"/>
    <w:rsid w:val="78770683"/>
    <w:rsid w:val="7889179A"/>
    <w:rsid w:val="78C57641"/>
    <w:rsid w:val="78C87131"/>
    <w:rsid w:val="78D930EC"/>
    <w:rsid w:val="78FB12B4"/>
    <w:rsid w:val="78FB7506"/>
    <w:rsid w:val="78FF0DA4"/>
    <w:rsid w:val="79202AC9"/>
    <w:rsid w:val="79290CA2"/>
    <w:rsid w:val="793B5B55"/>
    <w:rsid w:val="794970E4"/>
    <w:rsid w:val="79690914"/>
    <w:rsid w:val="797F3C93"/>
    <w:rsid w:val="79907C4E"/>
    <w:rsid w:val="79955265"/>
    <w:rsid w:val="799C4845"/>
    <w:rsid w:val="79A454A8"/>
    <w:rsid w:val="79BA6C16"/>
    <w:rsid w:val="79DC10E6"/>
    <w:rsid w:val="79DC2E94"/>
    <w:rsid w:val="79F226B7"/>
    <w:rsid w:val="79FA5A10"/>
    <w:rsid w:val="7A230AC3"/>
    <w:rsid w:val="7A7A445B"/>
    <w:rsid w:val="7A85352B"/>
    <w:rsid w:val="7AD718AD"/>
    <w:rsid w:val="7AD80B29"/>
    <w:rsid w:val="7AF16E13"/>
    <w:rsid w:val="7AF91823"/>
    <w:rsid w:val="7B0E3521"/>
    <w:rsid w:val="7B2A7C2F"/>
    <w:rsid w:val="7B2F3497"/>
    <w:rsid w:val="7B670E83"/>
    <w:rsid w:val="7B784E3E"/>
    <w:rsid w:val="7B8C08E9"/>
    <w:rsid w:val="7B9B08E1"/>
    <w:rsid w:val="7B9F061D"/>
    <w:rsid w:val="7BBA7205"/>
    <w:rsid w:val="7BCA5013"/>
    <w:rsid w:val="7BDA3403"/>
    <w:rsid w:val="7BE91898"/>
    <w:rsid w:val="7BF24174"/>
    <w:rsid w:val="7BFF730D"/>
    <w:rsid w:val="7C093CE8"/>
    <w:rsid w:val="7C0E12FE"/>
    <w:rsid w:val="7C183F2B"/>
    <w:rsid w:val="7C66738C"/>
    <w:rsid w:val="7C6D24C9"/>
    <w:rsid w:val="7C977546"/>
    <w:rsid w:val="7CC145C3"/>
    <w:rsid w:val="7CF14EA8"/>
    <w:rsid w:val="7CF16C56"/>
    <w:rsid w:val="7CF60F14"/>
    <w:rsid w:val="7D17206F"/>
    <w:rsid w:val="7D221505"/>
    <w:rsid w:val="7D584F27"/>
    <w:rsid w:val="7D690EE2"/>
    <w:rsid w:val="7D6A582E"/>
    <w:rsid w:val="7D6C452F"/>
    <w:rsid w:val="7DA77C5D"/>
    <w:rsid w:val="7DB87774"/>
    <w:rsid w:val="7DE1316F"/>
    <w:rsid w:val="7DEC566F"/>
    <w:rsid w:val="7E0230E5"/>
    <w:rsid w:val="7E2968C4"/>
    <w:rsid w:val="7E8E6727"/>
    <w:rsid w:val="7EA128FE"/>
    <w:rsid w:val="7EA22F02"/>
    <w:rsid w:val="7EA37FC5"/>
    <w:rsid w:val="7EC9775F"/>
    <w:rsid w:val="7F166E48"/>
    <w:rsid w:val="7F1E7AAB"/>
    <w:rsid w:val="7F313C82"/>
    <w:rsid w:val="7F4D213E"/>
    <w:rsid w:val="7F7C64B5"/>
    <w:rsid w:val="7F945FBF"/>
    <w:rsid w:val="7FB607EA"/>
    <w:rsid w:val="7FC70142"/>
    <w:rsid w:val="7FEB51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uiPriority="99" w:name="index 2"/>
    <w:lsdException w:uiPriority="99" w:name="index 3"/>
    <w:lsdException w:uiPriority="99" w:name="index 4"/>
    <w:lsdException w:qFormat="1" w:uiPriority="99" w:semiHidden="0"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0" w:semiHidden="0" w:name="toc 3"/>
    <w:lsdException w:qFormat="1" w:uiPriority="0" w:semiHidden="0" w:name="toc 4"/>
    <w:lsdException w:qFormat="1" w:uiPriority="0" w:semiHidden="0" w:name="toc 5"/>
    <w:lsdException w:qFormat="1" w:uiPriority="0" w:semiHidden="0" w:name="toc 6"/>
    <w:lsdException w:qFormat="1" w:uiPriority="0" w:semiHidden="0" w:name="toc 7"/>
    <w:lsdException w:qFormat="1" w:uiPriority="0" w:semiHidden="0" w:name="toc 8"/>
    <w:lsdException w:qFormat="1" w:uiPriority="0" w:semiHidden="0" w:name="toc 9"/>
    <w:lsdException w:qFormat="1" w:uiPriority="0" w:semiHidden="0" w:name="Normal Indent"/>
    <w:lsdException w:qFormat="1" w:uiPriority="0" w:semiHidden="0"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qFormat="1" w:uiPriority="0" w:semiHidden="0" w:name="footnote reference"/>
    <w:lsdException w:qFormat="1"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qFormat="1" w:unhideWhenUsed="0" w:uiPriority="0" w:semiHidden="0"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qFormat="1" w:uiPriority="99" w:semiHidden="0"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iPriority="99" w:semiHidden="0" w:name="Date"/>
    <w:lsdException w:qFormat="1" w:uiPriority="0" w:semiHidden="0" w:name="Body Text First Indent"/>
    <w:lsdException w:qFormat="1" w:unhideWhenUsed="0" w:uiPriority="0" w:semiHidden="0" w:name="Body Text First Indent 2"/>
    <w:lsdException w:unhideWhenUsed="0" w:uiPriority="99" w:name="Note Heading"/>
    <w:lsdException w:qFormat="1" w:uiPriority="0" w:semiHidden="0" w:name="Body Text 2"/>
    <w:lsdException w:qFormat="1" w:uiPriority="0" w:semiHidden="0" w:name="Body Text 3"/>
    <w:lsdException w:qFormat="1" w:uiPriority="0" w:semiHidden="0" w:name="Body Text Indent 2"/>
    <w:lsdException w:qFormat="1" w:uiPriority="0" w:semiHidden="0" w:name="Body Text Indent 3"/>
    <w:lsdException w:qFormat="1" w:uiPriority="0" w:semiHidden="0"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qFormat="1" w:uiPriority="99" w:semiHidden="0" w:name="Document Map"/>
    <w:lsdException w:qFormat="1"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0" w:semiHidden="0"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qFormat="1" w:unhideWhenUsed="0" w:uiPriority="99" w:name="Placeholder Text"/>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仿宋" w:cs="Times New Roman"/>
      <w:kern w:val="2"/>
      <w:sz w:val="21"/>
      <w:szCs w:val="22"/>
      <w:lang w:val="en-US" w:eastAsia="zh-CN" w:bidi="ar-SA"/>
    </w:rPr>
  </w:style>
  <w:style w:type="paragraph" w:styleId="2">
    <w:name w:val="heading 1"/>
    <w:basedOn w:val="1"/>
    <w:next w:val="1"/>
    <w:link w:val="57"/>
    <w:qFormat/>
    <w:uiPriority w:val="0"/>
    <w:pPr>
      <w:keepNext/>
      <w:keepLines/>
      <w:numPr>
        <w:ilvl w:val="0"/>
        <w:numId w:val="1"/>
      </w:numPr>
      <w:spacing w:before="340" w:after="330" w:line="400" w:lineRule="exact"/>
      <w:jc w:val="center"/>
      <w:outlineLvl w:val="0"/>
    </w:pPr>
    <w:rPr>
      <w:rFonts w:ascii="宋体" w:hAnsi="宋体" w:eastAsia="宋体"/>
      <w:b/>
      <w:bCs/>
      <w:spacing w:val="-20"/>
      <w:kern w:val="44"/>
      <w:sz w:val="32"/>
      <w:szCs w:val="32"/>
    </w:rPr>
  </w:style>
  <w:style w:type="paragraph" w:styleId="3">
    <w:name w:val="heading 2"/>
    <w:basedOn w:val="1"/>
    <w:next w:val="1"/>
    <w:link w:val="58"/>
    <w:qFormat/>
    <w:uiPriority w:val="0"/>
    <w:pPr>
      <w:keepNext/>
      <w:keepLines/>
      <w:numPr>
        <w:ilvl w:val="1"/>
        <w:numId w:val="1"/>
      </w:numPr>
      <w:spacing w:before="260" w:after="260" w:line="360" w:lineRule="auto"/>
      <w:jc w:val="left"/>
      <w:outlineLvl w:val="1"/>
    </w:pPr>
    <w:rPr>
      <w:rFonts w:ascii="宋体" w:hAnsi="宋体" w:eastAsia="宋体"/>
      <w:b/>
      <w:bCs/>
      <w:sz w:val="28"/>
      <w:szCs w:val="28"/>
    </w:rPr>
  </w:style>
  <w:style w:type="paragraph" w:styleId="4">
    <w:name w:val="heading 3"/>
    <w:basedOn w:val="1"/>
    <w:next w:val="5"/>
    <w:link w:val="59"/>
    <w:qFormat/>
    <w:uiPriority w:val="0"/>
    <w:pPr>
      <w:keepNext/>
      <w:keepLines/>
      <w:numPr>
        <w:ilvl w:val="2"/>
        <w:numId w:val="1"/>
      </w:numPr>
      <w:spacing w:line="360" w:lineRule="auto"/>
      <w:outlineLvl w:val="2"/>
    </w:pPr>
    <w:rPr>
      <w:rFonts w:ascii="宋体" w:hAnsi="宋体" w:eastAsia="宋体"/>
      <w:b/>
      <w:bCs/>
      <w:color w:val="000000"/>
      <w:kern w:val="0"/>
      <w:sz w:val="28"/>
      <w:szCs w:val="28"/>
    </w:rPr>
  </w:style>
  <w:style w:type="paragraph" w:styleId="7">
    <w:name w:val="heading 4"/>
    <w:basedOn w:val="1"/>
    <w:next w:val="1"/>
    <w:link w:val="62"/>
    <w:qFormat/>
    <w:uiPriority w:val="9"/>
    <w:pPr>
      <w:keepNext/>
      <w:keepLines/>
      <w:numPr>
        <w:ilvl w:val="3"/>
        <w:numId w:val="1"/>
      </w:numPr>
      <w:spacing w:before="120" w:after="120" w:line="360" w:lineRule="auto"/>
      <w:jc w:val="left"/>
      <w:outlineLvl w:val="3"/>
    </w:pPr>
    <w:rPr>
      <w:rFonts w:ascii="Arial" w:hAnsi="Arial" w:eastAsia="宋体"/>
      <w:b/>
      <w:bCs/>
      <w:kern w:val="0"/>
      <w:sz w:val="28"/>
      <w:szCs w:val="28"/>
    </w:rPr>
  </w:style>
  <w:style w:type="paragraph" w:styleId="8">
    <w:name w:val="heading 5"/>
    <w:basedOn w:val="1"/>
    <w:next w:val="1"/>
    <w:link w:val="63"/>
    <w:qFormat/>
    <w:uiPriority w:val="0"/>
    <w:pPr>
      <w:numPr>
        <w:ilvl w:val="4"/>
        <w:numId w:val="2"/>
      </w:numPr>
      <w:tabs>
        <w:tab w:val="left" w:pos="1134"/>
      </w:tabs>
      <w:spacing w:before="280" w:after="290" w:line="360" w:lineRule="auto"/>
      <w:outlineLvl w:val="4"/>
    </w:pPr>
    <w:rPr>
      <w:rFonts w:eastAsia="宋体"/>
      <w:b/>
      <w:bCs/>
      <w:kern w:val="0"/>
      <w:sz w:val="28"/>
      <w:szCs w:val="28"/>
    </w:rPr>
  </w:style>
  <w:style w:type="paragraph" w:styleId="9">
    <w:name w:val="heading 6"/>
    <w:basedOn w:val="1"/>
    <w:next w:val="1"/>
    <w:link w:val="64"/>
    <w:qFormat/>
    <w:uiPriority w:val="0"/>
    <w:pPr>
      <w:keepNext/>
      <w:keepLines/>
      <w:numPr>
        <w:ilvl w:val="5"/>
        <w:numId w:val="2"/>
      </w:numPr>
      <w:spacing w:before="240" w:after="64" w:line="314" w:lineRule="auto"/>
      <w:outlineLvl w:val="5"/>
    </w:pPr>
    <w:rPr>
      <w:rFonts w:ascii="Arial" w:hAnsi="Arial" w:eastAsia="宋体"/>
      <w:b/>
      <w:bCs/>
      <w:kern w:val="0"/>
      <w:sz w:val="28"/>
      <w:szCs w:val="18"/>
    </w:rPr>
  </w:style>
  <w:style w:type="paragraph" w:styleId="10">
    <w:name w:val="heading 7"/>
    <w:basedOn w:val="1"/>
    <w:next w:val="1"/>
    <w:link w:val="65"/>
    <w:qFormat/>
    <w:uiPriority w:val="0"/>
    <w:pPr>
      <w:keepNext/>
      <w:widowControl/>
      <w:tabs>
        <w:tab w:val="left" w:pos="3600"/>
      </w:tabs>
      <w:spacing w:after="120"/>
      <w:jc w:val="left"/>
      <w:outlineLvl w:val="6"/>
    </w:pPr>
    <w:rPr>
      <w:rFonts w:ascii="Arial Narrow" w:hAnsi="Arial Narrow" w:eastAsia="宋体"/>
      <w:b/>
      <w:bCs/>
      <w:iCs/>
      <w:kern w:val="0"/>
      <w:sz w:val="20"/>
      <w:szCs w:val="24"/>
      <w:lang w:eastAsia="en-US"/>
    </w:rPr>
  </w:style>
  <w:style w:type="paragraph" w:styleId="11">
    <w:name w:val="heading 8"/>
    <w:basedOn w:val="1"/>
    <w:next w:val="1"/>
    <w:link w:val="66"/>
    <w:qFormat/>
    <w:uiPriority w:val="0"/>
    <w:pPr>
      <w:keepNext/>
      <w:keepLines/>
      <w:spacing w:before="240" w:after="64" w:line="314" w:lineRule="auto"/>
      <w:outlineLvl w:val="7"/>
    </w:pPr>
    <w:rPr>
      <w:rFonts w:ascii="Arial" w:hAnsi="Arial" w:eastAsia="黑体"/>
      <w:kern w:val="0"/>
      <w:sz w:val="24"/>
      <w:szCs w:val="24"/>
    </w:rPr>
  </w:style>
  <w:style w:type="paragraph" w:styleId="12">
    <w:name w:val="heading 9"/>
    <w:basedOn w:val="1"/>
    <w:next w:val="1"/>
    <w:link w:val="67"/>
    <w:qFormat/>
    <w:uiPriority w:val="0"/>
    <w:pPr>
      <w:keepNext/>
      <w:keepLines/>
      <w:spacing w:before="240" w:after="64" w:line="314" w:lineRule="auto"/>
      <w:outlineLvl w:val="8"/>
    </w:pPr>
    <w:rPr>
      <w:rFonts w:ascii="Arial" w:hAnsi="Arial" w:eastAsia="黑体"/>
      <w:kern w:val="0"/>
      <w:sz w:val="20"/>
      <w:szCs w:val="21"/>
    </w:rPr>
  </w:style>
  <w:style w:type="character" w:default="1" w:styleId="51">
    <w:name w:val="Default Paragraph Font"/>
    <w:semiHidden/>
    <w:unhideWhenUsed/>
    <w:qFormat/>
    <w:uiPriority w:val="1"/>
  </w:style>
  <w:style w:type="table" w:default="1" w:styleId="49">
    <w:name w:val="Normal Table"/>
    <w:semiHidden/>
    <w:unhideWhenUsed/>
    <w:qFormat/>
    <w:uiPriority w:val="99"/>
    <w:tblPr>
      <w:tblCellMar>
        <w:top w:w="0" w:type="dxa"/>
        <w:left w:w="108" w:type="dxa"/>
        <w:bottom w:w="0" w:type="dxa"/>
        <w:right w:w="108" w:type="dxa"/>
      </w:tblCellMar>
    </w:tblPr>
  </w:style>
  <w:style w:type="paragraph" w:styleId="5">
    <w:name w:val="Body Text First Indent"/>
    <w:basedOn w:val="6"/>
    <w:link w:val="61"/>
    <w:unhideWhenUsed/>
    <w:qFormat/>
    <w:uiPriority w:val="0"/>
    <w:pPr>
      <w:ind w:firstLine="420" w:firstLineChars="100"/>
    </w:pPr>
    <w:rPr>
      <w:rFonts w:ascii="Times New Roman" w:hAnsi="Times New Roman"/>
      <w:sz w:val="18"/>
      <w:szCs w:val="18"/>
    </w:rPr>
  </w:style>
  <w:style w:type="paragraph" w:styleId="6">
    <w:name w:val="Body Text"/>
    <w:basedOn w:val="1"/>
    <w:next w:val="5"/>
    <w:link w:val="60"/>
    <w:unhideWhenUsed/>
    <w:qFormat/>
    <w:uiPriority w:val="99"/>
    <w:pPr>
      <w:spacing w:after="120"/>
    </w:pPr>
    <w:rPr>
      <w:rFonts w:eastAsia="宋体"/>
      <w:kern w:val="0"/>
      <w:sz w:val="20"/>
      <w:szCs w:val="20"/>
    </w:rPr>
  </w:style>
  <w:style w:type="paragraph" w:styleId="13">
    <w:name w:val="toc 7"/>
    <w:basedOn w:val="1"/>
    <w:next w:val="1"/>
    <w:unhideWhenUsed/>
    <w:qFormat/>
    <w:uiPriority w:val="0"/>
    <w:pPr>
      <w:ind w:left="2520" w:leftChars="1200"/>
    </w:pPr>
    <w:rPr>
      <w:rFonts w:ascii="Times New Roman" w:hAnsi="Times New Roman"/>
      <w:szCs w:val="24"/>
    </w:rPr>
  </w:style>
  <w:style w:type="paragraph" w:styleId="14">
    <w:name w:val="table of authorities"/>
    <w:basedOn w:val="1"/>
    <w:next w:val="1"/>
    <w:qFormat/>
    <w:uiPriority w:val="0"/>
    <w:pPr>
      <w:ind w:left="420" w:leftChars="200"/>
    </w:pPr>
  </w:style>
  <w:style w:type="paragraph" w:styleId="15">
    <w:name w:val="Normal Indent"/>
    <w:basedOn w:val="1"/>
    <w:link w:val="68"/>
    <w:unhideWhenUsed/>
    <w:qFormat/>
    <w:uiPriority w:val="0"/>
    <w:pPr>
      <w:spacing w:after="180" w:line="307" w:lineRule="auto"/>
      <w:ind w:firstLine="420"/>
    </w:pPr>
    <w:rPr>
      <w:rFonts w:eastAsia="宋体"/>
    </w:rPr>
  </w:style>
  <w:style w:type="paragraph" w:styleId="16">
    <w:name w:val="caption"/>
    <w:basedOn w:val="1"/>
    <w:next w:val="1"/>
    <w:qFormat/>
    <w:uiPriority w:val="0"/>
    <w:pPr>
      <w:spacing w:before="152" w:after="160" w:line="360" w:lineRule="auto"/>
    </w:pPr>
    <w:rPr>
      <w:rFonts w:ascii="Arial" w:hAnsi="Arial" w:eastAsia="黑体" w:cs="Arial"/>
      <w:sz w:val="20"/>
      <w:szCs w:val="20"/>
    </w:rPr>
  </w:style>
  <w:style w:type="paragraph" w:styleId="17">
    <w:name w:val="index 5"/>
    <w:basedOn w:val="1"/>
    <w:next w:val="1"/>
    <w:unhideWhenUsed/>
    <w:qFormat/>
    <w:uiPriority w:val="99"/>
    <w:pPr>
      <w:ind w:left="800" w:leftChars="800"/>
    </w:pPr>
  </w:style>
  <w:style w:type="paragraph" w:styleId="18">
    <w:name w:val="Document Map"/>
    <w:basedOn w:val="1"/>
    <w:link w:val="69"/>
    <w:unhideWhenUsed/>
    <w:qFormat/>
    <w:uiPriority w:val="99"/>
    <w:pPr>
      <w:shd w:val="clear" w:color="auto" w:fill="000080"/>
    </w:pPr>
    <w:rPr>
      <w:rFonts w:ascii="Times New Roman" w:hAnsi="Times New Roman" w:eastAsia="宋体"/>
      <w:kern w:val="0"/>
      <w:sz w:val="18"/>
      <w:szCs w:val="18"/>
    </w:rPr>
  </w:style>
  <w:style w:type="paragraph" w:styleId="19">
    <w:name w:val="annotation text"/>
    <w:basedOn w:val="1"/>
    <w:link w:val="70"/>
    <w:unhideWhenUsed/>
    <w:qFormat/>
    <w:uiPriority w:val="99"/>
    <w:pPr>
      <w:jc w:val="left"/>
    </w:pPr>
    <w:rPr>
      <w:rFonts w:ascii="Times New Roman" w:hAnsi="Times New Roman" w:eastAsia="宋体"/>
      <w:kern w:val="0"/>
      <w:sz w:val="18"/>
      <w:szCs w:val="18"/>
    </w:rPr>
  </w:style>
  <w:style w:type="paragraph" w:styleId="20">
    <w:name w:val="Body Text 3"/>
    <w:basedOn w:val="1"/>
    <w:link w:val="71"/>
    <w:unhideWhenUsed/>
    <w:qFormat/>
    <w:uiPriority w:val="0"/>
    <w:pPr>
      <w:jc w:val="center"/>
    </w:pPr>
    <w:rPr>
      <w:rFonts w:ascii="Times New Roman" w:hAnsi="Times New Roman" w:eastAsia="黑体"/>
      <w:kern w:val="0"/>
      <w:sz w:val="44"/>
      <w:szCs w:val="24"/>
    </w:rPr>
  </w:style>
  <w:style w:type="paragraph" w:styleId="21">
    <w:name w:val="Body Text Indent"/>
    <w:basedOn w:val="1"/>
    <w:next w:val="7"/>
    <w:link w:val="72"/>
    <w:unhideWhenUsed/>
    <w:qFormat/>
    <w:uiPriority w:val="0"/>
    <w:pPr>
      <w:spacing w:after="120"/>
      <w:ind w:left="420" w:leftChars="200"/>
    </w:pPr>
    <w:rPr>
      <w:rFonts w:ascii="Times New Roman" w:hAnsi="Times New Roman" w:eastAsia="宋体"/>
      <w:kern w:val="0"/>
      <w:sz w:val="20"/>
      <w:szCs w:val="24"/>
    </w:rPr>
  </w:style>
  <w:style w:type="paragraph" w:styleId="22">
    <w:name w:val="Block Text"/>
    <w:basedOn w:val="1"/>
    <w:unhideWhenUsed/>
    <w:qFormat/>
    <w:uiPriority w:val="0"/>
    <w:pPr>
      <w:ind w:left="-540" w:leftChars="-257" w:right="-334" w:rightChars="-159" w:firstLine="540" w:firstLineChars="180"/>
    </w:pPr>
    <w:rPr>
      <w:rFonts w:ascii="Times New Roman" w:hAnsi="Times New Roman"/>
      <w:sz w:val="30"/>
      <w:szCs w:val="24"/>
    </w:rPr>
  </w:style>
  <w:style w:type="paragraph" w:styleId="23">
    <w:name w:val="toc 5"/>
    <w:basedOn w:val="1"/>
    <w:next w:val="1"/>
    <w:unhideWhenUsed/>
    <w:qFormat/>
    <w:uiPriority w:val="0"/>
    <w:pPr>
      <w:ind w:left="1680" w:leftChars="800"/>
    </w:pPr>
    <w:rPr>
      <w:rFonts w:ascii="Times New Roman" w:hAnsi="Times New Roman"/>
      <w:sz w:val="18"/>
      <w:szCs w:val="18"/>
    </w:rPr>
  </w:style>
  <w:style w:type="paragraph" w:styleId="24">
    <w:name w:val="toc 3"/>
    <w:basedOn w:val="1"/>
    <w:next w:val="1"/>
    <w:unhideWhenUsed/>
    <w:qFormat/>
    <w:uiPriority w:val="0"/>
    <w:pPr>
      <w:tabs>
        <w:tab w:val="left" w:pos="709"/>
        <w:tab w:val="left" w:pos="993"/>
        <w:tab w:val="right" w:leader="dot" w:pos="8364"/>
      </w:tabs>
      <w:ind w:left="360"/>
      <w:jc w:val="left"/>
    </w:pPr>
    <w:rPr>
      <w:rFonts w:ascii="Times New Roman" w:hAnsi="Times New Roman" w:eastAsia="楷体_GB2312"/>
      <w:iCs/>
      <w:sz w:val="20"/>
      <w:szCs w:val="20"/>
    </w:rPr>
  </w:style>
  <w:style w:type="paragraph" w:styleId="25">
    <w:name w:val="Plain Text"/>
    <w:basedOn w:val="1"/>
    <w:link w:val="73"/>
    <w:unhideWhenUsed/>
    <w:qFormat/>
    <w:uiPriority w:val="0"/>
    <w:rPr>
      <w:rFonts w:ascii="宋体" w:hAnsi="Courier New" w:eastAsia="宋体"/>
      <w:kern w:val="0"/>
      <w:sz w:val="20"/>
      <w:szCs w:val="18"/>
    </w:rPr>
  </w:style>
  <w:style w:type="paragraph" w:styleId="26">
    <w:name w:val="toc 8"/>
    <w:basedOn w:val="1"/>
    <w:next w:val="1"/>
    <w:unhideWhenUsed/>
    <w:qFormat/>
    <w:uiPriority w:val="0"/>
    <w:pPr>
      <w:ind w:left="2940" w:leftChars="1400"/>
    </w:pPr>
    <w:rPr>
      <w:rFonts w:ascii="Times New Roman" w:hAnsi="Times New Roman"/>
      <w:szCs w:val="24"/>
    </w:rPr>
  </w:style>
  <w:style w:type="paragraph" w:styleId="27">
    <w:name w:val="Date"/>
    <w:basedOn w:val="1"/>
    <w:next w:val="1"/>
    <w:link w:val="74"/>
    <w:unhideWhenUsed/>
    <w:qFormat/>
    <w:uiPriority w:val="99"/>
    <w:pPr>
      <w:ind w:left="100" w:leftChars="2500"/>
    </w:pPr>
    <w:rPr>
      <w:rFonts w:ascii="Times New Roman" w:hAnsi="Times New Roman" w:eastAsia="宋体"/>
      <w:kern w:val="0"/>
      <w:sz w:val="24"/>
      <w:szCs w:val="24"/>
    </w:rPr>
  </w:style>
  <w:style w:type="paragraph" w:styleId="28">
    <w:name w:val="Body Text Indent 2"/>
    <w:basedOn w:val="1"/>
    <w:link w:val="75"/>
    <w:unhideWhenUsed/>
    <w:qFormat/>
    <w:uiPriority w:val="0"/>
    <w:pPr>
      <w:spacing w:after="120" w:line="480" w:lineRule="auto"/>
      <w:ind w:left="420" w:leftChars="200"/>
    </w:pPr>
    <w:rPr>
      <w:rFonts w:eastAsia="宋体"/>
      <w:kern w:val="0"/>
      <w:sz w:val="20"/>
      <w:szCs w:val="20"/>
    </w:rPr>
  </w:style>
  <w:style w:type="paragraph" w:styleId="29">
    <w:name w:val="Balloon Text"/>
    <w:basedOn w:val="1"/>
    <w:link w:val="76"/>
    <w:unhideWhenUsed/>
    <w:qFormat/>
    <w:uiPriority w:val="99"/>
    <w:rPr>
      <w:rFonts w:ascii="Times New Roman" w:hAnsi="Times New Roman" w:eastAsia="宋体"/>
      <w:kern w:val="0"/>
      <w:sz w:val="18"/>
      <w:szCs w:val="18"/>
    </w:rPr>
  </w:style>
  <w:style w:type="paragraph" w:styleId="30">
    <w:name w:val="footer"/>
    <w:basedOn w:val="1"/>
    <w:link w:val="77"/>
    <w:unhideWhenUsed/>
    <w:qFormat/>
    <w:uiPriority w:val="99"/>
    <w:pPr>
      <w:tabs>
        <w:tab w:val="center" w:pos="4153"/>
        <w:tab w:val="right" w:pos="8306"/>
      </w:tabs>
      <w:snapToGrid w:val="0"/>
      <w:jc w:val="left"/>
    </w:pPr>
    <w:rPr>
      <w:rFonts w:eastAsia="宋体"/>
      <w:kern w:val="0"/>
      <w:sz w:val="18"/>
      <w:szCs w:val="18"/>
    </w:rPr>
  </w:style>
  <w:style w:type="paragraph" w:styleId="31">
    <w:name w:val="header"/>
    <w:basedOn w:val="1"/>
    <w:link w:val="78"/>
    <w:unhideWhenUsed/>
    <w:qFormat/>
    <w:uiPriority w:val="99"/>
    <w:pPr>
      <w:pBdr>
        <w:bottom w:val="single" w:color="auto" w:sz="6" w:space="1"/>
      </w:pBdr>
      <w:tabs>
        <w:tab w:val="center" w:pos="4153"/>
        <w:tab w:val="right" w:pos="8306"/>
      </w:tabs>
      <w:snapToGrid w:val="0"/>
      <w:jc w:val="center"/>
    </w:pPr>
    <w:rPr>
      <w:rFonts w:eastAsia="宋体"/>
      <w:kern w:val="0"/>
      <w:sz w:val="18"/>
      <w:szCs w:val="18"/>
    </w:rPr>
  </w:style>
  <w:style w:type="paragraph" w:styleId="32">
    <w:name w:val="toc 1"/>
    <w:basedOn w:val="1"/>
    <w:next w:val="1"/>
    <w:unhideWhenUsed/>
    <w:qFormat/>
    <w:uiPriority w:val="39"/>
    <w:pPr>
      <w:tabs>
        <w:tab w:val="left" w:pos="709"/>
        <w:tab w:val="right" w:leader="dot" w:pos="8364"/>
      </w:tabs>
      <w:spacing w:before="120" w:after="120"/>
      <w:jc w:val="left"/>
    </w:pPr>
    <w:rPr>
      <w:rFonts w:ascii="华文中宋" w:hAnsi="华文中宋" w:eastAsia="华文中宋"/>
      <w:bCs/>
      <w:caps/>
      <w:sz w:val="20"/>
      <w:szCs w:val="20"/>
    </w:rPr>
  </w:style>
  <w:style w:type="paragraph" w:styleId="33">
    <w:name w:val="toc 4"/>
    <w:basedOn w:val="1"/>
    <w:next w:val="1"/>
    <w:unhideWhenUsed/>
    <w:qFormat/>
    <w:uiPriority w:val="0"/>
    <w:pPr>
      <w:ind w:left="1260" w:leftChars="600"/>
    </w:pPr>
    <w:rPr>
      <w:rFonts w:ascii="Times New Roman" w:hAnsi="Times New Roman"/>
      <w:sz w:val="18"/>
      <w:szCs w:val="18"/>
    </w:rPr>
  </w:style>
  <w:style w:type="paragraph" w:styleId="34">
    <w:name w:val="Subtitle"/>
    <w:basedOn w:val="1"/>
    <w:next w:val="1"/>
    <w:link w:val="79"/>
    <w:qFormat/>
    <w:uiPriority w:val="0"/>
    <w:pPr>
      <w:spacing w:before="240" w:after="60" w:line="312" w:lineRule="auto"/>
      <w:jc w:val="center"/>
      <w:outlineLvl w:val="1"/>
    </w:pPr>
    <w:rPr>
      <w:rFonts w:ascii="Cambria" w:hAnsi="Cambria" w:eastAsia="宋体"/>
      <w:b/>
      <w:bCs/>
      <w:kern w:val="28"/>
      <w:sz w:val="32"/>
      <w:szCs w:val="32"/>
    </w:rPr>
  </w:style>
  <w:style w:type="paragraph" w:styleId="35">
    <w:name w:val="List Number 5"/>
    <w:basedOn w:val="1"/>
    <w:unhideWhenUsed/>
    <w:qFormat/>
    <w:uiPriority w:val="99"/>
    <w:pPr>
      <w:numPr>
        <w:ilvl w:val="0"/>
        <w:numId w:val="3"/>
      </w:numPr>
    </w:pPr>
  </w:style>
  <w:style w:type="paragraph" w:styleId="36">
    <w:name w:val="List"/>
    <w:basedOn w:val="1"/>
    <w:qFormat/>
    <w:uiPriority w:val="0"/>
    <w:pPr>
      <w:ind w:left="420" w:hanging="420"/>
    </w:pPr>
    <w:rPr>
      <w:sz w:val="24"/>
      <w:szCs w:val="20"/>
    </w:rPr>
  </w:style>
  <w:style w:type="paragraph" w:styleId="37">
    <w:name w:val="footnote text"/>
    <w:basedOn w:val="1"/>
    <w:link w:val="80"/>
    <w:unhideWhenUsed/>
    <w:qFormat/>
    <w:uiPriority w:val="0"/>
    <w:pPr>
      <w:snapToGrid w:val="0"/>
      <w:jc w:val="left"/>
    </w:pPr>
    <w:rPr>
      <w:rFonts w:eastAsia="宋体"/>
      <w:kern w:val="0"/>
      <w:sz w:val="18"/>
      <w:szCs w:val="18"/>
    </w:rPr>
  </w:style>
  <w:style w:type="paragraph" w:styleId="38">
    <w:name w:val="toc 6"/>
    <w:basedOn w:val="1"/>
    <w:next w:val="1"/>
    <w:unhideWhenUsed/>
    <w:qFormat/>
    <w:uiPriority w:val="0"/>
    <w:pPr>
      <w:ind w:left="2100" w:leftChars="1000"/>
    </w:pPr>
    <w:rPr>
      <w:rFonts w:ascii="Times New Roman" w:hAnsi="Times New Roman"/>
      <w:szCs w:val="24"/>
    </w:rPr>
  </w:style>
  <w:style w:type="paragraph" w:styleId="39">
    <w:name w:val="Body Text Indent 3"/>
    <w:basedOn w:val="1"/>
    <w:link w:val="81"/>
    <w:unhideWhenUsed/>
    <w:qFormat/>
    <w:uiPriority w:val="0"/>
    <w:pPr>
      <w:spacing w:line="360" w:lineRule="auto"/>
      <w:ind w:left="153" w:leftChars="85" w:firstLine="560" w:firstLineChars="200"/>
    </w:pPr>
    <w:rPr>
      <w:rFonts w:ascii="宋体" w:hAnsi="宋体" w:eastAsia="宋体"/>
      <w:kern w:val="0"/>
      <w:sz w:val="28"/>
      <w:szCs w:val="28"/>
    </w:rPr>
  </w:style>
  <w:style w:type="paragraph" w:styleId="40">
    <w:name w:val="toc 2"/>
    <w:basedOn w:val="1"/>
    <w:next w:val="1"/>
    <w:unhideWhenUsed/>
    <w:qFormat/>
    <w:uiPriority w:val="39"/>
    <w:pPr>
      <w:tabs>
        <w:tab w:val="left" w:pos="620"/>
        <w:tab w:val="right" w:leader="dot" w:pos="8364"/>
      </w:tabs>
      <w:ind w:left="180"/>
      <w:jc w:val="left"/>
    </w:pPr>
    <w:rPr>
      <w:rFonts w:ascii="华文中宋" w:hAnsi="华文中宋" w:eastAsia="华文中宋"/>
      <w:smallCaps/>
      <w:sz w:val="20"/>
      <w:szCs w:val="20"/>
    </w:rPr>
  </w:style>
  <w:style w:type="paragraph" w:styleId="41">
    <w:name w:val="toc 9"/>
    <w:basedOn w:val="1"/>
    <w:next w:val="1"/>
    <w:unhideWhenUsed/>
    <w:qFormat/>
    <w:uiPriority w:val="0"/>
    <w:pPr>
      <w:ind w:left="3360" w:leftChars="1600"/>
    </w:pPr>
    <w:rPr>
      <w:rFonts w:ascii="Times New Roman" w:hAnsi="Times New Roman"/>
      <w:szCs w:val="24"/>
    </w:rPr>
  </w:style>
  <w:style w:type="paragraph" w:styleId="42">
    <w:name w:val="Body Text 2"/>
    <w:basedOn w:val="1"/>
    <w:link w:val="82"/>
    <w:unhideWhenUsed/>
    <w:qFormat/>
    <w:uiPriority w:val="0"/>
    <w:pPr>
      <w:spacing w:after="120" w:line="480" w:lineRule="auto"/>
    </w:pPr>
    <w:rPr>
      <w:rFonts w:ascii="Times New Roman" w:hAnsi="Times New Roman" w:eastAsia="宋体"/>
      <w:kern w:val="0"/>
      <w:sz w:val="18"/>
      <w:szCs w:val="18"/>
    </w:rPr>
  </w:style>
  <w:style w:type="paragraph" w:styleId="43">
    <w:name w:val="HTML Preformatted"/>
    <w:basedOn w:val="1"/>
    <w:link w:val="83"/>
    <w:unhideWhenUs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kern w:val="0"/>
      <w:sz w:val="24"/>
      <w:szCs w:val="24"/>
    </w:rPr>
  </w:style>
  <w:style w:type="paragraph" w:styleId="44">
    <w:name w:val="Normal (Web)"/>
    <w:basedOn w:val="1"/>
    <w:unhideWhenUsed/>
    <w:qFormat/>
    <w:uiPriority w:val="0"/>
    <w:pPr>
      <w:widowControl/>
      <w:spacing w:before="100" w:beforeAutospacing="1" w:after="100" w:afterAutospacing="1"/>
      <w:jc w:val="left"/>
    </w:pPr>
    <w:rPr>
      <w:rFonts w:ascii="宋体" w:hAnsi="宋体"/>
      <w:color w:val="000000"/>
      <w:kern w:val="0"/>
      <w:sz w:val="24"/>
      <w:szCs w:val="24"/>
    </w:rPr>
  </w:style>
  <w:style w:type="paragraph" w:styleId="45">
    <w:name w:val="index 1"/>
    <w:basedOn w:val="1"/>
    <w:next w:val="1"/>
    <w:unhideWhenUsed/>
    <w:qFormat/>
    <w:uiPriority w:val="0"/>
    <w:pPr>
      <w:ind w:firstLine="560" w:firstLineChars="200"/>
    </w:pPr>
    <w:rPr>
      <w:rFonts w:ascii="宋体" w:hAnsi="宋体" w:cs="宋体"/>
      <w:sz w:val="28"/>
      <w:szCs w:val="28"/>
    </w:rPr>
  </w:style>
  <w:style w:type="paragraph" w:styleId="46">
    <w:name w:val="Title"/>
    <w:basedOn w:val="1"/>
    <w:qFormat/>
    <w:uiPriority w:val="10"/>
    <w:pPr>
      <w:widowControl/>
      <w:overflowPunct w:val="0"/>
      <w:autoSpaceDE w:val="0"/>
      <w:autoSpaceDN w:val="0"/>
      <w:jc w:val="center"/>
      <w:textAlignment w:val="baseline"/>
    </w:pPr>
    <w:rPr>
      <w:b/>
      <w:kern w:val="0"/>
      <w:sz w:val="24"/>
      <w:szCs w:val="20"/>
      <w:lang w:val="en-GB"/>
    </w:rPr>
  </w:style>
  <w:style w:type="paragraph" w:styleId="47">
    <w:name w:val="annotation subject"/>
    <w:basedOn w:val="19"/>
    <w:next w:val="19"/>
    <w:link w:val="84"/>
    <w:unhideWhenUsed/>
    <w:qFormat/>
    <w:uiPriority w:val="99"/>
    <w:rPr>
      <w:rFonts w:ascii="Calibri" w:hAnsi="Calibri"/>
      <w:b/>
      <w:bCs/>
    </w:rPr>
  </w:style>
  <w:style w:type="paragraph" w:styleId="48">
    <w:name w:val="Body Text First Indent 2"/>
    <w:basedOn w:val="21"/>
    <w:next w:val="5"/>
    <w:qFormat/>
    <w:uiPriority w:val="0"/>
    <w:pPr>
      <w:ind w:firstLine="210"/>
    </w:pPr>
    <w:rPr>
      <w:sz w:val="21"/>
    </w:rPr>
  </w:style>
  <w:style w:type="table" w:styleId="50">
    <w:name w:val="Table Grid"/>
    <w:basedOn w:val="4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2">
    <w:name w:val="page number"/>
    <w:qFormat/>
    <w:uiPriority w:val="0"/>
  </w:style>
  <w:style w:type="character" w:styleId="53">
    <w:name w:val="FollowedHyperlink"/>
    <w:unhideWhenUsed/>
    <w:qFormat/>
    <w:uiPriority w:val="99"/>
    <w:rPr>
      <w:color w:val="800080"/>
      <w:u w:val="single"/>
    </w:rPr>
  </w:style>
  <w:style w:type="character" w:styleId="54">
    <w:name w:val="Hyperlink"/>
    <w:unhideWhenUsed/>
    <w:qFormat/>
    <w:uiPriority w:val="99"/>
    <w:rPr>
      <w:color w:val="0000FF"/>
      <w:u w:val="single"/>
    </w:rPr>
  </w:style>
  <w:style w:type="character" w:styleId="55">
    <w:name w:val="annotation reference"/>
    <w:unhideWhenUsed/>
    <w:qFormat/>
    <w:uiPriority w:val="0"/>
    <w:rPr>
      <w:sz w:val="21"/>
      <w:szCs w:val="21"/>
    </w:rPr>
  </w:style>
  <w:style w:type="character" w:styleId="56">
    <w:name w:val="footnote reference"/>
    <w:unhideWhenUsed/>
    <w:qFormat/>
    <w:uiPriority w:val="0"/>
    <w:rPr>
      <w:vertAlign w:val="superscript"/>
    </w:rPr>
  </w:style>
  <w:style w:type="character" w:customStyle="1" w:styleId="57">
    <w:name w:val="标题 1 Char"/>
    <w:link w:val="2"/>
    <w:qFormat/>
    <w:uiPriority w:val="0"/>
    <w:rPr>
      <w:rFonts w:ascii="宋体" w:hAnsi="宋体" w:cs="宋体"/>
      <w:b/>
      <w:bCs/>
      <w:spacing w:val="-20"/>
      <w:kern w:val="44"/>
      <w:sz w:val="32"/>
      <w:szCs w:val="32"/>
    </w:rPr>
  </w:style>
  <w:style w:type="character" w:customStyle="1" w:styleId="58">
    <w:name w:val="标题 2 Char"/>
    <w:link w:val="3"/>
    <w:qFormat/>
    <w:uiPriority w:val="0"/>
    <w:rPr>
      <w:rFonts w:ascii="宋体" w:hAnsi="宋体" w:cs="宋体"/>
      <w:b/>
      <w:bCs/>
      <w:kern w:val="2"/>
      <w:sz w:val="28"/>
      <w:szCs w:val="28"/>
    </w:rPr>
  </w:style>
  <w:style w:type="character" w:customStyle="1" w:styleId="59">
    <w:name w:val="标题 3 Char"/>
    <w:link w:val="4"/>
    <w:qFormat/>
    <w:uiPriority w:val="0"/>
    <w:rPr>
      <w:rFonts w:ascii="宋体" w:hAnsi="宋体" w:cs="宋体"/>
      <w:b/>
      <w:bCs/>
      <w:color w:val="000000"/>
      <w:sz w:val="28"/>
      <w:szCs w:val="28"/>
    </w:rPr>
  </w:style>
  <w:style w:type="character" w:customStyle="1" w:styleId="60">
    <w:name w:val="正文文本 Char4"/>
    <w:link w:val="6"/>
    <w:qFormat/>
    <w:locked/>
    <w:uiPriority w:val="99"/>
    <w:rPr>
      <w:rFonts w:ascii="Calibri" w:hAnsi="Calibri" w:eastAsia="宋体" w:cs="Times New Roman"/>
    </w:rPr>
  </w:style>
  <w:style w:type="character" w:customStyle="1" w:styleId="61">
    <w:name w:val="正文首行缩进 Char"/>
    <w:link w:val="5"/>
    <w:qFormat/>
    <w:uiPriority w:val="0"/>
    <w:rPr>
      <w:rFonts w:ascii="Times New Roman" w:hAnsi="Times New Roman" w:eastAsia="宋体" w:cs="Times New Roman"/>
      <w:kern w:val="0"/>
      <w:sz w:val="18"/>
      <w:szCs w:val="18"/>
    </w:rPr>
  </w:style>
  <w:style w:type="character" w:customStyle="1" w:styleId="62">
    <w:name w:val="标题 4 Char"/>
    <w:link w:val="7"/>
    <w:qFormat/>
    <w:uiPriority w:val="9"/>
    <w:rPr>
      <w:rFonts w:ascii="Arial" w:hAnsi="Arial"/>
      <w:b/>
      <w:bCs/>
      <w:sz w:val="28"/>
      <w:szCs w:val="28"/>
    </w:rPr>
  </w:style>
  <w:style w:type="character" w:customStyle="1" w:styleId="63">
    <w:name w:val="标题 5 Char"/>
    <w:link w:val="8"/>
    <w:qFormat/>
    <w:uiPriority w:val="0"/>
    <w:rPr>
      <w:rFonts w:ascii="Calibri" w:hAnsi="Calibri" w:cs="宋体"/>
      <w:b/>
      <w:bCs/>
      <w:sz w:val="28"/>
      <w:szCs w:val="28"/>
    </w:rPr>
  </w:style>
  <w:style w:type="character" w:customStyle="1" w:styleId="64">
    <w:name w:val="标题 6 Char"/>
    <w:link w:val="9"/>
    <w:qFormat/>
    <w:uiPriority w:val="0"/>
    <w:rPr>
      <w:rFonts w:ascii="Arial" w:hAnsi="Arial"/>
      <w:b/>
      <w:bCs/>
      <w:sz w:val="28"/>
      <w:szCs w:val="18"/>
    </w:rPr>
  </w:style>
  <w:style w:type="character" w:customStyle="1" w:styleId="65">
    <w:name w:val="标题 7 Char"/>
    <w:link w:val="10"/>
    <w:qFormat/>
    <w:uiPriority w:val="0"/>
    <w:rPr>
      <w:rFonts w:ascii="Arial Narrow" w:hAnsi="Arial Narrow" w:eastAsia="宋体" w:cs="Times New Roman"/>
      <w:b/>
      <w:bCs/>
      <w:iCs/>
      <w:kern w:val="0"/>
      <w:sz w:val="20"/>
      <w:szCs w:val="24"/>
      <w:lang w:eastAsia="en-US"/>
    </w:rPr>
  </w:style>
  <w:style w:type="character" w:customStyle="1" w:styleId="66">
    <w:name w:val="标题 8 Char"/>
    <w:link w:val="11"/>
    <w:semiHidden/>
    <w:qFormat/>
    <w:uiPriority w:val="0"/>
    <w:rPr>
      <w:rFonts w:ascii="Arial" w:hAnsi="Arial" w:eastAsia="黑体" w:cs="Times New Roman"/>
      <w:kern w:val="0"/>
      <w:sz w:val="24"/>
      <w:szCs w:val="24"/>
    </w:rPr>
  </w:style>
  <w:style w:type="character" w:customStyle="1" w:styleId="67">
    <w:name w:val="标题 9 Char"/>
    <w:link w:val="12"/>
    <w:semiHidden/>
    <w:qFormat/>
    <w:uiPriority w:val="0"/>
    <w:rPr>
      <w:rFonts w:ascii="Arial" w:hAnsi="Arial" w:eastAsia="黑体" w:cs="Times New Roman"/>
      <w:kern w:val="0"/>
      <w:sz w:val="20"/>
      <w:szCs w:val="21"/>
    </w:rPr>
  </w:style>
  <w:style w:type="character" w:customStyle="1" w:styleId="68">
    <w:name w:val="正文缩进 Char1"/>
    <w:link w:val="15"/>
    <w:qFormat/>
    <w:locked/>
    <w:uiPriority w:val="0"/>
  </w:style>
  <w:style w:type="character" w:customStyle="1" w:styleId="69">
    <w:name w:val="文档结构图 Char"/>
    <w:link w:val="18"/>
    <w:qFormat/>
    <w:uiPriority w:val="99"/>
    <w:rPr>
      <w:rFonts w:ascii="Times New Roman" w:hAnsi="Times New Roman" w:eastAsia="宋体" w:cs="Times New Roman"/>
      <w:kern w:val="0"/>
      <w:sz w:val="18"/>
      <w:szCs w:val="18"/>
      <w:shd w:val="clear" w:color="auto" w:fill="000080"/>
    </w:rPr>
  </w:style>
  <w:style w:type="character" w:customStyle="1" w:styleId="70">
    <w:name w:val="批注文字 Char3"/>
    <w:link w:val="19"/>
    <w:qFormat/>
    <w:uiPriority w:val="99"/>
    <w:rPr>
      <w:rFonts w:ascii="Times New Roman" w:hAnsi="Times New Roman" w:eastAsia="宋体" w:cs="Times New Roman"/>
      <w:kern w:val="0"/>
      <w:sz w:val="18"/>
      <w:szCs w:val="18"/>
    </w:rPr>
  </w:style>
  <w:style w:type="character" w:customStyle="1" w:styleId="71">
    <w:name w:val="正文文本 3 Char"/>
    <w:link w:val="20"/>
    <w:semiHidden/>
    <w:qFormat/>
    <w:uiPriority w:val="0"/>
    <w:rPr>
      <w:rFonts w:ascii="Times New Roman" w:hAnsi="Times New Roman" w:eastAsia="黑体" w:cs="Times New Roman"/>
      <w:sz w:val="44"/>
      <w:szCs w:val="24"/>
    </w:rPr>
  </w:style>
  <w:style w:type="character" w:customStyle="1" w:styleId="72">
    <w:name w:val="正文文本缩进 Char"/>
    <w:link w:val="21"/>
    <w:semiHidden/>
    <w:qFormat/>
    <w:uiPriority w:val="0"/>
    <w:rPr>
      <w:rFonts w:ascii="Times New Roman" w:hAnsi="Times New Roman" w:eastAsia="宋体" w:cs="Times New Roman"/>
      <w:kern w:val="0"/>
      <w:sz w:val="20"/>
      <w:szCs w:val="24"/>
    </w:rPr>
  </w:style>
  <w:style w:type="character" w:customStyle="1" w:styleId="73">
    <w:name w:val="纯文本 Char1"/>
    <w:link w:val="25"/>
    <w:qFormat/>
    <w:locked/>
    <w:uiPriority w:val="0"/>
    <w:rPr>
      <w:rFonts w:ascii="宋体" w:hAnsi="Courier New" w:eastAsia="宋体" w:cs="Times New Roman"/>
      <w:kern w:val="0"/>
      <w:sz w:val="20"/>
      <w:szCs w:val="18"/>
    </w:rPr>
  </w:style>
  <w:style w:type="character" w:customStyle="1" w:styleId="74">
    <w:name w:val="日期 Char"/>
    <w:link w:val="27"/>
    <w:qFormat/>
    <w:uiPriority w:val="99"/>
    <w:rPr>
      <w:rFonts w:ascii="Times New Roman" w:hAnsi="Times New Roman" w:eastAsia="宋体" w:cs="Times New Roman"/>
      <w:kern w:val="0"/>
      <w:sz w:val="24"/>
      <w:szCs w:val="24"/>
    </w:rPr>
  </w:style>
  <w:style w:type="character" w:customStyle="1" w:styleId="75">
    <w:name w:val="正文文本缩进 2 Char"/>
    <w:link w:val="28"/>
    <w:qFormat/>
    <w:uiPriority w:val="0"/>
    <w:rPr>
      <w:rFonts w:ascii="Calibri" w:hAnsi="Calibri" w:eastAsia="宋体" w:cs="Times New Roman"/>
    </w:rPr>
  </w:style>
  <w:style w:type="character" w:customStyle="1" w:styleId="76">
    <w:name w:val="批注框文本 Char"/>
    <w:link w:val="29"/>
    <w:qFormat/>
    <w:uiPriority w:val="99"/>
    <w:rPr>
      <w:rFonts w:ascii="Times New Roman" w:hAnsi="Times New Roman" w:eastAsia="宋体" w:cs="Times New Roman"/>
      <w:kern w:val="0"/>
      <w:sz w:val="18"/>
      <w:szCs w:val="18"/>
    </w:rPr>
  </w:style>
  <w:style w:type="character" w:customStyle="1" w:styleId="77">
    <w:name w:val="页脚 Char"/>
    <w:link w:val="30"/>
    <w:qFormat/>
    <w:uiPriority w:val="99"/>
    <w:rPr>
      <w:rFonts w:ascii="Calibri" w:hAnsi="Calibri" w:eastAsia="宋体" w:cs="Times New Roman"/>
      <w:kern w:val="0"/>
      <w:sz w:val="18"/>
      <w:szCs w:val="18"/>
    </w:rPr>
  </w:style>
  <w:style w:type="character" w:customStyle="1" w:styleId="78">
    <w:name w:val="页眉 Char"/>
    <w:link w:val="31"/>
    <w:qFormat/>
    <w:uiPriority w:val="99"/>
    <w:rPr>
      <w:rFonts w:ascii="Calibri" w:hAnsi="Calibri" w:eastAsia="宋体" w:cs="Times New Roman"/>
      <w:kern w:val="0"/>
      <w:sz w:val="18"/>
      <w:szCs w:val="18"/>
    </w:rPr>
  </w:style>
  <w:style w:type="character" w:customStyle="1" w:styleId="79">
    <w:name w:val="副标题 Char"/>
    <w:link w:val="34"/>
    <w:qFormat/>
    <w:uiPriority w:val="0"/>
    <w:rPr>
      <w:rFonts w:ascii="Cambria" w:hAnsi="Cambria" w:eastAsia="宋体" w:cs="Times New Roman"/>
      <w:b/>
      <w:bCs/>
      <w:kern w:val="28"/>
      <w:sz w:val="32"/>
      <w:szCs w:val="32"/>
    </w:rPr>
  </w:style>
  <w:style w:type="character" w:customStyle="1" w:styleId="80">
    <w:name w:val="脚注文本 Char"/>
    <w:link w:val="37"/>
    <w:semiHidden/>
    <w:qFormat/>
    <w:uiPriority w:val="0"/>
    <w:rPr>
      <w:rFonts w:ascii="Calibri" w:hAnsi="Calibri" w:eastAsia="宋体" w:cs="Times New Roman"/>
      <w:sz w:val="18"/>
      <w:szCs w:val="18"/>
    </w:rPr>
  </w:style>
  <w:style w:type="character" w:customStyle="1" w:styleId="81">
    <w:name w:val="正文文本缩进 3 Char"/>
    <w:link w:val="39"/>
    <w:semiHidden/>
    <w:qFormat/>
    <w:uiPriority w:val="0"/>
    <w:rPr>
      <w:rFonts w:ascii="宋体" w:hAnsi="宋体" w:eastAsia="宋体" w:cs="Times New Roman"/>
      <w:kern w:val="0"/>
      <w:sz w:val="28"/>
      <w:szCs w:val="28"/>
    </w:rPr>
  </w:style>
  <w:style w:type="character" w:customStyle="1" w:styleId="82">
    <w:name w:val="正文文本 2 Char"/>
    <w:link w:val="42"/>
    <w:semiHidden/>
    <w:qFormat/>
    <w:uiPriority w:val="0"/>
    <w:rPr>
      <w:rFonts w:ascii="Times New Roman" w:hAnsi="Times New Roman" w:eastAsia="宋体" w:cs="Times New Roman"/>
      <w:kern w:val="0"/>
      <w:sz w:val="18"/>
      <w:szCs w:val="18"/>
    </w:rPr>
  </w:style>
  <w:style w:type="character" w:customStyle="1" w:styleId="83">
    <w:name w:val="HTML 预设格式 Char"/>
    <w:link w:val="43"/>
    <w:qFormat/>
    <w:uiPriority w:val="0"/>
    <w:rPr>
      <w:rFonts w:ascii="宋体" w:hAnsi="宋体" w:eastAsia="宋体" w:cs="Times New Roman"/>
      <w:kern w:val="0"/>
      <w:sz w:val="24"/>
      <w:szCs w:val="24"/>
    </w:rPr>
  </w:style>
  <w:style w:type="character" w:customStyle="1" w:styleId="84">
    <w:name w:val="批注主题 Char"/>
    <w:link w:val="47"/>
    <w:qFormat/>
    <w:uiPriority w:val="99"/>
    <w:rPr>
      <w:rFonts w:ascii="Calibri" w:hAnsi="Calibri" w:eastAsia="宋体" w:cs="Times New Roman"/>
      <w:b/>
      <w:bCs/>
      <w:kern w:val="0"/>
      <w:sz w:val="18"/>
      <w:szCs w:val="18"/>
    </w:rPr>
  </w:style>
  <w:style w:type="character" w:customStyle="1" w:styleId="85">
    <w:name w:val="l-btn-left3"/>
    <w:qFormat/>
    <w:uiPriority w:val="0"/>
  </w:style>
  <w:style w:type="character" w:customStyle="1" w:styleId="86">
    <w:name w:val="页脚 Char1"/>
    <w:qFormat/>
    <w:uiPriority w:val="99"/>
    <w:rPr>
      <w:sz w:val="18"/>
      <w:szCs w:val="18"/>
    </w:rPr>
  </w:style>
  <w:style w:type="character" w:customStyle="1" w:styleId="87">
    <w:name w:val="批注文字 Char"/>
    <w:qFormat/>
    <w:uiPriority w:val="99"/>
    <w:rPr>
      <w:rFonts w:ascii="Calibri" w:hAnsi="Calibri" w:eastAsia="宋体" w:cs="Times New Roman"/>
    </w:rPr>
  </w:style>
  <w:style w:type="character" w:customStyle="1" w:styleId="88">
    <w:name w:val="font71"/>
    <w:qFormat/>
    <w:uiPriority w:val="0"/>
    <w:rPr>
      <w:rFonts w:hint="eastAsia" w:ascii="宋体" w:hAnsi="宋体" w:eastAsia="宋体" w:cs="宋体"/>
      <w:color w:val="0D0D0D"/>
      <w:sz w:val="22"/>
      <w:szCs w:val="22"/>
      <w:u w:val="none"/>
    </w:rPr>
  </w:style>
  <w:style w:type="character" w:customStyle="1" w:styleId="89">
    <w:name w:val="font11"/>
    <w:qFormat/>
    <w:uiPriority w:val="0"/>
    <w:rPr>
      <w:rFonts w:hint="eastAsia" w:ascii="宋体" w:hAnsi="宋体" w:eastAsia="宋体" w:cs="宋体"/>
      <w:b/>
      <w:color w:val="000000"/>
      <w:sz w:val="22"/>
      <w:szCs w:val="22"/>
      <w:u w:val="none"/>
    </w:rPr>
  </w:style>
  <w:style w:type="character" w:customStyle="1" w:styleId="90">
    <w:name w:val="正文首行缩进 Char1"/>
    <w:semiHidden/>
    <w:qFormat/>
    <w:uiPriority w:val="99"/>
    <w:rPr>
      <w:rFonts w:hint="default" w:ascii="Calibri" w:hAnsi="Calibri" w:cs="Calibri"/>
      <w:kern w:val="2"/>
      <w:sz w:val="21"/>
      <w:szCs w:val="22"/>
    </w:rPr>
  </w:style>
  <w:style w:type="character" w:customStyle="1" w:styleId="91">
    <w:name w:val="p121"/>
    <w:qFormat/>
    <w:uiPriority w:val="0"/>
    <w:rPr>
      <w:sz w:val="24"/>
    </w:rPr>
  </w:style>
  <w:style w:type="character" w:customStyle="1" w:styleId="92">
    <w:name w:val="l-btn-icon-left"/>
    <w:qFormat/>
    <w:uiPriority w:val="0"/>
  </w:style>
  <w:style w:type="character" w:customStyle="1" w:styleId="93">
    <w:name w:val="l-btn-icon-left1"/>
    <w:qFormat/>
    <w:uiPriority w:val="0"/>
  </w:style>
  <w:style w:type="character" w:customStyle="1" w:styleId="94">
    <w:name w:val="Char Char Char"/>
    <w:qFormat/>
    <w:uiPriority w:val="0"/>
    <w:rPr>
      <w:rFonts w:hint="eastAsia" w:ascii="宋体" w:hAnsi="宋体" w:eastAsia="宋体"/>
      <w:kern w:val="2"/>
      <w:sz w:val="18"/>
      <w:szCs w:val="18"/>
      <w:lang w:val="en-US" w:eastAsia="zh-CN" w:bidi="ar-SA"/>
    </w:rPr>
  </w:style>
  <w:style w:type="character" w:customStyle="1" w:styleId="95">
    <w:name w:val="列出段落 Char Char"/>
    <w:qFormat/>
    <w:uiPriority w:val="0"/>
    <w:rPr>
      <w:rFonts w:hint="default" w:ascii="Calibri" w:hAnsi="Calibri" w:cs="Calibri"/>
      <w:kern w:val="2"/>
      <w:sz w:val="21"/>
      <w:szCs w:val="22"/>
    </w:rPr>
  </w:style>
  <w:style w:type="character" w:customStyle="1" w:styleId="96">
    <w:name w:val="font61"/>
    <w:qFormat/>
    <w:uiPriority w:val="0"/>
    <w:rPr>
      <w:rFonts w:hint="eastAsia" w:ascii="仿宋_GB2312" w:eastAsia="仿宋_GB2312" w:cs="仿宋_GB2312"/>
      <w:color w:val="000000"/>
      <w:sz w:val="24"/>
      <w:szCs w:val="24"/>
      <w:u w:val="none"/>
    </w:rPr>
  </w:style>
  <w:style w:type="character" w:customStyle="1" w:styleId="97">
    <w:name w:val="（符号）邀请函中一、"/>
    <w:qFormat/>
    <w:uiPriority w:val="0"/>
    <w:rPr>
      <w:rFonts w:hint="eastAsia" w:ascii="黑体" w:hAnsi="黑体" w:eastAsia="黑体"/>
      <w:b/>
      <w:bCs/>
      <w:sz w:val="24"/>
    </w:rPr>
  </w:style>
  <w:style w:type="character" w:customStyle="1" w:styleId="98">
    <w:name w:val="标题 1 字符1"/>
    <w:qFormat/>
    <w:uiPriority w:val="0"/>
    <w:rPr>
      <w:rFonts w:eastAsia="宋体" w:cs="Times New Roman"/>
      <w:b/>
      <w:bCs/>
      <w:kern w:val="44"/>
      <w:sz w:val="44"/>
      <w:szCs w:val="44"/>
    </w:rPr>
  </w:style>
  <w:style w:type="character" w:customStyle="1" w:styleId="99">
    <w:name w:val="15"/>
    <w:qFormat/>
    <w:uiPriority w:val="0"/>
    <w:rPr>
      <w:rFonts w:hint="default" w:ascii="Calibri" w:hAnsi="Calibri"/>
    </w:rPr>
  </w:style>
  <w:style w:type="character" w:customStyle="1" w:styleId="100">
    <w:name w:val="标书（正文） Char Char"/>
    <w:qFormat/>
    <w:uiPriority w:val="0"/>
    <w:rPr>
      <w:rFonts w:hint="eastAsia" w:ascii="宋体" w:hAnsi="宋体" w:eastAsia="宋体"/>
      <w:b/>
      <w:kern w:val="10"/>
      <w:sz w:val="21"/>
      <w:szCs w:val="21"/>
      <w:lang w:val="en-US" w:eastAsia="zh-CN" w:bidi="ar-SA"/>
    </w:rPr>
  </w:style>
  <w:style w:type="character" w:customStyle="1" w:styleId="101">
    <w:name w:val="l-btn-text1"/>
    <w:qFormat/>
    <w:uiPriority w:val="0"/>
    <w:rPr>
      <w:vertAlign w:val="baseline"/>
    </w:rPr>
  </w:style>
  <w:style w:type="character" w:customStyle="1" w:styleId="102">
    <w:name w:val="批注框文本 字符1"/>
    <w:semiHidden/>
    <w:qFormat/>
    <w:locked/>
    <w:uiPriority w:val="99"/>
    <w:rPr>
      <w:rFonts w:ascii="Times New Roman" w:hAnsi="Times New Roman" w:eastAsia="宋体" w:cs="Times New Roman"/>
      <w:kern w:val="0"/>
      <w:sz w:val="18"/>
      <w:szCs w:val="18"/>
    </w:rPr>
  </w:style>
  <w:style w:type="character" w:customStyle="1" w:styleId="103">
    <w:name w:val="正文文本 2 Char1"/>
    <w:semiHidden/>
    <w:qFormat/>
    <w:uiPriority w:val="99"/>
    <w:rPr>
      <w:rFonts w:hint="default" w:ascii="Calibri" w:hAnsi="Calibri" w:cs="Calibri"/>
      <w:kern w:val="2"/>
      <w:sz w:val="21"/>
      <w:szCs w:val="22"/>
    </w:rPr>
  </w:style>
  <w:style w:type="character" w:customStyle="1" w:styleId="104">
    <w:name w:val="font221"/>
    <w:qFormat/>
    <w:uiPriority w:val="0"/>
    <w:rPr>
      <w:rFonts w:hint="eastAsia" w:ascii="宋体" w:hAnsi="宋体" w:eastAsia="宋体" w:cs="宋体"/>
      <w:color w:val="000000"/>
      <w:sz w:val="24"/>
      <w:szCs w:val="24"/>
      <w:u w:val="none"/>
    </w:rPr>
  </w:style>
  <w:style w:type="character" w:customStyle="1" w:styleId="105">
    <w:name w:val="UserStyle_4"/>
    <w:link w:val="106"/>
    <w:qFormat/>
    <w:uiPriority w:val="0"/>
    <w:rPr>
      <w:rFonts w:ascii="宋体" w:hAnsi="宋体" w:eastAsia="宋体" w:cs="宋体"/>
      <w:b/>
      <w:bCs/>
      <w:kern w:val="0"/>
      <w:sz w:val="27"/>
      <w:szCs w:val="27"/>
    </w:rPr>
  </w:style>
  <w:style w:type="paragraph" w:customStyle="1" w:styleId="106">
    <w:name w:val="Heading3"/>
    <w:basedOn w:val="1"/>
    <w:next w:val="1"/>
    <w:link w:val="105"/>
    <w:qFormat/>
    <w:uiPriority w:val="0"/>
    <w:pPr>
      <w:widowControl/>
      <w:spacing w:before="100" w:beforeAutospacing="1" w:after="100" w:afterAutospacing="1"/>
      <w:ind w:firstLine="560" w:firstLineChars="200"/>
      <w:jc w:val="left"/>
      <w:textAlignment w:val="baseline"/>
    </w:pPr>
    <w:rPr>
      <w:rFonts w:ascii="宋体" w:hAnsi="宋体" w:eastAsia="宋体"/>
      <w:b/>
      <w:bCs/>
      <w:kern w:val="0"/>
      <w:sz w:val="27"/>
      <w:szCs w:val="27"/>
    </w:rPr>
  </w:style>
  <w:style w:type="character" w:customStyle="1" w:styleId="107">
    <w:name w:val="Legal Level 1.1.1. Char"/>
    <w:qFormat/>
    <w:uiPriority w:val="0"/>
    <w:rPr>
      <w:rFonts w:hint="default" w:ascii="Arial" w:hAnsi="Arial" w:eastAsia="黑体" w:cs="Arial"/>
      <w:kern w:val="2"/>
      <w:sz w:val="24"/>
      <w:szCs w:val="24"/>
    </w:rPr>
  </w:style>
  <w:style w:type="character" w:customStyle="1" w:styleId="108">
    <w:name w:val="批注文字 Char1"/>
    <w:semiHidden/>
    <w:qFormat/>
    <w:locked/>
    <w:uiPriority w:val="0"/>
    <w:rPr>
      <w:rFonts w:hint="default" w:ascii="Calibri" w:hAnsi="Calibri" w:eastAsia="宋体" w:cs="Times New Roman"/>
    </w:rPr>
  </w:style>
  <w:style w:type="character" w:customStyle="1" w:styleId="109">
    <w:name w:val="批注框文本 Char1"/>
    <w:semiHidden/>
    <w:qFormat/>
    <w:uiPriority w:val="99"/>
    <w:rPr>
      <w:rFonts w:hint="default" w:ascii="Calibri" w:hAnsi="Calibri" w:cs="Calibri"/>
      <w:kern w:val="2"/>
      <w:sz w:val="18"/>
      <w:szCs w:val="18"/>
    </w:rPr>
  </w:style>
  <w:style w:type="character" w:customStyle="1" w:styleId="110">
    <w:name w:val="UserStyle_9"/>
    <w:link w:val="111"/>
    <w:qFormat/>
    <w:locked/>
    <w:uiPriority w:val="0"/>
    <w:rPr>
      <w:rFonts w:ascii="Calibri" w:hAnsi="Calibri" w:eastAsia="宋体" w:cs="Times New Roman"/>
    </w:rPr>
  </w:style>
  <w:style w:type="paragraph" w:customStyle="1" w:styleId="111">
    <w:name w:val="BodyText1I"/>
    <w:basedOn w:val="1"/>
    <w:link w:val="110"/>
    <w:qFormat/>
    <w:uiPriority w:val="0"/>
    <w:rPr>
      <w:rFonts w:eastAsia="宋体"/>
      <w:kern w:val="0"/>
      <w:sz w:val="20"/>
      <w:szCs w:val="20"/>
    </w:rPr>
  </w:style>
  <w:style w:type="character" w:customStyle="1" w:styleId="112">
    <w:name w:val="AnnotationReference"/>
    <w:qFormat/>
    <w:uiPriority w:val="0"/>
    <w:rPr>
      <w:sz w:val="21"/>
      <w:szCs w:val="21"/>
    </w:rPr>
  </w:style>
  <w:style w:type="character" w:customStyle="1" w:styleId="113">
    <w:name w:val="Char Char5"/>
    <w:qFormat/>
    <w:uiPriority w:val="0"/>
    <w:rPr>
      <w:kern w:val="2"/>
      <w:sz w:val="21"/>
      <w:szCs w:val="24"/>
    </w:rPr>
  </w:style>
  <w:style w:type="character" w:customStyle="1" w:styleId="114">
    <w:name w:val="Char Char6"/>
    <w:qFormat/>
    <w:uiPriority w:val="0"/>
    <w:rPr>
      <w:kern w:val="2"/>
      <w:sz w:val="21"/>
      <w:szCs w:val="24"/>
    </w:rPr>
  </w:style>
  <w:style w:type="character" w:customStyle="1" w:styleId="115">
    <w:name w:val="font101"/>
    <w:qFormat/>
    <w:uiPriority w:val="0"/>
    <w:rPr>
      <w:rFonts w:hint="eastAsia" w:ascii="宋体" w:hAnsi="宋体" w:eastAsia="宋体" w:cs="宋体"/>
      <w:color w:val="FF0000"/>
      <w:sz w:val="18"/>
      <w:szCs w:val="18"/>
      <w:u w:val="none"/>
    </w:rPr>
  </w:style>
  <w:style w:type="character" w:customStyle="1" w:styleId="116">
    <w:name w:val="纯文本 Char2"/>
    <w:qFormat/>
    <w:uiPriority w:val="99"/>
    <w:rPr>
      <w:rFonts w:hint="eastAsia" w:ascii="宋体" w:hAnsi="Courier New" w:eastAsia="宋体" w:cs="Courier New"/>
      <w:kern w:val="2"/>
      <w:sz w:val="21"/>
      <w:szCs w:val="21"/>
    </w:rPr>
  </w:style>
  <w:style w:type="character" w:customStyle="1" w:styleId="117">
    <w:name w:val="页眉 Char1"/>
    <w:semiHidden/>
    <w:qFormat/>
    <w:uiPriority w:val="99"/>
    <w:rPr>
      <w:rFonts w:hint="default" w:ascii="Calibri" w:hAnsi="Calibri" w:cs="Calibri"/>
      <w:kern w:val="2"/>
      <w:sz w:val="18"/>
      <w:szCs w:val="18"/>
    </w:rPr>
  </w:style>
  <w:style w:type="character" w:customStyle="1" w:styleId="118">
    <w:name w:val="fontstyle21"/>
    <w:qFormat/>
    <w:uiPriority w:val="0"/>
    <w:rPr>
      <w:rFonts w:ascii="宋体" w:hAnsi="宋体" w:eastAsia="宋体" w:cs="宋体"/>
      <w:color w:val="000000"/>
      <w:sz w:val="28"/>
      <w:szCs w:val="28"/>
    </w:rPr>
  </w:style>
  <w:style w:type="character" w:customStyle="1" w:styleId="119">
    <w:name w:val="正文文本 Char"/>
    <w:qFormat/>
    <w:uiPriority w:val="99"/>
    <w:rPr>
      <w:rFonts w:ascii="Calibri" w:hAnsi="Calibri" w:eastAsia="宋体" w:cs="Times New Roman"/>
    </w:rPr>
  </w:style>
  <w:style w:type="character" w:customStyle="1" w:styleId="120">
    <w:name w:val="文章正文 Char Char"/>
    <w:qFormat/>
    <w:uiPriority w:val="0"/>
    <w:rPr>
      <w:rFonts w:hint="eastAsia" w:ascii="宋体" w:hAnsi="宋体" w:eastAsia="宋体"/>
      <w:kern w:val="2"/>
      <w:sz w:val="24"/>
      <w:szCs w:val="24"/>
      <w:lang w:val="en-US" w:eastAsia="zh-CN" w:bidi="ar-SA"/>
    </w:rPr>
  </w:style>
  <w:style w:type="character" w:customStyle="1" w:styleId="121">
    <w:name w:val="small"/>
    <w:qFormat/>
    <w:uiPriority w:val="0"/>
  </w:style>
  <w:style w:type="character" w:customStyle="1" w:styleId="122">
    <w:name w:val="标书正文 Char2"/>
    <w:link w:val="123"/>
    <w:qFormat/>
    <w:locked/>
    <w:uiPriority w:val="0"/>
    <w:rPr>
      <w:rFonts w:ascii="Calibri" w:hAnsi="Calibri" w:eastAsia="仿宋" w:cs="宋体"/>
      <w:kern w:val="2"/>
      <w:sz w:val="21"/>
    </w:rPr>
  </w:style>
  <w:style w:type="paragraph" w:customStyle="1" w:styleId="123">
    <w:name w:val="标书正文"/>
    <w:basedOn w:val="1"/>
    <w:link w:val="122"/>
    <w:qFormat/>
    <w:uiPriority w:val="0"/>
    <w:pPr>
      <w:autoSpaceDE w:val="0"/>
      <w:autoSpaceDN w:val="0"/>
      <w:spacing w:line="500" w:lineRule="exact"/>
      <w:ind w:firstLine="528" w:firstLineChars="200"/>
    </w:pPr>
    <w:rPr>
      <w:szCs w:val="20"/>
    </w:rPr>
  </w:style>
  <w:style w:type="character" w:customStyle="1" w:styleId="124">
    <w:name w:val="访问过的超链接1"/>
    <w:qFormat/>
    <w:uiPriority w:val="99"/>
    <w:rPr>
      <w:color w:val="800080"/>
      <w:u w:val="single"/>
    </w:rPr>
  </w:style>
  <w:style w:type="character" w:customStyle="1" w:styleId="125">
    <w:name w:val="正文文本 Char Char"/>
    <w:qFormat/>
    <w:uiPriority w:val="0"/>
    <w:rPr>
      <w:kern w:val="2"/>
      <w:sz w:val="21"/>
      <w:szCs w:val="24"/>
    </w:rPr>
  </w:style>
  <w:style w:type="character" w:customStyle="1" w:styleId="126">
    <w:name w:val="tt Char"/>
    <w:qFormat/>
    <w:uiPriority w:val="0"/>
    <w:rPr>
      <w:rFonts w:hint="default" w:ascii="Arial" w:hAnsi="Arial" w:eastAsia="黑体" w:cs="Arial"/>
      <w:kern w:val="2"/>
      <w:sz w:val="21"/>
      <w:szCs w:val="21"/>
    </w:rPr>
  </w:style>
  <w:style w:type="character" w:customStyle="1" w:styleId="127">
    <w:name w:val="l-btn-left6"/>
    <w:qFormat/>
    <w:uiPriority w:val="0"/>
  </w:style>
  <w:style w:type="character" w:customStyle="1" w:styleId="128">
    <w:name w:val="font31"/>
    <w:qFormat/>
    <w:uiPriority w:val="0"/>
    <w:rPr>
      <w:rFonts w:hint="eastAsia" w:ascii="宋体" w:hAnsi="宋体" w:eastAsia="宋体" w:cs="宋体"/>
      <w:color w:val="FF0000"/>
      <w:sz w:val="24"/>
      <w:szCs w:val="24"/>
      <w:u w:val="none"/>
    </w:rPr>
  </w:style>
  <w:style w:type="character" w:customStyle="1" w:styleId="129">
    <w:name w:val="标题 3 Char1"/>
    <w:semiHidden/>
    <w:qFormat/>
    <w:uiPriority w:val="99"/>
    <w:rPr>
      <w:rFonts w:hint="default" w:ascii="Calibri" w:hAnsi="Calibri"/>
      <w:b/>
      <w:bCs/>
      <w:kern w:val="2"/>
      <w:sz w:val="32"/>
      <w:szCs w:val="32"/>
    </w:rPr>
  </w:style>
  <w:style w:type="character" w:customStyle="1" w:styleId="130">
    <w:name w:val="MM Topic 3 Char Char"/>
    <w:qFormat/>
    <w:uiPriority w:val="0"/>
    <w:rPr>
      <w:rFonts w:hint="eastAsia" w:ascii="宋体" w:hAnsi="宋体" w:eastAsia="宋体"/>
      <w:b/>
      <w:bCs/>
      <w:color w:val="000000"/>
      <w:kern w:val="2"/>
      <w:sz w:val="28"/>
      <w:szCs w:val="28"/>
    </w:rPr>
  </w:style>
  <w:style w:type="character" w:customStyle="1" w:styleId="131">
    <w:name w:val="Char Char10"/>
    <w:qFormat/>
    <w:uiPriority w:val="0"/>
    <w:rPr>
      <w:kern w:val="2"/>
      <w:sz w:val="24"/>
      <w:szCs w:val="24"/>
    </w:rPr>
  </w:style>
  <w:style w:type="character" w:customStyle="1" w:styleId="132">
    <w:name w:val="副标题 Char1"/>
    <w:qFormat/>
    <w:uiPriority w:val="11"/>
    <w:rPr>
      <w:rFonts w:hint="default" w:ascii="Cambria" w:hAnsi="Cambria" w:cs="Times New Roman"/>
      <w:b/>
      <w:bCs/>
      <w:kern w:val="28"/>
      <w:sz w:val="32"/>
      <w:szCs w:val="32"/>
    </w:rPr>
  </w:style>
  <w:style w:type="character" w:customStyle="1" w:styleId="133">
    <w:name w:val="json_string"/>
    <w:qFormat/>
    <w:uiPriority w:val="0"/>
  </w:style>
  <w:style w:type="character" w:customStyle="1" w:styleId="134">
    <w:name w:val="Char Char4"/>
    <w:qFormat/>
    <w:uiPriority w:val="0"/>
    <w:rPr>
      <w:kern w:val="2"/>
      <w:sz w:val="18"/>
      <w:szCs w:val="18"/>
    </w:rPr>
  </w:style>
  <w:style w:type="character" w:customStyle="1" w:styleId="135">
    <w:name w:val="列出段落 字符"/>
    <w:link w:val="136"/>
    <w:qFormat/>
    <w:locked/>
    <w:uiPriority w:val="99"/>
    <w:rPr>
      <w:rFonts w:ascii="Calibri" w:hAnsi="Calibri"/>
      <w:kern w:val="2"/>
      <w:sz w:val="21"/>
      <w:szCs w:val="22"/>
    </w:rPr>
  </w:style>
  <w:style w:type="paragraph" w:customStyle="1" w:styleId="136">
    <w:name w:val="列出段落1"/>
    <w:basedOn w:val="1"/>
    <w:link w:val="135"/>
    <w:qFormat/>
    <w:uiPriority w:val="99"/>
    <w:pPr>
      <w:ind w:firstLine="420" w:firstLineChars="200"/>
    </w:pPr>
    <w:rPr>
      <w:rFonts w:eastAsia="宋体"/>
    </w:rPr>
  </w:style>
  <w:style w:type="character" w:customStyle="1" w:styleId="137">
    <w:name w:val="UserStyle_26"/>
    <w:link w:val="138"/>
    <w:qFormat/>
    <w:locked/>
    <w:uiPriority w:val="0"/>
  </w:style>
  <w:style w:type="paragraph" w:customStyle="1" w:styleId="138">
    <w:name w:val="NormalIndent"/>
    <w:basedOn w:val="1"/>
    <w:link w:val="137"/>
    <w:qFormat/>
    <w:uiPriority w:val="0"/>
    <w:pPr>
      <w:widowControl/>
      <w:spacing w:after="200" w:line="276" w:lineRule="auto"/>
      <w:ind w:firstLine="420"/>
    </w:pPr>
    <w:rPr>
      <w:rFonts w:eastAsia="宋体"/>
    </w:rPr>
  </w:style>
  <w:style w:type="character" w:customStyle="1" w:styleId="139">
    <w:name w:val="标题 2 Char1"/>
    <w:semiHidden/>
    <w:qFormat/>
    <w:uiPriority w:val="99"/>
    <w:rPr>
      <w:rFonts w:hint="eastAsia" w:ascii="Cambria" w:hAnsi="Cambria" w:eastAsia="宋体" w:cs="Times New Roman"/>
      <w:b/>
      <w:bCs/>
      <w:kern w:val="2"/>
      <w:sz w:val="32"/>
      <w:szCs w:val="32"/>
    </w:rPr>
  </w:style>
  <w:style w:type="character" w:customStyle="1" w:styleId="140">
    <w:name w:val="Char Char8"/>
    <w:qFormat/>
    <w:uiPriority w:val="0"/>
    <w:rPr>
      <w:rFonts w:hint="eastAsia" w:ascii="宋体" w:hAnsi="宋体" w:eastAsia="宋体"/>
      <w:kern w:val="2"/>
      <w:sz w:val="28"/>
      <w:szCs w:val="28"/>
    </w:rPr>
  </w:style>
  <w:style w:type="character" w:customStyle="1" w:styleId="141">
    <w:name w:val="副标题 Char2"/>
    <w:qFormat/>
    <w:uiPriority w:val="11"/>
    <w:rPr>
      <w:rFonts w:hint="eastAsia" w:ascii="Cambria" w:hAnsi="Cambria" w:eastAsia="等线 Light" w:cs="Times New Roman"/>
      <w:b/>
      <w:bCs/>
      <w:kern w:val="28"/>
      <w:sz w:val="32"/>
      <w:szCs w:val="32"/>
    </w:rPr>
  </w:style>
  <w:style w:type="character" w:customStyle="1" w:styleId="142">
    <w:name w:val="l-btn-text"/>
    <w:qFormat/>
    <w:uiPriority w:val="0"/>
    <w:rPr>
      <w:vertAlign w:val="baseline"/>
    </w:rPr>
  </w:style>
  <w:style w:type="character" w:customStyle="1" w:styleId="143">
    <w:name w:val="fontstyle11"/>
    <w:qFormat/>
    <w:uiPriority w:val="0"/>
    <w:rPr>
      <w:rFonts w:ascii="仿宋_GB2312" w:hAnsi="仿宋_GB2312" w:eastAsia="仿宋_GB2312" w:cs="仿宋_GB2312"/>
      <w:color w:val="000000"/>
      <w:sz w:val="28"/>
      <w:szCs w:val="28"/>
    </w:rPr>
  </w:style>
  <w:style w:type="character" w:customStyle="1" w:styleId="144">
    <w:name w:val="正文缩进 Char"/>
    <w:qFormat/>
    <w:uiPriority w:val="0"/>
    <w:rPr>
      <w:kern w:val="2"/>
      <w:sz w:val="21"/>
      <w:lang w:val="zh-CN" w:eastAsia="zh-CN"/>
    </w:rPr>
  </w:style>
  <w:style w:type="character" w:customStyle="1" w:styleId="145">
    <w:name w:val="Char Char9"/>
    <w:qFormat/>
    <w:uiPriority w:val="0"/>
    <w:rPr>
      <w:kern w:val="2"/>
      <w:sz w:val="18"/>
      <w:szCs w:val="18"/>
    </w:rPr>
  </w:style>
  <w:style w:type="character" w:customStyle="1" w:styleId="146">
    <w:name w:val="正文文本缩进 2 Char1"/>
    <w:semiHidden/>
    <w:qFormat/>
    <w:uiPriority w:val="99"/>
    <w:rPr>
      <w:rFonts w:hint="default" w:ascii="Calibri" w:hAnsi="Calibri" w:cs="Calibri"/>
      <w:kern w:val="2"/>
      <w:sz w:val="21"/>
      <w:szCs w:val="22"/>
    </w:rPr>
  </w:style>
  <w:style w:type="character" w:customStyle="1" w:styleId="147">
    <w:name w:val="标题 3 Char Char Char"/>
    <w:qFormat/>
    <w:uiPriority w:val="0"/>
    <w:rPr>
      <w:rFonts w:hint="eastAsia" w:ascii="宋体" w:hAnsi="宋体" w:eastAsia="宋体"/>
      <w:b/>
      <w:kern w:val="2"/>
      <w:sz w:val="32"/>
      <w:lang w:val="en-US" w:eastAsia="zh-CN" w:bidi="ar-SA"/>
    </w:rPr>
  </w:style>
  <w:style w:type="character" w:customStyle="1" w:styleId="148">
    <w:name w:val="正文文本 字符1"/>
    <w:semiHidden/>
    <w:qFormat/>
    <w:locked/>
    <w:uiPriority w:val="99"/>
    <w:rPr>
      <w:rFonts w:ascii="Calibri" w:hAnsi="Calibri" w:eastAsia="宋体" w:cs="Times New Roman"/>
    </w:rPr>
  </w:style>
  <w:style w:type="character" w:customStyle="1" w:styleId="149">
    <w:name w:val="Char Char3"/>
    <w:qFormat/>
    <w:uiPriority w:val="0"/>
    <w:rPr>
      <w:b/>
      <w:bCs/>
      <w:kern w:val="2"/>
      <w:sz w:val="18"/>
      <w:szCs w:val="18"/>
    </w:rPr>
  </w:style>
  <w:style w:type="character" w:customStyle="1" w:styleId="150">
    <w:name w:val="表正文 Char1"/>
    <w:qFormat/>
    <w:uiPriority w:val="0"/>
    <w:rPr>
      <w:rFonts w:hint="eastAsia" w:ascii="宋体" w:hAnsi="宋体" w:eastAsia="宋体"/>
      <w:kern w:val="2"/>
      <w:sz w:val="21"/>
      <w:lang w:val="en-US" w:eastAsia="zh-CN" w:bidi="ar-SA"/>
    </w:rPr>
  </w:style>
  <w:style w:type="character" w:customStyle="1" w:styleId="151">
    <w:name w:val="日期 Char1"/>
    <w:semiHidden/>
    <w:qFormat/>
    <w:uiPriority w:val="99"/>
    <w:rPr>
      <w:rFonts w:hint="default" w:ascii="Calibri" w:hAnsi="Calibri" w:cs="Calibri"/>
      <w:kern w:val="2"/>
      <w:sz w:val="21"/>
      <w:szCs w:val="22"/>
    </w:rPr>
  </w:style>
  <w:style w:type="character" w:customStyle="1" w:styleId="152">
    <w:name w:val="json_key"/>
    <w:qFormat/>
    <w:uiPriority w:val="0"/>
  </w:style>
  <w:style w:type="character" w:customStyle="1" w:styleId="153">
    <w:name w:val="标题 4 Char1"/>
    <w:semiHidden/>
    <w:qFormat/>
    <w:uiPriority w:val="9"/>
    <w:rPr>
      <w:rFonts w:hint="eastAsia" w:ascii="Cambria" w:hAnsi="Cambria" w:eastAsia="宋体" w:cs="Times New Roman"/>
      <w:b/>
      <w:bCs/>
      <w:kern w:val="2"/>
      <w:sz w:val="28"/>
      <w:szCs w:val="28"/>
    </w:rPr>
  </w:style>
  <w:style w:type="character" w:customStyle="1" w:styleId="154">
    <w:name w:val="纯文本 Char"/>
    <w:qFormat/>
    <w:uiPriority w:val="99"/>
    <w:rPr>
      <w:rFonts w:ascii="宋体" w:hAnsi="Courier New" w:eastAsia="宋体" w:cs="Courier New"/>
      <w:szCs w:val="21"/>
    </w:rPr>
  </w:style>
  <w:style w:type="character" w:customStyle="1" w:styleId="155">
    <w:name w:val="Char Char11"/>
    <w:qFormat/>
    <w:uiPriority w:val="0"/>
    <w:rPr>
      <w:rFonts w:hint="default" w:ascii="Arial Narrow" w:hAnsi="Arial Narrow"/>
      <w:b/>
      <w:bCs/>
      <w:iCs/>
      <w:szCs w:val="24"/>
      <w:lang w:eastAsia="en-US"/>
    </w:rPr>
  </w:style>
  <w:style w:type="character" w:customStyle="1" w:styleId="156">
    <w:name w:val="fontstyle01"/>
    <w:qFormat/>
    <w:uiPriority w:val="0"/>
    <w:rPr>
      <w:rFonts w:ascii="宋体" w:hAnsi="宋体" w:eastAsia="宋体" w:cs="宋体"/>
      <w:color w:val="000000"/>
      <w:sz w:val="28"/>
      <w:szCs w:val="28"/>
    </w:rPr>
  </w:style>
  <w:style w:type="character" w:customStyle="1" w:styleId="157">
    <w:name w:val="Char Char2"/>
    <w:qFormat/>
    <w:uiPriority w:val="0"/>
    <w:rPr>
      <w:kern w:val="2"/>
      <w:sz w:val="18"/>
      <w:szCs w:val="18"/>
    </w:rPr>
  </w:style>
  <w:style w:type="character" w:customStyle="1" w:styleId="158">
    <w:name w:val="l-btn-left2"/>
    <w:qFormat/>
    <w:uiPriority w:val="0"/>
  </w:style>
  <w:style w:type="character" w:customStyle="1" w:styleId="159">
    <w:name w:val="font41"/>
    <w:qFormat/>
    <w:uiPriority w:val="0"/>
    <w:rPr>
      <w:rFonts w:hint="eastAsia" w:ascii="宋体" w:hAnsi="宋体" w:eastAsia="宋体" w:cs="宋体"/>
      <w:b/>
      <w:color w:val="000000"/>
      <w:sz w:val="22"/>
      <w:szCs w:val="22"/>
      <w:u w:val="none"/>
    </w:rPr>
  </w:style>
  <w:style w:type="character" w:customStyle="1" w:styleId="160">
    <w:name w:val="qowt-font2"/>
    <w:qFormat/>
    <w:uiPriority w:val="0"/>
  </w:style>
  <w:style w:type="character" w:customStyle="1" w:styleId="161">
    <w:name w:val="l-btn-icon-right"/>
    <w:qFormat/>
    <w:uiPriority w:val="0"/>
  </w:style>
  <w:style w:type="character" w:customStyle="1" w:styleId="162">
    <w:name w:val="标题 3 字符1"/>
    <w:semiHidden/>
    <w:qFormat/>
    <w:uiPriority w:val="9"/>
    <w:rPr>
      <w:rFonts w:eastAsia="宋体" w:cs="Times New Roman"/>
      <w:b/>
      <w:bCs/>
      <w:kern w:val="2"/>
      <w:sz w:val="32"/>
      <w:szCs w:val="32"/>
    </w:rPr>
  </w:style>
  <w:style w:type="character" w:customStyle="1" w:styleId="163">
    <w:name w:val="标准文本 Char Char"/>
    <w:link w:val="164"/>
    <w:qFormat/>
    <w:locked/>
    <w:uiPriority w:val="0"/>
    <w:rPr>
      <w:sz w:val="24"/>
    </w:rPr>
  </w:style>
  <w:style w:type="paragraph" w:customStyle="1" w:styleId="164">
    <w:name w:val="标准文本"/>
    <w:basedOn w:val="1"/>
    <w:link w:val="163"/>
    <w:qFormat/>
    <w:uiPriority w:val="0"/>
    <w:pPr>
      <w:spacing w:after="200" w:line="360" w:lineRule="auto"/>
      <w:ind w:firstLine="480" w:firstLineChars="200"/>
    </w:pPr>
    <w:rPr>
      <w:rFonts w:ascii="Times New Roman" w:hAnsi="Times New Roman" w:eastAsia="宋体"/>
      <w:kern w:val="0"/>
      <w:sz w:val="24"/>
      <w:szCs w:val="20"/>
    </w:rPr>
  </w:style>
  <w:style w:type="character" w:customStyle="1" w:styleId="165">
    <w:name w:val="CD正文 Char"/>
    <w:link w:val="166"/>
    <w:qFormat/>
    <w:locked/>
    <w:uiPriority w:val="0"/>
    <w:rPr>
      <w:rFonts w:ascii="Times New Roman" w:hAnsi="Times New Roman" w:eastAsia="宋体" w:cs="Times New Roman"/>
      <w:sz w:val="24"/>
      <w:szCs w:val="24"/>
    </w:rPr>
  </w:style>
  <w:style w:type="paragraph" w:customStyle="1" w:styleId="166">
    <w:name w:val="CD正文"/>
    <w:basedOn w:val="167"/>
    <w:link w:val="165"/>
    <w:qFormat/>
    <w:uiPriority w:val="0"/>
    <w:rPr>
      <w:rFonts w:eastAsia="宋体"/>
      <w:kern w:val="0"/>
    </w:rPr>
  </w:style>
  <w:style w:type="paragraph" w:customStyle="1" w:styleId="167">
    <w:name w:val="文章正文"/>
    <w:basedOn w:val="1"/>
    <w:qFormat/>
    <w:uiPriority w:val="0"/>
    <w:pPr>
      <w:spacing w:line="360" w:lineRule="auto"/>
      <w:ind w:firstLine="420"/>
    </w:pPr>
    <w:rPr>
      <w:rFonts w:ascii="Times New Roman" w:hAnsi="Times New Roman"/>
      <w:sz w:val="24"/>
      <w:szCs w:val="24"/>
    </w:rPr>
  </w:style>
  <w:style w:type="character" w:customStyle="1" w:styleId="168">
    <w:name w:val="列出段落 Char"/>
    <w:link w:val="169"/>
    <w:qFormat/>
    <w:locked/>
    <w:uiPriority w:val="0"/>
    <w:rPr>
      <w:rFonts w:ascii="Calibri" w:hAnsi="Calibri"/>
    </w:rPr>
  </w:style>
  <w:style w:type="paragraph" w:styleId="169">
    <w:name w:val="List Paragraph"/>
    <w:basedOn w:val="1"/>
    <w:link w:val="168"/>
    <w:qFormat/>
    <w:uiPriority w:val="0"/>
    <w:pPr>
      <w:ind w:firstLine="420" w:firstLineChars="200"/>
    </w:pPr>
    <w:rPr>
      <w:rFonts w:eastAsia="宋体"/>
      <w:kern w:val="0"/>
      <w:sz w:val="20"/>
      <w:szCs w:val="20"/>
    </w:rPr>
  </w:style>
  <w:style w:type="character" w:customStyle="1" w:styleId="170">
    <w:name w:val="标书正文:  0.74 厘米 Char Char"/>
    <w:qFormat/>
    <w:uiPriority w:val="0"/>
    <w:rPr>
      <w:kern w:val="2"/>
      <w:sz w:val="24"/>
    </w:rPr>
  </w:style>
  <w:style w:type="character" w:customStyle="1" w:styleId="171">
    <w:name w:val="彩色列表 - 强调文字颜色 1 Char"/>
    <w:link w:val="172"/>
    <w:qFormat/>
    <w:locked/>
    <w:uiPriority w:val="0"/>
    <w:rPr>
      <w:rFonts w:ascii="Calibri" w:hAnsi="Calibri"/>
    </w:rPr>
  </w:style>
  <w:style w:type="paragraph" w:customStyle="1" w:styleId="172">
    <w:name w:val="彩色列表 - 强调文字颜色 11"/>
    <w:basedOn w:val="1"/>
    <w:link w:val="171"/>
    <w:qFormat/>
    <w:uiPriority w:val="0"/>
    <w:pPr>
      <w:ind w:firstLine="420" w:firstLineChars="200"/>
    </w:pPr>
    <w:rPr>
      <w:rFonts w:eastAsia="宋体"/>
      <w:kern w:val="0"/>
      <w:sz w:val="20"/>
      <w:szCs w:val="20"/>
    </w:rPr>
  </w:style>
  <w:style w:type="character" w:customStyle="1" w:styleId="173">
    <w:name w:val="l-btn-left4"/>
    <w:qFormat/>
    <w:uiPriority w:val="0"/>
  </w:style>
  <w:style w:type="character" w:customStyle="1" w:styleId="174">
    <w:name w:val="列出段落 Char1"/>
    <w:qFormat/>
    <w:uiPriority w:val="0"/>
    <w:rPr>
      <w:rFonts w:hint="default" w:ascii="Calibri" w:hAnsi="Calibri"/>
      <w:kern w:val="2"/>
      <w:sz w:val="21"/>
      <w:szCs w:val="22"/>
    </w:rPr>
  </w:style>
  <w:style w:type="character" w:customStyle="1" w:styleId="175">
    <w:name w:val="font01"/>
    <w:qFormat/>
    <w:uiPriority w:val="0"/>
    <w:rPr>
      <w:rFonts w:hint="eastAsia" w:ascii="宋体" w:hAnsi="宋体" w:eastAsia="宋体" w:cs="宋体"/>
      <w:color w:val="000000"/>
      <w:sz w:val="22"/>
      <w:szCs w:val="22"/>
      <w:u w:val="none"/>
    </w:rPr>
  </w:style>
  <w:style w:type="character" w:customStyle="1" w:styleId="176">
    <w:name w:val="MM Topic 4 Char Char"/>
    <w:qFormat/>
    <w:uiPriority w:val="0"/>
    <w:rPr>
      <w:rFonts w:hint="default" w:ascii="Arial" w:hAnsi="Arial" w:cs="Arial"/>
      <w:b/>
      <w:bCs/>
      <w:kern w:val="2"/>
      <w:sz w:val="28"/>
      <w:szCs w:val="28"/>
    </w:rPr>
  </w:style>
  <w:style w:type="character" w:customStyle="1" w:styleId="177">
    <w:name w:val="Char Char7"/>
    <w:qFormat/>
    <w:uiPriority w:val="0"/>
    <w:rPr>
      <w:kern w:val="2"/>
      <w:sz w:val="18"/>
      <w:szCs w:val="18"/>
    </w:rPr>
  </w:style>
  <w:style w:type="character" w:customStyle="1" w:styleId="178">
    <w:name w:val="font91"/>
    <w:qFormat/>
    <w:uiPriority w:val="0"/>
    <w:rPr>
      <w:rFonts w:hint="eastAsia" w:ascii="宋体" w:hAnsi="宋体" w:eastAsia="宋体" w:cs="宋体"/>
      <w:color w:val="000000"/>
      <w:sz w:val="20"/>
      <w:szCs w:val="20"/>
      <w:u w:val="none"/>
      <w:vertAlign w:val="superscript"/>
    </w:rPr>
  </w:style>
  <w:style w:type="character" w:customStyle="1" w:styleId="179">
    <w:name w:val="font121"/>
    <w:qFormat/>
    <w:uiPriority w:val="0"/>
    <w:rPr>
      <w:rFonts w:hint="eastAsia" w:ascii="宋体" w:hAnsi="宋体" w:eastAsia="宋体" w:cs="宋体"/>
      <w:color w:val="000000"/>
      <w:sz w:val="22"/>
      <w:szCs w:val="22"/>
      <w:u w:val="none"/>
    </w:rPr>
  </w:style>
  <w:style w:type="character" w:customStyle="1" w:styleId="180">
    <w:name w:val="NormalCharacter"/>
    <w:qFormat/>
    <w:uiPriority w:val="0"/>
  </w:style>
  <w:style w:type="character" w:customStyle="1" w:styleId="181">
    <w:name w:val="标题 1 Char1"/>
    <w:qFormat/>
    <w:uiPriority w:val="0"/>
    <w:rPr>
      <w:b/>
      <w:bCs/>
      <w:kern w:val="44"/>
      <w:sz w:val="44"/>
      <w:szCs w:val="44"/>
    </w:rPr>
  </w:style>
  <w:style w:type="character" w:customStyle="1" w:styleId="182">
    <w:name w:val="font51"/>
    <w:qFormat/>
    <w:uiPriority w:val="0"/>
    <w:rPr>
      <w:rFonts w:ascii="Calibri" w:hAnsi="Calibri" w:cs="Calibri"/>
      <w:color w:val="000000"/>
      <w:sz w:val="21"/>
      <w:szCs w:val="21"/>
      <w:u w:val="none"/>
    </w:rPr>
  </w:style>
  <w:style w:type="character" w:customStyle="1" w:styleId="183">
    <w:name w:val="font21"/>
    <w:qFormat/>
    <w:uiPriority w:val="0"/>
    <w:rPr>
      <w:rFonts w:hint="default" w:ascii="Arial" w:hAnsi="Arial" w:cs="Arial"/>
      <w:color w:val="000000"/>
      <w:sz w:val="18"/>
      <w:szCs w:val="18"/>
      <w:u w:val="none"/>
    </w:rPr>
  </w:style>
  <w:style w:type="character" w:customStyle="1" w:styleId="184">
    <w:name w:val="样式 Char Char"/>
    <w:link w:val="185"/>
    <w:qFormat/>
    <w:locked/>
    <w:uiPriority w:val="99"/>
    <w:rPr>
      <w:rFonts w:ascii="宋体" w:hAnsi="宋体" w:cs="宋体"/>
      <w:sz w:val="24"/>
      <w:szCs w:val="24"/>
      <w:lang w:val="en-US" w:eastAsia="zh-CN" w:bidi="ar-SA"/>
    </w:rPr>
  </w:style>
  <w:style w:type="paragraph" w:customStyle="1" w:styleId="185">
    <w:name w:val="样式"/>
    <w:link w:val="184"/>
    <w:qFormat/>
    <w:uiPriority w:val="99"/>
    <w:pPr>
      <w:widowControl w:val="0"/>
      <w:autoSpaceDE w:val="0"/>
      <w:autoSpaceDN w:val="0"/>
      <w:adjustRightInd w:val="0"/>
    </w:pPr>
    <w:rPr>
      <w:rFonts w:ascii="宋体" w:hAnsi="宋体" w:eastAsia="宋体" w:cs="宋体"/>
      <w:sz w:val="24"/>
      <w:szCs w:val="24"/>
      <w:lang w:val="en-US" w:eastAsia="zh-CN" w:bidi="ar-SA"/>
    </w:rPr>
  </w:style>
  <w:style w:type="character" w:customStyle="1" w:styleId="186">
    <w:name w:val="批注文字 Char2"/>
    <w:qFormat/>
    <w:uiPriority w:val="0"/>
    <w:rPr>
      <w:rFonts w:hint="eastAsia" w:ascii="宋体" w:hAnsi="宋体" w:eastAsia="宋体"/>
      <w:sz w:val="18"/>
      <w:szCs w:val="18"/>
    </w:rPr>
  </w:style>
  <w:style w:type="character" w:customStyle="1" w:styleId="187">
    <w:name w:val="正文文本 3 Char1"/>
    <w:semiHidden/>
    <w:qFormat/>
    <w:uiPriority w:val="99"/>
    <w:rPr>
      <w:rFonts w:hint="default" w:ascii="Calibri" w:hAnsi="Calibri" w:cs="Calibri"/>
      <w:kern w:val="2"/>
      <w:sz w:val="16"/>
      <w:szCs w:val="16"/>
    </w:rPr>
  </w:style>
  <w:style w:type="character" w:customStyle="1" w:styleId="188">
    <w:name w:val="正文文本 Char1"/>
    <w:qFormat/>
    <w:uiPriority w:val="0"/>
    <w:rPr>
      <w:rFonts w:hint="default" w:ascii="Times New Roman" w:hAnsi="Times New Roman" w:eastAsia="宋体" w:cs="Times New Roman"/>
      <w:kern w:val="0"/>
      <w:sz w:val="18"/>
      <w:szCs w:val="18"/>
    </w:rPr>
  </w:style>
  <w:style w:type="character" w:customStyle="1" w:styleId="189">
    <w:name w:val="表格文字 字符"/>
    <w:link w:val="190"/>
    <w:qFormat/>
    <w:uiPriority w:val="0"/>
    <w:rPr>
      <w:rFonts w:ascii="Times New (W1)" w:hAnsi="Times New (W1)" w:eastAsia="宋体" w:cs="Times New Roman"/>
      <w:spacing w:val="10"/>
      <w:szCs w:val="24"/>
    </w:rPr>
  </w:style>
  <w:style w:type="paragraph" w:customStyle="1" w:styleId="190">
    <w:name w:val="表格文字"/>
    <w:basedOn w:val="1"/>
    <w:link w:val="189"/>
    <w:qFormat/>
    <w:uiPriority w:val="0"/>
    <w:pPr>
      <w:spacing w:beforeLines="25"/>
    </w:pPr>
    <w:rPr>
      <w:rFonts w:ascii="Times New (W1)" w:hAnsi="Times New (W1)" w:eastAsia="宋体"/>
      <w:spacing w:val="10"/>
      <w:kern w:val="0"/>
      <w:sz w:val="20"/>
      <w:szCs w:val="24"/>
    </w:rPr>
  </w:style>
  <w:style w:type="character" w:styleId="191">
    <w:name w:val="Placeholder Text"/>
    <w:semiHidden/>
    <w:qFormat/>
    <w:uiPriority w:val="99"/>
    <w:rPr>
      <w:color w:val="808080"/>
    </w:rPr>
  </w:style>
  <w:style w:type="character" w:customStyle="1" w:styleId="192">
    <w:name w:val="正文文本 Char3"/>
    <w:qFormat/>
    <w:uiPriority w:val="99"/>
    <w:rPr>
      <w:rFonts w:hint="default" w:ascii="Calibri" w:hAnsi="Calibri" w:cs="Calibri"/>
      <w:kern w:val="2"/>
      <w:sz w:val="21"/>
      <w:szCs w:val="22"/>
    </w:rPr>
  </w:style>
  <w:style w:type="character" w:customStyle="1" w:styleId="193">
    <w:name w:val="正文文本 Char2"/>
    <w:qFormat/>
    <w:locked/>
    <w:uiPriority w:val="99"/>
    <w:rPr>
      <w:rFonts w:hint="default" w:ascii="Times New Roman" w:hAnsi="Times New Roman" w:eastAsia="宋体" w:cs="Times New Roman"/>
      <w:kern w:val="0"/>
      <w:sz w:val="20"/>
      <w:szCs w:val="20"/>
    </w:rPr>
  </w:style>
  <w:style w:type="character" w:customStyle="1" w:styleId="194">
    <w:name w:val="页眉 字符1"/>
    <w:semiHidden/>
    <w:qFormat/>
    <w:locked/>
    <w:uiPriority w:val="99"/>
    <w:rPr>
      <w:rFonts w:ascii="Calibri" w:hAnsi="Calibri" w:eastAsia="宋体" w:cs="Times New Roman"/>
      <w:kern w:val="0"/>
      <w:sz w:val="18"/>
      <w:szCs w:val="18"/>
    </w:rPr>
  </w:style>
  <w:style w:type="character" w:customStyle="1" w:styleId="195">
    <w:name w:val="标题 2 字符1"/>
    <w:semiHidden/>
    <w:qFormat/>
    <w:uiPriority w:val="9"/>
    <w:rPr>
      <w:rFonts w:ascii="Cambria" w:hAnsi="Cambria" w:eastAsia="宋体" w:cs="Times New Roman"/>
      <w:b/>
      <w:bCs/>
      <w:kern w:val="2"/>
      <w:sz w:val="32"/>
      <w:szCs w:val="32"/>
    </w:rPr>
  </w:style>
  <w:style w:type="character" w:customStyle="1" w:styleId="196">
    <w:name w:val="正文文本缩进 Char1"/>
    <w:semiHidden/>
    <w:qFormat/>
    <w:uiPriority w:val="99"/>
    <w:rPr>
      <w:rFonts w:hint="default" w:ascii="Calibri" w:hAnsi="Calibri" w:cs="Calibri"/>
      <w:kern w:val="2"/>
      <w:sz w:val="21"/>
      <w:szCs w:val="22"/>
    </w:rPr>
  </w:style>
  <w:style w:type="character" w:customStyle="1" w:styleId="197">
    <w:name w:val="_Style 8"/>
    <w:qFormat/>
    <w:uiPriority w:val="32"/>
    <w:rPr>
      <w:b/>
      <w:bCs/>
      <w:smallCaps/>
      <w:color w:val="C0504D"/>
      <w:spacing w:val="5"/>
      <w:u w:val="single"/>
    </w:rPr>
  </w:style>
  <w:style w:type="character" w:customStyle="1" w:styleId="198">
    <w:name w:val="CD正文 Char Char"/>
    <w:qFormat/>
    <w:uiPriority w:val="0"/>
    <w:rPr>
      <w:rFonts w:hint="eastAsia" w:ascii="宋体" w:hAnsi="宋体" w:eastAsia="宋体"/>
      <w:kern w:val="2"/>
      <w:sz w:val="30"/>
      <w:szCs w:val="28"/>
      <w:lang w:val="en-US" w:eastAsia="zh-CN" w:bidi="ar-SA"/>
    </w:rPr>
  </w:style>
  <w:style w:type="character" w:customStyle="1" w:styleId="199">
    <w:name w:val="正文360首行缩进 Char"/>
    <w:link w:val="200"/>
    <w:qFormat/>
    <w:locked/>
    <w:uiPriority w:val="0"/>
    <w:rPr>
      <w:rFonts w:ascii="Times New Roman" w:hAnsi="Times New Roman" w:eastAsia="宋体" w:cs="Times New Roman"/>
      <w:sz w:val="24"/>
    </w:rPr>
  </w:style>
  <w:style w:type="paragraph" w:customStyle="1" w:styleId="200">
    <w:name w:val="正文360首行缩进"/>
    <w:basedOn w:val="1"/>
    <w:link w:val="199"/>
    <w:qFormat/>
    <w:uiPriority w:val="0"/>
    <w:pPr>
      <w:widowControl/>
      <w:spacing w:before="120" w:line="300" w:lineRule="auto"/>
      <w:ind w:firstLine="200" w:firstLineChars="200"/>
      <w:jc w:val="left"/>
    </w:pPr>
    <w:rPr>
      <w:rFonts w:ascii="Times New Roman" w:hAnsi="Times New Roman" w:eastAsia="宋体"/>
      <w:kern w:val="0"/>
      <w:sz w:val="24"/>
      <w:szCs w:val="20"/>
    </w:rPr>
  </w:style>
  <w:style w:type="character" w:customStyle="1" w:styleId="201">
    <w:name w:val="文档结构图 Char1"/>
    <w:semiHidden/>
    <w:qFormat/>
    <w:uiPriority w:val="99"/>
    <w:rPr>
      <w:rFonts w:hint="eastAsia" w:ascii="宋体" w:hAnsi="Calibri" w:eastAsia="宋体"/>
      <w:kern w:val="2"/>
      <w:sz w:val="18"/>
      <w:szCs w:val="18"/>
    </w:rPr>
  </w:style>
  <w:style w:type="character" w:customStyle="1" w:styleId="202">
    <w:name w:val="正文文本缩进 3 Char1"/>
    <w:semiHidden/>
    <w:qFormat/>
    <w:uiPriority w:val="99"/>
    <w:rPr>
      <w:rFonts w:hint="default" w:ascii="Calibri" w:hAnsi="Calibri" w:cs="Calibri"/>
      <w:kern w:val="2"/>
      <w:sz w:val="16"/>
      <w:szCs w:val="16"/>
    </w:rPr>
  </w:style>
  <w:style w:type="character" w:customStyle="1" w:styleId="203">
    <w:name w:val="line2"/>
    <w:qFormat/>
    <w:uiPriority w:val="0"/>
  </w:style>
  <w:style w:type="character" w:customStyle="1" w:styleId="204">
    <w:name w:val="l-btn-empty"/>
    <w:qFormat/>
    <w:uiPriority w:val="0"/>
  </w:style>
  <w:style w:type="character" w:customStyle="1" w:styleId="205">
    <w:name w:val="apple-style-span"/>
    <w:qFormat/>
    <w:uiPriority w:val="0"/>
  </w:style>
  <w:style w:type="character" w:customStyle="1" w:styleId="206">
    <w:name w:val="0-CD Char"/>
    <w:link w:val="207"/>
    <w:qFormat/>
    <w:locked/>
    <w:uiPriority w:val="0"/>
    <w:rPr>
      <w:rFonts w:ascii="宋体" w:hAnsi="宋体" w:eastAsia="宋体"/>
      <w:sz w:val="28"/>
      <w:szCs w:val="24"/>
    </w:rPr>
  </w:style>
  <w:style w:type="paragraph" w:customStyle="1" w:styleId="207">
    <w:name w:val="0-CD"/>
    <w:basedOn w:val="1"/>
    <w:link w:val="206"/>
    <w:qFormat/>
    <w:uiPriority w:val="0"/>
    <w:pPr>
      <w:spacing w:line="360" w:lineRule="auto"/>
      <w:ind w:firstLine="708" w:firstLineChars="253"/>
      <w:jc w:val="left"/>
    </w:pPr>
    <w:rPr>
      <w:rFonts w:ascii="宋体" w:hAnsi="宋体" w:eastAsia="宋体"/>
      <w:kern w:val="0"/>
      <w:sz w:val="28"/>
      <w:szCs w:val="24"/>
    </w:rPr>
  </w:style>
  <w:style w:type="character" w:customStyle="1" w:styleId="208">
    <w:name w:val="样式 小四2 Char Char"/>
    <w:qFormat/>
    <w:uiPriority w:val="0"/>
    <w:rPr>
      <w:rFonts w:hint="eastAsia" w:ascii="宋体" w:hAnsi="宋体" w:eastAsia="宋体"/>
      <w:kern w:val="2"/>
      <w:sz w:val="24"/>
      <w:szCs w:val="24"/>
    </w:rPr>
  </w:style>
  <w:style w:type="character" w:customStyle="1" w:styleId="209">
    <w:name w:val="l-btn-left5"/>
    <w:qFormat/>
    <w:uiPriority w:val="0"/>
  </w:style>
  <w:style w:type="character" w:customStyle="1" w:styleId="210">
    <w:name w:val="ajaxtitle"/>
    <w:qFormat/>
    <w:uiPriority w:val="0"/>
  </w:style>
  <w:style w:type="paragraph" w:customStyle="1" w:styleId="211">
    <w:name w:val="样式 行距: 1.5 倍行距 左  3.42 字符"/>
    <w:basedOn w:val="1"/>
    <w:qFormat/>
    <w:uiPriority w:val="0"/>
    <w:pPr>
      <w:spacing w:line="360" w:lineRule="auto"/>
      <w:ind w:left="200" w:leftChars="200" w:firstLine="200" w:firstLineChars="200"/>
    </w:pPr>
    <w:rPr>
      <w:rFonts w:ascii="Times New Roman" w:hAnsi="Times New Roman" w:cs="宋体"/>
      <w:szCs w:val="20"/>
    </w:rPr>
  </w:style>
  <w:style w:type="paragraph" w:customStyle="1" w:styleId="212">
    <w:name w:val="Style8"/>
    <w:basedOn w:val="1"/>
    <w:qFormat/>
    <w:uiPriority w:val="0"/>
    <w:pPr>
      <w:tabs>
        <w:tab w:val="left" w:pos="1304"/>
      </w:tabs>
      <w:spacing w:beforeLines="50" w:line="276" w:lineRule="auto"/>
      <w:ind w:left="1304" w:hanging="397"/>
    </w:pPr>
    <w:rPr>
      <w:rFonts w:ascii="Arial" w:hAnsi="Arial"/>
      <w:sz w:val="24"/>
      <w:szCs w:val="24"/>
    </w:rPr>
  </w:style>
  <w:style w:type="paragraph" w:customStyle="1" w:styleId="213">
    <w:name w:val="xl26"/>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4"/>
      <w:szCs w:val="24"/>
    </w:rPr>
  </w:style>
  <w:style w:type="paragraph" w:customStyle="1" w:styleId="214">
    <w:name w:val="Char"/>
    <w:basedOn w:val="1"/>
    <w:next w:val="1"/>
    <w:qFormat/>
    <w:uiPriority w:val="0"/>
    <w:pPr>
      <w:spacing w:line="240" w:lineRule="atLeast"/>
      <w:ind w:left="420" w:firstLine="420"/>
      <w:jc w:val="left"/>
    </w:pPr>
    <w:rPr>
      <w:rFonts w:ascii="Times New Roman" w:hAnsi="Times New Roman"/>
      <w:kern w:val="0"/>
      <w:szCs w:val="21"/>
    </w:rPr>
  </w:style>
  <w:style w:type="paragraph" w:customStyle="1" w:styleId="215">
    <w:name w:val="索引 11"/>
    <w:basedOn w:val="1"/>
    <w:next w:val="1"/>
    <w:qFormat/>
    <w:uiPriority w:val="99"/>
    <w:pPr>
      <w:spacing w:line="360" w:lineRule="auto"/>
    </w:pPr>
    <w:rPr>
      <w:rFonts w:ascii="仿宋_GB2312" w:eastAsia="仿宋_GB2312"/>
      <w:sz w:val="24"/>
      <w:szCs w:val="20"/>
    </w:rPr>
  </w:style>
  <w:style w:type="paragraph" w:customStyle="1" w:styleId="216">
    <w:name w:val="列出段落11"/>
    <w:basedOn w:val="1"/>
    <w:qFormat/>
    <w:uiPriority w:val="99"/>
    <w:pPr>
      <w:spacing w:after="200" w:line="276" w:lineRule="auto"/>
      <w:ind w:firstLine="420" w:firstLineChars="200"/>
    </w:pPr>
  </w:style>
  <w:style w:type="paragraph" w:customStyle="1" w:styleId="217">
    <w:name w:val="_Style 2"/>
    <w:basedOn w:val="1"/>
    <w:qFormat/>
    <w:uiPriority w:val="99"/>
    <w:pPr>
      <w:spacing w:after="200" w:line="276" w:lineRule="auto"/>
      <w:ind w:firstLine="420" w:firstLineChars="200"/>
    </w:pPr>
  </w:style>
  <w:style w:type="paragraph" w:customStyle="1" w:styleId="218">
    <w:name w:val="标题2-1"/>
    <w:basedOn w:val="1"/>
    <w:qFormat/>
    <w:uiPriority w:val="0"/>
    <w:pPr>
      <w:tabs>
        <w:tab w:val="left" w:pos="0"/>
      </w:tabs>
      <w:autoSpaceDE w:val="0"/>
      <w:autoSpaceDN w:val="0"/>
      <w:adjustRightInd w:val="0"/>
      <w:spacing w:beforeLines="50"/>
      <w:jc w:val="left"/>
      <w:outlineLvl w:val="1"/>
    </w:pPr>
    <w:rPr>
      <w:rFonts w:ascii="Arial" w:hAnsi="宋体" w:cs="Arial"/>
      <w:b/>
      <w:bCs/>
      <w:color w:val="292929"/>
      <w:kern w:val="0"/>
      <w:sz w:val="28"/>
      <w:szCs w:val="28"/>
    </w:rPr>
  </w:style>
  <w:style w:type="paragraph" w:customStyle="1" w:styleId="219">
    <w:name w:val="默认段落字体 Para Char"/>
    <w:basedOn w:val="1"/>
    <w:qFormat/>
    <w:uiPriority w:val="0"/>
    <w:rPr>
      <w:rFonts w:ascii="Tahoma" w:hAnsi="Tahoma"/>
      <w:sz w:val="24"/>
      <w:szCs w:val="20"/>
    </w:rPr>
  </w:style>
  <w:style w:type="paragraph" w:customStyle="1" w:styleId="220">
    <w:name w:val="样式 标题 2 + Times New Roman 四号 非加粗 段前: 5 磅 段后: 0 磅 行距: 固定值 20..."/>
    <w:basedOn w:val="3"/>
    <w:qFormat/>
    <w:uiPriority w:val="0"/>
    <w:pPr>
      <w:numPr>
        <w:ilvl w:val="0"/>
        <w:numId w:val="0"/>
      </w:numPr>
      <w:spacing w:before="100" w:line="400" w:lineRule="exact"/>
      <w:jc w:val="both"/>
    </w:pPr>
    <w:rPr>
      <w:rFonts w:ascii="Times New Roman" w:hAnsi="Times New Roman" w:eastAsia="黑体"/>
      <w:b w:val="0"/>
      <w:szCs w:val="32"/>
    </w:rPr>
  </w:style>
  <w:style w:type="paragraph" w:customStyle="1" w:styleId="221">
    <w:name w:val="12、表格内左对齐正文"/>
    <w:basedOn w:val="1"/>
    <w:qFormat/>
    <w:uiPriority w:val="99"/>
    <w:pPr>
      <w:tabs>
        <w:tab w:val="left" w:pos="0"/>
      </w:tabs>
      <w:wordWrap w:val="0"/>
      <w:topLinePunct/>
      <w:snapToGrid w:val="0"/>
      <w:spacing w:line="360" w:lineRule="exact"/>
      <w:ind w:left="48" w:leftChars="20"/>
    </w:pPr>
    <w:rPr>
      <w:rFonts w:ascii="宋体" w:hAnsi="宋体"/>
    </w:rPr>
  </w:style>
  <w:style w:type="paragraph" w:customStyle="1" w:styleId="222">
    <w:name w:val="图"/>
    <w:basedOn w:val="1"/>
    <w:qFormat/>
    <w:uiPriority w:val="0"/>
    <w:pPr>
      <w:widowControl/>
      <w:adjustRightInd w:val="0"/>
      <w:snapToGrid w:val="0"/>
      <w:jc w:val="center"/>
    </w:pPr>
    <w:rPr>
      <w:rFonts w:ascii="宋体" w:hAnsi="宋体"/>
      <w:bCs/>
      <w:szCs w:val="24"/>
    </w:rPr>
  </w:style>
  <w:style w:type="paragraph" w:customStyle="1" w:styleId="223">
    <w:name w:val="1 Char"/>
    <w:basedOn w:val="1"/>
    <w:qFormat/>
    <w:uiPriority w:val="0"/>
    <w:pPr>
      <w:widowControl/>
      <w:spacing w:after="160" w:line="240" w:lineRule="exact"/>
      <w:jc w:val="left"/>
    </w:pPr>
    <w:rPr>
      <w:rFonts w:ascii="Tahoma" w:hAnsi="Tahoma" w:eastAsia="Times New Roman"/>
      <w:kern w:val="0"/>
      <w:sz w:val="24"/>
      <w:szCs w:val="24"/>
      <w:lang w:eastAsia="en-US"/>
    </w:rPr>
  </w:style>
  <w:style w:type="paragraph" w:customStyle="1" w:styleId="224">
    <w:name w:val="text-tag"/>
    <w:basedOn w:val="1"/>
    <w:semiHidden/>
    <w:qFormat/>
    <w:uiPriority w:val="99"/>
    <w:pPr>
      <w:widowControl/>
      <w:spacing w:before="100" w:beforeAutospacing="1" w:after="100" w:afterAutospacing="1"/>
      <w:jc w:val="left"/>
    </w:pPr>
    <w:rPr>
      <w:rFonts w:ascii="宋体" w:hAnsi="宋体" w:cs="宋体"/>
      <w:kern w:val="0"/>
      <w:sz w:val="24"/>
    </w:rPr>
  </w:style>
  <w:style w:type="paragraph" w:customStyle="1" w:styleId="225">
    <w:name w:val="样式 首行缩进:  2 字符"/>
    <w:basedOn w:val="1"/>
    <w:qFormat/>
    <w:uiPriority w:val="0"/>
    <w:pPr>
      <w:spacing w:line="400" w:lineRule="exact"/>
      <w:ind w:firstLine="200" w:firstLineChars="200"/>
    </w:pPr>
    <w:rPr>
      <w:rFonts w:ascii="Times New Roman" w:hAnsi="Times New Roman" w:cs="宋体"/>
      <w:sz w:val="24"/>
      <w:szCs w:val="24"/>
    </w:rPr>
  </w:style>
  <w:style w:type="paragraph" w:customStyle="1" w:styleId="226">
    <w:name w:val="样式 仿宋_GB2312 小四 左侧:  0.63 厘米"/>
    <w:basedOn w:val="1"/>
    <w:qFormat/>
    <w:uiPriority w:val="0"/>
    <w:pPr>
      <w:spacing w:before="120" w:after="120" w:line="360" w:lineRule="auto"/>
      <w:ind w:left="357" w:firstLine="200" w:firstLineChars="200"/>
    </w:pPr>
    <w:rPr>
      <w:rFonts w:ascii="仿宋_GB2312" w:hAnsi="仿宋_GB2312" w:eastAsia="仿宋_GB2312" w:cs="宋体"/>
      <w:sz w:val="24"/>
      <w:szCs w:val="20"/>
    </w:rPr>
  </w:style>
  <w:style w:type="paragraph" w:customStyle="1" w:styleId="227">
    <w:name w:val="正文缩进1"/>
    <w:basedOn w:val="1"/>
    <w:next w:val="21"/>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28">
    <w:name w:val="文章正文 Char Char1"/>
    <w:basedOn w:val="1"/>
    <w:qFormat/>
    <w:uiPriority w:val="0"/>
    <w:pPr>
      <w:spacing w:line="360" w:lineRule="auto"/>
      <w:ind w:firstLine="420"/>
    </w:pPr>
    <w:rPr>
      <w:rFonts w:ascii="Times New Roman" w:hAnsi="Times New Roman"/>
      <w:sz w:val="24"/>
      <w:szCs w:val="24"/>
    </w:rPr>
  </w:style>
  <w:style w:type="paragraph" w:customStyle="1" w:styleId="229">
    <w:name w:val="列项——（一级）"/>
    <w:qFormat/>
    <w:uiPriority w:val="99"/>
    <w:pPr>
      <w:widowControl w:val="0"/>
      <w:numPr>
        <w:ilvl w:val="0"/>
        <w:numId w:val="4"/>
      </w:numPr>
      <w:jc w:val="both"/>
    </w:pPr>
    <w:rPr>
      <w:rFonts w:ascii="宋体" w:hAnsi="Times New Roman" w:eastAsia="宋体" w:cs="Times New Roman"/>
      <w:sz w:val="21"/>
      <w:lang w:val="en-US" w:eastAsia="zh-CN" w:bidi="ar-SA"/>
    </w:rPr>
  </w:style>
  <w:style w:type="paragraph" w:customStyle="1" w:styleId="230">
    <w:name w:val="_Style 32"/>
    <w:basedOn w:val="1"/>
    <w:next w:val="1"/>
    <w:qFormat/>
    <w:uiPriority w:val="99"/>
    <w:pPr>
      <w:spacing w:line="240" w:lineRule="atLeast"/>
      <w:ind w:left="420" w:firstLine="420"/>
      <w:jc w:val="left"/>
    </w:pPr>
    <w:rPr>
      <w:rFonts w:ascii="Times New Roman" w:hAnsi="Times New Roman"/>
      <w:szCs w:val="20"/>
    </w:rPr>
  </w:style>
  <w:style w:type="paragraph" w:customStyle="1" w:styleId="231">
    <w:name w:val="正文 A"/>
    <w:qFormat/>
    <w:uiPriority w:val="99"/>
    <w:rPr>
      <w:rFonts w:ascii="Arial Unicode MS" w:hAnsi="Arial Unicode MS" w:eastAsia="Arial Unicode MS" w:cs="Arial Unicode MS"/>
      <w:color w:val="000000"/>
      <w:sz w:val="24"/>
      <w:szCs w:val="24"/>
      <w:lang w:val="zh-TW" w:eastAsia="zh-TW" w:bidi="ar-SA"/>
    </w:rPr>
  </w:style>
  <w:style w:type="paragraph" w:customStyle="1" w:styleId="232">
    <w:name w:val="正文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233">
    <w:name w:val="Char2 Char Char Char"/>
    <w:basedOn w:val="1"/>
    <w:qFormat/>
    <w:uiPriority w:val="0"/>
    <w:rPr>
      <w:rFonts w:ascii="仿宋_GB2312" w:hAnsi="Times New Roman"/>
      <w:b/>
      <w:sz w:val="30"/>
      <w:szCs w:val="32"/>
    </w:rPr>
  </w:style>
  <w:style w:type="paragraph" w:customStyle="1" w:styleId="234">
    <w:name w:val="正文_58"/>
    <w:qFormat/>
    <w:uiPriority w:val="99"/>
    <w:pPr>
      <w:widowControl w:val="0"/>
      <w:jc w:val="both"/>
    </w:pPr>
    <w:rPr>
      <w:rFonts w:ascii="Calibri" w:hAnsi="Calibri" w:eastAsia="宋体" w:cs="Times New Roman"/>
      <w:kern w:val="2"/>
      <w:sz w:val="21"/>
      <w:szCs w:val="22"/>
      <w:lang w:val="en-US" w:eastAsia="zh-CN" w:bidi="ar-SA"/>
    </w:rPr>
  </w:style>
  <w:style w:type="paragraph" w:customStyle="1" w:styleId="235">
    <w:name w:val="p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36">
    <w:name w:val="纯文本_0_0"/>
    <w:basedOn w:val="237"/>
    <w:qFormat/>
    <w:uiPriority w:val="0"/>
    <w:rPr>
      <w:rFonts w:ascii="宋体" w:hAnsi="Courier New"/>
      <w:szCs w:val="21"/>
    </w:rPr>
  </w:style>
  <w:style w:type="paragraph" w:customStyle="1" w:styleId="23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8">
    <w:name w:val="标题5"/>
    <w:basedOn w:val="1"/>
    <w:qFormat/>
    <w:uiPriority w:val="99"/>
    <w:pPr>
      <w:spacing w:before="100" w:beforeAutospacing="1" w:after="100" w:afterAutospacing="1"/>
      <w:ind w:left="283" w:hanging="425"/>
      <w:outlineLvl w:val="4"/>
    </w:pPr>
    <w:rPr>
      <w:rFonts w:ascii="Times New Roman" w:hAnsi="Times New Roman"/>
      <w:szCs w:val="24"/>
    </w:rPr>
  </w:style>
  <w:style w:type="paragraph" w:customStyle="1" w:styleId="239">
    <w:name w:val="样式1"/>
    <w:basedOn w:val="1"/>
    <w:qFormat/>
    <w:uiPriority w:val="0"/>
    <w:rPr>
      <w:rFonts w:ascii="Times New Roman" w:hAnsi="Times New Roman" w:eastAsia="隶书"/>
      <w:i/>
      <w:dstrike/>
      <w:sz w:val="28"/>
      <w:szCs w:val="18"/>
    </w:rPr>
  </w:style>
  <w:style w:type="paragraph" w:customStyle="1" w:styleId="240">
    <w:name w:val="标书正文:  0.74 厘米"/>
    <w:basedOn w:val="1"/>
    <w:qFormat/>
    <w:uiPriority w:val="0"/>
    <w:pPr>
      <w:snapToGrid w:val="0"/>
      <w:spacing w:line="360" w:lineRule="auto"/>
      <w:ind w:firstLine="420"/>
    </w:pPr>
    <w:rPr>
      <w:rFonts w:ascii="Times New Roman" w:hAnsi="Times New Roman"/>
      <w:sz w:val="24"/>
      <w:szCs w:val="18"/>
    </w:rPr>
  </w:style>
  <w:style w:type="paragraph" w:customStyle="1" w:styleId="241">
    <w:name w:val="默认段落字体 Para Char Char"/>
    <w:basedOn w:val="1"/>
    <w:qFormat/>
    <w:uiPriority w:val="0"/>
    <w:rPr>
      <w:rFonts w:ascii="Times New Roman" w:hAnsi="Times New Roman"/>
      <w:szCs w:val="24"/>
    </w:rPr>
  </w:style>
  <w:style w:type="paragraph" w:customStyle="1" w:styleId="242">
    <w:name w:val="Heading2"/>
    <w:basedOn w:val="1"/>
    <w:next w:val="1"/>
    <w:qFormat/>
    <w:uiPriority w:val="99"/>
    <w:pPr>
      <w:widowControl/>
      <w:tabs>
        <w:tab w:val="right" w:leader="dot" w:pos="9000"/>
      </w:tabs>
      <w:spacing w:after="200" w:line="276" w:lineRule="auto"/>
      <w:ind w:right="-686" w:rightChars="-245"/>
    </w:pPr>
    <w:rPr>
      <w:szCs w:val="21"/>
    </w:rPr>
  </w:style>
  <w:style w:type="paragraph" w:customStyle="1" w:styleId="243">
    <w:name w:val="MM Topic 8"/>
    <w:basedOn w:val="11"/>
    <w:qFormat/>
    <w:uiPriority w:val="0"/>
    <w:pPr>
      <w:tabs>
        <w:tab w:val="left" w:pos="4394"/>
      </w:tabs>
    </w:pPr>
  </w:style>
  <w:style w:type="paragraph" w:customStyle="1" w:styleId="244">
    <w:name w:val="标书（正文）"/>
    <w:basedOn w:val="1"/>
    <w:qFormat/>
    <w:uiPriority w:val="0"/>
    <w:pPr>
      <w:spacing w:line="360" w:lineRule="auto"/>
      <w:ind w:firstLine="560" w:firstLineChars="200"/>
    </w:pPr>
    <w:rPr>
      <w:rFonts w:ascii="宋体" w:hAnsi="宋体"/>
      <w:kern w:val="10"/>
      <w:sz w:val="28"/>
      <w:szCs w:val="28"/>
    </w:rPr>
  </w:style>
  <w:style w:type="paragraph" w:customStyle="1" w:styleId="245">
    <w:name w:val="zw1"/>
    <w:basedOn w:val="1"/>
    <w:qFormat/>
    <w:uiPriority w:val="0"/>
    <w:pPr>
      <w:widowControl/>
      <w:spacing w:line="360" w:lineRule="auto"/>
      <w:ind w:firstLine="480" w:firstLineChars="200"/>
    </w:pPr>
    <w:rPr>
      <w:rFonts w:ascii="Times New Roman" w:hAnsi="Times New Roman"/>
      <w:kern w:val="0"/>
      <w:sz w:val="24"/>
      <w:szCs w:val="20"/>
    </w:rPr>
  </w:style>
  <w:style w:type="paragraph" w:customStyle="1" w:styleId="246">
    <w:name w:val="列表段落1"/>
    <w:basedOn w:val="1"/>
    <w:qFormat/>
    <w:uiPriority w:val="99"/>
    <w:pPr>
      <w:ind w:firstLine="420" w:firstLineChars="200"/>
    </w:pPr>
    <w:rPr>
      <w:rFonts w:ascii="宋体" w:hAnsi="宋体" w:cs="宋体"/>
      <w:sz w:val="28"/>
      <w:szCs w:val="28"/>
    </w:rPr>
  </w:style>
  <w:style w:type="paragraph" w:customStyle="1" w:styleId="247">
    <w:name w:val="MM Topic 2"/>
    <w:basedOn w:val="3"/>
    <w:qFormat/>
    <w:uiPriority w:val="0"/>
    <w:pPr>
      <w:numPr>
        <w:ilvl w:val="0"/>
        <w:numId w:val="0"/>
      </w:numPr>
      <w:tabs>
        <w:tab w:val="left" w:pos="992"/>
      </w:tabs>
    </w:pPr>
  </w:style>
  <w:style w:type="paragraph" w:customStyle="1" w:styleId="248">
    <w:name w:val="Char1 Char Char Char Char Char Char1"/>
    <w:basedOn w:val="1"/>
    <w:qFormat/>
    <w:uiPriority w:val="99"/>
    <w:rPr>
      <w:rFonts w:ascii="Tahoma" w:hAnsi="Tahoma"/>
      <w:sz w:val="24"/>
      <w:szCs w:val="20"/>
    </w:rPr>
  </w:style>
  <w:style w:type="paragraph" w:customStyle="1" w:styleId="249">
    <w:name w:val="彩色底纹 - 强调文字颜色 11"/>
    <w:qFormat/>
    <w:uiPriority w:val="0"/>
    <w:rPr>
      <w:rFonts w:ascii="Calibri" w:hAnsi="Calibri" w:eastAsia="宋体" w:cs="Times New Roman"/>
      <w:kern w:val="2"/>
      <w:sz w:val="21"/>
      <w:szCs w:val="22"/>
      <w:lang w:val="en-US" w:eastAsia="zh-CN" w:bidi="ar-SA"/>
    </w:rPr>
  </w:style>
  <w:style w:type="paragraph" w:customStyle="1" w:styleId="250">
    <w:name w:val="Char1 Char Char Char"/>
    <w:basedOn w:val="1"/>
    <w:next w:val="1"/>
    <w:qFormat/>
    <w:uiPriority w:val="0"/>
    <w:pPr>
      <w:spacing w:line="240" w:lineRule="atLeast"/>
      <w:ind w:left="420" w:firstLine="420"/>
      <w:jc w:val="left"/>
    </w:pPr>
    <w:rPr>
      <w:rFonts w:ascii="Times New Roman" w:hAnsi="Times New Roman"/>
      <w:kern w:val="0"/>
      <w:szCs w:val="21"/>
    </w:rPr>
  </w:style>
  <w:style w:type="paragraph" w:customStyle="1" w:styleId="251">
    <w:name w:val="_Style 1"/>
    <w:basedOn w:val="1"/>
    <w:qFormat/>
    <w:uiPriority w:val="0"/>
    <w:pPr>
      <w:adjustRightInd w:val="0"/>
      <w:spacing w:line="360" w:lineRule="auto"/>
    </w:pPr>
    <w:rPr>
      <w:rFonts w:ascii="Times New Roman" w:hAnsi="Times New Roman"/>
      <w:szCs w:val="20"/>
    </w:rPr>
  </w:style>
  <w:style w:type="paragraph" w:styleId="252">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253">
    <w:name w:val="样式 小四 首行缩进:  0.74 厘米"/>
    <w:basedOn w:val="1"/>
    <w:qFormat/>
    <w:uiPriority w:val="0"/>
    <w:pPr>
      <w:spacing w:before="100" w:beforeAutospacing="1" w:after="100" w:afterAutospacing="1" w:line="300" w:lineRule="auto"/>
      <w:ind w:firstLine="420" w:firstLineChars="175"/>
    </w:pPr>
    <w:rPr>
      <w:rFonts w:ascii="宋体" w:hAnsi="宋体"/>
      <w:sz w:val="24"/>
      <w:szCs w:val="24"/>
    </w:rPr>
  </w:style>
  <w:style w:type="paragraph" w:customStyle="1" w:styleId="254">
    <w:name w:val="修订11"/>
    <w:qFormat/>
    <w:uiPriority w:val="99"/>
    <w:rPr>
      <w:rFonts w:ascii="Calibri" w:hAnsi="Calibri" w:eastAsia="宋体" w:cs="Times New Roman"/>
      <w:kern w:val="2"/>
      <w:sz w:val="21"/>
      <w:szCs w:val="22"/>
      <w:lang w:val="en-US" w:eastAsia="zh-CN" w:bidi="ar-SA"/>
    </w:rPr>
  </w:style>
  <w:style w:type="paragraph" w:customStyle="1" w:styleId="255">
    <w:name w:val="样式 标题 2H2第一章 标题 2Heading 2 HiddenHeading 2 CCBSheading 2h2..."/>
    <w:basedOn w:val="3"/>
    <w:qFormat/>
    <w:uiPriority w:val="0"/>
    <w:pPr>
      <w:tabs>
        <w:tab w:val="left" w:pos="-2493"/>
      </w:tabs>
    </w:pPr>
    <w:rPr>
      <w:szCs w:val="20"/>
    </w:rPr>
  </w:style>
  <w:style w:type="paragraph" w:customStyle="1" w:styleId="256">
    <w:name w:val="列出段落111"/>
    <w:basedOn w:val="1"/>
    <w:qFormat/>
    <w:uiPriority w:val="99"/>
    <w:pPr>
      <w:ind w:firstLine="420" w:firstLineChars="200"/>
    </w:pPr>
    <w:rPr>
      <w:rFonts w:ascii="Times New Roman" w:hAnsi="Times New Roman"/>
    </w:rPr>
  </w:style>
  <w:style w:type="paragraph" w:customStyle="1" w:styleId="257">
    <w:name w:val="修订2"/>
    <w:qFormat/>
    <w:uiPriority w:val="99"/>
    <w:pPr>
      <w:spacing w:after="200" w:line="276" w:lineRule="auto"/>
    </w:pPr>
    <w:rPr>
      <w:rFonts w:ascii="Calibri" w:hAnsi="Calibri" w:eastAsia="宋体" w:cs="Times New Roman"/>
      <w:kern w:val="2"/>
      <w:sz w:val="21"/>
      <w:szCs w:val="22"/>
      <w:lang w:val="en-US" w:eastAsia="zh-CN" w:bidi="ar-SA"/>
    </w:rPr>
  </w:style>
  <w:style w:type="paragraph" w:customStyle="1" w:styleId="258">
    <w:name w:val="我的正文"/>
    <w:basedOn w:val="1"/>
    <w:qFormat/>
    <w:uiPriority w:val="0"/>
    <w:pPr>
      <w:spacing w:line="360" w:lineRule="auto"/>
      <w:ind w:firstLine="420" w:firstLineChars="200"/>
    </w:pPr>
    <w:rPr>
      <w:rFonts w:ascii="宋体" w:hAnsi="宋体"/>
      <w:szCs w:val="24"/>
    </w:rPr>
  </w:style>
  <w:style w:type="paragraph" w:customStyle="1" w:styleId="259">
    <w:name w:val="正文1"/>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paragraph" w:customStyle="1" w:styleId="260">
    <w:name w:val="论文正文"/>
    <w:basedOn w:val="1"/>
    <w:qFormat/>
    <w:uiPriority w:val="0"/>
    <w:pPr>
      <w:spacing w:line="360" w:lineRule="auto"/>
      <w:ind w:firstLine="700" w:firstLineChars="250"/>
    </w:pPr>
    <w:rPr>
      <w:rFonts w:ascii="宋体" w:hAnsi="宋体"/>
      <w:bCs/>
      <w:sz w:val="28"/>
      <w:szCs w:val="28"/>
    </w:rPr>
  </w:style>
  <w:style w:type="paragraph" w:customStyle="1" w:styleId="261">
    <w:name w:val="179"/>
    <w:basedOn w:val="1"/>
    <w:qFormat/>
    <w:uiPriority w:val="0"/>
    <w:pPr>
      <w:widowControl/>
      <w:ind w:firstLine="420" w:firstLineChars="200"/>
      <w:textAlignment w:val="baseline"/>
    </w:pPr>
    <w:rPr>
      <w:rFonts w:ascii="宋体" w:hAnsi="宋体"/>
      <w:sz w:val="28"/>
      <w:szCs w:val="28"/>
    </w:rPr>
  </w:style>
  <w:style w:type="paragraph" w:customStyle="1" w:styleId="262">
    <w:name w:val="Normal_59"/>
    <w:qFormat/>
    <w:uiPriority w:val="0"/>
    <w:pPr>
      <w:spacing w:before="120" w:after="240" w:line="276" w:lineRule="auto"/>
      <w:jc w:val="both"/>
    </w:pPr>
    <w:rPr>
      <w:rFonts w:ascii="Times New Roman" w:hAnsi="Times New Roman" w:eastAsia="Calibri" w:cs="Times New Roman"/>
      <w:sz w:val="22"/>
      <w:szCs w:val="22"/>
      <w:lang w:val="ru-RU" w:eastAsia="en-US" w:bidi="ar-SA"/>
    </w:rPr>
  </w:style>
  <w:style w:type="paragraph" w:customStyle="1" w:styleId="263">
    <w:name w:val="图题标题"/>
    <w:basedOn w:val="1"/>
    <w:qFormat/>
    <w:uiPriority w:val="99"/>
    <w:pPr>
      <w:spacing w:line="400" w:lineRule="exact"/>
      <w:jc w:val="center"/>
    </w:pPr>
    <w:rPr>
      <w:rFonts w:ascii="Times New Roman" w:hAnsi="Times New Roman" w:eastAsia="黑体"/>
      <w:sz w:val="24"/>
      <w:szCs w:val="24"/>
    </w:rPr>
  </w:style>
  <w:style w:type="paragraph" w:customStyle="1" w:styleId="264">
    <w:name w:val="MM Topic 4"/>
    <w:basedOn w:val="7"/>
    <w:qFormat/>
    <w:uiPriority w:val="0"/>
    <w:pPr>
      <w:tabs>
        <w:tab w:val="left" w:pos="1984"/>
      </w:tabs>
      <w:ind w:left="0" w:firstLine="0"/>
    </w:pPr>
  </w:style>
  <w:style w:type="paragraph" w:customStyle="1" w:styleId="265">
    <w:name w:val="MM Topic 9"/>
    <w:basedOn w:val="12"/>
    <w:qFormat/>
    <w:uiPriority w:val="0"/>
    <w:pPr>
      <w:tabs>
        <w:tab w:val="left" w:pos="5102"/>
      </w:tabs>
    </w:pPr>
  </w:style>
  <w:style w:type="paragraph" w:customStyle="1" w:styleId="266">
    <w:name w:val="项目符号：一级"/>
    <w:basedOn w:val="267"/>
    <w:next w:val="267"/>
    <w:qFormat/>
    <w:uiPriority w:val="0"/>
  </w:style>
  <w:style w:type="paragraph" w:customStyle="1" w:styleId="267">
    <w:name w:val="正文格式"/>
    <w:basedOn w:val="1"/>
    <w:qFormat/>
    <w:uiPriority w:val="0"/>
    <w:pPr>
      <w:widowControl/>
      <w:adjustRightInd w:val="0"/>
      <w:snapToGrid w:val="0"/>
      <w:spacing w:beforeLines="25" w:line="360" w:lineRule="auto"/>
      <w:ind w:firstLine="480" w:firstLineChars="200"/>
    </w:pPr>
    <w:rPr>
      <w:rFonts w:ascii="宋体" w:hAnsi="宋体"/>
      <w:bCs/>
      <w:color w:val="000000"/>
      <w:kern w:val="0"/>
      <w:sz w:val="24"/>
      <w:szCs w:val="24"/>
    </w:rPr>
  </w:style>
  <w:style w:type="paragraph" w:customStyle="1" w:styleId="268">
    <w:name w:val="09正文_wh"/>
    <w:qFormat/>
    <w:uiPriority w:val="0"/>
    <w:pPr>
      <w:spacing w:line="300" w:lineRule="auto"/>
      <w:ind w:firstLine="200" w:firstLineChars="200"/>
      <w:jc w:val="both"/>
    </w:pPr>
    <w:rPr>
      <w:rFonts w:ascii="Times New Roman" w:hAnsi="Times New Roman" w:eastAsia="宋体" w:cs="Times New Roman"/>
      <w:kern w:val="2"/>
      <w:sz w:val="28"/>
      <w:szCs w:val="24"/>
      <w:lang w:val="en-US" w:eastAsia="zh-CN" w:bidi="ar-SA"/>
    </w:rPr>
  </w:style>
  <w:style w:type="paragraph" w:customStyle="1" w:styleId="269">
    <w:name w:val="正文（绿盟科技）"/>
    <w:qFormat/>
    <w:uiPriority w:val="99"/>
    <w:pPr>
      <w:spacing w:line="300" w:lineRule="auto"/>
    </w:pPr>
    <w:rPr>
      <w:rFonts w:ascii="Arial" w:hAnsi="Arial" w:eastAsia="宋体" w:cs="黑体"/>
      <w:sz w:val="21"/>
      <w:szCs w:val="21"/>
      <w:lang w:val="en-US" w:eastAsia="zh-CN" w:bidi="ar-SA"/>
    </w:rPr>
  </w:style>
  <w:style w:type="paragraph" w:customStyle="1" w:styleId="270">
    <w:name w:val="gb_master正文"/>
    <w:basedOn w:val="1"/>
    <w:qFormat/>
    <w:uiPriority w:val="0"/>
    <w:pPr>
      <w:ind w:firstLine="200" w:firstLineChars="200"/>
    </w:pPr>
    <w:rPr>
      <w:rFonts w:ascii="Times New Roman" w:hAnsi="Times New Roman"/>
      <w:szCs w:val="24"/>
    </w:rPr>
  </w:style>
  <w:style w:type="paragraph" w:customStyle="1" w:styleId="271">
    <w:name w:val="修订3"/>
    <w:qFormat/>
    <w:uiPriority w:val="99"/>
    <w:rPr>
      <w:rFonts w:ascii="Calibri" w:hAnsi="Calibri" w:eastAsia="宋体" w:cs="Times New Roman"/>
      <w:kern w:val="2"/>
      <w:sz w:val="21"/>
      <w:szCs w:val="22"/>
      <w:lang w:val="en-US" w:eastAsia="zh-CN" w:bidi="ar-SA"/>
    </w:rPr>
  </w:style>
  <w:style w:type="paragraph" w:customStyle="1" w:styleId="272">
    <w:name w:val="样式 正文缩进 + 首行缩进:  2 字符"/>
    <w:basedOn w:val="15"/>
    <w:qFormat/>
    <w:uiPriority w:val="0"/>
    <w:pPr>
      <w:ind w:firstLine="560" w:firstLineChars="200"/>
    </w:pPr>
    <w:rPr>
      <w:rFonts w:cs="宋体"/>
    </w:rPr>
  </w:style>
  <w:style w:type="paragraph" w:customStyle="1" w:styleId="273">
    <w:name w:val="BodyText"/>
    <w:basedOn w:val="1"/>
    <w:qFormat/>
    <w:uiPriority w:val="0"/>
    <w:pPr>
      <w:spacing w:after="120" w:line="276" w:lineRule="auto"/>
    </w:pPr>
  </w:style>
  <w:style w:type="paragraph" w:customStyle="1" w:styleId="274">
    <w:name w:val="样式 标题 3 + (西文) 仿宋_GB2312 (中文) 仿宋_GB2312 四号"/>
    <w:basedOn w:val="4"/>
    <w:qFormat/>
    <w:uiPriority w:val="0"/>
    <w:pPr>
      <w:numPr>
        <w:ilvl w:val="0"/>
        <w:numId w:val="0"/>
      </w:numPr>
      <w:tabs>
        <w:tab w:val="left" w:pos="-1991"/>
      </w:tabs>
      <w:snapToGrid w:val="0"/>
      <w:spacing w:beforeLines="50" w:line="410" w:lineRule="auto"/>
      <w:ind w:right="180" w:rightChars="100"/>
    </w:pPr>
    <w:rPr>
      <w:rFonts w:ascii="仿宋_GB2312" w:hAnsi="仿宋_GB2312" w:eastAsia="仿宋_GB2312"/>
      <w:color w:val="auto"/>
    </w:rPr>
  </w:style>
  <w:style w:type="paragraph" w:customStyle="1" w:styleId="275">
    <w:name w:val="Char Char1"/>
    <w:basedOn w:val="1"/>
    <w:next w:val="1"/>
    <w:qFormat/>
    <w:uiPriority w:val="0"/>
    <w:pPr>
      <w:spacing w:line="240" w:lineRule="atLeast"/>
      <w:ind w:left="420" w:firstLine="420"/>
      <w:jc w:val="left"/>
    </w:pPr>
    <w:rPr>
      <w:rFonts w:ascii="楷体_GB2312" w:hAnsi="宋体" w:eastAsia="楷体_GB2312"/>
      <w:bCs/>
      <w:color w:val="000000"/>
      <w:kern w:val="0"/>
      <w:sz w:val="28"/>
      <w:szCs w:val="28"/>
    </w:rPr>
  </w:style>
  <w:style w:type="paragraph" w:customStyle="1" w:styleId="276">
    <w:name w:val="RFI Heading 3rd Level"/>
    <w:basedOn w:val="1"/>
    <w:qFormat/>
    <w:uiPriority w:val="0"/>
    <w:pPr>
      <w:widowControl/>
      <w:tabs>
        <w:tab w:val="left" w:pos="720"/>
      </w:tabs>
      <w:ind w:left="720" w:hanging="720"/>
      <w:jc w:val="left"/>
    </w:pPr>
    <w:rPr>
      <w:rFonts w:ascii="Arial (W1)" w:hAnsi="Arial (W1)"/>
      <w:color w:val="000000"/>
      <w:kern w:val="0"/>
      <w:sz w:val="24"/>
      <w:szCs w:val="24"/>
      <w:lang w:val="en-GB" w:eastAsia="en-US"/>
    </w:rPr>
  </w:style>
  <w:style w:type="paragraph" w:customStyle="1" w:styleId="277">
    <w:name w:val="Normal Indent1"/>
    <w:basedOn w:val="1"/>
    <w:qFormat/>
    <w:uiPriority w:val="99"/>
    <w:pPr>
      <w:spacing w:line="360" w:lineRule="auto"/>
      <w:ind w:firstLine="200" w:firstLineChars="200"/>
    </w:pPr>
    <w:rPr>
      <w:rFonts w:ascii="Times New Roman" w:hAnsi="Times New Roman"/>
      <w:sz w:val="24"/>
      <w:szCs w:val="24"/>
    </w:rPr>
  </w:style>
  <w:style w:type="paragraph" w:customStyle="1" w:styleId="278">
    <w:name w:val="样式 正文缩进 + (中文) 仿宋_GB2312 小四 Char"/>
    <w:basedOn w:val="15"/>
    <w:qFormat/>
    <w:uiPriority w:val="0"/>
    <w:pPr>
      <w:spacing w:after="0" w:line="360" w:lineRule="auto"/>
      <w:ind w:firstLine="480" w:firstLineChars="200"/>
    </w:pPr>
    <w:rPr>
      <w:rFonts w:ascii="宋体" w:hAnsi="宋体"/>
      <w:sz w:val="24"/>
      <w:szCs w:val="24"/>
    </w:rPr>
  </w:style>
  <w:style w:type="paragraph" w:customStyle="1" w:styleId="279">
    <w:name w:val="Char1"/>
    <w:basedOn w:val="1"/>
    <w:next w:val="1"/>
    <w:qFormat/>
    <w:uiPriority w:val="0"/>
    <w:pPr>
      <w:spacing w:line="240" w:lineRule="atLeast"/>
      <w:ind w:left="420" w:firstLine="420"/>
      <w:jc w:val="left"/>
    </w:pPr>
    <w:rPr>
      <w:rFonts w:ascii="Times New Roman" w:hAnsi="Times New Roman"/>
      <w:kern w:val="0"/>
      <w:szCs w:val="21"/>
    </w:rPr>
  </w:style>
  <w:style w:type="paragraph" w:customStyle="1" w:styleId="280">
    <w:name w:val="列出段落3"/>
    <w:basedOn w:val="1"/>
    <w:qFormat/>
    <w:uiPriority w:val="0"/>
    <w:pPr>
      <w:widowControl/>
      <w:ind w:firstLine="420" w:firstLineChars="200"/>
      <w:jc w:val="left"/>
    </w:pPr>
    <w:rPr>
      <w:rFonts w:ascii="Times New Roman" w:hAnsi="Times New Roman"/>
      <w:kern w:val="0"/>
      <w:sz w:val="24"/>
      <w:szCs w:val="24"/>
    </w:rPr>
  </w:style>
  <w:style w:type="paragraph" w:customStyle="1" w:styleId="281">
    <w:name w:val="正文首行缩进两字符"/>
    <w:basedOn w:val="1"/>
    <w:qFormat/>
    <w:uiPriority w:val="0"/>
    <w:pPr>
      <w:spacing w:line="360" w:lineRule="auto"/>
      <w:ind w:firstLine="200" w:firstLineChars="200"/>
    </w:pPr>
    <w:rPr>
      <w:rFonts w:ascii="Times New Roman" w:hAnsi="Times New Roman"/>
      <w:szCs w:val="24"/>
    </w:rPr>
  </w:style>
  <w:style w:type="paragraph" w:customStyle="1" w:styleId="282">
    <w:name w:val="Char2 Char Char Char Char Char Char"/>
    <w:basedOn w:val="1"/>
    <w:qFormat/>
    <w:uiPriority w:val="0"/>
    <w:rPr>
      <w:rFonts w:ascii="仿宋_GB2312" w:hAnsi="Times New Roman"/>
      <w:b/>
      <w:sz w:val="30"/>
      <w:szCs w:val="32"/>
    </w:rPr>
  </w:style>
  <w:style w:type="paragraph" w:customStyle="1" w:styleId="283">
    <w:name w:val="列出段落1_0"/>
    <w:basedOn w:val="1"/>
    <w:qFormat/>
    <w:uiPriority w:val="99"/>
    <w:pPr>
      <w:ind w:firstLine="420" w:firstLineChars="200"/>
    </w:pPr>
    <w:rPr>
      <w:szCs w:val="21"/>
    </w:rPr>
  </w:style>
  <w:style w:type="paragraph" w:customStyle="1" w:styleId="284">
    <w:name w:val="MM Title"/>
    <w:basedOn w:val="1"/>
    <w:qFormat/>
    <w:uiPriority w:val="0"/>
    <w:pPr>
      <w:spacing w:before="240" w:after="60"/>
      <w:jc w:val="center"/>
      <w:outlineLvl w:val="0"/>
    </w:pPr>
    <w:rPr>
      <w:rFonts w:ascii="Arial" w:hAnsi="Arial" w:cs="Arial"/>
      <w:b/>
      <w:bCs/>
      <w:sz w:val="32"/>
      <w:szCs w:val="32"/>
    </w:rPr>
  </w:style>
  <w:style w:type="paragraph" w:customStyle="1" w:styleId="285">
    <w:name w:val="_Style 48"/>
    <w:basedOn w:val="1"/>
    <w:qFormat/>
    <w:uiPriority w:val="0"/>
    <w:pPr>
      <w:ind w:firstLine="420" w:firstLineChars="200"/>
    </w:pPr>
    <w:rPr>
      <w:rFonts w:ascii="宋体" w:hAnsi="宋体" w:cs="宋体"/>
      <w:sz w:val="28"/>
      <w:szCs w:val="28"/>
    </w:rPr>
  </w:style>
  <w:style w:type="paragraph" w:customStyle="1" w:styleId="286">
    <w:name w:val="List Paragraph1"/>
    <w:basedOn w:val="1"/>
    <w:qFormat/>
    <w:uiPriority w:val="99"/>
    <w:pPr>
      <w:ind w:firstLine="420" w:firstLineChars="200"/>
    </w:pPr>
    <w:rPr>
      <w:rFonts w:ascii="Times New Roman" w:hAnsi="Times New Roman"/>
      <w:szCs w:val="24"/>
    </w:rPr>
  </w:style>
  <w:style w:type="paragraph" w:customStyle="1" w:styleId="287">
    <w:name w:val="UserStyle_40"/>
    <w:basedOn w:val="1"/>
    <w:qFormat/>
    <w:uiPriority w:val="99"/>
    <w:pPr>
      <w:widowControl/>
      <w:spacing w:after="200" w:line="276" w:lineRule="auto"/>
      <w:ind w:firstLine="420" w:firstLineChars="200"/>
    </w:pPr>
    <w:rPr>
      <w:szCs w:val="21"/>
    </w:rPr>
  </w:style>
  <w:style w:type="paragraph" w:customStyle="1" w:styleId="28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289">
    <w:name w:val="Style Style4 + First line:  2 ch Before:  0.5 line After:  0.5 li..."/>
    <w:basedOn w:val="1"/>
    <w:qFormat/>
    <w:uiPriority w:val="0"/>
    <w:pPr>
      <w:spacing w:beforeLines="50" w:line="276" w:lineRule="auto"/>
      <w:ind w:firstLine="480" w:firstLineChars="200"/>
    </w:pPr>
    <w:rPr>
      <w:rFonts w:ascii="Arial" w:hAnsi="Arial"/>
      <w:sz w:val="24"/>
      <w:szCs w:val="20"/>
    </w:rPr>
  </w:style>
  <w:style w:type="paragraph" w:customStyle="1" w:styleId="290">
    <w:name w:val="Heading1"/>
    <w:basedOn w:val="1"/>
    <w:next w:val="1"/>
    <w:qFormat/>
    <w:uiPriority w:val="99"/>
    <w:pPr>
      <w:keepNext/>
      <w:keepLines/>
      <w:widowControl/>
      <w:spacing w:before="300" w:after="200" w:line="276" w:lineRule="auto"/>
    </w:pPr>
    <w:rPr>
      <w:rFonts w:eastAsia="黑体"/>
      <w:kern w:val="44"/>
      <w:sz w:val="44"/>
      <w:szCs w:val="44"/>
    </w:rPr>
  </w:style>
  <w:style w:type="paragraph" w:customStyle="1" w:styleId="291">
    <w:name w:val="MM Topic 5"/>
    <w:basedOn w:val="8"/>
    <w:qFormat/>
    <w:uiPriority w:val="0"/>
    <w:pPr>
      <w:tabs>
        <w:tab w:val="left" w:pos="2551"/>
        <w:tab w:val="clear" w:pos="1134"/>
        <w:tab w:val="clear" w:pos="1560"/>
      </w:tabs>
      <w:ind w:left="0" w:firstLine="0"/>
    </w:pPr>
  </w:style>
  <w:style w:type="paragraph" w:customStyle="1" w:styleId="292">
    <w:name w:val="列出段落5"/>
    <w:basedOn w:val="1"/>
    <w:qFormat/>
    <w:uiPriority w:val="99"/>
    <w:pPr>
      <w:ind w:firstLine="420" w:firstLineChars="200"/>
    </w:pPr>
    <w:rPr>
      <w:rFonts w:ascii="Times New Roman" w:hAnsi="Times New Roman"/>
    </w:rPr>
  </w:style>
  <w:style w:type="paragraph" w:customStyle="1" w:styleId="293">
    <w:name w:val="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94">
    <w:name w:val="正文_4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95">
    <w:name w:val="正文2"/>
    <w:qFormat/>
    <w:uiPriority w:val="99"/>
    <w:pPr>
      <w:spacing w:after="200" w:line="276" w:lineRule="auto"/>
      <w:jc w:val="both"/>
    </w:pPr>
    <w:rPr>
      <w:rFonts w:ascii="Calibri" w:hAnsi="Calibri" w:eastAsia="宋体" w:cs="Calibri"/>
      <w:kern w:val="2"/>
      <w:sz w:val="21"/>
      <w:szCs w:val="21"/>
      <w:lang w:val="en-US" w:eastAsia="zh-CN" w:bidi="ar-SA"/>
    </w:rPr>
  </w:style>
  <w:style w:type="paragraph" w:customStyle="1" w:styleId="296">
    <w:name w:val="标题 5（有编号）（绿盟科技）"/>
    <w:basedOn w:val="1"/>
    <w:next w:val="269"/>
    <w:qFormat/>
    <w:uiPriority w:val="99"/>
    <w:pPr>
      <w:keepNext/>
      <w:keepLines/>
      <w:tabs>
        <w:tab w:val="left" w:pos="0"/>
      </w:tabs>
      <w:spacing w:before="280" w:after="156" w:line="376" w:lineRule="auto"/>
      <w:ind w:left="1958" w:hanging="420"/>
      <w:jc w:val="left"/>
      <w:outlineLvl w:val="4"/>
    </w:pPr>
    <w:rPr>
      <w:rFonts w:ascii="Arial" w:hAnsi="Arial" w:eastAsia="黑体"/>
      <w:b/>
      <w:sz w:val="24"/>
      <w:szCs w:val="28"/>
    </w:rPr>
  </w:style>
  <w:style w:type="paragraph" w:customStyle="1" w:styleId="297">
    <w:name w:val="正文 首行缩进:  2 字符 Char Char"/>
    <w:basedOn w:val="1"/>
    <w:qFormat/>
    <w:uiPriority w:val="0"/>
    <w:pPr>
      <w:spacing w:line="360" w:lineRule="auto"/>
      <w:ind w:firstLine="480"/>
    </w:pPr>
    <w:rPr>
      <w:rFonts w:ascii="Times New Roman" w:hAnsi="Times New Roman" w:cs="宋体"/>
      <w:sz w:val="24"/>
      <w:szCs w:val="20"/>
    </w:rPr>
  </w:style>
  <w:style w:type="paragraph" w:customStyle="1" w:styleId="298">
    <w:name w:val="修订1"/>
    <w:qFormat/>
    <w:uiPriority w:val="99"/>
    <w:rPr>
      <w:rFonts w:ascii="Calibri" w:hAnsi="Calibri" w:eastAsia="宋体" w:cs="Times New Roman"/>
      <w:kern w:val="2"/>
      <w:sz w:val="21"/>
      <w:szCs w:val="22"/>
      <w:lang w:val="en-US" w:eastAsia="zh-CN" w:bidi="ar-SA"/>
    </w:rPr>
  </w:style>
  <w:style w:type="paragraph" w:customStyle="1" w:styleId="299">
    <w:name w:val="Char Char Char Char Char Char Char Char Char Char Char Char Char"/>
    <w:basedOn w:val="18"/>
    <w:qFormat/>
    <w:uiPriority w:val="0"/>
    <w:rPr>
      <w:rFonts w:ascii="Tahoma" w:hAnsi="Tahoma"/>
      <w:sz w:val="24"/>
      <w:szCs w:val="24"/>
    </w:rPr>
  </w:style>
  <w:style w:type="paragraph" w:customStyle="1" w:styleId="300">
    <w:name w:val="列出段落4"/>
    <w:basedOn w:val="1"/>
    <w:qFormat/>
    <w:uiPriority w:val="34"/>
    <w:pPr>
      <w:ind w:firstLine="420" w:firstLineChars="200"/>
    </w:pPr>
    <w:rPr>
      <w:rFonts w:ascii="Times New Roman" w:hAnsi="Times New Roman"/>
      <w:szCs w:val="24"/>
    </w:rPr>
  </w:style>
  <w:style w:type="paragraph" w:customStyle="1" w:styleId="301">
    <w:name w:val="默认段落字体 Para Char Char Char1 Char"/>
    <w:basedOn w:val="1"/>
    <w:next w:val="1"/>
    <w:qFormat/>
    <w:uiPriority w:val="0"/>
    <w:pPr>
      <w:spacing w:line="240" w:lineRule="atLeast"/>
      <w:ind w:left="420" w:firstLine="420"/>
      <w:jc w:val="left"/>
    </w:pPr>
    <w:rPr>
      <w:rFonts w:ascii="Times New Roman" w:hAnsi="Times New Roman"/>
      <w:kern w:val="0"/>
      <w:szCs w:val="21"/>
    </w:rPr>
  </w:style>
  <w:style w:type="paragraph" w:customStyle="1" w:styleId="302">
    <w:name w:val="UserStyle_33"/>
    <w:basedOn w:val="1"/>
    <w:qFormat/>
    <w:uiPriority w:val="99"/>
    <w:pPr>
      <w:widowControl/>
      <w:spacing w:after="200" w:line="400" w:lineRule="exact"/>
      <w:ind w:firstLine="200" w:firstLineChars="200"/>
    </w:pPr>
    <w:rPr>
      <w:rFonts w:ascii="Times New Roman" w:hAnsi="Times New Roman"/>
      <w:sz w:val="24"/>
      <w:szCs w:val="24"/>
    </w:rPr>
  </w:style>
  <w:style w:type="paragraph" w:customStyle="1" w:styleId="303">
    <w:name w:val="Table Paragraph"/>
    <w:basedOn w:val="1"/>
    <w:qFormat/>
    <w:uiPriority w:val="1"/>
    <w:pPr>
      <w:ind w:firstLine="560" w:firstLineChars="200"/>
    </w:pPr>
    <w:rPr>
      <w:rFonts w:ascii="宋体" w:hAnsi="宋体" w:cs="宋体"/>
      <w:sz w:val="28"/>
      <w:szCs w:val="28"/>
      <w:lang w:val="zh-CN" w:bidi="zh-CN"/>
    </w:rPr>
  </w:style>
  <w:style w:type="paragraph" w:customStyle="1" w:styleId="304">
    <w:name w:val="HtmlNormal"/>
    <w:basedOn w:val="1"/>
    <w:qFormat/>
    <w:uiPriority w:val="99"/>
    <w:pPr>
      <w:widowControl/>
      <w:spacing w:before="100" w:beforeAutospacing="1" w:after="100" w:afterAutospacing="1" w:line="276" w:lineRule="auto"/>
      <w:jc w:val="left"/>
    </w:pPr>
    <w:rPr>
      <w:rFonts w:ascii="宋体" w:hAnsi="宋体"/>
      <w:kern w:val="0"/>
      <w:sz w:val="24"/>
      <w:szCs w:val="24"/>
    </w:rPr>
  </w:style>
  <w:style w:type="paragraph" w:customStyle="1" w:styleId="305">
    <w:name w:val="4号表格样式"/>
    <w:basedOn w:val="1"/>
    <w:qFormat/>
    <w:uiPriority w:val="0"/>
    <w:pPr>
      <w:autoSpaceDE w:val="0"/>
      <w:autoSpaceDN w:val="0"/>
      <w:spacing w:line="360" w:lineRule="auto"/>
      <w:ind w:firstLine="560" w:firstLineChars="200"/>
    </w:pPr>
    <w:rPr>
      <w:rFonts w:ascii="仿宋_GB2312" w:hAnsi="宋体" w:eastAsia="仿宋_GB2312"/>
      <w:kern w:val="0"/>
      <w:sz w:val="28"/>
      <w:szCs w:val="28"/>
    </w:rPr>
  </w:style>
  <w:style w:type="paragraph" w:customStyle="1" w:styleId="306">
    <w:name w:val="1 Char2"/>
    <w:basedOn w:val="1"/>
    <w:semiHidden/>
    <w:qFormat/>
    <w:uiPriority w:val="0"/>
    <w:pPr>
      <w:widowControl/>
      <w:spacing w:after="160" w:line="240" w:lineRule="exact"/>
      <w:jc w:val="left"/>
    </w:pPr>
    <w:rPr>
      <w:rFonts w:ascii="Tahoma" w:hAnsi="Tahoma" w:eastAsia="Times New Roman"/>
      <w:kern w:val="0"/>
      <w:sz w:val="24"/>
      <w:szCs w:val="24"/>
      <w:lang w:eastAsia="en-US"/>
    </w:rPr>
  </w:style>
  <w:style w:type="paragraph" w:customStyle="1" w:styleId="307">
    <w:name w:val="列出段落2"/>
    <w:basedOn w:val="1"/>
    <w:qFormat/>
    <w:uiPriority w:val="0"/>
    <w:pPr>
      <w:ind w:firstLine="420" w:firstLineChars="200"/>
    </w:pPr>
  </w:style>
  <w:style w:type="paragraph" w:customStyle="1" w:styleId="308">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309">
    <w:name w:val="Char1 Char Char Char Char Char Char_0"/>
    <w:basedOn w:val="1"/>
    <w:qFormat/>
    <w:uiPriority w:val="0"/>
    <w:rPr>
      <w:rFonts w:ascii="Tahoma" w:hAnsi="Tahoma"/>
      <w:sz w:val="24"/>
      <w:szCs w:val="20"/>
    </w:rPr>
  </w:style>
  <w:style w:type="paragraph" w:customStyle="1" w:styleId="310">
    <w:name w:val="Char1 Char Char Char Char Char Char"/>
    <w:basedOn w:val="1"/>
    <w:qFormat/>
    <w:uiPriority w:val="0"/>
    <w:rPr>
      <w:rFonts w:ascii="Tahoma" w:hAnsi="Tahoma"/>
      <w:sz w:val="24"/>
      <w:szCs w:val="20"/>
    </w:rPr>
  </w:style>
  <w:style w:type="paragraph" w:customStyle="1" w:styleId="311">
    <w:name w:val="修订4"/>
    <w:semiHidden/>
    <w:qFormat/>
    <w:uiPriority w:val="99"/>
    <w:rPr>
      <w:rFonts w:ascii="Calibri" w:hAnsi="Calibri" w:eastAsia="宋体" w:cs="Times New Roman"/>
      <w:kern w:val="2"/>
      <w:sz w:val="21"/>
      <w:szCs w:val="22"/>
      <w:lang w:val="en-US" w:eastAsia="zh-CN" w:bidi="ar-SA"/>
    </w:rPr>
  </w:style>
  <w:style w:type="paragraph" w:customStyle="1" w:styleId="31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13">
    <w:name w:val="样式 右侧:  1 字符1"/>
    <w:basedOn w:val="1"/>
    <w:qFormat/>
    <w:uiPriority w:val="0"/>
    <w:pPr>
      <w:ind w:left="240" w:leftChars="100" w:right="240" w:rightChars="100"/>
    </w:pPr>
    <w:rPr>
      <w:rFonts w:ascii="Times New Roman" w:hAnsi="Times New Roman" w:eastAsia="仿宋_GB2312" w:cs="宋体"/>
      <w:sz w:val="28"/>
      <w:szCs w:val="20"/>
    </w:rPr>
  </w:style>
  <w:style w:type="paragraph" w:customStyle="1" w:styleId="314">
    <w:name w:val="样式 标题 5 + 倾斜"/>
    <w:basedOn w:val="8"/>
    <w:qFormat/>
    <w:uiPriority w:val="0"/>
    <w:pPr>
      <w:widowControl/>
      <w:tabs>
        <w:tab w:val="left" w:pos="992"/>
        <w:tab w:val="clear" w:pos="1134"/>
      </w:tabs>
      <w:overflowPunct w:val="0"/>
      <w:autoSpaceDE w:val="0"/>
      <w:autoSpaceDN w:val="0"/>
      <w:adjustRightInd w:val="0"/>
      <w:snapToGrid w:val="0"/>
      <w:spacing w:before="100" w:beforeAutospacing="1" w:after="100" w:afterAutospacing="1" w:line="288" w:lineRule="auto"/>
      <w:ind w:left="0" w:firstLine="0"/>
      <w:jc w:val="left"/>
    </w:pPr>
    <w:rPr>
      <w:rFonts w:ascii="Arial" w:hAnsi="Arial"/>
      <w:bCs w:val="0"/>
      <w:iCs/>
      <w:color w:val="000000"/>
    </w:rPr>
  </w:style>
  <w:style w:type="paragraph" w:customStyle="1" w:styleId="315">
    <w:name w:val="msonormal"/>
    <w:basedOn w:val="1"/>
    <w:qFormat/>
    <w:uiPriority w:val="99"/>
    <w:pPr>
      <w:widowControl/>
      <w:spacing w:before="100" w:beforeAutospacing="1" w:after="100" w:afterAutospacing="1"/>
      <w:jc w:val="left"/>
    </w:pPr>
    <w:rPr>
      <w:rFonts w:ascii="宋体" w:hAnsi="宋体"/>
      <w:color w:val="000000"/>
      <w:kern w:val="0"/>
      <w:sz w:val="24"/>
      <w:szCs w:val="24"/>
    </w:rPr>
  </w:style>
  <w:style w:type="paragraph" w:customStyle="1" w:styleId="316">
    <w:name w:val="标题 5 + 首行缩进:  2 字符"/>
    <w:basedOn w:val="8"/>
    <w:next w:val="21"/>
    <w:qFormat/>
    <w:uiPriority w:val="0"/>
    <w:pPr>
      <w:tabs>
        <w:tab w:val="left" w:pos="992"/>
        <w:tab w:val="clear" w:pos="1134"/>
      </w:tabs>
      <w:snapToGrid w:val="0"/>
      <w:spacing w:before="0" w:beforeLines="50" w:after="0" w:afterLines="50"/>
      <w:ind w:left="3570" w:firstLine="482" w:firstLineChars="200"/>
    </w:pPr>
    <w:rPr>
      <w:color w:val="000000"/>
      <w:szCs w:val="20"/>
    </w:rPr>
  </w:style>
  <w:style w:type="paragraph" w:customStyle="1" w:styleId="317">
    <w:name w:val="MM Topic 7"/>
    <w:basedOn w:val="10"/>
    <w:qFormat/>
    <w:uiPriority w:val="0"/>
    <w:pPr>
      <w:keepLines/>
      <w:widowControl w:val="0"/>
      <w:tabs>
        <w:tab w:val="left" w:pos="3827"/>
        <w:tab w:val="clear" w:pos="3600"/>
      </w:tabs>
      <w:spacing w:before="240" w:after="64" w:line="314" w:lineRule="auto"/>
      <w:jc w:val="both"/>
    </w:pPr>
    <w:rPr>
      <w:rFonts w:ascii="Times New Roman" w:hAnsi="Times New Roman"/>
      <w:iCs w:val="0"/>
      <w:kern w:val="2"/>
      <w:sz w:val="24"/>
      <w:lang w:eastAsia="zh-CN"/>
    </w:rPr>
  </w:style>
  <w:style w:type="paragraph" w:customStyle="1" w:styleId="318">
    <w:name w:val="样式 宋体 小四 行距: 1.5 倍行距"/>
    <w:basedOn w:val="1"/>
    <w:qFormat/>
    <w:uiPriority w:val="0"/>
    <w:pPr>
      <w:tabs>
        <w:tab w:val="left" w:pos="5190"/>
      </w:tabs>
      <w:spacing w:before="100" w:beforeAutospacing="1" w:after="100" w:afterAutospacing="1" w:line="288" w:lineRule="auto"/>
      <w:ind w:firstLine="480"/>
    </w:pPr>
    <w:rPr>
      <w:rFonts w:ascii="宋体" w:hAnsi="宋体"/>
      <w:bCs/>
      <w:sz w:val="24"/>
      <w:szCs w:val="24"/>
    </w:rPr>
  </w:style>
  <w:style w:type="paragraph" w:customStyle="1" w:styleId="319">
    <w:name w:val="彩色列表 - 强调文字颜色 12"/>
    <w:basedOn w:val="1"/>
    <w:qFormat/>
    <w:uiPriority w:val="0"/>
    <w:pPr>
      <w:ind w:firstLine="420" w:firstLineChars="200"/>
    </w:pPr>
  </w:style>
  <w:style w:type="paragraph" w:customStyle="1" w:styleId="320">
    <w:name w:val="纯文本1"/>
    <w:basedOn w:val="1"/>
    <w:qFormat/>
    <w:uiPriority w:val="0"/>
    <w:rPr>
      <w:rFonts w:ascii="宋体" w:hAnsi="Courier New"/>
      <w:kern w:val="0"/>
      <w:sz w:val="20"/>
      <w:szCs w:val="20"/>
    </w:rPr>
  </w:style>
  <w:style w:type="paragraph" w:customStyle="1" w:styleId="321">
    <w:name w:val="MM Topic 3"/>
    <w:basedOn w:val="4"/>
    <w:qFormat/>
    <w:uiPriority w:val="0"/>
    <w:pPr>
      <w:numPr>
        <w:ilvl w:val="0"/>
        <w:numId w:val="0"/>
      </w:numPr>
      <w:tabs>
        <w:tab w:val="left" w:pos="1418"/>
      </w:tabs>
    </w:pPr>
  </w:style>
  <w:style w:type="paragraph" w:customStyle="1" w:styleId="322">
    <w:name w:val="无间隔1"/>
    <w:qFormat/>
    <w:uiPriority w:val="0"/>
    <w:pPr>
      <w:widowControl w:val="0"/>
      <w:spacing w:line="300" w:lineRule="auto"/>
      <w:jc w:val="center"/>
    </w:pPr>
    <w:rPr>
      <w:rFonts w:ascii="宋体" w:hAnsi="宋体" w:eastAsia="宋体" w:cs="Times New Roman"/>
      <w:kern w:val="2"/>
      <w:sz w:val="24"/>
      <w:szCs w:val="21"/>
      <w:lang w:val="en-US" w:eastAsia="zh-CN" w:bidi="ar-SA"/>
    </w:rPr>
  </w:style>
  <w:style w:type="paragraph" w:customStyle="1" w:styleId="323">
    <w:name w:val="无间隔11"/>
    <w:qFormat/>
    <w:uiPriority w:val="99"/>
    <w:pPr>
      <w:widowControl w:val="0"/>
      <w:spacing w:after="200" w:line="300" w:lineRule="auto"/>
      <w:jc w:val="center"/>
    </w:pPr>
    <w:rPr>
      <w:rFonts w:ascii="宋体" w:hAnsi="宋体" w:eastAsia="宋体" w:cs="Times New Roman"/>
      <w:kern w:val="2"/>
      <w:sz w:val="24"/>
      <w:szCs w:val="21"/>
      <w:lang w:val="en-US" w:eastAsia="zh-CN" w:bidi="ar-SA"/>
    </w:rPr>
  </w:style>
  <w:style w:type="paragraph" w:customStyle="1" w:styleId="324">
    <w:name w:val="MM Topic 1"/>
    <w:basedOn w:val="2"/>
    <w:qFormat/>
    <w:uiPriority w:val="0"/>
    <w:pPr>
      <w:tabs>
        <w:tab w:val="left" w:pos="425"/>
      </w:tabs>
    </w:pPr>
    <w:rPr>
      <w:sz w:val="44"/>
    </w:rPr>
  </w:style>
  <w:style w:type="paragraph" w:customStyle="1" w:styleId="325">
    <w:name w:val="MM Topic 6"/>
    <w:basedOn w:val="9"/>
    <w:qFormat/>
    <w:uiPriority w:val="0"/>
    <w:pPr>
      <w:tabs>
        <w:tab w:val="left" w:pos="3260"/>
        <w:tab w:val="clear" w:pos="1702"/>
      </w:tabs>
      <w:ind w:left="0" w:firstLine="0"/>
    </w:pPr>
    <w:rPr>
      <w:rFonts w:eastAsia="黑体"/>
    </w:rPr>
  </w:style>
  <w:style w:type="paragraph" w:customStyle="1" w:styleId="326">
    <w:name w:val="Char Char Char Char"/>
    <w:basedOn w:val="1"/>
    <w:qFormat/>
    <w:uiPriority w:val="0"/>
    <w:rPr>
      <w:rFonts w:ascii="Tahoma" w:hAnsi="Tahoma"/>
      <w:sz w:val="24"/>
      <w:szCs w:val="20"/>
    </w:rPr>
  </w:style>
  <w:style w:type="paragraph" w:customStyle="1" w:styleId="327">
    <w:name w:val="09、“1.”表格内一级标题"/>
    <w:basedOn w:val="1"/>
    <w:qFormat/>
    <w:uiPriority w:val="99"/>
    <w:pPr>
      <w:tabs>
        <w:tab w:val="left" w:pos="0"/>
        <w:tab w:val="left" w:pos="420"/>
      </w:tabs>
      <w:wordWrap w:val="0"/>
      <w:topLinePunct/>
      <w:snapToGrid w:val="0"/>
      <w:spacing w:line="360" w:lineRule="exact"/>
      <w:ind w:left="48" w:leftChars="20" w:hanging="425"/>
    </w:pPr>
    <w:rPr>
      <w:rFonts w:ascii="宋体" w:hAnsi="宋体"/>
    </w:rPr>
  </w:style>
  <w:style w:type="paragraph" w:customStyle="1" w:styleId="328">
    <w:name w:val="样式 样式 样式 标题 2 + 宋体 五号 非加粗 黑色 + 段前: 6 磅 段后: 0 磅 行距: 单倍行距 + 段前: 12..."/>
    <w:basedOn w:val="1"/>
    <w:qFormat/>
    <w:uiPriority w:val="0"/>
    <w:pPr>
      <w:keepNext/>
      <w:keepLines/>
      <w:numPr>
        <w:ilvl w:val="1"/>
        <w:numId w:val="5"/>
      </w:numPr>
      <w:adjustRightInd w:val="0"/>
      <w:spacing w:before="240"/>
      <w:jc w:val="left"/>
      <w:outlineLvl w:val="1"/>
    </w:pPr>
    <w:rPr>
      <w:rFonts w:ascii="宋体" w:hAnsi="宋体" w:cs="宋体"/>
      <w:color w:val="000000"/>
      <w:kern w:val="0"/>
      <w:szCs w:val="20"/>
    </w:rPr>
  </w:style>
  <w:style w:type="paragraph" w:customStyle="1" w:styleId="329">
    <w:name w:val="大纲正文"/>
    <w:basedOn w:val="1"/>
    <w:qFormat/>
    <w:uiPriority w:val="0"/>
    <w:pPr>
      <w:spacing w:line="360" w:lineRule="auto"/>
      <w:ind w:firstLine="480" w:firstLineChars="200"/>
    </w:pPr>
    <w:rPr>
      <w:rFonts w:ascii="Times New Roman" w:hAnsi="Times New Roman"/>
      <w:sz w:val="24"/>
      <w:szCs w:val="20"/>
    </w:rPr>
  </w:style>
  <w:style w:type="paragraph" w:customStyle="1" w:styleId="330">
    <w:name w:val="Char Char Char Char Char Char Char"/>
    <w:basedOn w:val="1"/>
    <w:qFormat/>
    <w:uiPriority w:val="0"/>
    <w:pPr>
      <w:widowControl/>
      <w:snapToGrid w:val="0"/>
      <w:spacing w:line="240" w:lineRule="exact"/>
      <w:jc w:val="left"/>
    </w:pPr>
    <w:rPr>
      <w:rFonts w:ascii="Verdana" w:hAnsi="Verdana"/>
      <w:kern w:val="0"/>
      <w:sz w:val="20"/>
      <w:szCs w:val="20"/>
      <w:lang w:eastAsia="en-US"/>
    </w:rPr>
  </w:style>
  <w:style w:type="paragraph" w:customStyle="1" w:styleId="331">
    <w:name w:val="样式 小四2"/>
    <w:basedOn w:val="1"/>
    <w:qFormat/>
    <w:uiPriority w:val="0"/>
    <w:rPr>
      <w:rFonts w:ascii="宋体" w:hAnsi="宋体"/>
      <w:sz w:val="24"/>
      <w:szCs w:val="24"/>
    </w:rPr>
  </w:style>
  <w:style w:type="paragraph" w:customStyle="1" w:styleId="332">
    <w:name w:val="表格"/>
    <w:basedOn w:val="1"/>
    <w:qFormat/>
    <w:uiPriority w:val="0"/>
    <w:pPr>
      <w:spacing w:line="400" w:lineRule="exact"/>
    </w:pPr>
    <w:rPr>
      <w:rFonts w:ascii="Times New Roman" w:hAnsi="Times New Roman"/>
      <w:sz w:val="24"/>
      <w:szCs w:val="24"/>
    </w:rPr>
  </w:style>
  <w:style w:type="table" w:customStyle="1" w:styleId="333">
    <w:name w:val="网格型2"/>
    <w:basedOn w:val="49"/>
    <w:qFormat/>
    <w:uiPriority w:val="0"/>
    <w:pPr>
      <w:widowControl w:val="0"/>
      <w:spacing w:after="200" w:line="276" w:lineRule="auto"/>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334">
    <w:name w:val="10000基础测绘正文"/>
    <w:qFormat/>
    <w:uiPriority w:val="0"/>
    <w:pPr>
      <w:spacing w:line="360" w:lineRule="auto"/>
      <w:ind w:firstLine="560" w:firstLineChars="200"/>
    </w:pPr>
    <w:rPr>
      <w:rFonts w:ascii="Times New Roman" w:hAnsi="Times New Roman" w:eastAsia="宋体" w:cs="Times New Roman"/>
      <w:sz w:val="24"/>
      <w:lang w:val="en-US" w:eastAsia="zh-CN" w:bidi="ar-SA"/>
    </w:rPr>
  </w:style>
  <w:style w:type="paragraph" w:customStyle="1" w:styleId="335">
    <w:name w:val="Table Text"/>
    <w:basedOn w:val="1"/>
    <w:semiHidden/>
    <w:qFormat/>
    <w:uiPriority w:val="0"/>
    <w:rPr>
      <w:rFonts w:ascii="Times New Roman" w:hAnsi="Times New Roman" w:eastAsia="Times New Roman"/>
      <w:sz w:val="19"/>
      <w:szCs w:val="19"/>
      <w:lang w:eastAsia="en-US"/>
    </w:rPr>
  </w:style>
  <w:style w:type="table" w:customStyle="1" w:styleId="336">
    <w:name w:val="Table Normal"/>
    <w:unhideWhenUsed/>
    <w:qFormat/>
    <w:uiPriority w:val="0"/>
    <w:tblPr>
      <w:tblCellMar>
        <w:top w:w="0" w:type="dxa"/>
        <w:left w:w="0" w:type="dxa"/>
        <w:bottom w:w="0" w:type="dxa"/>
        <w:right w:w="0" w:type="dxa"/>
      </w:tblCellMar>
    </w:tblPr>
  </w:style>
  <w:style w:type="paragraph" w:customStyle="1" w:styleId="337">
    <w:name w:val="正文首行缩进 2 Char Char"/>
    <w:basedOn w:val="338"/>
    <w:qFormat/>
    <w:uiPriority w:val="99"/>
    <w:pPr>
      <w:ind w:firstLine="420"/>
    </w:pPr>
  </w:style>
  <w:style w:type="paragraph" w:customStyle="1" w:styleId="338">
    <w:name w:val="正文文本缩进 Char Char"/>
    <w:basedOn w:val="1"/>
    <w:qFormat/>
    <w:uiPriority w:val="99"/>
    <w:pPr>
      <w:spacing w:after="120"/>
      <w:ind w:left="420" w:leftChars="200"/>
    </w:p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1.jpeg"/><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66</Pages>
  <Words>11587</Words>
  <Characters>12343</Characters>
  <Lines>256</Lines>
  <Paragraphs>72</Paragraphs>
  <TotalTime>41</TotalTime>
  <ScaleCrop>false</ScaleCrop>
  <LinksUpToDate>false</LinksUpToDate>
  <CharactersWithSpaces>13277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2025-03-09T14:25:00Z</dcterms:created>
  <dc:creator>高文豪</dc:creator>
  <cp:lastModifiedBy>忙着可爱。</cp:lastModifiedBy>
  <cp:lastPrinted>2021-09-16T06:01:00Z</cp:lastPrinted>
  <dcterms:modified xsi:type="dcterms:W3CDTF">2025-04-16T08:25:18Z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SaveFontToCloudKey">
    <vt:lpwstr>634951691_btnclosed</vt:lpwstr>
  </property>
  <property fmtid="{D5CDD505-2E9C-101B-9397-08002B2CF9AE}" pid="3" name="KSOProductBuildVer">
    <vt:lpwstr>2052-12.1.0.20784</vt:lpwstr>
  </property>
  <property fmtid="{D5CDD505-2E9C-101B-9397-08002B2CF9AE}" pid="4" name="ICV">
    <vt:lpwstr>E2A4B9CAE5C74D9485223268EBB988EC_13</vt:lpwstr>
  </property>
  <property fmtid="{D5CDD505-2E9C-101B-9397-08002B2CF9AE}" pid="5" name="KSOTemplateDocerSaveRecord">
    <vt:lpwstr>eyJoZGlkIjoiNDA2YTFhNzNkM2JmZGI3ZDVlMzZiN2Y1YmI5OGQ5ZjQiLCJ1c2VySWQiOiIyNjkyNTU4MjgifQ==</vt:lpwstr>
  </property>
</Properties>
</file>