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7029F4">
      <w:pPr>
        <w:widowControl/>
        <w:spacing w:line="360" w:lineRule="auto"/>
        <w:jc w:val="center"/>
        <w:rPr>
          <w:rFonts w:ascii="仿宋" w:hAnsi="仿宋" w:cs="仿宋"/>
          <w:b/>
          <w:color w:val="auto"/>
          <w:sz w:val="48"/>
          <w:szCs w:val="48"/>
        </w:rPr>
      </w:pPr>
      <w:r>
        <w:rPr>
          <w:rFonts w:hint="eastAsia" w:ascii="仿宋" w:hAnsi="仿宋" w:cs="仿宋"/>
          <w:b/>
          <w:color w:val="auto"/>
          <w:sz w:val="48"/>
          <w:szCs w:val="48"/>
        </w:rPr>
        <w:t xml:space="preserve"> </w:t>
      </w:r>
    </w:p>
    <w:p w14:paraId="70011293">
      <w:pPr>
        <w:widowControl/>
        <w:rPr>
          <w:rFonts w:ascii="仿宋" w:hAnsi="仿宋" w:cs="仿宋"/>
          <w:b/>
          <w:color w:val="auto"/>
          <w:sz w:val="44"/>
          <w:szCs w:val="44"/>
        </w:rPr>
      </w:pPr>
    </w:p>
    <w:p w14:paraId="5C018777">
      <w:pPr>
        <w:widowControl/>
        <w:jc w:val="center"/>
        <w:rPr>
          <w:rFonts w:ascii="仿宋" w:hAnsi="仿宋" w:cs="仿宋"/>
          <w:b/>
          <w:color w:val="auto"/>
          <w:sz w:val="40"/>
          <w:szCs w:val="40"/>
        </w:rPr>
      </w:pPr>
      <w:r>
        <w:rPr>
          <w:rFonts w:hint="eastAsia" w:ascii="仿宋" w:hAnsi="仿宋" w:cs="仿宋"/>
          <w:b/>
          <w:color w:val="auto"/>
          <w:sz w:val="40"/>
          <w:szCs w:val="40"/>
        </w:rPr>
        <w:t>新疆和田县银石山一带银铜多金属矿普查项目（物探）</w:t>
      </w:r>
    </w:p>
    <w:p w14:paraId="267DB1E5">
      <w:pPr>
        <w:widowControl/>
        <w:jc w:val="left"/>
        <w:rPr>
          <w:rFonts w:ascii="仿宋" w:hAnsi="仿宋" w:cs="仿宋"/>
          <w:color w:val="auto"/>
        </w:rPr>
      </w:pPr>
    </w:p>
    <w:p w14:paraId="42EBB98A">
      <w:pPr>
        <w:pStyle w:val="123"/>
        <w:ind w:firstLine="420"/>
        <w:rPr>
          <w:color w:val="auto"/>
        </w:rPr>
      </w:pPr>
    </w:p>
    <w:p w14:paraId="21F87AC3">
      <w:pPr>
        <w:pStyle w:val="48"/>
        <w:rPr>
          <w:color w:val="auto"/>
        </w:rPr>
      </w:pPr>
    </w:p>
    <w:p w14:paraId="6234D981">
      <w:pPr>
        <w:spacing w:line="240" w:lineRule="atLeast"/>
        <w:jc w:val="center"/>
        <w:rPr>
          <w:rFonts w:ascii="仿宋" w:hAnsi="仿宋" w:cs="仿宋"/>
          <w:bCs/>
          <w:color w:val="auto"/>
          <w:sz w:val="52"/>
          <w:szCs w:val="52"/>
        </w:rPr>
      </w:pPr>
      <w:r>
        <w:rPr>
          <w:rFonts w:hint="eastAsia" w:ascii="仿宋" w:hAnsi="仿宋" w:cs="仿宋"/>
          <w:bCs/>
          <w:color w:val="auto"/>
          <w:sz w:val="52"/>
          <w:szCs w:val="52"/>
        </w:rPr>
        <w:t xml:space="preserve"> </w:t>
      </w:r>
    </w:p>
    <w:p w14:paraId="195D625B">
      <w:pPr>
        <w:spacing w:line="240" w:lineRule="atLeast"/>
        <w:jc w:val="center"/>
        <w:rPr>
          <w:rFonts w:ascii="仿宋" w:hAnsi="仿宋" w:cs="仿宋"/>
          <w:bCs/>
          <w:color w:val="auto"/>
          <w:sz w:val="52"/>
          <w:szCs w:val="52"/>
        </w:rPr>
      </w:pPr>
      <w:r>
        <w:rPr>
          <w:rFonts w:hint="eastAsia" w:ascii="仿宋" w:hAnsi="仿宋" w:cs="仿宋"/>
          <w:b/>
          <w:color w:val="auto"/>
          <w:sz w:val="52"/>
          <w:szCs w:val="52"/>
        </w:rPr>
        <w:t>采购文件</w:t>
      </w:r>
    </w:p>
    <w:p w14:paraId="32F7C7F4">
      <w:pPr>
        <w:pStyle w:val="5"/>
        <w:tabs>
          <w:tab w:val="left" w:pos="567"/>
        </w:tabs>
        <w:ind w:firstLine="180"/>
        <w:rPr>
          <w:color w:val="auto"/>
        </w:rPr>
      </w:pPr>
    </w:p>
    <w:p w14:paraId="29986A19">
      <w:pPr>
        <w:spacing w:line="240" w:lineRule="atLeast"/>
        <w:ind w:left="1080" w:leftChars="257" w:hanging="540"/>
        <w:jc w:val="center"/>
        <w:rPr>
          <w:rFonts w:ascii="仿宋" w:hAnsi="仿宋" w:cs="仿宋"/>
          <w:bCs/>
          <w:color w:val="auto"/>
          <w:sz w:val="32"/>
          <w:szCs w:val="32"/>
        </w:rPr>
      </w:pPr>
    </w:p>
    <w:p w14:paraId="6113A4CB">
      <w:pPr>
        <w:spacing w:line="240" w:lineRule="atLeast"/>
        <w:ind w:left="1080" w:leftChars="257" w:hanging="540"/>
        <w:jc w:val="center"/>
        <w:rPr>
          <w:rFonts w:ascii="仿宋" w:hAnsi="仿宋" w:cs="仿宋"/>
          <w:bCs/>
          <w:color w:val="auto"/>
          <w:sz w:val="32"/>
          <w:szCs w:val="32"/>
        </w:rPr>
      </w:pPr>
    </w:p>
    <w:p w14:paraId="0EA2B0BD">
      <w:pPr>
        <w:spacing w:line="240" w:lineRule="atLeast"/>
        <w:ind w:left="1080" w:leftChars="257" w:hanging="540"/>
        <w:jc w:val="center"/>
        <w:rPr>
          <w:rFonts w:ascii="仿宋" w:hAnsi="仿宋" w:cs="仿宋"/>
          <w:bCs/>
          <w:color w:val="auto"/>
          <w:sz w:val="32"/>
          <w:szCs w:val="32"/>
        </w:rPr>
      </w:pPr>
    </w:p>
    <w:p w14:paraId="46D484D4">
      <w:pPr>
        <w:spacing w:line="240" w:lineRule="atLeast"/>
        <w:ind w:left="1080" w:leftChars="257" w:hanging="540"/>
        <w:jc w:val="center"/>
        <w:rPr>
          <w:rFonts w:ascii="仿宋" w:hAnsi="仿宋" w:cs="仿宋"/>
          <w:bCs/>
          <w:color w:val="auto"/>
          <w:sz w:val="32"/>
          <w:szCs w:val="32"/>
        </w:rPr>
      </w:pPr>
    </w:p>
    <w:p w14:paraId="7156806F">
      <w:pPr>
        <w:spacing w:line="240" w:lineRule="atLeast"/>
        <w:jc w:val="center"/>
        <w:rPr>
          <w:rFonts w:ascii="仿宋" w:hAnsi="仿宋" w:cs="仿宋"/>
          <w:bCs/>
          <w:color w:val="auto"/>
          <w:sz w:val="32"/>
          <w:szCs w:val="32"/>
        </w:rPr>
      </w:pPr>
      <w:r>
        <w:rPr>
          <w:rFonts w:hint="eastAsia" w:ascii="仿宋" w:hAnsi="仿宋" w:cs="仿宋"/>
          <w:bCs/>
          <w:color w:val="auto"/>
          <w:sz w:val="32"/>
          <w:szCs w:val="32"/>
        </w:rPr>
        <w:t>项目编号：GYZB-2025-48-CG</w:t>
      </w:r>
    </w:p>
    <w:p w14:paraId="2B9D0321">
      <w:pPr>
        <w:spacing w:line="240" w:lineRule="atLeast"/>
        <w:ind w:left="1080" w:leftChars="257" w:hanging="540"/>
        <w:jc w:val="center"/>
        <w:rPr>
          <w:rFonts w:ascii="仿宋" w:hAnsi="仿宋" w:cs="仿宋"/>
          <w:b/>
          <w:color w:val="auto"/>
          <w:sz w:val="32"/>
          <w:szCs w:val="32"/>
        </w:rPr>
      </w:pPr>
    </w:p>
    <w:p w14:paraId="0C288ABA">
      <w:pPr>
        <w:spacing w:line="240" w:lineRule="atLeast"/>
        <w:ind w:left="1080" w:leftChars="257" w:hanging="540"/>
        <w:jc w:val="center"/>
        <w:rPr>
          <w:rFonts w:ascii="仿宋" w:hAnsi="仿宋" w:cs="仿宋"/>
          <w:b/>
          <w:color w:val="auto"/>
          <w:sz w:val="52"/>
        </w:rPr>
      </w:pPr>
    </w:p>
    <w:p w14:paraId="6E176C04">
      <w:pPr>
        <w:spacing w:line="360" w:lineRule="auto"/>
        <w:ind w:firstLine="837" w:firstLineChars="299"/>
        <w:jc w:val="left"/>
        <w:rPr>
          <w:rFonts w:ascii="仿宋" w:hAnsi="仿宋" w:cs="仿宋"/>
          <w:color w:val="auto"/>
          <w:sz w:val="28"/>
          <w:szCs w:val="28"/>
        </w:rPr>
      </w:pPr>
    </w:p>
    <w:p w14:paraId="38F69351">
      <w:pPr>
        <w:pStyle w:val="123"/>
        <w:ind w:firstLine="420"/>
        <w:rPr>
          <w:color w:val="auto"/>
        </w:rPr>
      </w:pPr>
    </w:p>
    <w:p w14:paraId="7E2C8F48">
      <w:pPr>
        <w:spacing w:line="360" w:lineRule="auto"/>
        <w:ind w:firstLine="837" w:firstLineChars="299"/>
        <w:jc w:val="left"/>
        <w:rPr>
          <w:rFonts w:ascii="仿宋" w:hAnsi="仿宋" w:cs="仿宋"/>
          <w:color w:val="auto"/>
          <w:sz w:val="28"/>
          <w:szCs w:val="28"/>
        </w:rPr>
      </w:pPr>
    </w:p>
    <w:p w14:paraId="6A1D902F">
      <w:pPr>
        <w:spacing w:line="360" w:lineRule="auto"/>
        <w:ind w:firstLine="837" w:firstLineChars="299"/>
        <w:jc w:val="left"/>
        <w:rPr>
          <w:rFonts w:ascii="仿宋" w:hAnsi="仿宋" w:cs="仿宋"/>
          <w:color w:val="auto"/>
          <w:sz w:val="28"/>
          <w:szCs w:val="28"/>
        </w:rPr>
      </w:pPr>
    </w:p>
    <w:p w14:paraId="1DC30370">
      <w:pPr>
        <w:spacing w:line="360" w:lineRule="auto"/>
        <w:ind w:firstLine="837" w:firstLineChars="299"/>
        <w:jc w:val="left"/>
        <w:rPr>
          <w:rFonts w:ascii="仿宋" w:hAnsi="仿宋" w:cs="仿宋"/>
          <w:color w:val="auto"/>
          <w:sz w:val="28"/>
          <w:szCs w:val="28"/>
        </w:rPr>
      </w:pPr>
    </w:p>
    <w:p w14:paraId="191C343B">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24559216">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41075FE7">
      <w:pPr>
        <w:spacing w:line="360" w:lineRule="auto"/>
        <w:ind w:firstLine="840" w:firstLineChars="300"/>
        <w:rPr>
          <w:rFonts w:ascii="仿宋" w:hAnsi="仿宋" w:cs="仿宋"/>
          <w:color w:val="auto"/>
          <w:sz w:val="28"/>
          <w:szCs w:val="28"/>
        </w:rPr>
      </w:pPr>
    </w:p>
    <w:p w14:paraId="5145ACD2">
      <w:pPr>
        <w:spacing w:line="360" w:lineRule="auto"/>
        <w:ind w:firstLine="840" w:firstLineChars="300"/>
        <w:rPr>
          <w:rFonts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2025年4月</w:t>
      </w:r>
    </w:p>
    <w:p w14:paraId="0E11D7BA">
      <w:pPr>
        <w:pStyle w:val="44"/>
        <w:spacing w:beforeAutospacing="0" w:line="560" w:lineRule="exact"/>
        <w:jc w:val="center"/>
        <w:rPr>
          <w:rFonts w:cs="宋体"/>
          <w:b/>
          <w:color w:val="auto"/>
          <w:sz w:val="36"/>
          <w:szCs w:val="20"/>
        </w:rPr>
      </w:pPr>
      <w:bookmarkStart w:id="0" w:name="_Toc9459"/>
      <w:bookmarkStart w:id="1" w:name="_Toc27338"/>
      <w:bookmarkStart w:id="2" w:name="_Toc101328520"/>
      <w:bookmarkStart w:id="3" w:name="_Toc101234248"/>
      <w:bookmarkStart w:id="4" w:name="_Toc148505181"/>
      <w:bookmarkStart w:id="5" w:name="_Toc101247312"/>
      <w:r>
        <w:rPr>
          <w:rFonts w:hint="eastAsia" w:cs="宋体"/>
          <w:b/>
          <w:color w:val="auto"/>
          <w:sz w:val="36"/>
          <w:szCs w:val="20"/>
        </w:rPr>
        <w:t>目录</w:t>
      </w:r>
    </w:p>
    <w:p w14:paraId="61BFEC42">
      <w:pPr>
        <w:pStyle w:val="32"/>
        <w:tabs>
          <w:tab w:val="right" w:leader="hyphen" w:pos="8312"/>
          <w:tab w:val="clear" w:pos="709"/>
          <w:tab w:val="clear" w:pos="8364"/>
        </w:tabs>
        <w:rPr>
          <w:rFonts w:ascii="黑体" w:hAnsi="黑体" w:eastAsia="黑体" w:cs="黑体"/>
          <w:color w:val="auto"/>
          <w:sz w:val="28"/>
          <w:szCs w:val="28"/>
        </w:rPr>
      </w:pP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TOC \o "1-1" \h \u </w:instrText>
      </w:r>
      <w:r>
        <w:rPr>
          <w:rFonts w:hint="eastAsia" w:ascii="黑体" w:hAnsi="黑体" w:eastAsia="黑体" w:cs="黑体"/>
          <w:color w:val="auto"/>
          <w:sz w:val="28"/>
          <w:szCs w:val="28"/>
        </w:rPr>
        <w:fldChar w:fldCharType="separate"/>
      </w:r>
      <w:r>
        <w:rPr>
          <w:color w:val="auto"/>
        </w:rPr>
        <w:fldChar w:fldCharType="begin"/>
      </w:r>
      <w:r>
        <w:rPr>
          <w:color w:val="auto"/>
        </w:rPr>
        <w:instrText xml:space="preserve"> HYPERLINK \l "_Toc10001" </w:instrText>
      </w:r>
      <w:r>
        <w:rPr>
          <w:color w:val="auto"/>
        </w:rPr>
        <w:fldChar w:fldCharType="separate"/>
      </w:r>
      <w:r>
        <w:rPr>
          <w:rFonts w:hint="eastAsia" w:ascii="黑体" w:hAnsi="黑体" w:eastAsia="黑体" w:cs="黑体"/>
          <w:color w:val="auto"/>
          <w:sz w:val="28"/>
          <w:szCs w:val="28"/>
        </w:rPr>
        <w:t>第1章 招标公告</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_Toc10001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4C7C5F7">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"_Toc15318" </w:instrText>
      </w:r>
      <w:r>
        <w:rPr>
          <w:color w:val="auto"/>
        </w:rPr>
        <w:fldChar w:fldCharType="separate"/>
      </w:r>
      <w:r>
        <w:rPr>
          <w:rFonts w:hint="eastAsia" w:ascii="黑体" w:hAnsi="黑体" w:eastAsia="黑体" w:cs="黑体"/>
          <w:color w:val="auto"/>
          <w:spacing w:val="-20"/>
          <w:kern w:val="44"/>
          <w:sz w:val="28"/>
          <w:szCs w:val="28"/>
        </w:rPr>
        <w:t>第2章 投标人须知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_Toc15318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64F2F50E">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"_Toc10696" </w:instrText>
      </w:r>
      <w:r>
        <w:rPr>
          <w:color w:val="auto"/>
        </w:rPr>
        <w:fldChar w:fldCharType="separate"/>
      </w:r>
      <w:r>
        <w:rPr>
          <w:rFonts w:hint="eastAsia" w:ascii="黑体" w:hAnsi="黑体" w:eastAsia="黑体" w:cs="黑体"/>
          <w:color w:val="auto"/>
          <w:spacing w:val="-20"/>
          <w:kern w:val="44"/>
          <w:sz w:val="28"/>
          <w:szCs w:val="28"/>
        </w:rPr>
        <w:t>第3章 投标文件格式</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_Toc10696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4D41D7E">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"_Toc32736" </w:instrText>
      </w:r>
      <w:r>
        <w:rPr>
          <w:color w:val="auto"/>
        </w:rPr>
        <w:fldChar w:fldCharType="separate"/>
      </w:r>
      <w:r>
        <w:rPr>
          <w:rFonts w:hint="eastAsia" w:ascii="黑体" w:hAnsi="黑体" w:eastAsia="黑体" w:cs="黑体"/>
          <w:color w:val="auto"/>
          <w:sz w:val="28"/>
          <w:szCs w:val="28"/>
        </w:rPr>
        <w:t>第4章 采购需求</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_Toc32736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7270C9F0">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"_Toc28612" </w:instrText>
      </w:r>
      <w:r>
        <w:rPr>
          <w:color w:val="auto"/>
        </w:rPr>
        <w:fldChar w:fldCharType="separate"/>
      </w:r>
      <w:r>
        <w:rPr>
          <w:rFonts w:hint="eastAsia" w:ascii="黑体" w:hAnsi="黑体" w:eastAsia="黑体" w:cs="黑体"/>
          <w:color w:val="auto"/>
          <w:sz w:val="28"/>
          <w:szCs w:val="28"/>
        </w:rPr>
        <w:t>第5章 资格性审查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_Toc28612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38</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2FD6CE68">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"_Toc5057" </w:instrText>
      </w:r>
      <w:r>
        <w:rPr>
          <w:color w:val="auto"/>
        </w:rPr>
        <w:fldChar w:fldCharType="separate"/>
      </w:r>
      <w:r>
        <w:rPr>
          <w:rFonts w:hint="eastAsia" w:ascii="黑体" w:hAnsi="黑体" w:eastAsia="黑体" w:cs="黑体"/>
          <w:color w:val="auto"/>
          <w:spacing w:val="-20"/>
          <w:kern w:val="44"/>
          <w:sz w:val="28"/>
          <w:szCs w:val="28"/>
        </w:rPr>
        <w:t>第6章 评标办法</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_Toc5057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40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032FA6B5">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"_Toc11838" </w:instrText>
      </w:r>
      <w:r>
        <w:rPr>
          <w:color w:val="auto"/>
        </w:rPr>
        <w:fldChar w:fldCharType="separate"/>
      </w:r>
      <w:r>
        <w:rPr>
          <w:rFonts w:hint="eastAsia" w:ascii="黑体" w:hAnsi="黑体" w:eastAsia="黑体" w:cs="黑体"/>
          <w:color w:val="auto"/>
          <w:spacing w:val="-20"/>
          <w:kern w:val="44"/>
          <w:sz w:val="28"/>
          <w:szCs w:val="28"/>
        </w:rPr>
        <w:t>第7章 拟签订的合同文本</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_Toc11838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52</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E2E5DF3">
      <w:pPr>
        <w:tabs>
          <w:tab w:val="left" w:pos="1804"/>
        </w:tabs>
        <w:jc w:val="left"/>
        <w:rPr>
          <w:color w:val="auto"/>
        </w:rPr>
        <w:sectPr>
          <w:footerReference r:id="rId6" w:type="default"/>
          <w:pgSz w:w="11906" w:h="16838"/>
          <w:pgMar w:top="1440" w:right="1797" w:bottom="1440" w:left="1797" w:header="851" w:footer="992" w:gutter="0"/>
          <w:pgNumType w:start="1"/>
          <w:cols w:space="720" w:num="1"/>
          <w:docGrid w:type="linesAndChars" w:linePitch="312" w:charSpace="0"/>
        </w:sectPr>
      </w:pPr>
      <w:r>
        <w:rPr>
          <w:rFonts w:hint="eastAsia" w:ascii="黑体" w:hAnsi="黑体" w:eastAsia="黑体" w:cs="黑体"/>
          <w:color w:val="auto"/>
          <w:sz w:val="28"/>
          <w:szCs w:val="28"/>
        </w:rPr>
        <w:fldChar w:fldCharType="end"/>
      </w:r>
    </w:p>
    <w:p w14:paraId="61DCE9A2">
      <w:pPr>
        <w:pStyle w:val="44"/>
        <w:spacing w:beforeAutospacing="0" w:line="560" w:lineRule="exact"/>
        <w:jc w:val="center"/>
        <w:outlineLvl w:val="0"/>
        <w:rPr>
          <w:rFonts w:cs="宋体"/>
          <w:b/>
          <w:color w:val="auto"/>
          <w:sz w:val="36"/>
          <w:szCs w:val="20"/>
        </w:rPr>
      </w:pPr>
      <w:bookmarkStart w:id="6" w:name="_Toc10001"/>
      <w:r>
        <w:rPr>
          <w:rFonts w:hint="eastAsia" w:cs="宋体"/>
          <w:b/>
          <w:color w:val="auto"/>
          <w:sz w:val="36"/>
          <w:szCs w:val="20"/>
        </w:rPr>
        <w:t>第1章 招标公告</w:t>
      </w:r>
      <w:bookmarkEnd w:id="0"/>
      <w:bookmarkEnd w:id="1"/>
      <w:bookmarkEnd w:id="6"/>
    </w:p>
    <w:p w14:paraId="32941E66">
      <w:pPr>
        <w:spacing w:line="520" w:lineRule="exact"/>
        <w:ind w:firstLine="640" w:firstLineChars="200"/>
        <w:rPr>
          <w:rFonts w:ascii="仿宋" w:hAnsi="仿宋" w:cs="仿宋"/>
          <w:b/>
          <w:bCs/>
          <w:color w:val="auto"/>
          <w:sz w:val="32"/>
          <w:szCs w:val="32"/>
        </w:rPr>
      </w:pPr>
      <w:r>
        <w:rPr>
          <w:rFonts w:hint="eastAsia" w:ascii="仿宋" w:hAnsi="仿宋" w:cs="仿宋"/>
          <w:color w:val="auto"/>
          <w:sz w:val="32"/>
          <w:szCs w:val="32"/>
        </w:rPr>
        <mc:AlternateContent>
          <mc:Choice Requires="wps">
            <w:drawing>
              <wp:anchor distT="0" distB="0" distL="114300" distR="114300" simplePos="0" relativeHeight="25165926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2"/>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769B973">
                            <w:pPr>
                              <w:spacing w:line="520" w:lineRule="exact"/>
                              <w:rPr>
                                <w:rFonts w:ascii="仿宋" w:hAnsi="仿宋" w:cs="仿宋"/>
                                <w:color w:val="auto"/>
                                <w:sz w:val="32"/>
                                <w:szCs w:val="32"/>
                              </w:rPr>
                            </w:pPr>
                            <w:r>
                              <w:rPr>
                                <w:rFonts w:hint="eastAsia" w:ascii="仿宋" w:hAnsi="仿宋" w:cs="仿宋"/>
                                <w:color w:val="auto"/>
                                <w:sz w:val="32"/>
                                <w:szCs w:val="32"/>
                              </w:rPr>
                              <w:t>项目概况</w:t>
                            </w:r>
                          </w:p>
                          <w:p w14:paraId="3F52441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新疆和田县银石山一带银铜多金属矿普查项目（物探）招标项目的潜在投标人应在政采云平台线上获取采购文件，并于2025年5月1</w:t>
                            </w:r>
                            <w:r>
                              <w:rPr>
                                <w:rFonts w:hint="eastAsia" w:ascii="仿宋" w:hAnsi="仿宋" w:cs="仿宋"/>
                                <w:color w:val="auto"/>
                                <w:sz w:val="32"/>
                                <w:szCs w:val="32"/>
                                <w:lang w:val="en-US" w:eastAsia="zh-CN"/>
                              </w:rPr>
                              <w:t>3</w:t>
                            </w:r>
                            <w:r>
                              <w:rPr>
                                <w:rFonts w:hint="eastAsia" w:ascii="仿宋" w:hAnsi="仿宋" w:cs="仿宋"/>
                                <w:color w:val="auto"/>
                                <w:sz w:val="32"/>
                                <w:szCs w:val="32"/>
                              </w:rPr>
                              <w:t>日 11:00（北京时间）前递交投标文件。</w:t>
                            </w:r>
                          </w:p>
                          <w:p w14:paraId="59D82047">
                            <w:pPr>
                              <w:rPr>
                                <w:color w:val="auto"/>
                              </w:rPr>
                            </w:pPr>
                          </w:p>
                        </w:txbxContent>
                      </wps:txbx>
                      <wps:bodyPr wrap="square" upright="1"/>
                    </wps:wsp>
                  </a:graphicData>
                </a:graphic>
              </wp:anchor>
            </w:drawing>
          </mc:Choice>
          <mc:Fallback>
            <w:pict>
              <v:shape id="文本框 2" o:spid="_x0000_s1026" o:spt="202" type="#_x0000_t202" style="position:absolute;left:0pt;margin-left:-9.45pt;margin-top:4.3pt;height:111.3pt;width:438.65pt;mso-wrap-distance-bottom:0pt;mso-wrap-distance-top:0pt;z-index:25165926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Z5lptkAAAAJAQAADwAA&#10;AAAAAAABACAAAAAiAAAAZHJzL2Rvd25yZXYueG1sUEsBAhQAFAAAAAgAh07iQLERddAVAgAARQQA&#10;AA4AAAAAAAAAAQAgAAAAKAEAAGRycy9lMm9Eb2MueG1sUEsFBgAAAAAGAAYAWQEAAK8FAAAAAA==&#10;">
                <v:fill on="t" focussize="0,0"/>
                <v:stroke color="#000000" joinstyle="miter"/>
                <v:imagedata o:title=""/>
                <o:lock v:ext="edit" aspectratio="f"/>
                <v:textbox>
                  <w:txbxContent>
                    <w:p w14:paraId="5769B973">
                      <w:pPr>
                        <w:spacing w:line="520" w:lineRule="exact"/>
                        <w:rPr>
                          <w:rFonts w:ascii="仿宋" w:hAnsi="仿宋" w:cs="仿宋"/>
                          <w:color w:val="auto"/>
                          <w:sz w:val="32"/>
                          <w:szCs w:val="32"/>
                        </w:rPr>
                      </w:pPr>
                      <w:r>
                        <w:rPr>
                          <w:rFonts w:hint="eastAsia" w:ascii="仿宋" w:hAnsi="仿宋" w:cs="仿宋"/>
                          <w:color w:val="auto"/>
                          <w:sz w:val="32"/>
                          <w:szCs w:val="32"/>
                        </w:rPr>
                        <w:t>项目概况</w:t>
                      </w:r>
                    </w:p>
                    <w:p w14:paraId="3F52441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新疆和田县银石山一带银铜多金属矿普查项目（物探）招标项目的潜在投标人应在政采云平台线上获取采购文件，并于2025年5月1</w:t>
                      </w:r>
                      <w:r>
                        <w:rPr>
                          <w:rFonts w:hint="eastAsia" w:ascii="仿宋" w:hAnsi="仿宋" w:cs="仿宋"/>
                          <w:color w:val="auto"/>
                          <w:sz w:val="32"/>
                          <w:szCs w:val="32"/>
                          <w:lang w:val="en-US" w:eastAsia="zh-CN"/>
                        </w:rPr>
                        <w:t>3</w:t>
                      </w:r>
                      <w:r>
                        <w:rPr>
                          <w:rFonts w:hint="eastAsia" w:ascii="仿宋" w:hAnsi="仿宋" w:cs="仿宋"/>
                          <w:color w:val="auto"/>
                          <w:sz w:val="32"/>
                          <w:szCs w:val="32"/>
                        </w:rPr>
                        <w:t>日 11:00（北京时间）前递交投标文件。</w:t>
                      </w:r>
                    </w:p>
                    <w:p w14:paraId="59D82047">
                      <w:pPr>
                        <w:rPr>
                          <w:color w:val="auto"/>
                        </w:rPr>
                      </w:pPr>
                    </w:p>
                  </w:txbxContent>
                </v:textbox>
                <w10:wrap type="topAndBottom"/>
              </v:shape>
            </w:pict>
          </mc:Fallback>
        </mc:AlternateContent>
      </w:r>
      <w:r>
        <w:rPr>
          <w:rFonts w:hint="eastAsia" w:ascii="仿宋" w:hAnsi="仿宋" w:cs="仿宋"/>
          <w:b/>
          <w:bCs/>
          <w:color w:val="auto"/>
          <w:sz w:val="32"/>
          <w:szCs w:val="32"/>
        </w:rPr>
        <w:t>一、项目基本情况</w:t>
      </w:r>
    </w:p>
    <w:p w14:paraId="04C56CFD">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项目编号：GYZB-2025-48-CG</w:t>
      </w:r>
    </w:p>
    <w:p w14:paraId="107394F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项目名称：新疆和田县银石山一带银铜多金属矿普查项目（物探）</w:t>
      </w:r>
    </w:p>
    <w:p w14:paraId="4B9A4EC8">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采购方式：公开招标</w:t>
      </w:r>
    </w:p>
    <w:p w14:paraId="19D9E04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预算金额（元）：339300.00</w:t>
      </w:r>
    </w:p>
    <w:p w14:paraId="3BF1DC3D">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最高限价（元）：339300.00</w:t>
      </w:r>
    </w:p>
    <w:p w14:paraId="6E757C6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简要规格描述或项目基本概况介绍、用途：新疆和田县银石山一带银铜多金属矿普查项目（物探）（具体内容详见招标文件）。</w:t>
      </w:r>
    </w:p>
    <w:p w14:paraId="306A4EFB">
      <w:pPr>
        <w:pStyle w:val="5"/>
        <w:ind w:firstLine="640" w:firstLineChars="200"/>
        <w:rPr>
          <w:rFonts w:hint="eastAsia" w:ascii="仿宋" w:hAnsi="仿宋" w:eastAsia="仿宋" w:cs="仿宋"/>
          <w:color w:val="auto"/>
          <w:kern w:val="2"/>
          <w:sz w:val="32"/>
          <w:szCs w:val="32"/>
          <w:lang w:eastAsia="zh-CN"/>
        </w:rPr>
      </w:pPr>
      <w:r>
        <w:rPr>
          <w:rFonts w:hint="eastAsia" w:ascii="仿宋" w:hAnsi="仿宋" w:eastAsia="仿宋" w:cs="仿宋"/>
          <w:color w:val="auto"/>
          <w:kern w:val="2"/>
          <w:sz w:val="32"/>
          <w:szCs w:val="32"/>
        </w:rPr>
        <w:t>备注：1:1万磁法1825.6元/千米×40千米</w:t>
      </w:r>
      <w:r>
        <w:rPr>
          <w:rFonts w:hint="eastAsia" w:ascii="仿宋" w:hAnsi="仿宋" w:eastAsia="仿宋" w:cs="仿宋"/>
          <w:color w:val="auto"/>
          <w:kern w:val="2"/>
          <w:sz w:val="32"/>
          <w:szCs w:val="32"/>
          <w:lang w:eastAsia="zh-CN"/>
        </w:rPr>
        <w:t>，</w:t>
      </w:r>
      <w:r>
        <w:rPr>
          <w:rFonts w:hint="eastAsia" w:ascii="仿宋" w:hAnsi="仿宋" w:eastAsia="仿宋" w:cs="仿宋"/>
          <w:color w:val="auto"/>
          <w:kern w:val="2"/>
          <w:sz w:val="32"/>
          <w:szCs w:val="32"/>
        </w:rPr>
        <w:t>1:1万重力5368.45元/千米×40千米</w:t>
      </w:r>
      <w:r>
        <w:rPr>
          <w:rFonts w:hint="eastAsia" w:ascii="仿宋" w:hAnsi="仿宋" w:eastAsia="仿宋" w:cs="仿宋"/>
          <w:color w:val="auto"/>
          <w:kern w:val="2"/>
          <w:sz w:val="32"/>
          <w:szCs w:val="32"/>
          <w:lang w:eastAsia="zh-CN"/>
        </w:rPr>
        <w:t>，</w:t>
      </w:r>
      <w:r>
        <w:rPr>
          <w:rFonts w:hint="eastAsia" w:ascii="仿宋" w:hAnsi="仿宋" w:eastAsia="仿宋" w:cs="仿宋"/>
          <w:color w:val="auto"/>
          <w:kern w:val="2"/>
          <w:sz w:val="32"/>
          <w:szCs w:val="32"/>
        </w:rPr>
        <w:t>1:1万激电5153.8元/千米×10千米</w:t>
      </w:r>
      <w:r>
        <w:rPr>
          <w:rFonts w:hint="eastAsia" w:ascii="仿宋" w:hAnsi="仿宋" w:eastAsia="仿宋" w:cs="仿宋"/>
          <w:color w:val="auto"/>
          <w:kern w:val="2"/>
          <w:sz w:val="32"/>
          <w:szCs w:val="32"/>
          <w:lang w:eastAsia="zh-CN"/>
        </w:rPr>
        <w:t>。</w:t>
      </w:r>
    </w:p>
    <w:p w14:paraId="2498590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合同履约期限：2025年6月—2025年</w:t>
      </w:r>
      <w:r>
        <w:rPr>
          <w:rFonts w:hint="eastAsia" w:ascii="仿宋" w:hAnsi="仿宋" w:cs="仿宋"/>
          <w:color w:val="auto"/>
          <w:sz w:val="32"/>
          <w:szCs w:val="32"/>
          <w:lang w:val="en-US" w:eastAsia="zh-CN"/>
        </w:rPr>
        <w:t>8</w:t>
      </w:r>
      <w:r>
        <w:rPr>
          <w:rFonts w:hint="eastAsia" w:ascii="仿宋" w:hAnsi="仿宋" w:cs="仿宋"/>
          <w:color w:val="auto"/>
          <w:sz w:val="32"/>
          <w:szCs w:val="32"/>
        </w:rPr>
        <w:t>月</w:t>
      </w:r>
    </w:p>
    <w:p w14:paraId="758C169C">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本项目（否）接受联合体投标。</w:t>
      </w:r>
    </w:p>
    <w:p w14:paraId="516E89B5">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二、申请人的资格要求：</w:t>
      </w:r>
    </w:p>
    <w:p w14:paraId="74DCB09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1.满足《中华人民共和国政府采购法》第二十二条规定；</w:t>
      </w:r>
    </w:p>
    <w:p w14:paraId="62B0A31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2.落实政府采购政策需满足的资格要求：本项目为专门面向中小企业采购项目。</w:t>
      </w:r>
    </w:p>
    <w:p w14:paraId="65CBCCA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3.本项目的特定资格要求：无。</w:t>
      </w:r>
    </w:p>
    <w:p w14:paraId="35EDBE8D">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4.具有有效的营业执照/事业单位法人证书正本或副本；</w:t>
      </w:r>
    </w:p>
    <w:p w14:paraId="647F3C5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062D2A43">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6.有依法缴纳税收和社会保障资金的良好记录；（需提供开标前近3个月任意一月社保部门出具的投标单位的缴纳社保证明和依法纳税的相关证明文件）</w:t>
      </w:r>
    </w:p>
    <w:p w14:paraId="5A79378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7.参加政府采购活动前三年内，在经营活动中没有重大违法记录承诺书；</w:t>
      </w:r>
    </w:p>
    <w:p w14:paraId="3EDC3803">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8.提供针对本次项目的反商业贿赂承诺书；</w:t>
      </w:r>
    </w:p>
    <w:p w14:paraId="2738352D">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三、获取采购文件</w:t>
      </w:r>
    </w:p>
    <w:p w14:paraId="19D541C5">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时间：2025年4月</w:t>
      </w:r>
      <w:r>
        <w:rPr>
          <w:rFonts w:hint="eastAsia" w:ascii="仿宋" w:hAnsi="仿宋" w:cs="仿宋"/>
          <w:color w:val="auto"/>
          <w:sz w:val="32"/>
          <w:szCs w:val="32"/>
          <w:lang w:val="en-US" w:eastAsia="zh-CN"/>
        </w:rPr>
        <w:t>22</w:t>
      </w:r>
      <w:r>
        <w:rPr>
          <w:rFonts w:hint="eastAsia" w:ascii="仿宋" w:hAnsi="仿宋" w:cs="仿宋"/>
          <w:color w:val="auto"/>
          <w:sz w:val="32"/>
          <w:szCs w:val="32"/>
        </w:rPr>
        <w:t>日至2025年4月2</w:t>
      </w:r>
      <w:r>
        <w:rPr>
          <w:rFonts w:hint="eastAsia" w:ascii="仿宋" w:hAnsi="仿宋" w:cs="仿宋"/>
          <w:color w:val="auto"/>
          <w:sz w:val="32"/>
          <w:szCs w:val="32"/>
          <w:lang w:val="en-US" w:eastAsia="zh-CN"/>
        </w:rPr>
        <w:t>8</w:t>
      </w:r>
      <w:r>
        <w:rPr>
          <w:rFonts w:hint="eastAsia" w:ascii="仿宋" w:hAnsi="仿宋" w:cs="仿宋"/>
          <w:color w:val="auto"/>
          <w:sz w:val="32"/>
          <w:szCs w:val="32"/>
        </w:rPr>
        <w:t>日，全天24小时线上平台获取（北京时间，法定节假日除外）</w:t>
      </w:r>
    </w:p>
    <w:p w14:paraId="6E78950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地点：政采云平台线上</w:t>
      </w:r>
    </w:p>
    <w:p w14:paraId="45F75D2B">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方式：供应商登录政采云平台https://www.zcygov.cn/在线申请获取采购文件（进入“项目采购”应用，在获取采购文件菜单中选择项目，申请获取采购文件）</w:t>
      </w:r>
    </w:p>
    <w:p w14:paraId="15D6206D">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售价（元）：0</w:t>
      </w:r>
    </w:p>
    <w:p w14:paraId="164581DF">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四、提交投标文件截止时间、开标时间和地点</w:t>
      </w:r>
    </w:p>
    <w:p w14:paraId="5F0ED63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提交投标文件截止时间：2025年5月1</w:t>
      </w:r>
      <w:r>
        <w:rPr>
          <w:rFonts w:hint="eastAsia" w:ascii="仿宋" w:hAnsi="仿宋" w:cs="仿宋"/>
          <w:color w:val="auto"/>
          <w:sz w:val="32"/>
          <w:szCs w:val="32"/>
          <w:lang w:val="en-US" w:eastAsia="zh-CN"/>
        </w:rPr>
        <w:t>3</w:t>
      </w:r>
      <w:r>
        <w:rPr>
          <w:rFonts w:hint="eastAsia" w:ascii="仿宋" w:hAnsi="仿宋" w:cs="仿宋"/>
          <w:color w:val="auto"/>
          <w:sz w:val="32"/>
          <w:szCs w:val="32"/>
        </w:rPr>
        <w:t>日 11:00（北京时间）</w:t>
      </w:r>
    </w:p>
    <w:p w14:paraId="4DD2008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投标地点：请登录政采云投标客户端投标</w:t>
      </w:r>
    </w:p>
    <w:p w14:paraId="6E0C8B1B">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开标时间：2025年5月1</w:t>
      </w:r>
      <w:r>
        <w:rPr>
          <w:rFonts w:hint="eastAsia" w:ascii="仿宋" w:hAnsi="仿宋" w:cs="仿宋"/>
          <w:color w:val="auto"/>
          <w:sz w:val="32"/>
          <w:szCs w:val="32"/>
          <w:lang w:val="en-US" w:eastAsia="zh-CN"/>
        </w:rPr>
        <w:t>3</w:t>
      </w:r>
      <w:r>
        <w:rPr>
          <w:rFonts w:hint="eastAsia" w:ascii="仿宋" w:hAnsi="仿宋" w:cs="仿宋"/>
          <w:color w:val="auto"/>
          <w:sz w:val="32"/>
          <w:szCs w:val="32"/>
        </w:rPr>
        <w:t>日 11:00（北京时间）</w:t>
      </w:r>
    </w:p>
    <w:p w14:paraId="11849CD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开标地点：投标人登录政采云平台https://www.zcygov.cn/，进入“项目采购-开标评标-右边选择对应项目点击“进入项目”进入开标大厅。</w:t>
      </w:r>
    </w:p>
    <w:p w14:paraId="4C1FA400">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五、公告期限</w:t>
      </w:r>
    </w:p>
    <w:p w14:paraId="01442699">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自本公告发布之日起5个工作日</w:t>
      </w:r>
    </w:p>
    <w:p w14:paraId="0CB66A85">
      <w:pPr>
        <w:spacing w:line="520" w:lineRule="exact"/>
        <w:ind w:firstLine="640" w:firstLineChars="200"/>
        <w:rPr>
          <w:rFonts w:ascii="仿宋" w:hAnsi="仿宋" w:cs="仿宋"/>
          <w:color w:val="auto"/>
          <w:sz w:val="32"/>
          <w:szCs w:val="32"/>
        </w:rPr>
      </w:pPr>
      <w:r>
        <w:rPr>
          <w:rFonts w:hint="eastAsia" w:ascii="仿宋" w:hAnsi="仿宋" w:cs="仿宋"/>
          <w:b/>
          <w:bCs/>
          <w:color w:val="auto"/>
          <w:sz w:val="32"/>
          <w:szCs w:val="32"/>
        </w:rPr>
        <w:t>六、其他补充事宜</w:t>
      </w:r>
    </w:p>
    <w:p w14:paraId="429A10D3">
      <w:pPr>
        <w:spacing w:line="520" w:lineRule="exact"/>
        <w:ind w:firstLine="560" w:firstLineChars="200"/>
        <w:rPr>
          <w:rFonts w:ascii="仿宋" w:hAnsi="仿宋" w:cs="仿宋"/>
          <w:color w:val="auto"/>
          <w:sz w:val="28"/>
          <w:szCs w:val="28"/>
        </w:rPr>
      </w:pPr>
      <w:r>
        <w:rPr>
          <w:rFonts w:hint="eastAsia" w:ascii="仿宋" w:hAnsi="仿宋" w:cs="仿宋"/>
          <w:color w:val="auto"/>
          <w:sz w:val="28"/>
          <w:szCs w:val="28"/>
        </w:rPr>
        <w:t>特别提示：</w:t>
      </w:r>
    </w:p>
    <w:p w14:paraId="382DA2BF">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6CF50E29">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3A382C06">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1F93B614">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3005E75">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E71A59A">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七、对本次采购提出询问，请按以下方式联系</w:t>
      </w:r>
    </w:p>
    <w:p w14:paraId="5CA5EDE4">
      <w:pPr>
        <w:jc w:val="left"/>
        <w:rPr>
          <w:rFonts w:ascii="仿宋" w:hAnsi="仿宋" w:cs="仿宋"/>
          <w:color w:val="auto"/>
          <w:sz w:val="32"/>
          <w:szCs w:val="32"/>
        </w:rPr>
      </w:pPr>
      <w:r>
        <w:rPr>
          <w:rFonts w:hint="eastAsia" w:ascii="仿宋" w:hAnsi="仿宋" w:cs="仿宋"/>
          <w:color w:val="auto"/>
          <w:sz w:val="32"/>
          <w:szCs w:val="32"/>
        </w:rPr>
        <w:t>1.采购人信息</w:t>
      </w:r>
    </w:p>
    <w:p w14:paraId="723EDFBF">
      <w:pPr>
        <w:jc w:val="left"/>
        <w:rPr>
          <w:rFonts w:ascii="仿宋" w:hAnsi="仿宋" w:cs="仿宋"/>
          <w:color w:val="auto"/>
          <w:sz w:val="32"/>
          <w:szCs w:val="32"/>
        </w:rPr>
      </w:pPr>
      <w:r>
        <w:rPr>
          <w:rFonts w:hint="eastAsia" w:ascii="仿宋" w:hAnsi="仿宋" w:cs="仿宋"/>
          <w:color w:val="auto"/>
          <w:sz w:val="32"/>
          <w:szCs w:val="32"/>
        </w:rPr>
        <w:t>名称：新疆维吾尔自治区地质研究院</w:t>
      </w:r>
    </w:p>
    <w:p w14:paraId="71EBA322">
      <w:pPr>
        <w:jc w:val="left"/>
        <w:rPr>
          <w:rFonts w:ascii="仿宋" w:hAnsi="仿宋" w:cs="仿宋"/>
          <w:color w:val="auto"/>
          <w:sz w:val="32"/>
          <w:szCs w:val="32"/>
        </w:rPr>
      </w:pPr>
      <w:r>
        <w:rPr>
          <w:rFonts w:hint="eastAsia" w:ascii="仿宋" w:hAnsi="仿宋" w:cs="仿宋"/>
          <w:color w:val="auto"/>
          <w:sz w:val="32"/>
          <w:szCs w:val="32"/>
        </w:rPr>
        <w:t>地址：乌鲁木齐市沙依巴克区泽普街466号‌‌</w:t>
      </w:r>
    </w:p>
    <w:p w14:paraId="3899A26D">
      <w:pPr>
        <w:jc w:val="left"/>
        <w:rPr>
          <w:rFonts w:hint="default" w:ascii="仿宋" w:hAnsi="仿宋" w:eastAsia="仿宋" w:cs="仿宋"/>
          <w:color w:val="auto"/>
          <w:sz w:val="32"/>
          <w:szCs w:val="32"/>
          <w:lang w:val="en-US" w:eastAsia="zh-CN"/>
        </w:rPr>
      </w:pPr>
      <w:r>
        <w:rPr>
          <w:rFonts w:hint="eastAsia" w:ascii="仿宋" w:hAnsi="仿宋" w:cs="仿宋"/>
          <w:color w:val="auto"/>
          <w:sz w:val="32"/>
          <w:szCs w:val="32"/>
        </w:rPr>
        <w:t>联系方式：</w:t>
      </w:r>
      <w:r>
        <w:rPr>
          <w:rFonts w:hint="eastAsia" w:ascii="仿宋" w:hAnsi="仿宋" w:cs="仿宋"/>
          <w:color w:val="auto"/>
          <w:sz w:val="32"/>
          <w:szCs w:val="32"/>
          <w:lang w:val="en-US" w:eastAsia="zh-CN"/>
        </w:rPr>
        <w:t>15292887109</w:t>
      </w:r>
    </w:p>
    <w:p w14:paraId="561C0FCA">
      <w:pPr>
        <w:jc w:val="left"/>
        <w:rPr>
          <w:rFonts w:ascii="仿宋" w:hAnsi="仿宋" w:cs="仿宋"/>
          <w:color w:val="auto"/>
          <w:sz w:val="32"/>
          <w:szCs w:val="32"/>
        </w:rPr>
      </w:pPr>
      <w:r>
        <w:rPr>
          <w:rFonts w:hint="eastAsia" w:ascii="仿宋" w:hAnsi="仿宋" w:cs="仿宋"/>
          <w:color w:val="auto"/>
          <w:sz w:val="32"/>
          <w:szCs w:val="32"/>
        </w:rPr>
        <w:t>2.采购代理机构信息</w:t>
      </w:r>
    </w:p>
    <w:p w14:paraId="527B2789">
      <w:pPr>
        <w:jc w:val="left"/>
        <w:rPr>
          <w:rFonts w:ascii="仿宋" w:hAnsi="仿宋" w:cs="仿宋"/>
          <w:color w:val="auto"/>
          <w:sz w:val="32"/>
          <w:szCs w:val="32"/>
        </w:rPr>
      </w:pPr>
      <w:r>
        <w:rPr>
          <w:rFonts w:hint="eastAsia" w:ascii="仿宋" w:hAnsi="仿宋" w:cs="仿宋"/>
          <w:color w:val="auto"/>
          <w:sz w:val="32"/>
          <w:szCs w:val="32"/>
        </w:rPr>
        <w:t>名称：新疆国源土地矿产资源交易中心（有限公司）</w:t>
      </w:r>
    </w:p>
    <w:p w14:paraId="00551EE0">
      <w:pPr>
        <w:jc w:val="left"/>
        <w:rPr>
          <w:rFonts w:ascii="仿宋" w:hAnsi="仿宋" w:cs="仿宋"/>
          <w:color w:val="auto"/>
          <w:sz w:val="32"/>
          <w:szCs w:val="32"/>
        </w:rPr>
      </w:pPr>
      <w:r>
        <w:rPr>
          <w:rFonts w:hint="eastAsia" w:ascii="仿宋" w:hAnsi="仿宋" w:cs="仿宋"/>
          <w:color w:val="auto"/>
          <w:sz w:val="32"/>
          <w:szCs w:val="32"/>
        </w:rPr>
        <w:t xml:space="preserve">地址：乌鲁木齐市城北大道乐天孵化园南区G12幢 </w:t>
      </w:r>
    </w:p>
    <w:p w14:paraId="08D77C88">
      <w:pPr>
        <w:jc w:val="left"/>
        <w:rPr>
          <w:rFonts w:ascii="仿宋" w:hAnsi="仿宋" w:cs="仿宋"/>
          <w:color w:val="auto"/>
          <w:sz w:val="32"/>
          <w:szCs w:val="32"/>
        </w:rPr>
      </w:pPr>
      <w:r>
        <w:rPr>
          <w:rFonts w:hint="eastAsia" w:ascii="仿宋" w:hAnsi="仿宋" w:cs="仿宋"/>
          <w:color w:val="auto"/>
          <w:sz w:val="32"/>
          <w:szCs w:val="32"/>
        </w:rPr>
        <w:t>联系方式：15160993540、15299487280</w:t>
      </w:r>
    </w:p>
    <w:p w14:paraId="3D86DB13">
      <w:pPr>
        <w:jc w:val="left"/>
        <w:rPr>
          <w:rFonts w:ascii="仿宋" w:hAnsi="仿宋" w:cs="仿宋"/>
          <w:color w:val="auto"/>
          <w:sz w:val="32"/>
          <w:szCs w:val="32"/>
        </w:rPr>
      </w:pPr>
      <w:r>
        <w:rPr>
          <w:rFonts w:hint="eastAsia" w:ascii="仿宋" w:hAnsi="仿宋" w:cs="仿宋"/>
          <w:color w:val="auto"/>
          <w:sz w:val="32"/>
          <w:szCs w:val="32"/>
        </w:rPr>
        <w:t>3.项目联系方式</w:t>
      </w:r>
    </w:p>
    <w:p w14:paraId="65C116BA">
      <w:pPr>
        <w:jc w:val="left"/>
        <w:rPr>
          <w:rFonts w:ascii="仿宋" w:hAnsi="仿宋" w:cs="仿宋"/>
          <w:color w:val="auto"/>
          <w:sz w:val="32"/>
          <w:szCs w:val="32"/>
        </w:rPr>
      </w:pPr>
      <w:r>
        <w:rPr>
          <w:rFonts w:hint="eastAsia" w:ascii="仿宋" w:hAnsi="仿宋" w:cs="仿宋"/>
          <w:color w:val="auto"/>
          <w:sz w:val="32"/>
          <w:szCs w:val="32"/>
        </w:rPr>
        <w:t>项目联系人：王亚婷、高嘉杰</w:t>
      </w:r>
    </w:p>
    <w:p w14:paraId="38598A24">
      <w:pPr>
        <w:jc w:val="left"/>
        <w:rPr>
          <w:rFonts w:ascii="仿宋" w:hAnsi="仿宋" w:cs="仿宋"/>
          <w:color w:val="auto"/>
        </w:rPr>
      </w:pPr>
      <w:r>
        <w:rPr>
          <w:rFonts w:hint="eastAsia" w:ascii="仿宋" w:hAnsi="仿宋" w:cs="仿宋"/>
          <w:color w:val="auto"/>
          <w:sz w:val="32"/>
          <w:szCs w:val="32"/>
        </w:rPr>
        <w:t>电话：15160993540、15299487280</w:t>
      </w:r>
      <w:r>
        <w:rPr>
          <w:rFonts w:hint="eastAsia" w:ascii="仿宋" w:hAnsi="仿宋" w:cs="仿宋"/>
          <w:color w:val="auto"/>
        </w:rPr>
        <w:br w:type="page"/>
      </w:r>
      <w:bookmarkStart w:id="7" w:name="_Toc29398"/>
    </w:p>
    <w:p w14:paraId="66B4F0EF">
      <w:pPr>
        <w:jc w:val="center"/>
        <w:outlineLvl w:val="0"/>
        <w:rPr>
          <w:rFonts w:ascii="宋体" w:hAnsi="宋体"/>
          <w:b/>
          <w:bCs/>
          <w:color w:val="auto"/>
          <w:spacing w:val="-20"/>
          <w:kern w:val="44"/>
          <w:sz w:val="32"/>
          <w:szCs w:val="32"/>
        </w:rPr>
      </w:pPr>
      <w:bookmarkStart w:id="8" w:name="_Toc15318"/>
      <w:bookmarkStart w:id="9" w:name="_Toc28879"/>
      <w:r>
        <w:rPr>
          <w:rFonts w:hint="eastAsia" w:ascii="宋体" w:hAnsi="宋体"/>
          <w:b/>
          <w:bCs/>
          <w:color w:val="auto"/>
          <w:spacing w:val="-20"/>
          <w:kern w:val="44"/>
          <w:sz w:val="32"/>
          <w:szCs w:val="32"/>
        </w:rPr>
        <w:t>第2章 投标人须知</w:t>
      </w:r>
      <w:bookmarkEnd w:id="7"/>
      <w:bookmarkEnd w:id="8"/>
      <w:bookmarkEnd w:id="9"/>
    </w:p>
    <w:p w14:paraId="33B2BF19">
      <w:pPr>
        <w:keepNext/>
        <w:keepLines/>
        <w:spacing w:before="260" w:after="260" w:line="360" w:lineRule="auto"/>
        <w:jc w:val="left"/>
        <w:outlineLvl w:val="1"/>
        <w:rPr>
          <w:rFonts w:ascii="宋体" w:hAnsi="宋体"/>
          <w:b/>
          <w:bCs/>
          <w:color w:val="auto"/>
          <w:sz w:val="28"/>
          <w:szCs w:val="28"/>
        </w:rPr>
      </w:pPr>
      <w:bookmarkStart w:id="10" w:name="_Toc316462344"/>
      <w:bookmarkStart w:id="11" w:name="_Toc213496268"/>
      <w:bookmarkStart w:id="12" w:name="_Toc217446032"/>
      <w:bookmarkStart w:id="13" w:name="_Toc213396946"/>
      <w:bookmarkStart w:id="14" w:name="_Toc213396760"/>
      <w:bookmarkStart w:id="15" w:name="_Toc18491"/>
      <w:bookmarkStart w:id="16" w:name="_Toc213397010"/>
      <w:bookmarkStart w:id="17" w:name="_Toc189727030"/>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188E46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vAlign w:val="center"/>
          </w:tcPr>
          <w:p w14:paraId="1CF7B745">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vAlign w:val="center"/>
          </w:tcPr>
          <w:p w14:paraId="707BDBFA">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1C4B48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5DADA724">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vAlign w:val="center"/>
          </w:tcPr>
          <w:p w14:paraId="4482D641">
            <w:pPr>
              <w:spacing w:line="560" w:lineRule="exact"/>
              <w:rPr>
                <w:rFonts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48E4D6F8">
            <w:pPr>
              <w:spacing w:line="560" w:lineRule="exact"/>
              <w:rPr>
                <w:rFonts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4C2280C0">
            <w:pPr>
              <w:pStyle w:val="169"/>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4"/>
                <w:szCs w:val="22"/>
                <w:u w:val="single"/>
              </w:rPr>
              <w:t>15292887109</w:t>
            </w:r>
          </w:p>
        </w:tc>
      </w:tr>
      <w:tr w14:paraId="5DD47C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46F65932">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vAlign w:val="center"/>
          </w:tcPr>
          <w:p w14:paraId="42D53A94">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6B9E66A1">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2A4FE021">
            <w:pPr>
              <w:spacing w:line="560" w:lineRule="exact"/>
              <w:rPr>
                <w:rFonts w:ascii="仿宋" w:hAnsi="仿宋" w:cs="仿宋"/>
                <w:color w:val="auto"/>
                <w:sz w:val="24"/>
              </w:rPr>
            </w:pPr>
            <w:r>
              <w:rPr>
                <w:rFonts w:hint="eastAsia" w:ascii="仿宋" w:hAnsi="仿宋" w:cs="仿宋"/>
                <w:color w:val="auto"/>
                <w:sz w:val="24"/>
              </w:rPr>
              <w:t>业务联系人：</w:t>
            </w:r>
            <w:r>
              <w:rPr>
                <w:rFonts w:hint="eastAsia" w:ascii="仿宋" w:hAnsi="仿宋" w:cs="仿宋"/>
                <w:color w:val="auto"/>
                <w:sz w:val="24"/>
                <w:u w:val="single"/>
              </w:rPr>
              <w:t xml:space="preserve">王亚婷、高嘉杰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21B376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vAlign w:val="center"/>
          </w:tcPr>
          <w:p w14:paraId="4B0FEEE2">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vAlign w:val="center"/>
          </w:tcPr>
          <w:p w14:paraId="53F66FBA">
            <w:pPr>
              <w:spacing w:line="520" w:lineRule="exact"/>
              <w:rPr>
                <w:rFonts w:ascii="仿宋" w:hAnsi="仿宋" w:cs="仿宋"/>
                <w:color w:val="auto"/>
                <w:sz w:val="24"/>
              </w:rPr>
            </w:pPr>
            <w:r>
              <w:rPr>
                <w:rFonts w:hint="eastAsia" w:ascii="仿宋" w:hAnsi="仿宋" w:cs="仿宋"/>
                <w:color w:val="auto"/>
                <w:sz w:val="24"/>
              </w:rPr>
              <w:t>合格申请人的资格要求：</w:t>
            </w:r>
          </w:p>
          <w:p w14:paraId="037736C9">
            <w:pPr>
              <w:spacing w:line="520" w:lineRule="exact"/>
              <w:rPr>
                <w:rFonts w:ascii="仿宋" w:hAnsi="仿宋" w:cs="仿宋"/>
                <w:color w:val="auto"/>
                <w:sz w:val="24"/>
              </w:rPr>
            </w:pPr>
            <w:r>
              <w:rPr>
                <w:rFonts w:hint="eastAsia" w:ascii="仿宋" w:hAnsi="仿宋" w:cs="仿宋"/>
                <w:color w:val="auto"/>
                <w:sz w:val="24"/>
              </w:rPr>
              <w:t>1.满足《中华人民共和国政府采购法》第二十二条规定；</w:t>
            </w:r>
          </w:p>
          <w:p w14:paraId="3540A839">
            <w:pPr>
              <w:spacing w:line="520" w:lineRule="exact"/>
              <w:rPr>
                <w:rFonts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0318E4EA">
            <w:pPr>
              <w:spacing w:line="520" w:lineRule="exact"/>
              <w:rPr>
                <w:rFonts w:ascii="仿宋" w:hAnsi="仿宋" w:cs="仿宋"/>
                <w:color w:val="auto"/>
                <w:sz w:val="24"/>
              </w:rPr>
            </w:pPr>
            <w:r>
              <w:rPr>
                <w:rFonts w:hint="eastAsia" w:ascii="仿宋" w:hAnsi="仿宋" w:cs="仿宋"/>
                <w:color w:val="auto"/>
                <w:sz w:val="24"/>
              </w:rPr>
              <w:t>3.本项目的特定资格要求：无。</w:t>
            </w:r>
          </w:p>
          <w:p w14:paraId="55A4E87C">
            <w:pPr>
              <w:spacing w:line="520" w:lineRule="exact"/>
              <w:rPr>
                <w:rFonts w:ascii="仿宋" w:hAnsi="仿宋" w:cs="仿宋"/>
                <w:color w:val="auto"/>
                <w:sz w:val="24"/>
              </w:rPr>
            </w:pPr>
            <w:r>
              <w:rPr>
                <w:rFonts w:hint="eastAsia" w:ascii="仿宋" w:hAnsi="仿宋" w:cs="仿宋"/>
                <w:color w:val="auto"/>
                <w:sz w:val="24"/>
              </w:rPr>
              <w:t>4.具有有效的营业执照/事业单位法人证书正本或副本；</w:t>
            </w:r>
          </w:p>
          <w:p w14:paraId="72951646">
            <w:pPr>
              <w:spacing w:line="520" w:lineRule="exact"/>
              <w:rPr>
                <w:rFonts w:ascii="仿宋" w:hAnsi="仿宋" w:cs="仿宋"/>
                <w:color w:val="auto"/>
                <w:sz w:val="24"/>
              </w:rPr>
            </w:pPr>
            <w:r>
              <w:rPr>
                <w:rFonts w:hint="eastAsia" w:ascii="仿宋" w:hAnsi="仿宋" w:cs="仿宋"/>
                <w:color w:val="auto"/>
                <w:sz w:val="24"/>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4E914201">
            <w:pPr>
              <w:spacing w:line="520" w:lineRule="exact"/>
              <w:rPr>
                <w:rFonts w:ascii="仿宋" w:hAnsi="仿宋" w:cs="仿宋"/>
                <w:color w:val="auto"/>
                <w:sz w:val="24"/>
              </w:rPr>
            </w:pPr>
            <w:r>
              <w:rPr>
                <w:rFonts w:hint="eastAsia" w:ascii="仿宋" w:hAnsi="仿宋" w:cs="仿宋"/>
                <w:color w:val="auto"/>
                <w:sz w:val="24"/>
              </w:rPr>
              <w:t>6.有依法缴纳税收和社会保障资金的良好记录；（需提供开标前近3个月任意一月社保部门出具的投标单位的缴纳社保证明和依法纳税的相关证明文件）；</w:t>
            </w:r>
          </w:p>
          <w:p w14:paraId="00387DE8">
            <w:pPr>
              <w:spacing w:line="520" w:lineRule="exact"/>
              <w:rPr>
                <w:rFonts w:ascii="仿宋" w:hAnsi="仿宋" w:cs="仿宋"/>
                <w:color w:val="auto"/>
                <w:sz w:val="24"/>
              </w:rPr>
            </w:pPr>
            <w:r>
              <w:rPr>
                <w:rFonts w:hint="eastAsia" w:ascii="仿宋" w:hAnsi="仿宋" w:cs="仿宋"/>
                <w:color w:val="auto"/>
                <w:sz w:val="24"/>
              </w:rPr>
              <w:t>7.参加政府采购活动前三年内，在经营活动中没有重大违法记录承诺书；</w:t>
            </w:r>
          </w:p>
          <w:p w14:paraId="4BFFFCF3">
            <w:pPr>
              <w:spacing w:line="520" w:lineRule="exact"/>
              <w:rPr>
                <w:rFonts w:ascii="仿宋" w:hAnsi="仿宋" w:cs="仿宋"/>
                <w:color w:val="auto"/>
                <w:sz w:val="24"/>
              </w:rPr>
            </w:pPr>
            <w:r>
              <w:rPr>
                <w:rFonts w:hint="eastAsia" w:ascii="仿宋" w:hAnsi="仿宋" w:cs="仿宋"/>
                <w:color w:val="auto"/>
                <w:sz w:val="24"/>
              </w:rPr>
              <w:t>8.提供针对本次项目的反商业贿赂承诺书。</w:t>
            </w:r>
          </w:p>
        </w:tc>
      </w:tr>
      <w:tr w14:paraId="6C6A9D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5C2C867">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vAlign w:val="center"/>
          </w:tcPr>
          <w:p w14:paraId="36D7AD8A">
            <w:pPr>
              <w:spacing w:line="560" w:lineRule="exact"/>
              <w:rPr>
                <w:rFonts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0477FF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9BCD773">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vAlign w:val="center"/>
          </w:tcPr>
          <w:p w14:paraId="3DFD058F">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6C1259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5FD62E6">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vAlign w:val="center"/>
          </w:tcPr>
          <w:p w14:paraId="0FC70C9D">
            <w:pPr>
              <w:spacing w:line="560" w:lineRule="exact"/>
              <w:rPr>
                <w:rFonts w:ascii="仿宋" w:hAnsi="仿宋" w:cs="仿宋"/>
                <w:color w:val="auto"/>
                <w:sz w:val="24"/>
                <w:szCs w:val="24"/>
              </w:rPr>
            </w:pPr>
            <w:r>
              <w:rPr>
                <w:rFonts w:hint="eastAsia" w:ascii="仿宋" w:hAnsi="仿宋" w:cs="仿宋"/>
                <w:color w:val="auto"/>
                <w:sz w:val="24"/>
                <w:szCs w:val="24"/>
              </w:rPr>
              <w:t xml:space="preserve">项目总预算金额人民币：33.93万元  </w:t>
            </w:r>
          </w:p>
        </w:tc>
      </w:tr>
      <w:tr w14:paraId="344541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CD8E3AA">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vAlign w:val="center"/>
          </w:tcPr>
          <w:p w14:paraId="563C82D4">
            <w:pPr>
              <w:pStyle w:val="15"/>
              <w:spacing w:line="560" w:lineRule="exact"/>
              <w:ind w:firstLine="0"/>
              <w:rPr>
                <w:rFonts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1DDF1A47">
            <w:pPr>
              <w:spacing w:line="560" w:lineRule="exact"/>
              <w:rPr>
                <w:rFonts w:ascii="仿宋" w:hAnsi="仿宋" w:cs="仿宋"/>
                <w:color w:val="auto"/>
                <w:sz w:val="24"/>
                <w:szCs w:val="24"/>
              </w:rPr>
            </w:pPr>
            <w:r>
              <w:rPr>
                <w:rFonts w:hint="eastAsia" w:ascii="仿宋" w:hAnsi="仿宋" w:cs="仿宋"/>
                <w:color w:val="auto"/>
                <w:sz w:val="24"/>
                <w:szCs w:val="24"/>
              </w:rPr>
              <w:t>投标保证金数额：6786元</w:t>
            </w:r>
          </w:p>
          <w:p w14:paraId="3CA23860">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6C86BC08">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00903523">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19308B28">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缴纳保证金时须备注“项目名称及标项”。供应商须自行评估因异地、跨行、公休日等因素造成的保证金到账延迟风险，并承担相应责任。汇款成功后将汇款凭证放入投标文件中。</w:t>
            </w:r>
          </w:p>
          <w:p w14:paraId="48ABA837">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617472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vAlign w:val="center"/>
          </w:tcPr>
          <w:p w14:paraId="5926DC75">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vAlign w:val="center"/>
          </w:tcPr>
          <w:p w14:paraId="56EA2FA6">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2BB03E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A7012D2">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vAlign w:val="center"/>
          </w:tcPr>
          <w:p w14:paraId="2FCBA1A4">
            <w:pPr>
              <w:spacing w:line="560" w:lineRule="exact"/>
              <w:rPr>
                <w:rFonts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2593E3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1063A16">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vAlign w:val="center"/>
          </w:tcPr>
          <w:p w14:paraId="600CBE9F">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46799D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8546864">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vAlign w:val="center"/>
          </w:tcPr>
          <w:p w14:paraId="121B39AB">
            <w:pPr>
              <w:spacing w:line="560" w:lineRule="exact"/>
              <w:rPr>
                <w:rFonts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39CBF74C">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评标结束后，各投标单位须在一周内按招标文件要求将纸质版投标文件递交至招标代理处（所产生的费用投标单位自理）。纸质版投标文件可通过加密电子版投标文件打印生成，应当与电子版投标文件一致。</w:t>
            </w:r>
          </w:p>
          <w:p w14:paraId="36DF0C26">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【1.份数要求：壹份。2.装订要求：投标文件商务技术部分装订成一册，投标文件的装订必须采用死页胶粘本。】</w:t>
            </w:r>
          </w:p>
        </w:tc>
      </w:tr>
      <w:tr w14:paraId="496B3D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EF57082">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vAlign w:val="center"/>
          </w:tcPr>
          <w:p w14:paraId="78A7249A">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2025年5月1</w:t>
            </w:r>
            <w:r>
              <w:rPr>
                <w:rFonts w:hint="eastAsia" w:ascii="仿宋" w:hAnsi="仿宋" w:cs="仿宋"/>
                <w:color w:val="auto"/>
                <w:sz w:val="24"/>
                <w:u w:val="single"/>
                <w:lang w:val="en-US" w:eastAsia="zh-CN"/>
              </w:rPr>
              <w:t>3</w:t>
            </w:r>
            <w:r>
              <w:rPr>
                <w:rFonts w:hint="eastAsia" w:ascii="仿宋" w:hAnsi="仿宋" w:cs="仿宋"/>
                <w:color w:val="auto"/>
                <w:sz w:val="24"/>
                <w:u w:val="single"/>
              </w:rPr>
              <w:t>日 11:00（北京时间）</w:t>
            </w:r>
          </w:p>
        </w:tc>
      </w:tr>
      <w:tr w14:paraId="22212A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vAlign w:val="center"/>
          </w:tcPr>
          <w:p w14:paraId="7A839687">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vAlign w:val="center"/>
          </w:tcPr>
          <w:p w14:paraId="319EAB16">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2025年5月1</w:t>
            </w:r>
            <w:r>
              <w:rPr>
                <w:rFonts w:hint="eastAsia" w:ascii="仿宋" w:hAnsi="仿宋" w:cs="仿宋"/>
                <w:color w:val="auto"/>
                <w:sz w:val="24"/>
                <w:u w:val="single"/>
                <w:lang w:val="en-US" w:eastAsia="zh-CN"/>
              </w:rPr>
              <w:t>3</w:t>
            </w:r>
            <w:r>
              <w:rPr>
                <w:rFonts w:hint="eastAsia" w:ascii="仿宋" w:hAnsi="仿宋" w:cs="仿宋"/>
                <w:color w:val="auto"/>
                <w:sz w:val="24"/>
                <w:u w:val="single"/>
              </w:rPr>
              <w:t>日 11:00（北京时间）</w:t>
            </w:r>
          </w:p>
          <w:p w14:paraId="3CEC058B">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0AADA7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vAlign w:val="center"/>
          </w:tcPr>
          <w:p w14:paraId="0E8ABD27">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vAlign w:val="center"/>
          </w:tcPr>
          <w:p w14:paraId="1AEA5307">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3A0AEC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F5EB60B">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vAlign w:val="center"/>
          </w:tcPr>
          <w:p w14:paraId="2B4F2DEB">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6AC019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5CF7CB5D">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vAlign w:val="center"/>
          </w:tcPr>
          <w:p w14:paraId="4B9DBAAF">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59B50B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79A0943">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vAlign w:val="center"/>
          </w:tcPr>
          <w:p w14:paraId="1F2BD43D">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5AE336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vAlign w:val="center"/>
          </w:tcPr>
          <w:p w14:paraId="067290D2">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vAlign w:val="center"/>
          </w:tcPr>
          <w:p w14:paraId="463D725E">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根据国家发展改革委《关于进一步放开建设项目专业服务价格的通知》（发改价格[2015]299号文件）收取,由中标单位向采购代理机构支付本项目的招标代理费。</w:t>
            </w:r>
          </w:p>
          <w:p w14:paraId="1E98C4A8">
            <w:pPr>
              <w:spacing w:line="560" w:lineRule="exact"/>
              <w:rPr>
                <w:rFonts w:ascii="仿宋" w:hAnsi="仿宋" w:cs="仿宋"/>
                <w:color w:val="auto"/>
                <w:sz w:val="24"/>
              </w:rPr>
            </w:pPr>
            <w:r>
              <w:rPr>
                <w:rFonts w:hint="eastAsia" w:ascii="仿宋" w:hAnsi="仿宋" w:cs="仿宋"/>
                <w:color w:val="auto"/>
                <w:sz w:val="24"/>
              </w:rPr>
              <w:t>支 付 方：由中标人支付</w:t>
            </w:r>
          </w:p>
          <w:p w14:paraId="2B8B56C0">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2CCCDD10">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6C9D2F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2" w:hRule="atLeast"/>
          <w:jc w:val="center"/>
        </w:trPr>
        <w:tc>
          <w:tcPr>
            <w:tcW w:w="1051" w:type="dxa"/>
            <w:vAlign w:val="center"/>
          </w:tcPr>
          <w:p w14:paraId="388473A9">
            <w:pPr>
              <w:spacing w:line="560" w:lineRule="exact"/>
              <w:jc w:val="center"/>
              <w:rPr>
                <w:rFonts w:ascii="仿宋" w:hAnsi="仿宋" w:cs="仿宋"/>
                <w:color w:val="auto"/>
                <w:sz w:val="24"/>
              </w:rPr>
            </w:pPr>
            <w:r>
              <w:rPr>
                <w:rFonts w:hint="eastAsia" w:ascii="仿宋" w:hAnsi="仿宋" w:cs="仿宋"/>
                <w:color w:val="auto"/>
                <w:sz w:val="24"/>
              </w:rPr>
              <w:t>19</w:t>
            </w:r>
          </w:p>
        </w:tc>
        <w:tc>
          <w:tcPr>
            <w:tcW w:w="7508" w:type="dxa"/>
            <w:vAlign w:val="center"/>
          </w:tcPr>
          <w:p w14:paraId="1D64F613">
            <w:pPr>
              <w:tabs>
                <w:tab w:val="left" w:pos="1435"/>
              </w:tabs>
              <w:spacing w:line="560" w:lineRule="exact"/>
              <w:ind w:left="710" w:leftChars="-23" w:hanging="758" w:hangingChars="316"/>
              <w:rPr>
                <w:rFonts w:ascii="仿宋" w:hAnsi="仿宋" w:cs="仿宋"/>
                <w:color w:val="auto"/>
                <w:sz w:val="24"/>
              </w:rPr>
            </w:pPr>
            <w:r>
              <w:rPr>
                <w:rFonts w:hint="eastAsia" w:ascii="仿宋" w:hAnsi="仿宋" w:cs="仿宋"/>
                <w:color w:val="auto"/>
                <w:sz w:val="24"/>
              </w:rPr>
              <w:t>本项目所属行业：其他未列明行业</w:t>
            </w:r>
          </w:p>
        </w:tc>
      </w:tr>
    </w:tbl>
    <w:p w14:paraId="57BEE665">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0D4FBFB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1.1.1</w:t>
      </w:r>
      <w:r>
        <w:rPr>
          <w:rFonts w:hint="eastAsia" w:ascii="仿宋" w:hAnsi="仿宋" w:cs="仿宋"/>
          <w:b/>
          <w:bCs/>
          <w:color w:val="auto"/>
          <w:sz w:val="24"/>
          <w:szCs w:val="24"/>
        </w:rPr>
        <w:t>适用范围</w:t>
      </w:r>
    </w:p>
    <w:p w14:paraId="36143AE7">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799B85BE">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7C4D51F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1.1.2</w:t>
      </w:r>
      <w:r>
        <w:rPr>
          <w:rFonts w:hint="eastAsia" w:ascii="仿宋" w:hAnsi="仿宋" w:cs="仿宋"/>
          <w:b/>
          <w:bCs/>
          <w:color w:val="auto"/>
          <w:sz w:val="24"/>
          <w:szCs w:val="24"/>
        </w:rPr>
        <w:t>有关定义</w:t>
      </w:r>
    </w:p>
    <w:p w14:paraId="366D25AC">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p>
    <w:p w14:paraId="04C9C23F">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0B68912C">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73DBB732">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6C93412B">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7FA4ED09">
      <w:pPr>
        <w:keepNext/>
        <w:keepLines/>
        <w:numPr>
          <w:ilvl w:val="2"/>
          <w:numId w:val="0"/>
        </w:numPr>
        <w:spacing w:line="360" w:lineRule="auto"/>
        <w:ind w:left="3119" w:hanging="3119"/>
        <w:outlineLvl w:val="2"/>
        <w:rPr>
          <w:rFonts w:ascii="仿宋" w:hAnsi="仿宋" w:cs="仿宋"/>
          <w:b/>
          <w:bCs/>
          <w:color w:val="auto"/>
          <w:sz w:val="24"/>
          <w:szCs w:val="24"/>
        </w:rPr>
      </w:pPr>
      <w:bookmarkStart w:id="18" w:name="_Toc217446036"/>
      <w:bookmarkStart w:id="19" w:name="_Toc183682344"/>
      <w:bookmarkStart w:id="20" w:name="_Toc183582207"/>
      <w:bookmarkStart w:id="21" w:name="_Toc217390843"/>
      <w:r>
        <w:rPr>
          <w:rFonts w:ascii="Times New Roman" w:hAnsi="Times New Roman" w:eastAsia="宋体"/>
          <w:b/>
          <w:bCs/>
          <w:color w:val="auto"/>
          <w:sz w:val="28"/>
          <w:szCs w:val="24"/>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2BD1CB30">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0A7DDE27">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37F8DAAD">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54339B03">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1.1.4</w:t>
      </w:r>
      <w:r>
        <w:rPr>
          <w:rFonts w:hint="eastAsia" w:ascii="仿宋" w:hAnsi="仿宋" w:cs="仿宋"/>
          <w:b/>
          <w:bCs/>
          <w:color w:val="auto"/>
          <w:sz w:val="24"/>
          <w:szCs w:val="24"/>
        </w:rPr>
        <w:t>投标费用（实质性要求）</w:t>
      </w:r>
    </w:p>
    <w:p w14:paraId="3516BF74">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4EC89A49">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1.1.5</w:t>
      </w:r>
      <w:r>
        <w:rPr>
          <w:rFonts w:hint="eastAsia" w:ascii="仿宋" w:hAnsi="仿宋" w:cs="仿宋"/>
          <w:b/>
          <w:bCs/>
          <w:color w:val="auto"/>
          <w:sz w:val="24"/>
          <w:szCs w:val="24"/>
        </w:rPr>
        <w:t>充分、公平竞争保障措施（实质性要求）</w:t>
      </w:r>
    </w:p>
    <w:p w14:paraId="480B70C2">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589F9304">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2AD8F5B1">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22" w:name="_Toc15453"/>
      <w:r>
        <w:rPr>
          <w:rFonts w:ascii="Times New Roman" w:hAnsi="Times New Roman" w:eastAsia="宋体"/>
          <w:b/>
          <w:bCs/>
          <w:color w:val="auto"/>
          <w:sz w:val="28"/>
          <w:szCs w:val="28"/>
        </w:rPr>
        <w:t>1.2</w:t>
      </w:r>
      <w:r>
        <w:rPr>
          <w:rFonts w:hint="eastAsia" w:ascii="仿宋" w:hAnsi="仿宋" w:cs="仿宋"/>
          <w:b/>
          <w:bCs/>
          <w:color w:val="auto"/>
          <w:sz w:val="24"/>
          <w:szCs w:val="24"/>
        </w:rPr>
        <w:t>采购文件</w:t>
      </w:r>
      <w:bookmarkEnd w:id="22"/>
    </w:p>
    <w:p w14:paraId="3A721776">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1.2.1</w:t>
      </w:r>
      <w:r>
        <w:rPr>
          <w:rFonts w:hint="eastAsia" w:ascii="仿宋" w:hAnsi="仿宋" w:cs="仿宋"/>
          <w:b/>
          <w:bCs/>
          <w:color w:val="auto"/>
          <w:sz w:val="24"/>
          <w:szCs w:val="24"/>
        </w:rPr>
        <w:t>采购文件的构成</w:t>
      </w:r>
    </w:p>
    <w:p w14:paraId="6AD1386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0FFACCA4">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6FD920D1">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39B339FB">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69C61BAB">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（四）采购需求；</w:t>
      </w:r>
    </w:p>
    <w:p w14:paraId="1B59512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（五）资格审查；</w:t>
      </w:r>
    </w:p>
    <w:p w14:paraId="3DF84DC5">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100D719C">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4CD9609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64C3C44A">
      <w:pPr>
        <w:keepNext/>
        <w:keepLines/>
        <w:numPr>
          <w:ilvl w:val="2"/>
          <w:numId w:val="0"/>
        </w:numPr>
        <w:spacing w:line="360" w:lineRule="auto"/>
        <w:outlineLvl w:val="2"/>
        <w:rPr>
          <w:rFonts w:ascii="仿宋" w:hAnsi="仿宋" w:cs="仿宋"/>
          <w:b/>
          <w:bCs/>
          <w:color w:val="auto"/>
          <w:sz w:val="24"/>
          <w:szCs w:val="24"/>
        </w:rPr>
      </w:pPr>
      <w:bookmarkStart w:id="23" w:name="_Toc183682348"/>
      <w:bookmarkStart w:id="24" w:name="_Toc183582211"/>
      <w:bookmarkStart w:id="25" w:name="_Toc217446040"/>
      <w:r>
        <w:rPr>
          <w:rFonts w:ascii="Times New Roman" w:hAnsi="Times New Roman" w:eastAsia="宋体"/>
          <w:b/>
          <w:bCs/>
          <w:color w:val="auto"/>
          <w:sz w:val="28"/>
          <w:szCs w:val="24"/>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89075876"/>
      <w:bookmarkStart w:id="27" w:name="_Toc183582214"/>
      <w:bookmarkStart w:id="28" w:name="_Toc183682351"/>
      <w:bookmarkStart w:id="29" w:name="_Toc77400780"/>
      <w:bookmarkStart w:id="30" w:name="_Toc217446042"/>
    </w:p>
    <w:p w14:paraId="250114F3">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1D1BB532">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7C8039F6">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659F09A3">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31" w:name="_Toc3126"/>
      <w:r>
        <w:rPr>
          <w:rFonts w:ascii="Times New Roman" w:hAnsi="Times New Roman" w:eastAsia="宋体"/>
          <w:b/>
          <w:bCs/>
          <w:color w:val="auto"/>
          <w:sz w:val="28"/>
          <w:szCs w:val="28"/>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465A1D14">
      <w:pPr>
        <w:keepNext/>
        <w:keepLines/>
        <w:numPr>
          <w:ilvl w:val="2"/>
          <w:numId w:val="0"/>
        </w:numPr>
        <w:spacing w:line="360" w:lineRule="auto"/>
        <w:outlineLvl w:val="2"/>
        <w:rPr>
          <w:rFonts w:ascii="仿宋" w:hAnsi="仿宋" w:cs="仿宋"/>
          <w:b/>
          <w:bCs/>
          <w:color w:val="auto"/>
          <w:sz w:val="24"/>
          <w:szCs w:val="24"/>
        </w:rPr>
      </w:pPr>
      <w:bookmarkStart w:id="32" w:name="_Toc183682352"/>
      <w:bookmarkStart w:id="33" w:name="_Toc217446043"/>
      <w:bookmarkStart w:id="34" w:name="_Toc183582215"/>
      <w:r>
        <w:rPr>
          <w:rFonts w:ascii="Times New Roman" w:hAnsi="Times New Roman" w:eastAsia="宋体"/>
          <w:b/>
          <w:bCs/>
          <w:color w:val="auto"/>
          <w:sz w:val="28"/>
          <w:szCs w:val="24"/>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3B3D11B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24E69585">
      <w:pPr>
        <w:keepNext/>
        <w:keepLines/>
        <w:numPr>
          <w:ilvl w:val="2"/>
          <w:numId w:val="0"/>
        </w:numPr>
        <w:spacing w:line="360" w:lineRule="auto"/>
        <w:outlineLvl w:val="2"/>
        <w:rPr>
          <w:rFonts w:ascii="仿宋" w:hAnsi="仿宋" w:cs="仿宋"/>
          <w:b/>
          <w:bCs/>
          <w:color w:val="auto"/>
          <w:sz w:val="24"/>
          <w:szCs w:val="24"/>
        </w:rPr>
      </w:pPr>
      <w:bookmarkStart w:id="35" w:name="_Toc183682353"/>
      <w:bookmarkStart w:id="36" w:name="_Toc217446044"/>
      <w:bookmarkStart w:id="37" w:name="_Toc183582216"/>
      <w:r>
        <w:rPr>
          <w:rFonts w:ascii="Times New Roman" w:hAnsi="Times New Roman" w:eastAsia="宋体"/>
          <w:b/>
          <w:bCs/>
          <w:color w:val="auto"/>
          <w:sz w:val="28"/>
          <w:szCs w:val="24"/>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392AB443">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55B9471C">
      <w:pPr>
        <w:keepNext/>
        <w:keepLines/>
        <w:numPr>
          <w:ilvl w:val="2"/>
          <w:numId w:val="0"/>
        </w:numPr>
        <w:spacing w:line="360" w:lineRule="auto"/>
        <w:outlineLvl w:val="2"/>
        <w:rPr>
          <w:rFonts w:ascii="仿宋" w:hAnsi="仿宋" w:cs="仿宋"/>
          <w:b/>
          <w:bCs/>
          <w:color w:val="auto"/>
          <w:sz w:val="24"/>
          <w:szCs w:val="24"/>
        </w:rPr>
      </w:pPr>
      <w:bookmarkStart w:id="38" w:name="_Toc217446045"/>
      <w:r>
        <w:rPr>
          <w:rFonts w:ascii="Times New Roman" w:hAnsi="Times New Roman" w:eastAsia="宋体"/>
          <w:b/>
          <w:bCs/>
          <w:color w:val="auto"/>
          <w:sz w:val="28"/>
          <w:szCs w:val="24"/>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197C2A78">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5DF4699F">
      <w:pPr>
        <w:keepNext/>
        <w:keepLines/>
        <w:numPr>
          <w:ilvl w:val="2"/>
          <w:numId w:val="0"/>
        </w:numPr>
        <w:spacing w:line="360" w:lineRule="auto"/>
        <w:outlineLvl w:val="2"/>
        <w:rPr>
          <w:rFonts w:ascii="仿宋" w:hAnsi="仿宋" w:cs="仿宋"/>
          <w:b/>
          <w:bCs/>
          <w:color w:val="auto"/>
          <w:sz w:val="24"/>
          <w:szCs w:val="24"/>
        </w:rPr>
      </w:pPr>
      <w:bookmarkStart w:id="39" w:name="_Toc217446046"/>
      <w:r>
        <w:rPr>
          <w:rFonts w:ascii="Times New Roman" w:hAnsi="Times New Roman" w:eastAsia="宋体"/>
          <w:b/>
          <w:bCs/>
          <w:color w:val="auto"/>
          <w:sz w:val="28"/>
          <w:szCs w:val="24"/>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48D5FD5E">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5542046C">
      <w:pPr>
        <w:keepNext/>
        <w:keepLines/>
        <w:numPr>
          <w:ilvl w:val="2"/>
          <w:numId w:val="0"/>
        </w:numPr>
        <w:spacing w:line="360" w:lineRule="auto"/>
        <w:outlineLvl w:val="2"/>
        <w:rPr>
          <w:rFonts w:ascii="仿宋" w:hAnsi="仿宋" w:cs="仿宋"/>
          <w:b/>
          <w:bCs/>
          <w:color w:val="auto"/>
          <w:sz w:val="24"/>
          <w:szCs w:val="24"/>
        </w:rPr>
      </w:pPr>
      <w:bookmarkStart w:id="40" w:name="_Toc217446047"/>
      <w:r>
        <w:rPr>
          <w:rFonts w:ascii="Times New Roman" w:hAnsi="Times New Roman" w:eastAsia="宋体"/>
          <w:b/>
          <w:bCs/>
          <w:color w:val="auto"/>
          <w:sz w:val="28"/>
          <w:szCs w:val="24"/>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599DCF20">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3F7D418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7F40D91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5CDEEB39">
      <w:pPr>
        <w:keepNext/>
        <w:keepLines/>
        <w:numPr>
          <w:ilvl w:val="2"/>
          <w:numId w:val="0"/>
        </w:numPr>
        <w:spacing w:line="360" w:lineRule="auto"/>
        <w:outlineLvl w:val="2"/>
        <w:rPr>
          <w:rFonts w:ascii="仿宋" w:hAnsi="仿宋" w:cs="仿宋"/>
          <w:b/>
          <w:bCs/>
          <w:color w:val="auto"/>
          <w:sz w:val="24"/>
          <w:szCs w:val="24"/>
        </w:rPr>
      </w:pPr>
      <w:bookmarkStart w:id="41" w:name="_Toc183682354"/>
      <w:bookmarkStart w:id="42" w:name="_Toc217446048"/>
      <w:bookmarkStart w:id="43" w:name="_Toc183582217"/>
      <w:r>
        <w:rPr>
          <w:rFonts w:ascii="Times New Roman" w:hAnsi="Times New Roman" w:eastAsia="宋体"/>
          <w:b/>
          <w:bCs/>
          <w:color w:val="auto"/>
          <w:sz w:val="28"/>
          <w:szCs w:val="24"/>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4AA9BDAA">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7A904A27">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1.3.6.1</w:t>
      </w:r>
      <w:r>
        <w:rPr>
          <w:rFonts w:hint="eastAsia" w:ascii="仿宋" w:hAnsi="仿宋" w:cs="仿宋"/>
          <w:b/>
          <w:color w:val="auto"/>
          <w:sz w:val="24"/>
          <w:szCs w:val="24"/>
          <w:lang w:val="zh-CN"/>
        </w:rPr>
        <w:t>商务技术投标文件</w:t>
      </w:r>
    </w:p>
    <w:p w14:paraId="64E185F3">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承诺函；</w:t>
      </w:r>
    </w:p>
    <w:p w14:paraId="71717C2D">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投标函；</w:t>
      </w:r>
    </w:p>
    <w:p w14:paraId="7F81309E">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法定代表人或主要负责人身份证明书（说明：主要负责人为供应商提供的其具有独立承担民事责任能力的证明材料中的主要负责人员）；</w:t>
      </w:r>
    </w:p>
    <w:p w14:paraId="18A01928">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商务技术偏离表；</w:t>
      </w:r>
    </w:p>
    <w:p w14:paraId="4E42C0A3">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商务技术文件；</w:t>
      </w:r>
    </w:p>
    <w:p w14:paraId="59DC702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报价单；</w:t>
      </w:r>
    </w:p>
    <w:p w14:paraId="703E04BA">
      <w:p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七</w:t>
      </w:r>
      <w:r>
        <w:rPr>
          <w:rFonts w:hint="eastAsia" w:ascii="仿宋" w:hAnsi="仿宋" w:cs="仿宋"/>
          <w:b/>
          <w:color w:val="auto"/>
          <w:sz w:val="24"/>
          <w:szCs w:val="24"/>
          <w:lang w:val="zh-CN"/>
        </w:rPr>
        <w:t>、政府采购供应商廉洁自律承诺书；</w:t>
      </w:r>
    </w:p>
    <w:p w14:paraId="4AD10F0E">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1.3.6.2</w:t>
      </w:r>
      <w:r>
        <w:rPr>
          <w:rFonts w:hint="eastAsia" w:ascii="仿宋" w:hAnsi="仿宋" w:cs="仿宋"/>
          <w:b/>
          <w:color w:val="auto"/>
          <w:sz w:val="24"/>
          <w:szCs w:val="24"/>
          <w:lang w:val="zh-CN"/>
        </w:rPr>
        <w:t>报价文件</w:t>
      </w:r>
    </w:p>
    <w:p w14:paraId="15DDE005">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34CC48C9">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3B7E5615">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6BFFE2B8">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613D70EF">
      <w:pPr>
        <w:keepNext/>
        <w:keepLines/>
        <w:numPr>
          <w:ilvl w:val="2"/>
          <w:numId w:val="0"/>
        </w:numPr>
        <w:spacing w:line="360" w:lineRule="auto"/>
        <w:outlineLvl w:val="2"/>
        <w:rPr>
          <w:rFonts w:ascii="仿宋" w:hAnsi="仿宋" w:cs="仿宋"/>
          <w:b/>
          <w:bCs/>
          <w:color w:val="auto"/>
          <w:sz w:val="24"/>
          <w:szCs w:val="24"/>
        </w:rPr>
      </w:pPr>
      <w:bookmarkStart w:id="44" w:name="_Toc316292019"/>
      <w:bookmarkEnd w:id="44"/>
      <w:bookmarkStart w:id="45" w:name="_Toc316292020"/>
      <w:bookmarkEnd w:id="45"/>
      <w:bookmarkStart w:id="46" w:name="_Toc316291396"/>
      <w:bookmarkEnd w:id="46"/>
      <w:bookmarkStart w:id="47" w:name="_Toc316291395"/>
      <w:bookmarkEnd w:id="47"/>
      <w:bookmarkStart w:id="48" w:name="_Toc217446049"/>
      <w:bookmarkStart w:id="49" w:name="_Toc183682355"/>
      <w:bookmarkStart w:id="50" w:name="_Toc183582218"/>
      <w:r>
        <w:rPr>
          <w:rFonts w:ascii="Times New Roman" w:hAnsi="Times New Roman" w:eastAsia="宋体"/>
          <w:b/>
          <w:bCs/>
          <w:color w:val="auto"/>
          <w:sz w:val="28"/>
          <w:szCs w:val="24"/>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3476274D">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065695B0">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116C2F95">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1.3.8</w:t>
      </w:r>
      <w:r>
        <w:rPr>
          <w:rFonts w:hint="eastAsia" w:ascii="仿宋" w:hAnsi="仿宋" w:cs="仿宋"/>
          <w:b/>
          <w:bCs/>
          <w:color w:val="auto"/>
          <w:sz w:val="24"/>
          <w:szCs w:val="24"/>
        </w:rPr>
        <w:t>投标报价（实质性要求）</w:t>
      </w:r>
    </w:p>
    <w:p w14:paraId="09A28A14">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21CADC63">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27AD0C01">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217446050"/>
      <w:bookmarkStart w:id="52" w:name="_Toc183582223"/>
      <w:bookmarkStart w:id="53" w:name="_Toc183682360"/>
      <w:r>
        <w:rPr>
          <w:rFonts w:hint="eastAsia" w:ascii="仿宋" w:hAnsi="仿宋" w:cs="仿宋"/>
          <w:color w:val="auto"/>
          <w:sz w:val="24"/>
          <w:szCs w:val="24"/>
        </w:rPr>
        <w:t>投标文件报价出现前后不一致的，按照下列规定修正：</w:t>
      </w:r>
    </w:p>
    <w:p w14:paraId="44D22E78">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706F76D3">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57FCB459">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584B8CDF">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439A8393">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1.3.9</w:t>
      </w:r>
      <w:r>
        <w:rPr>
          <w:rFonts w:hint="eastAsia" w:ascii="仿宋" w:hAnsi="仿宋" w:cs="仿宋"/>
          <w:b/>
          <w:bCs/>
          <w:color w:val="auto"/>
          <w:sz w:val="24"/>
          <w:szCs w:val="24"/>
        </w:rPr>
        <w:t>投标保证金</w:t>
      </w:r>
      <w:bookmarkEnd w:id="51"/>
      <w:bookmarkEnd w:id="52"/>
      <w:bookmarkEnd w:id="53"/>
    </w:p>
    <w:p w14:paraId="30E3B93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1B105770">
      <w:pPr>
        <w:keepNext/>
        <w:keepLines/>
        <w:numPr>
          <w:ilvl w:val="2"/>
          <w:numId w:val="0"/>
        </w:numPr>
        <w:tabs>
          <w:tab w:val="left" w:pos="851"/>
        </w:tabs>
        <w:spacing w:line="360" w:lineRule="auto"/>
        <w:outlineLvl w:val="2"/>
        <w:rPr>
          <w:rFonts w:ascii="仿宋" w:hAnsi="仿宋" w:cs="仿宋"/>
          <w:b/>
          <w:bCs/>
          <w:color w:val="auto"/>
          <w:sz w:val="24"/>
          <w:szCs w:val="24"/>
        </w:rPr>
      </w:pPr>
      <w:bookmarkStart w:id="54" w:name="_Toc316292024"/>
      <w:bookmarkEnd w:id="54"/>
      <w:bookmarkStart w:id="55" w:name="_Toc316291400"/>
      <w:bookmarkEnd w:id="55"/>
      <w:bookmarkStart w:id="56" w:name="_Toc183682361"/>
      <w:bookmarkStart w:id="57" w:name="_Toc183582224"/>
      <w:bookmarkStart w:id="58" w:name="_Toc217446051"/>
      <w:r>
        <w:rPr>
          <w:rFonts w:ascii="Times New Roman" w:hAnsi="Times New Roman" w:eastAsia="宋体"/>
          <w:b/>
          <w:bCs/>
          <w:color w:val="auto"/>
          <w:sz w:val="28"/>
          <w:szCs w:val="24"/>
        </w:rPr>
        <w:t>1.3.10</w:t>
      </w:r>
      <w:r>
        <w:rPr>
          <w:rFonts w:hint="eastAsia" w:ascii="仿宋" w:hAnsi="仿宋" w:cs="仿宋"/>
          <w:b/>
          <w:bCs/>
          <w:color w:val="auto"/>
          <w:sz w:val="24"/>
          <w:szCs w:val="24"/>
        </w:rPr>
        <w:t>投标有效期</w:t>
      </w:r>
      <w:bookmarkEnd w:id="56"/>
      <w:bookmarkEnd w:id="57"/>
      <w:bookmarkEnd w:id="58"/>
    </w:p>
    <w:p w14:paraId="6613A4F7">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0D9CCFAE">
      <w:pPr>
        <w:pStyle w:val="4"/>
        <w:numPr>
          <w:ilvl w:val="2"/>
          <w:numId w:val="0"/>
        </w:numPr>
        <w:tabs>
          <w:tab w:val="left" w:pos="851"/>
        </w:tabs>
        <w:spacing w:after="200"/>
        <w:rPr>
          <w:rFonts w:ascii="仿宋" w:hAnsi="仿宋" w:cs="仿宋"/>
          <w:color w:val="auto"/>
          <w:sz w:val="24"/>
          <w:szCs w:val="24"/>
        </w:rPr>
      </w:pPr>
      <w:bookmarkStart w:id="59" w:name="_Toc183582227"/>
      <w:bookmarkStart w:id="60" w:name="_Toc217446054"/>
      <w:bookmarkStart w:id="61" w:name="_Toc183682364"/>
      <w:r>
        <w:rPr>
          <w:rFonts w:ascii="Times New Roman" w:hAnsi="Times New Roman"/>
          <w:color w:val="auto"/>
          <w:szCs w:val="24"/>
        </w:rPr>
        <w:t>1.3.11</w:t>
      </w:r>
      <w:r>
        <w:rPr>
          <w:rFonts w:hint="eastAsia" w:ascii="仿宋" w:hAnsi="仿宋" w:cs="仿宋"/>
          <w:color w:val="auto"/>
          <w:sz w:val="24"/>
          <w:szCs w:val="24"/>
        </w:rPr>
        <w:t>投标文件的制作和签章、加密</w:t>
      </w:r>
    </w:p>
    <w:p w14:paraId="2D22137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1324028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1589201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2E350435">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2DEA63C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2C58583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663D53E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2D33982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62730778">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555568E1">
      <w:pPr>
        <w:pStyle w:val="4"/>
        <w:numPr>
          <w:ilvl w:val="2"/>
          <w:numId w:val="0"/>
        </w:numPr>
        <w:spacing w:after="200"/>
        <w:rPr>
          <w:rFonts w:ascii="仿宋" w:hAnsi="仿宋" w:cs="仿宋"/>
          <w:color w:val="auto"/>
          <w:sz w:val="24"/>
          <w:szCs w:val="24"/>
        </w:rPr>
      </w:pPr>
      <w:r>
        <w:rPr>
          <w:rFonts w:ascii="Times New Roman" w:hAnsi="Times New Roman"/>
          <w:color w:val="auto"/>
          <w:szCs w:val="24"/>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15F56D53">
      <w:pPr>
        <w:tabs>
          <w:tab w:val="left" w:pos="0"/>
        </w:tabs>
        <w:spacing w:line="360" w:lineRule="auto"/>
        <w:ind w:firstLine="360" w:firstLineChars="150"/>
        <w:rPr>
          <w:rFonts w:ascii="仿宋" w:hAnsi="仿宋" w:cs="仿宋"/>
          <w:bCs/>
          <w:color w:val="auto"/>
          <w:sz w:val="24"/>
          <w:szCs w:val="24"/>
        </w:rPr>
      </w:pPr>
      <w:bookmarkStart w:id="62" w:name="_Toc316475587"/>
      <w:bookmarkEnd w:id="62"/>
      <w:bookmarkStart w:id="63" w:name="_Toc316475586"/>
      <w:bookmarkEnd w:id="63"/>
      <w:bookmarkStart w:id="64" w:name="_Toc183582228"/>
      <w:bookmarkStart w:id="65" w:name="_Toc183682365"/>
      <w:bookmarkStart w:id="66" w:name="_Toc217446055"/>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2F749DFC">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6D3BC074">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04035358">
      <w:pPr>
        <w:pStyle w:val="4"/>
        <w:numPr>
          <w:ilvl w:val="2"/>
          <w:numId w:val="0"/>
        </w:numPr>
        <w:spacing w:after="200"/>
        <w:rPr>
          <w:rFonts w:ascii="仿宋" w:hAnsi="仿宋" w:cs="仿宋"/>
          <w:color w:val="auto"/>
          <w:sz w:val="24"/>
          <w:szCs w:val="24"/>
        </w:rPr>
      </w:pPr>
      <w:r>
        <w:rPr>
          <w:rFonts w:ascii="Times New Roman" w:hAnsi="Times New Roman"/>
          <w:color w:val="auto"/>
          <w:szCs w:val="24"/>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29C1327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27116F9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48610347">
      <w:pPr>
        <w:pStyle w:val="4"/>
        <w:numPr>
          <w:ilvl w:val="2"/>
          <w:numId w:val="0"/>
        </w:numPr>
        <w:spacing w:after="200"/>
        <w:rPr>
          <w:rFonts w:ascii="仿宋" w:hAnsi="仿宋" w:cs="仿宋"/>
          <w:color w:val="auto"/>
          <w:sz w:val="24"/>
          <w:szCs w:val="24"/>
        </w:rPr>
      </w:pPr>
      <w:r>
        <w:rPr>
          <w:rFonts w:ascii="Times New Roman" w:hAnsi="Times New Roman"/>
          <w:color w:val="auto"/>
          <w:szCs w:val="24"/>
        </w:rPr>
        <w:t>1.3.14</w:t>
      </w:r>
      <w:r>
        <w:rPr>
          <w:rFonts w:hint="eastAsia" w:ascii="仿宋" w:hAnsi="仿宋" w:cs="仿宋"/>
          <w:color w:val="auto"/>
          <w:sz w:val="24"/>
          <w:szCs w:val="24"/>
        </w:rPr>
        <w:t>投标文件的撤回（实质性要求）</w:t>
      </w:r>
    </w:p>
    <w:p w14:paraId="425109F2">
      <w:pPr>
        <w:spacing w:before="120" w:after="200" w:line="360" w:lineRule="auto"/>
        <w:ind w:firstLine="484" w:firstLineChars="202"/>
        <w:rPr>
          <w:rFonts w:ascii="仿宋" w:hAnsi="仿宋" w:cs="仿宋"/>
          <w:bCs/>
          <w:color w:val="auto"/>
          <w:sz w:val="24"/>
          <w:szCs w:val="24"/>
        </w:rPr>
      </w:pPr>
      <w:bookmarkStart w:id="67" w:name="_Toc217446056"/>
      <w:bookmarkStart w:id="68" w:name="_Toc77400782"/>
      <w:bookmarkStart w:id="69" w:name="_Toc183582231"/>
      <w:bookmarkStart w:id="70" w:name="_Toc183682368"/>
      <w:bookmarkStart w:id="71" w:name="_Toc89075878"/>
      <w:r>
        <w:rPr>
          <w:rFonts w:hint="eastAsia" w:ascii="仿宋" w:hAnsi="仿宋" w:cs="仿宋"/>
          <w:bCs/>
          <w:color w:val="auto"/>
          <w:sz w:val="24"/>
          <w:szCs w:val="24"/>
        </w:rPr>
        <w:t>在投标截止时间之前，投标人可对已提交的投标文件进行撤回。在投标截止时间之后，投标人不得撤回投标文件。</w:t>
      </w:r>
    </w:p>
    <w:p w14:paraId="2DC5AB2E">
      <w:pPr>
        <w:pStyle w:val="4"/>
        <w:numPr>
          <w:ilvl w:val="2"/>
          <w:numId w:val="0"/>
        </w:numPr>
        <w:spacing w:after="200"/>
        <w:rPr>
          <w:rFonts w:ascii="仿宋" w:hAnsi="仿宋" w:cs="仿宋"/>
          <w:color w:val="auto"/>
          <w:sz w:val="24"/>
          <w:szCs w:val="24"/>
        </w:rPr>
      </w:pPr>
      <w:r>
        <w:rPr>
          <w:rFonts w:ascii="Times New Roman" w:hAnsi="Times New Roman"/>
          <w:color w:val="auto"/>
          <w:szCs w:val="24"/>
        </w:rPr>
        <w:t>1.3.15</w:t>
      </w:r>
      <w:r>
        <w:rPr>
          <w:rFonts w:hint="eastAsia" w:ascii="仿宋" w:hAnsi="仿宋" w:cs="仿宋"/>
          <w:color w:val="auto"/>
          <w:sz w:val="24"/>
          <w:szCs w:val="24"/>
        </w:rPr>
        <w:t>投标文件的解密（实质性要求）</w:t>
      </w:r>
    </w:p>
    <w:p w14:paraId="3BC76DA2">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10E84564">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72" w:name="_Toc15457"/>
      <w:r>
        <w:rPr>
          <w:rFonts w:ascii="Times New Roman" w:hAnsi="Times New Roman" w:eastAsia="宋体"/>
          <w:b/>
          <w:bCs/>
          <w:color w:val="auto"/>
          <w:sz w:val="28"/>
          <w:szCs w:val="28"/>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60CDCD4F">
      <w:pPr>
        <w:keepNext/>
        <w:keepLines/>
        <w:numPr>
          <w:ilvl w:val="2"/>
          <w:numId w:val="0"/>
        </w:numPr>
        <w:spacing w:line="360" w:lineRule="auto"/>
        <w:outlineLvl w:val="2"/>
        <w:rPr>
          <w:rFonts w:ascii="仿宋" w:hAnsi="仿宋" w:cs="仿宋"/>
          <w:b/>
          <w:bCs/>
          <w:color w:val="auto"/>
          <w:sz w:val="24"/>
          <w:szCs w:val="24"/>
        </w:rPr>
      </w:pPr>
      <w:bookmarkStart w:id="73" w:name="_Toc183582232"/>
      <w:bookmarkStart w:id="74" w:name="_Toc183682369"/>
      <w:bookmarkStart w:id="75" w:name="_Toc217446057"/>
      <w:r>
        <w:rPr>
          <w:rFonts w:ascii="Times New Roman" w:hAnsi="Times New Roman" w:eastAsia="宋体"/>
          <w:b/>
          <w:bCs/>
          <w:color w:val="auto"/>
          <w:sz w:val="28"/>
          <w:szCs w:val="24"/>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3605E7E5">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2964BD94">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621C2369">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63D6679D">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06CBC2AF">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63E7481B">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6A6FDB9E">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03D7A636">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1.4.2</w:t>
      </w:r>
      <w:r>
        <w:rPr>
          <w:rFonts w:hint="eastAsia" w:ascii="仿宋" w:hAnsi="仿宋" w:cs="仿宋"/>
          <w:b/>
          <w:bCs/>
          <w:color w:val="auto"/>
          <w:sz w:val="24"/>
          <w:szCs w:val="24"/>
        </w:rPr>
        <w:t>资格审查</w:t>
      </w:r>
    </w:p>
    <w:p w14:paraId="6C3744D4">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52EC8CC8">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1.4.3</w:t>
      </w:r>
      <w:r>
        <w:rPr>
          <w:rFonts w:hint="eastAsia" w:ascii="仿宋" w:hAnsi="仿宋" w:cs="仿宋"/>
          <w:b/>
          <w:bCs/>
          <w:color w:val="auto"/>
          <w:sz w:val="24"/>
          <w:szCs w:val="24"/>
        </w:rPr>
        <w:t>评标</w:t>
      </w:r>
    </w:p>
    <w:p w14:paraId="59C5F471">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2B942CF9">
      <w:pPr>
        <w:keepNext/>
        <w:keepLines/>
        <w:numPr>
          <w:ilvl w:val="2"/>
          <w:numId w:val="0"/>
        </w:numPr>
        <w:spacing w:line="360" w:lineRule="auto"/>
        <w:outlineLvl w:val="2"/>
        <w:rPr>
          <w:rFonts w:ascii="仿宋" w:hAnsi="仿宋" w:cs="仿宋"/>
          <w:b/>
          <w:bCs/>
          <w:color w:val="auto"/>
          <w:sz w:val="24"/>
          <w:szCs w:val="24"/>
        </w:rPr>
      </w:pPr>
      <w:bookmarkStart w:id="76" w:name="_Toc183682375"/>
      <w:bookmarkStart w:id="77" w:name="_Toc183582238"/>
      <w:bookmarkStart w:id="78" w:name="_Toc217446063"/>
      <w:r>
        <w:rPr>
          <w:rFonts w:ascii="Times New Roman" w:hAnsi="Times New Roman" w:eastAsia="宋体"/>
          <w:b/>
          <w:bCs/>
          <w:color w:val="auto"/>
          <w:sz w:val="28"/>
          <w:szCs w:val="24"/>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447D156C">
      <w:pPr>
        <w:spacing w:line="360" w:lineRule="auto"/>
        <w:ind w:right="210" w:firstLine="480" w:firstLineChars="200"/>
        <w:rPr>
          <w:rFonts w:ascii="仿宋" w:hAnsi="仿宋" w:cs="仿宋"/>
          <w:color w:val="auto"/>
          <w:sz w:val="24"/>
          <w:szCs w:val="24"/>
        </w:rPr>
      </w:pPr>
      <w:bookmarkStart w:id="79" w:name="_Toc217446064"/>
      <w:bookmarkStart w:id="80" w:name="_Toc183682377"/>
      <w:bookmarkStart w:id="81" w:name="_Toc183582240"/>
      <w:r>
        <w:rPr>
          <w:rFonts w:hint="eastAsia" w:ascii="仿宋" w:hAnsi="仿宋" w:cs="仿宋"/>
          <w:color w:val="auto"/>
          <w:sz w:val="24"/>
          <w:szCs w:val="24"/>
        </w:rPr>
        <w:t>一、中标通知书为采购人签订政府采购合同的依据，是合同的有效组成部分。</w:t>
      </w:r>
    </w:p>
    <w:p w14:paraId="57E74B2B">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6078068F">
      <w:pPr>
        <w:keepNext/>
        <w:keepLines/>
        <w:numPr>
          <w:ilvl w:val="1"/>
          <w:numId w:val="0"/>
        </w:numPr>
        <w:spacing w:before="240" w:line="360" w:lineRule="auto"/>
        <w:ind w:left="567" w:hanging="567"/>
        <w:jc w:val="left"/>
        <w:outlineLvl w:val="1"/>
        <w:rPr>
          <w:rFonts w:ascii="仿宋" w:hAnsi="仿宋" w:cs="仿宋"/>
          <w:b/>
          <w:bCs/>
          <w:color w:val="auto"/>
          <w:sz w:val="24"/>
          <w:szCs w:val="24"/>
        </w:rPr>
      </w:pPr>
      <w:bookmarkStart w:id="82" w:name="_Toc8049"/>
      <w:r>
        <w:rPr>
          <w:rFonts w:ascii="Times New Roman" w:hAnsi="Times New Roman" w:eastAsia="宋体"/>
          <w:b/>
          <w:bCs/>
          <w:color w:val="auto"/>
          <w:sz w:val="28"/>
          <w:szCs w:val="28"/>
        </w:rPr>
        <w:t>1.5</w:t>
      </w:r>
      <w:r>
        <w:rPr>
          <w:rFonts w:hint="eastAsia" w:ascii="仿宋" w:hAnsi="仿宋" w:cs="仿宋"/>
          <w:b/>
          <w:bCs/>
          <w:color w:val="auto"/>
          <w:sz w:val="24"/>
          <w:szCs w:val="24"/>
        </w:rPr>
        <w:t>签订及履行合同和验收</w:t>
      </w:r>
      <w:bookmarkEnd w:id="79"/>
      <w:bookmarkEnd w:id="82"/>
    </w:p>
    <w:p w14:paraId="116B8F25">
      <w:pPr>
        <w:keepNext/>
        <w:keepLines/>
        <w:numPr>
          <w:ilvl w:val="2"/>
          <w:numId w:val="0"/>
        </w:numPr>
        <w:spacing w:line="360" w:lineRule="auto"/>
        <w:outlineLvl w:val="2"/>
        <w:rPr>
          <w:rFonts w:ascii="仿宋" w:hAnsi="仿宋" w:cs="仿宋"/>
          <w:b/>
          <w:bCs/>
          <w:color w:val="auto"/>
          <w:sz w:val="24"/>
          <w:szCs w:val="24"/>
        </w:rPr>
      </w:pPr>
      <w:bookmarkStart w:id="83" w:name="_Toc217446065"/>
      <w:r>
        <w:rPr>
          <w:rFonts w:ascii="Times New Roman" w:hAnsi="Times New Roman" w:eastAsia="宋体"/>
          <w:b/>
          <w:bCs/>
          <w:color w:val="auto"/>
          <w:sz w:val="28"/>
          <w:szCs w:val="24"/>
        </w:rPr>
        <w:t>1.5.1</w:t>
      </w:r>
      <w:r>
        <w:rPr>
          <w:rFonts w:hint="eastAsia" w:ascii="仿宋" w:hAnsi="仿宋" w:cs="仿宋"/>
          <w:b/>
          <w:bCs/>
          <w:color w:val="auto"/>
          <w:sz w:val="24"/>
          <w:szCs w:val="24"/>
        </w:rPr>
        <w:t>签订合同</w:t>
      </w:r>
      <w:bookmarkEnd w:id="83"/>
    </w:p>
    <w:p w14:paraId="40CC123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2752458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55B060C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4BA93E0E">
      <w:pPr>
        <w:keepNext/>
        <w:keepLines/>
        <w:numPr>
          <w:ilvl w:val="2"/>
          <w:numId w:val="0"/>
        </w:numPr>
        <w:spacing w:line="360" w:lineRule="auto"/>
        <w:ind w:left="3119" w:hanging="3119"/>
        <w:outlineLvl w:val="2"/>
        <w:rPr>
          <w:rFonts w:ascii="仿宋" w:hAnsi="仿宋" w:cs="仿宋"/>
          <w:b/>
          <w:bCs/>
          <w:color w:val="auto"/>
          <w:sz w:val="24"/>
          <w:szCs w:val="24"/>
        </w:rPr>
      </w:pPr>
      <w:bookmarkStart w:id="84" w:name="_Toc315871033"/>
      <w:bookmarkEnd w:id="84"/>
      <w:bookmarkStart w:id="85" w:name="_Toc217446066"/>
      <w:r>
        <w:rPr>
          <w:rFonts w:ascii="Times New Roman" w:hAnsi="Times New Roman" w:eastAsia="宋体"/>
          <w:b/>
          <w:bCs/>
          <w:color w:val="auto"/>
          <w:sz w:val="28"/>
          <w:szCs w:val="24"/>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728567FE">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1.5.2.1</w:t>
      </w:r>
      <w:r>
        <w:rPr>
          <w:rFonts w:hint="eastAsia" w:ascii="仿宋" w:hAnsi="仿宋" w:cs="仿宋"/>
          <w:b/>
          <w:bCs/>
          <w:color w:val="auto"/>
          <w:sz w:val="24"/>
          <w:szCs w:val="24"/>
        </w:rPr>
        <w:t>合同分包</w:t>
      </w:r>
    </w:p>
    <w:p w14:paraId="29D6B729">
      <w:pPr>
        <w:pStyle w:val="185"/>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3818E1F8">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1.5.2.2</w:t>
      </w:r>
      <w:r>
        <w:rPr>
          <w:rFonts w:hint="eastAsia" w:ascii="仿宋" w:hAnsi="仿宋" w:cs="仿宋"/>
          <w:b/>
          <w:bCs/>
          <w:color w:val="auto"/>
          <w:sz w:val="24"/>
          <w:szCs w:val="24"/>
        </w:rPr>
        <w:t>合同转包</w:t>
      </w:r>
    </w:p>
    <w:p w14:paraId="554ACFA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61BDB6A4">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5A96BEA4">
      <w:pPr>
        <w:keepNext/>
        <w:keepLines/>
        <w:numPr>
          <w:ilvl w:val="2"/>
          <w:numId w:val="0"/>
        </w:numPr>
        <w:spacing w:before="240" w:line="360" w:lineRule="auto"/>
        <w:outlineLvl w:val="2"/>
        <w:rPr>
          <w:rFonts w:ascii="仿宋" w:hAnsi="仿宋" w:cs="仿宋"/>
          <w:b/>
          <w:bCs/>
          <w:color w:val="auto"/>
          <w:sz w:val="24"/>
          <w:szCs w:val="24"/>
        </w:rPr>
      </w:pPr>
      <w:bookmarkStart w:id="86" w:name="_Toc217446067"/>
      <w:r>
        <w:rPr>
          <w:rFonts w:ascii="Times New Roman" w:hAnsi="Times New Roman" w:eastAsia="宋体"/>
          <w:b/>
          <w:bCs/>
          <w:color w:val="auto"/>
          <w:sz w:val="28"/>
          <w:szCs w:val="24"/>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21E40EAB">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0EA81D7C">
      <w:pPr>
        <w:keepNext/>
        <w:keepLines/>
        <w:numPr>
          <w:ilvl w:val="2"/>
          <w:numId w:val="0"/>
        </w:numPr>
        <w:spacing w:line="360" w:lineRule="auto"/>
        <w:outlineLvl w:val="2"/>
        <w:rPr>
          <w:rFonts w:ascii="仿宋" w:hAnsi="仿宋" w:cs="仿宋"/>
          <w:b/>
          <w:bCs/>
          <w:color w:val="auto"/>
          <w:sz w:val="24"/>
          <w:szCs w:val="24"/>
        </w:rPr>
      </w:pPr>
      <w:bookmarkStart w:id="87" w:name="_Toc217446069"/>
      <w:r>
        <w:rPr>
          <w:rFonts w:ascii="Times New Roman" w:hAnsi="Times New Roman" w:eastAsia="宋体"/>
          <w:b/>
          <w:bCs/>
          <w:color w:val="auto"/>
          <w:sz w:val="28"/>
          <w:szCs w:val="24"/>
        </w:rPr>
        <w:t>1.5.4</w:t>
      </w:r>
      <w:r>
        <w:rPr>
          <w:rFonts w:hint="eastAsia" w:ascii="仿宋" w:hAnsi="仿宋" w:cs="仿宋"/>
          <w:b/>
          <w:bCs/>
          <w:color w:val="auto"/>
          <w:sz w:val="24"/>
          <w:szCs w:val="24"/>
        </w:rPr>
        <w:t>合同公告</w:t>
      </w:r>
    </w:p>
    <w:p w14:paraId="3F81ABE0">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687A499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1.5.5</w:t>
      </w:r>
      <w:r>
        <w:rPr>
          <w:rFonts w:hint="eastAsia" w:ascii="仿宋" w:hAnsi="仿宋" w:cs="仿宋"/>
          <w:b/>
          <w:bCs/>
          <w:color w:val="auto"/>
          <w:sz w:val="24"/>
          <w:szCs w:val="24"/>
        </w:rPr>
        <w:t>合同备案</w:t>
      </w:r>
    </w:p>
    <w:p w14:paraId="659A3D8B">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7CA1E1D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1.5.6</w:t>
      </w:r>
      <w:r>
        <w:rPr>
          <w:rFonts w:hint="eastAsia" w:ascii="仿宋" w:hAnsi="仿宋" w:cs="仿宋"/>
          <w:b/>
          <w:bCs/>
          <w:color w:val="auto"/>
          <w:sz w:val="24"/>
          <w:szCs w:val="24"/>
        </w:rPr>
        <w:t>履行合同</w:t>
      </w:r>
      <w:bookmarkEnd w:id="87"/>
    </w:p>
    <w:p w14:paraId="1CB0A23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0F67E0A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15B95104">
      <w:pPr>
        <w:keepNext/>
        <w:keepLines/>
        <w:numPr>
          <w:ilvl w:val="2"/>
          <w:numId w:val="0"/>
        </w:numPr>
        <w:spacing w:line="360" w:lineRule="auto"/>
        <w:outlineLvl w:val="2"/>
        <w:rPr>
          <w:rFonts w:ascii="仿宋" w:hAnsi="仿宋" w:cs="仿宋"/>
          <w:b/>
          <w:bCs/>
          <w:color w:val="auto"/>
          <w:sz w:val="24"/>
          <w:szCs w:val="24"/>
        </w:rPr>
      </w:pPr>
      <w:bookmarkStart w:id="88" w:name="_Toc217446070"/>
      <w:r>
        <w:rPr>
          <w:rFonts w:ascii="Times New Roman" w:hAnsi="Times New Roman" w:eastAsia="宋体"/>
          <w:b/>
          <w:bCs/>
          <w:color w:val="auto"/>
          <w:sz w:val="28"/>
          <w:szCs w:val="24"/>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3007FB4D">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682380"/>
      <w:bookmarkStart w:id="91" w:name="_Toc183582243"/>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F60E42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6CFAADD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06444B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098D784">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1.5.8</w:t>
      </w:r>
      <w:r>
        <w:rPr>
          <w:rFonts w:hint="eastAsia" w:ascii="仿宋" w:hAnsi="仿宋" w:cs="仿宋"/>
          <w:b/>
          <w:bCs/>
          <w:color w:val="auto"/>
          <w:sz w:val="24"/>
          <w:szCs w:val="24"/>
        </w:rPr>
        <w:t>资金支付</w:t>
      </w:r>
    </w:p>
    <w:p w14:paraId="59663A42">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27598107">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2" w:name="_Toc25467"/>
      <w:r>
        <w:rPr>
          <w:rFonts w:ascii="Times New Roman" w:hAnsi="Times New Roman" w:eastAsia="宋体"/>
          <w:b/>
          <w:bCs/>
          <w:color w:val="auto"/>
          <w:sz w:val="28"/>
          <w:szCs w:val="28"/>
        </w:rPr>
        <w:t>1.6</w:t>
      </w:r>
      <w:r>
        <w:rPr>
          <w:rFonts w:hint="eastAsia" w:ascii="仿宋" w:hAnsi="仿宋" w:cs="仿宋"/>
          <w:b/>
          <w:bCs/>
          <w:color w:val="auto"/>
          <w:sz w:val="24"/>
          <w:szCs w:val="24"/>
        </w:rPr>
        <w:t>投标纪律要求</w:t>
      </w:r>
      <w:bookmarkEnd w:id="89"/>
      <w:bookmarkEnd w:id="92"/>
    </w:p>
    <w:p w14:paraId="44CFCB53">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1.6.1</w:t>
      </w:r>
      <w:r>
        <w:rPr>
          <w:rFonts w:hint="eastAsia" w:ascii="仿宋" w:hAnsi="仿宋" w:cs="仿宋"/>
          <w:b/>
          <w:bCs/>
          <w:color w:val="auto"/>
          <w:sz w:val="24"/>
          <w:szCs w:val="24"/>
        </w:rPr>
        <w:t>回避</w:t>
      </w:r>
    </w:p>
    <w:p w14:paraId="5F982AB0">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0E479114">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6D61CC05">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452D70AA">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0D60014B">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14CC3C88">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5DB51719">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3313618C">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3" w:name="_Toc14296"/>
      <w:bookmarkStart w:id="94" w:name="_Toc217446078"/>
      <w:r>
        <w:rPr>
          <w:rFonts w:ascii="Times New Roman" w:hAnsi="Times New Roman" w:eastAsia="宋体"/>
          <w:b/>
          <w:bCs/>
          <w:color w:val="auto"/>
          <w:sz w:val="28"/>
          <w:szCs w:val="28"/>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376D651C">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16AFDF10">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6CFF17F4">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20DD727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768C19A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3E313E3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208EEFA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598A40E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0FB48BF1">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7D6BF2F7">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482C0FF8">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4288C479">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7EB4F80A">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3020C7B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七、供应商对采购人或采购代理机构的质疑答复不满意，或者采购人或采购代理机构未在规定期限内作出答复的，供应商可以在答复期满后15个工作日内向同级财政部门提起投诉。</w:t>
      </w:r>
    </w:p>
    <w:p w14:paraId="59862717">
      <w:pPr>
        <w:pStyle w:val="3"/>
        <w:numPr>
          <w:ilvl w:val="1"/>
          <w:numId w:val="0"/>
        </w:numPr>
        <w:tabs>
          <w:tab w:val="left" w:pos="426"/>
          <w:tab w:val="left" w:pos="567"/>
        </w:tabs>
        <w:spacing w:before="0" w:after="200"/>
        <w:ind w:left="1985" w:hanging="1985"/>
        <w:jc w:val="both"/>
        <w:rPr>
          <w:rFonts w:ascii="仿宋" w:hAnsi="仿宋" w:cs="仿宋"/>
          <w:color w:val="auto"/>
          <w:sz w:val="24"/>
          <w:szCs w:val="24"/>
        </w:rPr>
      </w:pPr>
      <w:bookmarkStart w:id="96" w:name="_Toc87450112"/>
      <w:bookmarkStart w:id="97" w:name="_Toc58943334"/>
      <w:bookmarkStart w:id="98" w:name="_Toc24770"/>
      <w:r>
        <w:rPr>
          <w:rFonts w:ascii="Times New Roman" w:hAnsi="Times New Roman"/>
          <w:color w:val="auto"/>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1A70D9DD">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72A7CDF1">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2EA6B514">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7608"/>
      <w:bookmarkStart w:id="100" w:name="_Toc10696"/>
      <w:bookmarkStart w:id="101" w:name="_Toc11102"/>
      <w:r>
        <w:rPr>
          <w:rFonts w:hint="eastAsia" w:ascii="宋体" w:hAnsi="宋体"/>
          <w:b/>
          <w:bCs/>
          <w:color w:val="auto"/>
          <w:spacing w:val="-20"/>
          <w:kern w:val="44"/>
          <w:sz w:val="32"/>
          <w:szCs w:val="32"/>
        </w:rPr>
        <w:t>第3章 投标文件格式</w:t>
      </w:r>
      <w:bookmarkEnd w:id="99"/>
      <w:bookmarkEnd w:id="100"/>
      <w:bookmarkEnd w:id="101"/>
    </w:p>
    <w:p w14:paraId="638B7EF0">
      <w:pPr>
        <w:keepNext/>
        <w:keepLines/>
        <w:numPr>
          <w:ilvl w:val="1"/>
          <w:numId w:val="0"/>
        </w:numPr>
        <w:spacing w:before="260" w:after="260" w:line="360" w:lineRule="auto"/>
        <w:ind w:left="567" w:hanging="567"/>
        <w:jc w:val="left"/>
        <w:outlineLvl w:val="1"/>
        <w:rPr>
          <w:rFonts w:ascii="仿宋" w:hAnsi="仿宋" w:cs="仿宋"/>
          <w:color w:val="auto"/>
        </w:rPr>
      </w:pPr>
      <w:bookmarkStart w:id="102" w:name="_Toc682"/>
      <w:r>
        <w:rPr>
          <w:rFonts w:ascii="Times New Roman" w:hAnsi="Times New Roman" w:eastAsia="宋体"/>
          <w:b/>
          <w:color w:val="auto"/>
          <w:sz w:val="28"/>
          <w:szCs w:val="28"/>
        </w:rPr>
        <w:t>1.9</w:t>
      </w:r>
      <w:r>
        <w:rPr>
          <w:rFonts w:hint="eastAsia" w:ascii="宋体" w:hAnsi="宋体"/>
          <w:b/>
          <w:bCs/>
          <w:color w:val="auto"/>
          <w:sz w:val="28"/>
          <w:szCs w:val="28"/>
        </w:rPr>
        <w:t>投标文件封面格式</w:t>
      </w:r>
      <w:bookmarkEnd w:id="102"/>
    </w:p>
    <w:p w14:paraId="29CB9E7D">
      <w:pPr>
        <w:shd w:val="clear" w:color="auto" w:fill="FFFFFF"/>
        <w:spacing w:line="560" w:lineRule="exact"/>
        <w:ind w:firstLine="420"/>
        <w:jc w:val="center"/>
        <w:rPr>
          <w:rFonts w:ascii="仿宋" w:hAnsi="仿宋" w:cs="仿宋"/>
          <w:bCs/>
          <w:color w:val="auto"/>
          <w:sz w:val="24"/>
          <w:lang w:val="zh-CN"/>
        </w:rPr>
      </w:pPr>
    </w:p>
    <w:p w14:paraId="597148CB">
      <w:pPr>
        <w:spacing w:line="560" w:lineRule="exact"/>
        <w:rPr>
          <w:rFonts w:ascii="仿宋" w:hAnsi="仿宋" w:cs="仿宋"/>
          <w:color w:val="auto"/>
          <w:lang w:val="zh-CN"/>
        </w:rPr>
      </w:pPr>
    </w:p>
    <w:p w14:paraId="302433A1">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33EBFA6B">
      <w:pPr>
        <w:spacing w:line="560" w:lineRule="exact"/>
        <w:jc w:val="center"/>
        <w:rPr>
          <w:rFonts w:ascii="仿宋" w:hAnsi="仿宋" w:cs="仿宋"/>
          <w:b/>
          <w:bCs/>
          <w:color w:val="auto"/>
          <w:sz w:val="36"/>
          <w:szCs w:val="44"/>
          <w:lang w:val="zh-CN"/>
        </w:rPr>
      </w:pPr>
    </w:p>
    <w:p w14:paraId="0429DEEA">
      <w:pPr>
        <w:spacing w:line="560" w:lineRule="exact"/>
        <w:rPr>
          <w:rFonts w:ascii="仿宋" w:hAnsi="仿宋" w:cs="仿宋"/>
          <w:color w:val="auto"/>
        </w:rPr>
      </w:pPr>
    </w:p>
    <w:p w14:paraId="0C557B33">
      <w:pPr>
        <w:spacing w:line="560" w:lineRule="exact"/>
        <w:jc w:val="center"/>
        <w:rPr>
          <w:rFonts w:ascii="仿宋" w:hAnsi="仿宋" w:cs="仿宋"/>
          <w:b/>
          <w:bCs/>
          <w:color w:val="auto"/>
          <w:sz w:val="32"/>
          <w:szCs w:val="40"/>
        </w:rPr>
      </w:pPr>
      <w:r>
        <w:rPr>
          <w:rFonts w:hint="eastAsia" w:ascii="仿宋" w:hAnsi="仿宋" w:cs="仿宋"/>
          <w:b/>
          <w:bCs/>
          <w:color w:val="auto"/>
          <w:sz w:val="32"/>
          <w:szCs w:val="40"/>
        </w:rPr>
        <w:t>项目编号：GYZB-2025-48-CG</w:t>
      </w:r>
    </w:p>
    <w:p w14:paraId="3031689D">
      <w:pPr>
        <w:spacing w:line="560" w:lineRule="exact"/>
        <w:jc w:val="center"/>
        <w:rPr>
          <w:rFonts w:ascii="仿宋" w:hAnsi="仿宋" w:cs="仿宋"/>
          <w:b/>
          <w:bCs/>
          <w:color w:val="auto"/>
          <w:sz w:val="32"/>
          <w:szCs w:val="40"/>
        </w:rPr>
      </w:pPr>
    </w:p>
    <w:p w14:paraId="4A439215">
      <w:pPr>
        <w:spacing w:line="560" w:lineRule="exact"/>
        <w:jc w:val="center"/>
        <w:rPr>
          <w:rFonts w:ascii="仿宋" w:hAnsi="仿宋" w:cs="仿宋"/>
          <w:color w:val="auto"/>
          <w:lang w:val="zh-CN"/>
        </w:rPr>
      </w:pPr>
    </w:p>
    <w:p w14:paraId="7D46C4EC">
      <w:pPr>
        <w:pStyle w:val="6"/>
        <w:tabs>
          <w:tab w:val="left" w:pos="567"/>
        </w:tabs>
        <w:spacing w:line="560" w:lineRule="exact"/>
        <w:rPr>
          <w:rFonts w:ascii="仿宋" w:hAnsi="仿宋" w:cs="仿宋"/>
          <w:b/>
          <w:color w:val="auto"/>
          <w:sz w:val="36"/>
          <w:szCs w:val="36"/>
          <w:lang w:val="zh-CN"/>
        </w:rPr>
      </w:pPr>
    </w:p>
    <w:p w14:paraId="57D35AEC">
      <w:pPr>
        <w:pStyle w:val="5"/>
        <w:tabs>
          <w:tab w:val="left" w:pos="567"/>
        </w:tabs>
        <w:spacing w:line="560" w:lineRule="exact"/>
        <w:ind w:firstLine="361"/>
        <w:rPr>
          <w:rFonts w:ascii="仿宋" w:hAnsi="仿宋" w:cs="仿宋"/>
          <w:b/>
          <w:color w:val="auto"/>
          <w:sz w:val="36"/>
          <w:szCs w:val="36"/>
          <w:lang w:val="zh-CN"/>
        </w:rPr>
      </w:pPr>
    </w:p>
    <w:p w14:paraId="6DEC41E9">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342C89DC">
      <w:pPr>
        <w:spacing w:line="560" w:lineRule="exact"/>
        <w:jc w:val="center"/>
        <w:rPr>
          <w:rFonts w:ascii="仿宋" w:hAnsi="仿宋" w:cs="仿宋"/>
          <w:b/>
          <w:color w:val="auto"/>
          <w:sz w:val="36"/>
          <w:szCs w:val="36"/>
        </w:rPr>
      </w:pPr>
    </w:p>
    <w:p w14:paraId="46A840D0">
      <w:pPr>
        <w:spacing w:line="560" w:lineRule="exact"/>
        <w:jc w:val="center"/>
        <w:rPr>
          <w:rFonts w:ascii="仿宋" w:hAnsi="仿宋" w:cs="仿宋"/>
          <w:b/>
          <w:color w:val="auto"/>
          <w:sz w:val="36"/>
          <w:szCs w:val="36"/>
        </w:rPr>
      </w:pPr>
    </w:p>
    <w:p w14:paraId="7CD0F3F6">
      <w:pPr>
        <w:spacing w:line="560" w:lineRule="exact"/>
        <w:jc w:val="center"/>
        <w:rPr>
          <w:rFonts w:ascii="仿宋" w:hAnsi="仿宋" w:cs="仿宋"/>
          <w:b/>
          <w:color w:val="auto"/>
          <w:sz w:val="36"/>
          <w:szCs w:val="36"/>
        </w:rPr>
      </w:pPr>
    </w:p>
    <w:p w14:paraId="238B8F3E">
      <w:pPr>
        <w:spacing w:line="560" w:lineRule="exact"/>
        <w:jc w:val="center"/>
        <w:rPr>
          <w:rFonts w:ascii="仿宋" w:hAnsi="仿宋" w:cs="仿宋"/>
          <w:b/>
          <w:color w:val="auto"/>
          <w:sz w:val="36"/>
          <w:szCs w:val="36"/>
        </w:rPr>
      </w:pPr>
    </w:p>
    <w:p w14:paraId="7C1DE8E2">
      <w:pPr>
        <w:spacing w:line="560" w:lineRule="exact"/>
        <w:jc w:val="center"/>
        <w:rPr>
          <w:rFonts w:ascii="仿宋" w:hAnsi="仿宋" w:cs="仿宋"/>
          <w:b/>
          <w:color w:val="auto"/>
          <w:sz w:val="36"/>
          <w:szCs w:val="36"/>
        </w:rPr>
      </w:pPr>
    </w:p>
    <w:p w14:paraId="3837F408">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2025年4月</w:t>
      </w:r>
    </w:p>
    <w:p w14:paraId="3A16F50B">
      <w:pPr>
        <w:rPr>
          <w:rFonts w:ascii="仿宋" w:hAnsi="仿宋" w:cs="仿宋"/>
          <w:b/>
          <w:bCs/>
          <w:color w:val="auto"/>
          <w:sz w:val="32"/>
          <w:szCs w:val="32"/>
        </w:rPr>
      </w:pPr>
      <w:r>
        <w:rPr>
          <w:rFonts w:hint="eastAsia" w:ascii="仿宋" w:hAnsi="仿宋" w:cs="仿宋"/>
          <w:b/>
          <w:bCs/>
          <w:color w:val="auto"/>
          <w:sz w:val="32"/>
          <w:szCs w:val="32"/>
        </w:rPr>
        <w:br w:type="page"/>
      </w:r>
    </w:p>
    <w:p w14:paraId="725AFB1F">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03" w:name="_Toc2116"/>
      <w:r>
        <w:rPr>
          <w:rFonts w:ascii="Times New Roman" w:hAnsi="Times New Roman" w:eastAsia="宋体"/>
          <w:b/>
          <w:bCs/>
          <w:color w:val="auto"/>
          <w:sz w:val="28"/>
          <w:szCs w:val="28"/>
        </w:rPr>
        <w:t>1.10</w:t>
      </w:r>
      <w:r>
        <w:rPr>
          <w:rFonts w:hint="eastAsia" w:ascii="仿宋" w:hAnsi="仿宋" w:cs="仿宋"/>
          <w:b/>
          <w:bCs/>
          <w:color w:val="auto"/>
          <w:sz w:val="28"/>
          <w:szCs w:val="28"/>
        </w:rPr>
        <w:t>商务技术投标文件</w:t>
      </w:r>
      <w:bookmarkEnd w:id="103"/>
    </w:p>
    <w:p w14:paraId="71387EEB">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73B97BBC">
      <w:pPr>
        <w:adjustRightInd w:val="0"/>
        <w:spacing w:line="360" w:lineRule="auto"/>
        <w:jc w:val="center"/>
        <w:rPr>
          <w:rFonts w:ascii="仿宋" w:hAnsi="仿宋" w:cs="仿宋"/>
          <w:b/>
          <w:color w:val="auto"/>
          <w:kern w:val="0"/>
          <w:sz w:val="24"/>
        </w:rPr>
      </w:pPr>
    </w:p>
    <w:p w14:paraId="680E7D0C">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3C2E5090">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486BFF4A">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4053ED94">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07FC0EBB">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3DF1BB30">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3BCD4D02">
      <w:pPr>
        <w:snapToGrid w:val="0"/>
        <w:spacing w:line="360" w:lineRule="auto"/>
        <w:jc w:val="center"/>
        <w:rPr>
          <w:rFonts w:ascii="仿宋" w:hAnsi="仿宋" w:cs="仿宋"/>
          <w:b/>
          <w:color w:val="auto"/>
          <w:kern w:val="0"/>
          <w:sz w:val="32"/>
          <w:szCs w:val="32"/>
          <w:lang w:val="zh-CN"/>
        </w:rPr>
      </w:pPr>
    </w:p>
    <w:p w14:paraId="1A88BD1B">
      <w:pPr>
        <w:snapToGrid w:val="0"/>
        <w:spacing w:line="360" w:lineRule="auto"/>
        <w:jc w:val="center"/>
        <w:rPr>
          <w:rFonts w:ascii="仿宋" w:hAnsi="仿宋" w:cs="仿宋"/>
          <w:b/>
          <w:color w:val="auto"/>
          <w:kern w:val="0"/>
          <w:sz w:val="32"/>
          <w:szCs w:val="32"/>
          <w:lang w:val="zh-CN"/>
        </w:rPr>
      </w:pPr>
    </w:p>
    <w:p w14:paraId="31DC476E">
      <w:pPr>
        <w:snapToGrid w:val="0"/>
        <w:spacing w:line="360" w:lineRule="auto"/>
        <w:jc w:val="center"/>
        <w:rPr>
          <w:rFonts w:ascii="仿宋" w:hAnsi="仿宋" w:cs="仿宋"/>
          <w:b/>
          <w:color w:val="auto"/>
          <w:kern w:val="0"/>
          <w:sz w:val="32"/>
          <w:szCs w:val="32"/>
          <w:lang w:val="zh-CN"/>
        </w:rPr>
      </w:pPr>
    </w:p>
    <w:p w14:paraId="4BEEF2DB">
      <w:pPr>
        <w:snapToGrid w:val="0"/>
        <w:spacing w:line="360" w:lineRule="auto"/>
        <w:jc w:val="center"/>
        <w:rPr>
          <w:rFonts w:ascii="仿宋" w:hAnsi="仿宋" w:cs="仿宋"/>
          <w:b/>
          <w:color w:val="auto"/>
          <w:kern w:val="0"/>
          <w:sz w:val="32"/>
          <w:szCs w:val="32"/>
          <w:lang w:val="zh-CN"/>
        </w:rPr>
      </w:pPr>
    </w:p>
    <w:p w14:paraId="7DC4DD4C">
      <w:pPr>
        <w:snapToGrid w:val="0"/>
        <w:spacing w:line="360" w:lineRule="auto"/>
        <w:jc w:val="center"/>
        <w:rPr>
          <w:rFonts w:ascii="仿宋" w:hAnsi="仿宋" w:cs="仿宋"/>
          <w:b/>
          <w:color w:val="auto"/>
          <w:kern w:val="0"/>
          <w:sz w:val="32"/>
          <w:szCs w:val="32"/>
          <w:lang w:val="zh-CN"/>
        </w:rPr>
      </w:pPr>
    </w:p>
    <w:p w14:paraId="55962298">
      <w:pPr>
        <w:snapToGrid w:val="0"/>
        <w:spacing w:line="360" w:lineRule="auto"/>
        <w:jc w:val="center"/>
        <w:rPr>
          <w:rFonts w:ascii="仿宋" w:hAnsi="仿宋" w:cs="仿宋"/>
          <w:b/>
          <w:color w:val="auto"/>
          <w:kern w:val="0"/>
          <w:sz w:val="32"/>
          <w:szCs w:val="32"/>
          <w:lang w:val="zh-CN"/>
        </w:rPr>
      </w:pPr>
    </w:p>
    <w:p w14:paraId="4C770009">
      <w:pPr>
        <w:snapToGrid w:val="0"/>
        <w:spacing w:line="360" w:lineRule="auto"/>
        <w:jc w:val="center"/>
        <w:rPr>
          <w:rFonts w:ascii="仿宋" w:hAnsi="仿宋" w:cs="仿宋"/>
          <w:b/>
          <w:color w:val="auto"/>
          <w:kern w:val="0"/>
          <w:sz w:val="32"/>
          <w:szCs w:val="32"/>
          <w:lang w:val="zh-CN"/>
        </w:rPr>
      </w:pPr>
    </w:p>
    <w:p w14:paraId="5DE15E32">
      <w:pPr>
        <w:snapToGrid w:val="0"/>
        <w:spacing w:line="360" w:lineRule="auto"/>
        <w:jc w:val="center"/>
        <w:rPr>
          <w:rFonts w:ascii="仿宋" w:hAnsi="仿宋" w:cs="仿宋"/>
          <w:b/>
          <w:color w:val="auto"/>
          <w:kern w:val="0"/>
          <w:sz w:val="32"/>
          <w:szCs w:val="32"/>
          <w:lang w:val="zh-CN"/>
        </w:rPr>
      </w:pPr>
    </w:p>
    <w:p w14:paraId="189CC22E">
      <w:pPr>
        <w:snapToGrid w:val="0"/>
        <w:spacing w:line="360" w:lineRule="auto"/>
        <w:jc w:val="center"/>
        <w:rPr>
          <w:rFonts w:ascii="仿宋" w:hAnsi="仿宋" w:cs="仿宋"/>
          <w:b/>
          <w:color w:val="auto"/>
          <w:kern w:val="0"/>
          <w:sz w:val="32"/>
          <w:szCs w:val="32"/>
          <w:lang w:val="zh-CN"/>
        </w:rPr>
      </w:pPr>
    </w:p>
    <w:p w14:paraId="013E9A53">
      <w:pPr>
        <w:snapToGrid w:val="0"/>
        <w:spacing w:line="360" w:lineRule="auto"/>
        <w:jc w:val="center"/>
        <w:rPr>
          <w:rFonts w:ascii="仿宋" w:hAnsi="仿宋" w:cs="仿宋"/>
          <w:b/>
          <w:color w:val="auto"/>
          <w:kern w:val="0"/>
          <w:sz w:val="32"/>
          <w:szCs w:val="32"/>
          <w:lang w:val="zh-CN"/>
        </w:rPr>
      </w:pPr>
    </w:p>
    <w:p w14:paraId="1D9F94C8">
      <w:pPr>
        <w:snapToGrid w:val="0"/>
        <w:spacing w:line="360" w:lineRule="auto"/>
        <w:jc w:val="center"/>
        <w:rPr>
          <w:rFonts w:ascii="仿宋" w:hAnsi="仿宋" w:cs="仿宋"/>
          <w:b/>
          <w:color w:val="auto"/>
          <w:kern w:val="0"/>
          <w:sz w:val="32"/>
          <w:szCs w:val="32"/>
          <w:lang w:val="zh-CN"/>
        </w:rPr>
      </w:pPr>
    </w:p>
    <w:p w14:paraId="6FF249F5">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56148698">
      <w:pPr>
        <w:snapToGrid w:val="0"/>
        <w:spacing w:line="360" w:lineRule="auto"/>
        <w:rPr>
          <w:rFonts w:ascii="仿宋" w:hAnsi="仿宋" w:cs="仿宋"/>
          <w:color w:val="auto"/>
          <w:sz w:val="24"/>
          <w:szCs w:val="24"/>
        </w:rPr>
      </w:pPr>
    </w:p>
    <w:p w14:paraId="569F38B9">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40C02C63">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6632B51F">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63E6E53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38E5EFE7">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64A910A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56EB6178">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6B5AB6A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161A025E">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35560E5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38C560C7">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1AE81780">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1A349FC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38373396">
      <w:pPr>
        <w:snapToGrid w:val="0"/>
        <w:spacing w:line="360" w:lineRule="auto"/>
        <w:ind w:firstLine="5520" w:firstLineChars="2300"/>
        <w:rPr>
          <w:rFonts w:ascii="仿宋" w:hAnsi="仿宋" w:cs="仿宋"/>
          <w:color w:val="auto"/>
          <w:kern w:val="0"/>
          <w:sz w:val="24"/>
          <w:szCs w:val="24"/>
          <w:lang w:val="zh-CN"/>
        </w:rPr>
      </w:pPr>
    </w:p>
    <w:p w14:paraId="0F30DB9C">
      <w:pPr>
        <w:snapToGrid w:val="0"/>
        <w:spacing w:line="360" w:lineRule="auto"/>
        <w:ind w:firstLine="5520" w:firstLineChars="2300"/>
        <w:rPr>
          <w:rFonts w:ascii="仿宋" w:hAnsi="仿宋" w:cs="仿宋"/>
          <w:color w:val="auto"/>
          <w:kern w:val="0"/>
          <w:sz w:val="24"/>
          <w:szCs w:val="24"/>
          <w:lang w:val="zh-CN"/>
        </w:rPr>
      </w:pPr>
    </w:p>
    <w:p w14:paraId="16AAF470">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38E67411">
      <w:pPr>
        <w:snapToGrid w:val="0"/>
        <w:spacing w:line="360" w:lineRule="auto"/>
        <w:rPr>
          <w:rFonts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06AC6A7F">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47FF0CE9">
      <w:pPr>
        <w:snapToGrid w:val="0"/>
        <w:spacing w:line="360" w:lineRule="auto"/>
        <w:ind w:right="480"/>
        <w:jc w:val="center"/>
        <w:rPr>
          <w:rFonts w:ascii="仿宋" w:hAnsi="仿宋" w:cs="仿宋"/>
          <w:b/>
          <w:color w:val="auto"/>
          <w:kern w:val="0"/>
          <w:sz w:val="24"/>
          <w:szCs w:val="24"/>
        </w:rPr>
      </w:pPr>
    </w:p>
    <w:p w14:paraId="104DAB47">
      <w:pPr>
        <w:snapToGrid w:val="0"/>
        <w:spacing w:line="360" w:lineRule="auto"/>
        <w:ind w:right="480"/>
        <w:jc w:val="center"/>
        <w:rPr>
          <w:rFonts w:ascii="仿宋" w:hAnsi="仿宋" w:cs="仿宋"/>
          <w:b/>
          <w:color w:val="auto"/>
          <w:kern w:val="0"/>
          <w:sz w:val="24"/>
          <w:szCs w:val="24"/>
        </w:rPr>
      </w:pPr>
    </w:p>
    <w:p w14:paraId="4A542081">
      <w:pPr>
        <w:snapToGrid w:val="0"/>
        <w:spacing w:line="360" w:lineRule="auto"/>
        <w:ind w:right="480"/>
        <w:jc w:val="center"/>
        <w:rPr>
          <w:rFonts w:ascii="仿宋" w:hAnsi="仿宋" w:cs="仿宋"/>
          <w:b/>
          <w:color w:val="auto"/>
          <w:kern w:val="0"/>
          <w:sz w:val="24"/>
          <w:szCs w:val="24"/>
        </w:rPr>
      </w:pPr>
    </w:p>
    <w:p w14:paraId="1253AEFC">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11659042">
      <w:pPr>
        <w:snapToGrid w:val="0"/>
        <w:spacing w:line="360" w:lineRule="auto"/>
        <w:rPr>
          <w:rFonts w:ascii="仿宋" w:hAnsi="仿宋" w:cs="仿宋"/>
          <w:color w:val="auto"/>
          <w:sz w:val="24"/>
        </w:rPr>
      </w:pPr>
      <w:r>
        <w:rPr>
          <w:rFonts w:hint="eastAsia" w:ascii="仿宋" w:hAnsi="仿宋" w:cs="仿宋"/>
          <w:color w:val="auto"/>
          <w:sz w:val="24"/>
        </w:rPr>
        <w:t>（采购人）（采购代理机构）：</w:t>
      </w:r>
    </w:p>
    <w:p w14:paraId="0FF78585">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37CB146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1A2046C9">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023AC0ED">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商务技术投标文件</w:t>
      </w:r>
    </w:p>
    <w:p w14:paraId="5680C57E">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一、承诺函；</w:t>
      </w:r>
    </w:p>
    <w:p w14:paraId="6A6DFF8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二、投标函；</w:t>
      </w:r>
    </w:p>
    <w:p w14:paraId="1F35D77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7A0B3CCD">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四、商务技术偏离表；</w:t>
      </w:r>
    </w:p>
    <w:p w14:paraId="54FF6D2B">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五、商务技术文件；</w:t>
      </w:r>
    </w:p>
    <w:p w14:paraId="581E8C41">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六、报价单；</w:t>
      </w:r>
    </w:p>
    <w:p w14:paraId="151EB187">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七、政府采购供应商廉洁自律承诺书；</w:t>
      </w:r>
    </w:p>
    <w:p w14:paraId="6A1CE99D">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报价文件</w:t>
      </w:r>
    </w:p>
    <w:p w14:paraId="07646B5C">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一、报价单；</w:t>
      </w:r>
    </w:p>
    <w:p w14:paraId="5E62AE6F">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二、中小微企业声明函。3.我方承诺除商务技术偏离表列出的偏离外，我方响应采购文件的全部要求。</w:t>
      </w:r>
    </w:p>
    <w:p w14:paraId="7E26F204">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4.如我方中标，我方承诺：</w:t>
      </w:r>
    </w:p>
    <w:p w14:paraId="44462636">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49E7BAC6">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420EDC59">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3816E465">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70676958">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08423174">
      <w:pPr>
        <w:spacing w:line="360" w:lineRule="auto"/>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5F3DF588">
      <w:pPr>
        <w:spacing w:line="360" w:lineRule="auto"/>
        <w:jc w:val="center"/>
        <w:rPr>
          <w:rFonts w:ascii="仿宋" w:hAnsi="仿宋" w:cs="仿宋"/>
          <w:color w:val="auto"/>
          <w:sz w:val="24"/>
        </w:rPr>
      </w:pPr>
      <w:r>
        <w:rPr>
          <w:rFonts w:hint="eastAsia" w:ascii="仿宋" w:hAnsi="仿宋" w:cs="仿宋"/>
          <w:color w:val="auto"/>
          <w:sz w:val="24"/>
        </w:rPr>
        <w:t xml:space="preserve">           日期：  年   月   日</w:t>
      </w:r>
    </w:p>
    <w:p w14:paraId="2B7B8725">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7ED62C88">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6CFC2E9D">
      <w:pPr>
        <w:widowControl/>
        <w:topLinePunct/>
        <w:spacing w:line="360" w:lineRule="auto"/>
        <w:ind w:firstLine="420"/>
        <w:rPr>
          <w:rFonts w:ascii="仿宋" w:hAnsi="仿宋" w:cs="仿宋"/>
          <w:color w:val="auto"/>
          <w:kern w:val="0"/>
          <w:szCs w:val="21"/>
        </w:rPr>
      </w:pPr>
    </w:p>
    <w:p w14:paraId="2D13EE12">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03F230A5">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28A47C19">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0266C794">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0B047B4A">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7F4F4141">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0CC9857A">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4C296CA5">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6512386D">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C8D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66DA0A3">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2EC8BD13">
            <w:pPr>
              <w:pStyle w:val="236"/>
              <w:adjustRightInd w:val="0"/>
              <w:spacing w:line="360" w:lineRule="auto"/>
              <w:rPr>
                <w:rFonts w:ascii="仿宋" w:hAnsi="仿宋" w:eastAsia="仿宋" w:cs="仿宋"/>
                <w:color w:val="auto"/>
                <w:kern w:val="0"/>
              </w:rPr>
            </w:pPr>
          </w:p>
        </w:tc>
      </w:tr>
    </w:tbl>
    <w:p w14:paraId="7A6300FA">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71C0DE16">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4F1D6EC0">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64C389E0">
      <w:pPr>
        <w:jc w:val="center"/>
        <w:rPr>
          <w:rFonts w:ascii="仿宋" w:hAnsi="仿宋" w:cs="仿宋"/>
          <w:b/>
          <w:color w:val="auto"/>
          <w:kern w:val="0"/>
          <w:sz w:val="32"/>
          <w:szCs w:val="32"/>
        </w:rPr>
      </w:pPr>
    </w:p>
    <w:p w14:paraId="2DBA16DF">
      <w:pPr>
        <w:jc w:val="center"/>
        <w:rPr>
          <w:rFonts w:ascii="仿宋" w:hAnsi="仿宋" w:cs="仿宋"/>
          <w:b/>
          <w:color w:val="auto"/>
          <w:kern w:val="0"/>
          <w:sz w:val="32"/>
          <w:szCs w:val="32"/>
        </w:rPr>
      </w:pPr>
    </w:p>
    <w:p w14:paraId="07BF01E5">
      <w:pPr>
        <w:jc w:val="center"/>
        <w:rPr>
          <w:rFonts w:ascii="仿宋" w:hAnsi="仿宋" w:cs="仿宋"/>
          <w:b/>
          <w:color w:val="auto"/>
          <w:kern w:val="0"/>
          <w:sz w:val="32"/>
          <w:szCs w:val="32"/>
        </w:rPr>
      </w:pPr>
    </w:p>
    <w:p w14:paraId="378BA338">
      <w:pPr>
        <w:snapToGrid w:val="0"/>
        <w:spacing w:line="360" w:lineRule="auto"/>
        <w:jc w:val="center"/>
        <w:rPr>
          <w:rFonts w:ascii="仿宋" w:hAnsi="仿宋" w:cs="仿宋"/>
          <w:b/>
          <w:color w:val="auto"/>
          <w:kern w:val="0"/>
          <w:sz w:val="32"/>
          <w:szCs w:val="32"/>
          <w:lang w:val="zh-CN"/>
        </w:rPr>
        <w:sectPr>
          <w:footerReference r:id="rId7" w:type="default"/>
          <w:pgSz w:w="11906" w:h="16838"/>
          <w:pgMar w:top="1440" w:right="1797" w:bottom="1440" w:left="1797" w:header="851" w:footer="992" w:gutter="0"/>
          <w:pgNumType w:start="1"/>
          <w:cols w:space="720" w:num="1"/>
          <w:docGrid w:type="linesAndChars" w:linePitch="312" w:charSpace="0"/>
        </w:sectPr>
      </w:pPr>
    </w:p>
    <w:p w14:paraId="3371D717">
      <w:pPr>
        <w:snapToGrid w:val="0"/>
        <w:spacing w:line="360" w:lineRule="auto"/>
        <w:jc w:val="center"/>
        <w:rPr>
          <w:rFonts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366D3466">
      <w:pPr>
        <w:pStyle w:val="6"/>
        <w:tabs>
          <w:tab w:val="left" w:pos="567"/>
        </w:tabs>
        <w:rPr>
          <w:color w:val="auto"/>
          <w:sz w:val="28"/>
          <w:szCs w:val="28"/>
        </w:rPr>
      </w:pPr>
    </w:p>
    <w:p w14:paraId="75F8396E">
      <w:pPr>
        <w:pStyle w:val="25"/>
        <w:tabs>
          <w:tab w:val="left" w:pos="5580"/>
        </w:tabs>
        <w:spacing w:line="500" w:lineRule="exact"/>
        <w:rPr>
          <w:rFonts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73B062FE">
      <w:pPr>
        <w:pStyle w:val="25"/>
        <w:tabs>
          <w:tab w:val="left" w:pos="5580"/>
        </w:tabs>
        <w:spacing w:line="500" w:lineRule="exac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7D5DC779">
      <w:pPr>
        <w:pStyle w:val="25"/>
        <w:tabs>
          <w:tab w:val="left" w:pos="5580"/>
        </w:tabs>
        <w:spacing w:line="240" w:lineRule="atLeas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55C77BE">
                            <w:pPr>
                              <w:rPr>
                                <w:rFonts w:hAnsi="宋体"/>
                              </w:rPr>
                            </w:pPr>
                          </w:p>
                          <w:p w14:paraId="51BBDD3C">
                            <w:pPr>
                              <w:rPr>
                                <w:rFonts w:hAnsi="宋体"/>
                              </w:rPr>
                            </w:pPr>
                          </w:p>
                          <w:p w14:paraId="0D7AA5A7">
                            <w:pPr>
                              <w:rPr>
                                <w:rFonts w:hAnsi="宋体"/>
                              </w:rPr>
                            </w:pPr>
                          </w:p>
                          <w:p w14:paraId="7DB9CFB8">
                            <w:r>
                              <w:rPr>
                                <w:rFonts w:hint="eastAsia" w:hAnsi="宋体"/>
                              </w:rPr>
                              <w:t>授权委托人身份证复印件反面</w:t>
                            </w:r>
                          </w:p>
                          <w:p w14:paraId="507E404E"/>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755C77BE">
                      <w:pPr>
                        <w:rPr>
                          <w:rFonts w:hAnsi="宋体"/>
                        </w:rPr>
                      </w:pPr>
                    </w:p>
                    <w:p w14:paraId="51BBDD3C">
                      <w:pPr>
                        <w:rPr>
                          <w:rFonts w:hAnsi="宋体"/>
                        </w:rPr>
                      </w:pPr>
                    </w:p>
                    <w:p w14:paraId="0D7AA5A7">
                      <w:pPr>
                        <w:rPr>
                          <w:rFonts w:hAnsi="宋体"/>
                        </w:rPr>
                      </w:pPr>
                    </w:p>
                    <w:p w14:paraId="7DB9CFB8">
                      <w:r>
                        <w:rPr>
                          <w:rFonts w:hint="eastAsia" w:hAnsi="宋体"/>
                        </w:rPr>
                        <w:t>授权委托人身份证复印件反面</w:t>
                      </w:r>
                    </w:p>
                    <w:p w14:paraId="507E404E"/>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713A0891">
                            <w:pPr>
                              <w:jc w:val="center"/>
                              <w:rPr>
                                <w:rFonts w:hAnsi="宋体"/>
                              </w:rPr>
                            </w:pPr>
                          </w:p>
                          <w:p w14:paraId="3A8F13A9">
                            <w:pPr>
                              <w:jc w:val="center"/>
                              <w:rPr>
                                <w:rFonts w:hAnsi="宋体"/>
                              </w:rPr>
                            </w:pPr>
                          </w:p>
                          <w:p w14:paraId="1BE05DB9">
                            <w:pPr>
                              <w:jc w:val="center"/>
                              <w:rPr>
                                <w:rFonts w:hAnsi="宋体"/>
                              </w:rPr>
                            </w:pPr>
                          </w:p>
                          <w:p w14:paraId="557A54FD">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713A0891">
                      <w:pPr>
                        <w:jc w:val="center"/>
                        <w:rPr>
                          <w:rFonts w:hAnsi="宋体"/>
                        </w:rPr>
                      </w:pPr>
                    </w:p>
                    <w:p w14:paraId="3A8F13A9">
                      <w:pPr>
                        <w:jc w:val="center"/>
                        <w:rPr>
                          <w:rFonts w:hAnsi="宋体"/>
                        </w:rPr>
                      </w:pPr>
                    </w:p>
                    <w:p w14:paraId="1BE05DB9">
                      <w:pPr>
                        <w:jc w:val="center"/>
                        <w:rPr>
                          <w:rFonts w:hAnsi="宋体"/>
                        </w:rPr>
                      </w:pPr>
                    </w:p>
                    <w:p w14:paraId="557A54FD">
                      <w:pPr>
                        <w:jc w:val="center"/>
                      </w:pPr>
                      <w:r>
                        <w:rPr>
                          <w:rFonts w:hint="eastAsia" w:hAnsi="宋体"/>
                        </w:rPr>
                        <w:t>授权委托人身份证复印件正面</w:t>
                      </w:r>
                    </w:p>
                  </w:txbxContent>
                </v:textbox>
              </v:shape>
            </w:pict>
          </mc:Fallback>
        </mc:AlternateContent>
      </w:r>
    </w:p>
    <w:p w14:paraId="7ACE2F59">
      <w:pPr>
        <w:spacing w:line="360" w:lineRule="auto"/>
        <w:ind w:firstLine="210" w:firstLineChars="100"/>
        <w:rPr>
          <w:rFonts w:ascii="仿宋" w:hAnsi="仿宋" w:cs="仿宋"/>
          <w:color w:val="auto"/>
          <w:szCs w:val="21"/>
        </w:rPr>
      </w:pPr>
    </w:p>
    <w:p w14:paraId="2E42029E">
      <w:pPr>
        <w:spacing w:line="360" w:lineRule="auto"/>
        <w:ind w:firstLine="210" w:firstLineChars="100"/>
        <w:rPr>
          <w:rFonts w:ascii="仿宋" w:hAnsi="仿宋" w:cs="仿宋"/>
          <w:color w:val="auto"/>
          <w:szCs w:val="21"/>
        </w:rPr>
      </w:pPr>
    </w:p>
    <w:p w14:paraId="099D9BFE">
      <w:pPr>
        <w:spacing w:line="360" w:lineRule="auto"/>
        <w:ind w:firstLine="210" w:firstLineChars="100"/>
        <w:rPr>
          <w:rFonts w:ascii="仿宋" w:hAnsi="仿宋" w:cs="仿宋"/>
          <w:color w:val="auto"/>
          <w:szCs w:val="21"/>
        </w:rPr>
      </w:pPr>
    </w:p>
    <w:p w14:paraId="202401C6">
      <w:pPr>
        <w:spacing w:line="360" w:lineRule="auto"/>
        <w:ind w:firstLine="210" w:firstLineChars="100"/>
        <w:rPr>
          <w:rFonts w:ascii="仿宋" w:hAnsi="仿宋" w:cs="仿宋"/>
          <w:color w:val="auto"/>
          <w:szCs w:val="21"/>
        </w:rPr>
      </w:pPr>
    </w:p>
    <w:p w14:paraId="698FBCBC">
      <w:pPr>
        <w:spacing w:line="360" w:lineRule="auto"/>
        <w:ind w:firstLine="210" w:firstLineChars="100"/>
        <w:rPr>
          <w:rFonts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F6D1E54">
                            <w:pPr>
                              <w:jc w:val="center"/>
                              <w:rPr>
                                <w:rFonts w:hAnsi="宋体"/>
                              </w:rPr>
                            </w:pPr>
                            <w:r>
                              <w:rPr>
                                <w:rFonts w:hint="eastAsia" w:hAnsi="宋体"/>
                              </w:rPr>
                              <w:t xml:space="preserve">  </w:t>
                            </w:r>
                          </w:p>
                          <w:p w14:paraId="549BF0E3">
                            <w:pPr>
                              <w:rPr>
                                <w:rFonts w:hAnsi="宋体"/>
                              </w:rPr>
                            </w:pPr>
                          </w:p>
                          <w:p w14:paraId="582B8E40">
                            <w:pPr>
                              <w:jc w:val="center"/>
                            </w:pPr>
                            <w:r>
                              <w:rPr>
                                <w:rFonts w:hint="eastAsia" w:hAnsi="宋体"/>
                              </w:rPr>
                              <w:t>法人身份证复印件反面</w:t>
                            </w:r>
                          </w:p>
                          <w:p w14:paraId="4440A8EA"/>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1F6D1E54">
                      <w:pPr>
                        <w:jc w:val="center"/>
                        <w:rPr>
                          <w:rFonts w:hAnsi="宋体"/>
                        </w:rPr>
                      </w:pPr>
                      <w:r>
                        <w:rPr>
                          <w:rFonts w:hint="eastAsia" w:hAnsi="宋体"/>
                        </w:rPr>
                        <w:t xml:space="preserve">  </w:t>
                      </w:r>
                    </w:p>
                    <w:p w14:paraId="549BF0E3">
                      <w:pPr>
                        <w:rPr>
                          <w:rFonts w:hAnsi="宋体"/>
                        </w:rPr>
                      </w:pPr>
                    </w:p>
                    <w:p w14:paraId="582B8E40">
                      <w:pPr>
                        <w:jc w:val="center"/>
                      </w:pPr>
                      <w:r>
                        <w:rPr>
                          <w:rFonts w:hint="eastAsia" w:hAnsi="宋体"/>
                        </w:rPr>
                        <w:t>法人身份证复印件反面</w:t>
                      </w:r>
                    </w:p>
                    <w:p w14:paraId="4440A8EA"/>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92EF161">
                            <w:pPr>
                              <w:jc w:val="center"/>
                              <w:rPr>
                                <w:rFonts w:hAnsi="宋体"/>
                              </w:rPr>
                            </w:pPr>
                          </w:p>
                          <w:p w14:paraId="710A146B">
                            <w:pPr>
                              <w:rPr>
                                <w:rFonts w:hAnsi="宋体"/>
                              </w:rPr>
                            </w:pPr>
                          </w:p>
                          <w:p w14:paraId="37C4DD18">
                            <w:pPr>
                              <w:jc w:val="center"/>
                              <w:rPr>
                                <w:rFonts w:hAnsi="宋体"/>
                              </w:rPr>
                            </w:pPr>
                            <w:r>
                              <w:rPr>
                                <w:rFonts w:hint="eastAsia" w:hAnsi="宋体"/>
                              </w:rPr>
                              <w:t>法人身份证复印件正面</w:t>
                            </w:r>
                          </w:p>
                          <w:p w14:paraId="57ADA4DC"/>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492EF161">
                      <w:pPr>
                        <w:jc w:val="center"/>
                        <w:rPr>
                          <w:rFonts w:hAnsi="宋体"/>
                        </w:rPr>
                      </w:pPr>
                    </w:p>
                    <w:p w14:paraId="710A146B">
                      <w:pPr>
                        <w:rPr>
                          <w:rFonts w:hAnsi="宋体"/>
                        </w:rPr>
                      </w:pPr>
                    </w:p>
                    <w:p w14:paraId="37C4DD18">
                      <w:pPr>
                        <w:jc w:val="center"/>
                        <w:rPr>
                          <w:rFonts w:hAnsi="宋体"/>
                        </w:rPr>
                      </w:pPr>
                      <w:r>
                        <w:rPr>
                          <w:rFonts w:hint="eastAsia" w:hAnsi="宋体"/>
                        </w:rPr>
                        <w:t>法人身份证复印件正面</w:t>
                      </w:r>
                    </w:p>
                    <w:p w14:paraId="57ADA4DC"/>
                  </w:txbxContent>
                </v:textbox>
              </v:roundrect>
            </w:pict>
          </mc:Fallback>
        </mc:AlternateContent>
      </w:r>
    </w:p>
    <w:p w14:paraId="0BF6C988">
      <w:pPr>
        <w:spacing w:line="360" w:lineRule="auto"/>
        <w:ind w:firstLine="210" w:firstLineChars="100"/>
        <w:rPr>
          <w:rFonts w:ascii="仿宋" w:hAnsi="仿宋" w:cs="仿宋"/>
          <w:color w:val="auto"/>
          <w:szCs w:val="21"/>
        </w:rPr>
      </w:pPr>
    </w:p>
    <w:p w14:paraId="00CC1D7A">
      <w:pPr>
        <w:spacing w:line="360" w:lineRule="auto"/>
        <w:ind w:firstLine="210" w:firstLineChars="100"/>
        <w:rPr>
          <w:rFonts w:ascii="仿宋" w:hAnsi="仿宋" w:cs="仿宋"/>
          <w:color w:val="auto"/>
          <w:szCs w:val="21"/>
        </w:rPr>
      </w:pPr>
    </w:p>
    <w:p w14:paraId="76CE8838">
      <w:pPr>
        <w:pStyle w:val="25"/>
        <w:tabs>
          <w:tab w:val="left" w:pos="5580"/>
        </w:tabs>
        <w:spacing w:line="360" w:lineRule="exact"/>
        <w:rPr>
          <w:rFonts w:ascii="仿宋" w:hAnsi="仿宋" w:eastAsia="仿宋" w:cs="仿宋"/>
          <w:color w:val="auto"/>
          <w:sz w:val="21"/>
          <w:szCs w:val="21"/>
        </w:rPr>
      </w:pPr>
    </w:p>
    <w:p w14:paraId="3DBB2C3C">
      <w:pPr>
        <w:pStyle w:val="25"/>
        <w:tabs>
          <w:tab w:val="left" w:pos="5580"/>
        </w:tabs>
        <w:spacing w:line="360" w:lineRule="exact"/>
        <w:rPr>
          <w:rFonts w:ascii="仿宋" w:hAnsi="仿宋" w:eastAsia="仿宋" w:cs="仿宋"/>
          <w:color w:val="auto"/>
          <w:sz w:val="21"/>
          <w:szCs w:val="21"/>
        </w:rPr>
      </w:pPr>
    </w:p>
    <w:p w14:paraId="60CBD21A">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72DC6498">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337E6D80">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112A3FED">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796C3D91">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0517199B">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详细通信地址：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1219AC0">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263F1B4">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092CA0DA">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0C3111E0">
      <w:pPr>
        <w:pStyle w:val="25"/>
        <w:tabs>
          <w:tab w:val="left" w:pos="5580"/>
        </w:tabs>
        <w:spacing w:line="360" w:lineRule="exact"/>
        <w:jc w:val="right"/>
        <w:rPr>
          <w:rFonts w:ascii="仿宋" w:hAnsi="仿宋" w:eastAsia="仿宋" w:cs="仿宋"/>
          <w:color w:val="auto"/>
          <w:sz w:val="21"/>
          <w:szCs w:val="21"/>
        </w:rPr>
      </w:pPr>
    </w:p>
    <w:p w14:paraId="209F5A97">
      <w:pPr>
        <w:pStyle w:val="25"/>
        <w:tabs>
          <w:tab w:val="left" w:pos="5580"/>
        </w:tabs>
        <w:spacing w:line="240" w:lineRule="atLeast"/>
        <w:rPr>
          <w:rFonts w:ascii="仿宋" w:hAnsi="仿宋" w:eastAsia="仿宋" w:cs="仿宋"/>
          <w:color w:val="auto"/>
          <w:sz w:val="21"/>
          <w:szCs w:val="21"/>
        </w:rPr>
      </w:pPr>
      <w:r>
        <w:rPr>
          <w:rFonts w:hint="eastAsia" w:ascii="仿宋" w:hAnsi="仿宋" w:eastAsia="仿宋" w:cs="仿宋"/>
          <w:color w:val="auto"/>
          <w:sz w:val="21"/>
          <w:szCs w:val="21"/>
        </w:rPr>
        <w:t>年   月   日</w:t>
      </w:r>
    </w:p>
    <w:p w14:paraId="0F76F72C">
      <w:pPr>
        <w:pStyle w:val="6"/>
        <w:tabs>
          <w:tab w:val="left" w:pos="567"/>
        </w:tabs>
        <w:rPr>
          <w:rFonts w:ascii="仿宋" w:hAnsi="仿宋" w:eastAsia="仿宋" w:cs="仿宋"/>
          <w:color w:val="auto"/>
          <w:sz w:val="21"/>
          <w:szCs w:val="21"/>
        </w:rPr>
        <w:sectPr>
          <w:pgSz w:w="11906" w:h="16838"/>
          <w:pgMar w:top="1440" w:right="1797" w:bottom="1440" w:left="1797" w:header="851" w:footer="992" w:gutter="0"/>
          <w:cols w:space="720" w:num="1"/>
          <w:docGrid w:type="linesAndChars" w:linePitch="312" w:charSpace="0"/>
        </w:sectPr>
      </w:pPr>
    </w:p>
    <w:p w14:paraId="7C957835">
      <w:pPr>
        <w:rPr>
          <w:rFonts w:ascii="仿宋" w:hAnsi="仿宋" w:cs="仿宋"/>
          <w:color w:val="auto"/>
          <w:sz w:val="24"/>
        </w:rPr>
      </w:pPr>
    </w:p>
    <w:p w14:paraId="39468B3F">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21D5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ED1F2F5">
            <w:pPr>
              <w:jc w:val="center"/>
              <w:rPr>
                <w:rFonts w:ascii="仿宋" w:hAnsi="仿宋" w:cs="仿宋"/>
                <w:b/>
                <w:bCs/>
                <w:color w:val="auto"/>
                <w:sz w:val="24"/>
              </w:rPr>
            </w:pPr>
            <w:r>
              <w:rPr>
                <w:rFonts w:hint="eastAsia" w:ascii="仿宋" w:hAnsi="仿宋" w:cs="仿宋"/>
                <w:b/>
                <w:bCs/>
                <w:color w:val="auto"/>
                <w:sz w:val="24"/>
              </w:rPr>
              <w:t>序号</w:t>
            </w:r>
          </w:p>
        </w:tc>
        <w:tc>
          <w:tcPr>
            <w:tcW w:w="3683" w:type="dxa"/>
          </w:tcPr>
          <w:p w14:paraId="2EC16839">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tcPr>
          <w:p w14:paraId="6C4930C3">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tcPr>
          <w:p w14:paraId="125C0FCD">
            <w:pPr>
              <w:jc w:val="center"/>
              <w:rPr>
                <w:rFonts w:ascii="仿宋" w:hAnsi="仿宋" w:cs="仿宋"/>
                <w:b/>
                <w:bCs/>
                <w:color w:val="auto"/>
                <w:sz w:val="24"/>
              </w:rPr>
            </w:pPr>
            <w:r>
              <w:rPr>
                <w:rFonts w:hint="eastAsia" w:ascii="仿宋" w:hAnsi="仿宋" w:cs="仿宋"/>
                <w:b/>
                <w:bCs/>
                <w:color w:val="auto"/>
                <w:sz w:val="24"/>
              </w:rPr>
              <w:t>偏离说明</w:t>
            </w:r>
          </w:p>
        </w:tc>
      </w:tr>
      <w:tr w14:paraId="171CF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78E25F">
            <w:pPr>
              <w:jc w:val="center"/>
              <w:rPr>
                <w:rFonts w:ascii="仿宋" w:hAnsi="仿宋" w:cs="仿宋"/>
                <w:color w:val="auto"/>
                <w:kern w:val="0"/>
                <w:sz w:val="24"/>
              </w:rPr>
            </w:pPr>
            <w:r>
              <w:rPr>
                <w:rFonts w:hint="eastAsia" w:ascii="仿宋" w:hAnsi="仿宋" w:cs="仿宋"/>
                <w:color w:val="auto"/>
                <w:kern w:val="0"/>
                <w:sz w:val="24"/>
              </w:rPr>
              <w:t>1</w:t>
            </w:r>
          </w:p>
        </w:tc>
        <w:tc>
          <w:tcPr>
            <w:tcW w:w="3683" w:type="dxa"/>
          </w:tcPr>
          <w:p w14:paraId="3B16C2C8">
            <w:pPr>
              <w:jc w:val="center"/>
              <w:rPr>
                <w:rFonts w:ascii="仿宋" w:hAnsi="仿宋" w:cs="仿宋"/>
                <w:b/>
                <w:color w:val="auto"/>
                <w:kern w:val="0"/>
                <w:sz w:val="32"/>
                <w:szCs w:val="32"/>
              </w:rPr>
            </w:pPr>
          </w:p>
        </w:tc>
        <w:tc>
          <w:tcPr>
            <w:tcW w:w="3546" w:type="dxa"/>
          </w:tcPr>
          <w:p w14:paraId="3B392718">
            <w:pPr>
              <w:jc w:val="center"/>
              <w:rPr>
                <w:rFonts w:ascii="仿宋" w:hAnsi="仿宋" w:cs="仿宋"/>
                <w:b/>
                <w:color w:val="auto"/>
                <w:kern w:val="0"/>
                <w:sz w:val="32"/>
                <w:szCs w:val="32"/>
              </w:rPr>
            </w:pPr>
          </w:p>
        </w:tc>
        <w:tc>
          <w:tcPr>
            <w:tcW w:w="1276" w:type="dxa"/>
          </w:tcPr>
          <w:p w14:paraId="709AD665">
            <w:pPr>
              <w:jc w:val="center"/>
              <w:rPr>
                <w:rFonts w:ascii="仿宋" w:hAnsi="仿宋" w:cs="仿宋"/>
                <w:b/>
                <w:color w:val="auto"/>
                <w:kern w:val="0"/>
                <w:sz w:val="32"/>
                <w:szCs w:val="32"/>
              </w:rPr>
            </w:pPr>
          </w:p>
        </w:tc>
      </w:tr>
      <w:tr w14:paraId="58D3E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A32727">
            <w:pPr>
              <w:jc w:val="center"/>
              <w:rPr>
                <w:rFonts w:ascii="仿宋" w:hAnsi="仿宋" w:cs="仿宋"/>
                <w:color w:val="auto"/>
                <w:kern w:val="0"/>
                <w:sz w:val="24"/>
              </w:rPr>
            </w:pPr>
            <w:r>
              <w:rPr>
                <w:rFonts w:hint="eastAsia" w:ascii="仿宋" w:hAnsi="仿宋" w:cs="仿宋"/>
                <w:color w:val="auto"/>
                <w:kern w:val="0"/>
                <w:sz w:val="24"/>
              </w:rPr>
              <w:t>2</w:t>
            </w:r>
          </w:p>
        </w:tc>
        <w:tc>
          <w:tcPr>
            <w:tcW w:w="3683" w:type="dxa"/>
          </w:tcPr>
          <w:p w14:paraId="4AF79286">
            <w:pPr>
              <w:jc w:val="center"/>
              <w:rPr>
                <w:rFonts w:ascii="仿宋" w:hAnsi="仿宋" w:cs="仿宋"/>
                <w:b/>
                <w:color w:val="auto"/>
                <w:kern w:val="0"/>
                <w:sz w:val="32"/>
                <w:szCs w:val="32"/>
              </w:rPr>
            </w:pPr>
          </w:p>
        </w:tc>
        <w:tc>
          <w:tcPr>
            <w:tcW w:w="3546" w:type="dxa"/>
          </w:tcPr>
          <w:p w14:paraId="43242CDD">
            <w:pPr>
              <w:jc w:val="center"/>
              <w:rPr>
                <w:rFonts w:ascii="仿宋" w:hAnsi="仿宋" w:cs="仿宋"/>
                <w:b/>
                <w:color w:val="auto"/>
                <w:kern w:val="0"/>
                <w:sz w:val="32"/>
                <w:szCs w:val="32"/>
              </w:rPr>
            </w:pPr>
          </w:p>
        </w:tc>
        <w:tc>
          <w:tcPr>
            <w:tcW w:w="1276" w:type="dxa"/>
          </w:tcPr>
          <w:p w14:paraId="75FDEA05">
            <w:pPr>
              <w:jc w:val="center"/>
              <w:rPr>
                <w:rFonts w:ascii="仿宋" w:hAnsi="仿宋" w:cs="仿宋"/>
                <w:b/>
                <w:color w:val="auto"/>
                <w:kern w:val="0"/>
                <w:sz w:val="32"/>
                <w:szCs w:val="32"/>
              </w:rPr>
            </w:pPr>
          </w:p>
        </w:tc>
      </w:tr>
      <w:tr w14:paraId="004D5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011C6DF">
            <w:pPr>
              <w:jc w:val="center"/>
              <w:rPr>
                <w:rFonts w:ascii="仿宋" w:hAnsi="仿宋" w:cs="仿宋"/>
                <w:color w:val="auto"/>
                <w:kern w:val="0"/>
                <w:sz w:val="24"/>
              </w:rPr>
            </w:pPr>
            <w:r>
              <w:rPr>
                <w:rFonts w:hint="eastAsia" w:ascii="仿宋" w:hAnsi="仿宋" w:cs="仿宋"/>
                <w:color w:val="auto"/>
                <w:kern w:val="0"/>
                <w:sz w:val="24"/>
              </w:rPr>
              <w:t>……</w:t>
            </w:r>
          </w:p>
        </w:tc>
        <w:tc>
          <w:tcPr>
            <w:tcW w:w="3683" w:type="dxa"/>
          </w:tcPr>
          <w:p w14:paraId="46BE1098">
            <w:pPr>
              <w:jc w:val="center"/>
              <w:rPr>
                <w:rFonts w:ascii="仿宋" w:hAnsi="仿宋" w:cs="仿宋"/>
                <w:b/>
                <w:color w:val="auto"/>
                <w:kern w:val="0"/>
                <w:sz w:val="32"/>
                <w:szCs w:val="32"/>
              </w:rPr>
            </w:pPr>
          </w:p>
        </w:tc>
        <w:tc>
          <w:tcPr>
            <w:tcW w:w="3546" w:type="dxa"/>
          </w:tcPr>
          <w:p w14:paraId="51EE477E">
            <w:pPr>
              <w:jc w:val="center"/>
              <w:rPr>
                <w:rFonts w:ascii="仿宋" w:hAnsi="仿宋" w:cs="仿宋"/>
                <w:b/>
                <w:color w:val="auto"/>
                <w:kern w:val="0"/>
                <w:sz w:val="32"/>
                <w:szCs w:val="32"/>
              </w:rPr>
            </w:pPr>
          </w:p>
        </w:tc>
        <w:tc>
          <w:tcPr>
            <w:tcW w:w="1276" w:type="dxa"/>
          </w:tcPr>
          <w:p w14:paraId="2CBE0CE1">
            <w:pPr>
              <w:jc w:val="center"/>
              <w:rPr>
                <w:rFonts w:ascii="仿宋" w:hAnsi="仿宋" w:cs="仿宋"/>
                <w:b/>
                <w:color w:val="auto"/>
                <w:kern w:val="0"/>
                <w:sz w:val="32"/>
                <w:szCs w:val="32"/>
              </w:rPr>
            </w:pPr>
          </w:p>
        </w:tc>
      </w:tr>
    </w:tbl>
    <w:p w14:paraId="00AF7D02">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226A3DE1">
      <w:pPr>
        <w:jc w:val="center"/>
        <w:rPr>
          <w:rFonts w:ascii="仿宋" w:hAnsi="仿宋" w:cs="仿宋"/>
          <w:b/>
          <w:color w:val="auto"/>
          <w:kern w:val="0"/>
          <w:sz w:val="32"/>
          <w:szCs w:val="32"/>
        </w:rPr>
      </w:pPr>
    </w:p>
    <w:p w14:paraId="550B639E">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34498950">
      <w:pPr>
        <w:ind w:firstLine="1911" w:firstLineChars="595"/>
        <w:rPr>
          <w:rFonts w:ascii="仿宋" w:hAnsi="仿宋" w:cs="仿宋"/>
          <w:b/>
          <w:bCs/>
          <w:color w:val="auto"/>
          <w:sz w:val="32"/>
          <w:szCs w:val="32"/>
        </w:rPr>
      </w:pPr>
    </w:p>
    <w:p w14:paraId="7E6C5307">
      <w:pPr>
        <w:ind w:firstLine="1911" w:firstLineChars="595"/>
        <w:rPr>
          <w:rFonts w:ascii="仿宋" w:hAnsi="仿宋" w:cs="仿宋"/>
          <w:b/>
          <w:bCs/>
          <w:color w:val="auto"/>
          <w:sz w:val="32"/>
          <w:szCs w:val="32"/>
        </w:rPr>
      </w:pPr>
    </w:p>
    <w:p w14:paraId="7C9A04C1">
      <w:pPr>
        <w:snapToGrid w:val="0"/>
        <w:spacing w:line="360" w:lineRule="auto"/>
        <w:jc w:val="center"/>
        <w:outlineLvl w:val="1"/>
        <w:rPr>
          <w:rFonts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bookmarkStart w:id="108" w:name="_Toc7099"/>
    </w:p>
    <w:p w14:paraId="220E596C">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2BD9C612">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6181CD15">
      <w:pPr>
        <w:ind w:firstLine="1911" w:firstLineChars="595"/>
        <w:rPr>
          <w:rFonts w:ascii="宋体" w:hAnsi="宋体" w:cs="宋体"/>
          <w:b/>
          <w:bCs/>
          <w:color w:val="auto"/>
          <w:sz w:val="32"/>
          <w:szCs w:val="32"/>
        </w:rPr>
      </w:pPr>
    </w:p>
    <w:p w14:paraId="77423CBE">
      <w:pPr>
        <w:widowControl/>
        <w:jc w:val="center"/>
        <w:rPr>
          <w:rFonts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7106F17C">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28DA378F">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53D4D5FD">
      <w:pPr>
        <w:pStyle w:val="294"/>
        <w:spacing w:line="360" w:lineRule="auto"/>
        <w:rPr>
          <w:rFonts w:ascii="仿宋_GB2312" w:hAnsi="仿宋" w:eastAsia="仿宋_GB2312"/>
          <w:color w:val="auto"/>
          <w:kern w:val="0"/>
          <w:sz w:val="32"/>
          <w:szCs w:val="20"/>
          <w:u w:val="single"/>
        </w:rPr>
      </w:pPr>
    </w:p>
    <w:tbl>
      <w:tblPr>
        <w:tblStyle w:val="49"/>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6"/>
        <w:gridCol w:w="2835"/>
        <w:gridCol w:w="2268"/>
        <w:gridCol w:w="1843"/>
        <w:gridCol w:w="969"/>
      </w:tblGrid>
      <w:tr w14:paraId="41BE5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tcBorders>
              <w:top w:val="single" w:color="auto" w:sz="4" w:space="0"/>
              <w:left w:val="single" w:color="auto" w:sz="4" w:space="0"/>
              <w:bottom w:val="single" w:color="auto" w:sz="4" w:space="0"/>
              <w:right w:val="single" w:color="auto" w:sz="4" w:space="0"/>
            </w:tcBorders>
            <w:vAlign w:val="center"/>
          </w:tcPr>
          <w:p w14:paraId="2F889A5B">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2835" w:type="dxa"/>
            <w:tcBorders>
              <w:top w:val="single" w:color="auto" w:sz="4" w:space="0"/>
              <w:left w:val="single" w:color="auto" w:sz="4" w:space="0"/>
              <w:bottom w:val="single" w:color="auto" w:sz="4" w:space="0"/>
              <w:right w:val="single" w:color="auto" w:sz="4" w:space="0"/>
            </w:tcBorders>
            <w:vAlign w:val="center"/>
          </w:tcPr>
          <w:p w14:paraId="0CD73E0A">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268" w:type="dxa"/>
            <w:tcBorders>
              <w:top w:val="single" w:color="auto" w:sz="4" w:space="0"/>
              <w:left w:val="single" w:color="auto" w:sz="4" w:space="0"/>
              <w:bottom w:val="single" w:color="auto" w:sz="4" w:space="0"/>
              <w:right w:val="single" w:color="auto" w:sz="4" w:space="0"/>
            </w:tcBorders>
            <w:vAlign w:val="center"/>
          </w:tcPr>
          <w:p w14:paraId="2E4D14A1">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交付期</w:t>
            </w:r>
          </w:p>
        </w:tc>
        <w:tc>
          <w:tcPr>
            <w:tcW w:w="1843" w:type="dxa"/>
            <w:tcBorders>
              <w:top w:val="single" w:color="auto" w:sz="4" w:space="0"/>
              <w:left w:val="single" w:color="auto" w:sz="4" w:space="0"/>
              <w:bottom w:val="single" w:color="auto" w:sz="4" w:space="0"/>
              <w:right w:val="single" w:color="auto" w:sz="4" w:space="0"/>
            </w:tcBorders>
            <w:vAlign w:val="center"/>
          </w:tcPr>
          <w:p w14:paraId="08656BEB">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69" w:type="dxa"/>
            <w:tcBorders>
              <w:top w:val="single" w:color="auto" w:sz="4" w:space="0"/>
              <w:left w:val="single" w:color="auto" w:sz="4" w:space="0"/>
              <w:bottom w:val="single" w:color="auto" w:sz="4" w:space="0"/>
              <w:right w:val="single" w:color="auto" w:sz="4" w:space="0"/>
            </w:tcBorders>
            <w:vAlign w:val="center"/>
          </w:tcPr>
          <w:p w14:paraId="6CA0C9CA">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备注</w:t>
            </w:r>
          </w:p>
        </w:tc>
      </w:tr>
      <w:tr w14:paraId="3B6DE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19" w:hRule="atLeast"/>
          <w:jc w:val="center"/>
        </w:trPr>
        <w:tc>
          <w:tcPr>
            <w:tcW w:w="1916" w:type="dxa"/>
            <w:tcBorders>
              <w:top w:val="single" w:color="auto" w:sz="4" w:space="0"/>
              <w:left w:val="single" w:color="auto" w:sz="4" w:space="0"/>
              <w:bottom w:val="single" w:color="auto" w:sz="4" w:space="0"/>
              <w:right w:val="single" w:color="auto" w:sz="4" w:space="0"/>
            </w:tcBorders>
            <w:vAlign w:val="center"/>
          </w:tcPr>
          <w:p w14:paraId="2BC86915">
            <w:pPr>
              <w:spacing w:line="240" w:lineRule="atLeast"/>
              <w:jc w:val="center"/>
              <w:rPr>
                <w:rFonts w:ascii="仿宋_GB2312" w:hAnsi="仿宋" w:eastAsia="仿宋_GB2312"/>
                <w:color w:val="auto"/>
                <w:sz w:val="28"/>
                <w:szCs w:val="28"/>
              </w:rPr>
            </w:pPr>
          </w:p>
        </w:tc>
        <w:tc>
          <w:tcPr>
            <w:tcW w:w="2835" w:type="dxa"/>
            <w:tcBorders>
              <w:top w:val="single" w:color="auto" w:sz="4" w:space="0"/>
              <w:left w:val="single" w:color="auto" w:sz="4" w:space="0"/>
              <w:bottom w:val="single" w:color="auto" w:sz="4" w:space="0"/>
              <w:right w:val="single" w:color="auto" w:sz="4" w:space="0"/>
            </w:tcBorders>
            <w:vAlign w:val="center"/>
          </w:tcPr>
          <w:p w14:paraId="6D95D6CB">
            <w:pPr>
              <w:jc w:val="center"/>
              <w:rPr>
                <w:rFonts w:ascii="仿宋_GB2312" w:hAnsi="仿宋" w:eastAsia="仿宋_GB2312"/>
                <w:color w:val="auto"/>
                <w:sz w:val="28"/>
                <w:szCs w:val="28"/>
              </w:rPr>
            </w:pPr>
          </w:p>
        </w:tc>
        <w:tc>
          <w:tcPr>
            <w:tcW w:w="2268" w:type="dxa"/>
            <w:tcBorders>
              <w:top w:val="single" w:color="auto" w:sz="4" w:space="0"/>
              <w:left w:val="single" w:color="auto" w:sz="4" w:space="0"/>
              <w:bottom w:val="single" w:color="auto" w:sz="4" w:space="0"/>
              <w:right w:val="single" w:color="auto" w:sz="4" w:space="0"/>
            </w:tcBorders>
            <w:vAlign w:val="center"/>
          </w:tcPr>
          <w:p w14:paraId="3FB5AE32">
            <w:pPr>
              <w:snapToGrid w:val="0"/>
              <w:spacing w:line="312" w:lineRule="auto"/>
              <w:jc w:val="center"/>
              <w:rPr>
                <w:rFonts w:ascii="仿宋_GB2312" w:hAnsi="仿宋" w:eastAsia="仿宋_GB2312"/>
                <w:color w:val="auto"/>
                <w:sz w:val="28"/>
                <w:szCs w:val="28"/>
              </w:rPr>
            </w:pPr>
          </w:p>
        </w:tc>
        <w:tc>
          <w:tcPr>
            <w:tcW w:w="1843" w:type="dxa"/>
            <w:tcBorders>
              <w:top w:val="single" w:color="auto" w:sz="4" w:space="0"/>
              <w:left w:val="single" w:color="auto" w:sz="4" w:space="0"/>
              <w:bottom w:val="single" w:color="auto" w:sz="4" w:space="0"/>
              <w:right w:val="single" w:color="auto" w:sz="4" w:space="0"/>
            </w:tcBorders>
            <w:vAlign w:val="center"/>
          </w:tcPr>
          <w:p w14:paraId="15488076">
            <w:pPr>
              <w:snapToGrid w:val="0"/>
              <w:spacing w:line="312" w:lineRule="auto"/>
              <w:jc w:val="center"/>
              <w:rPr>
                <w:rFonts w:ascii="仿宋_GB2312" w:hAnsi="仿宋" w:eastAsia="仿宋_GB2312"/>
                <w:color w:val="auto"/>
                <w:sz w:val="28"/>
                <w:szCs w:val="28"/>
              </w:rPr>
            </w:pPr>
          </w:p>
        </w:tc>
        <w:tc>
          <w:tcPr>
            <w:tcW w:w="969" w:type="dxa"/>
            <w:tcBorders>
              <w:top w:val="single" w:color="auto" w:sz="4" w:space="0"/>
              <w:left w:val="single" w:color="auto" w:sz="4" w:space="0"/>
              <w:bottom w:val="single" w:color="auto" w:sz="4" w:space="0"/>
              <w:right w:val="single" w:color="auto" w:sz="4" w:space="0"/>
            </w:tcBorders>
            <w:vAlign w:val="center"/>
          </w:tcPr>
          <w:p w14:paraId="41CD9DF3">
            <w:pPr>
              <w:snapToGrid w:val="0"/>
              <w:spacing w:line="312" w:lineRule="auto"/>
              <w:jc w:val="center"/>
              <w:rPr>
                <w:rFonts w:ascii="仿宋_GB2312" w:hAnsi="仿宋" w:eastAsia="仿宋_GB2312"/>
                <w:color w:val="auto"/>
                <w:sz w:val="28"/>
                <w:szCs w:val="28"/>
              </w:rPr>
            </w:pPr>
          </w:p>
        </w:tc>
      </w:tr>
      <w:tr w14:paraId="1F81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24" w:hRule="atLeast"/>
          <w:jc w:val="center"/>
        </w:trPr>
        <w:tc>
          <w:tcPr>
            <w:tcW w:w="1916" w:type="dxa"/>
            <w:vMerge w:val="restart"/>
            <w:tcBorders>
              <w:top w:val="single" w:color="auto" w:sz="4" w:space="0"/>
              <w:left w:val="single" w:color="auto" w:sz="4" w:space="0"/>
              <w:right w:val="single" w:color="auto" w:sz="4" w:space="0"/>
            </w:tcBorders>
            <w:vAlign w:val="center"/>
          </w:tcPr>
          <w:p w14:paraId="2269677C">
            <w:pPr>
              <w:snapToGrid w:val="0"/>
              <w:spacing w:line="312" w:lineRule="auto"/>
              <w:jc w:val="center"/>
              <w:rPr>
                <w:rFonts w:ascii="仿宋_GB2312" w:hAnsi="仿宋" w:eastAsia="仿宋_GB2312"/>
                <w:color w:val="auto"/>
                <w:sz w:val="28"/>
                <w:szCs w:val="28"/>
              </w:rPr>
            </w:pPr>
            <w:r>
              <w:rPr>
                <w:rFonts w:hint="eastAsia" w:ascii="仿宋_GB2312" w:hAnsi="仿宋" w:eastAsia="仿宋_GB2312"/>
                <w:b/>
                <w:color w:val="auto"/>
                <w:sz w:val="28"/>
                <w:szCs w:val="28"/>
              </w:rPr>
              <w:t>单价（元）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1D9A7792">
            <w:pPr>
              <w:snapToGrid w:val="0"/>
              <w:spacing w:line="312" w:lineRule="auto"/>
              <w:rPr>
                <w:rFonts w:ascii="仿宋_GB2312" w:hAnsi="仿宋" w:eastAsia="仿宋_GB2312"/>
                <w:color w:val="auto"/>
                <w:sz w:val="28"/>
                <w:szCs w:val="28"/>
              </w:rPr>
            </w:pPr>
          </w:p>
        </w:tc>
      </w:tr>
      <w:tr w14:paraId="71155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vMerge w:val="restart"/>
            <w:tcBorders>
              <w:top w:val="single" w:color="auto" w:sz="4" w:space="0"/>
              <w:left w:val="single" w:color="auto" w:sz="4" w:space="0"/>
              <w:right w:val="single" w:color="auto" w:sz="4" w:space="0"/>
            </w:tcBorders>
            <w:vAlign w:val="center"/>
          </w:tcPr>
          <w:p w14:paraId="473C6D5B">
            <w:pPr>
              <w:snapToGrid w:val="0"/>
              <w:spacing w:line="312" w:lineRule="auto"/>
              <w:jc w:val="center"/>
              <w:rPr>
                <w:rFonts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5D469D85">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小写：</w:t>
            </w:r>
          </w:p>
        </w:tc>
      </w:tr>
      <w:tr w14:paraId="10ADA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1916" w:type="dxa"/>
            <w:vMerge w:val="continue"/>
            <w:tcBorders>
              <w:left w:val="single" w:color="auto" w:sz="4" w:space="0"/>
              <w:bottom w:val="single" w:color="auto" w:sz="4" w:space="0"/>
              <w:right w:val="single" w:color="auto" w:sz="4" w:space="0"/>
            </w:tcBorders>
            <w:vAlign w:val="center"/>
          </w:tcPr>
          <w:p w14:paraId="4068FBD8">
            <w:pPr>
              <w:snapToGrid w:val="0"/>
              <w:spacing w:line="312" w:lineRule="auto"/>
              <w:jc w:val="center"/>
              <w:rPr>
                <w:rFonts w:ascii="仿宋_GB2312" w:hAnsi="仿宋" w:eastAsia="仿宋_GB2312"/>
                <w:b/>
                <w:color w:val="auto"/>
                <w:sz w:val="28"/>
                <w:szCs w:val="28"/>
              </w:rPr>
            </w:pPr>
          </w:p>
        </w:tc>
        <w:tc>
          <w:tcPr>
            <w:tcW w:w="7915" w:type="dxa"/>
            <w:gridSpan w:val="4"/>
            <w:tcBorders>
              <w:top w:val="single" w:color="auto" w:sz="4" w:space="0"/>
              <w:left w:val="single" w:color="auto" w:sz="4" w:space="0"/>
              <w:bottom w:val="single" w:color="auto" w:sz="4" w:space="0"/>
              <w:right w:val="single" w:color="auto" w:sz="4" w:space="0"/>
            </w:tcBorders>
            <w:vAlign w:val="center"/>
          </w:tcPr>
          <w:p w14:paraId="21F26EAF">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1BEB1903">
      <w:pPr>
        <w:pStyle w:val="294"/>
        <w:spacing w:line="360" w:lineRule="auto"/>
        <w:rPr>
          <w:rFonts w:ascii="仿宋_GB2312" w:hAnsi="仿宋" w:eastAsia="仿宋_GB2312"/>
          <w:b/>
          <w:color w:val="auto"/>
          <w:sz w:val="24"/>
        </w:rPr>
      </w:pPr>
    </w:p>
    <w:p w14:paraId="61D946CC">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781430C3">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21B4882">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68AC5EF9">
      <w:pPr>
        <w:pStyle w:val="294"/>
        <w:spacing w:line="360" w:lineRule="auto"/>
        <w:rPr>
          <w:rFonts w:ascii="仿宋_GB2312" w:hAnsi="仿宋" w:eastAsia="仿宋_GB2312"/>
          <w:b/>
          <w:color w:val="auto"/>
          <w:sz w:val="24"/>
        </w:rPr>
      </w:pPr>
    </w:p>
    <w:p w14:paraId="21A912B3">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3BCCBC17">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550AE045">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71973ADA">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0E7F0533">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cols w:space="720" w:num="1"/>
          <w:titlePg/>
          <w:docGrid w:linePitch="312" w:charSpace="0"/>
        </w:sectPr>
      </w:pPr>
    </w:p>
    <w:p w14:paraId="1EF8A4FD">
      <w:pPr>
        <w:pStyle w:val="288"/>
        <w:keepNext w:val="0"/>
        <w:pageBreakBefore w:val="0"/>
        <w:tabs>
          <w:tab w:val="clear" w:pos="720"/>
        </w:tabs>
        <w:adjustRightInd w:val="0"/>
        <w:snapToGrid w:val="0"/>
        <w:spacing w:before="120" w:after="120"/>
        <w:outlineLvl w:val="9"/>
        <w:rPr>
          <w:rFonts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10C11578">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3F211AA0">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26BFBAD1">
      <w:pPr>
        <w:snapToGrid w:val="0"/>
        <w:spacing w:line="360" w:lineRule="auto"/>
        <w:rPr>
          <w:rFonts w:ascii="仿宋" w:hAnsi="仿宋" w:cs="仿宋"/>
          <w:color w:val="auto"/>
          <w:sz w:val="24"/>
        </w:rPr>
      </w:pPr>
    </w:p>
    <w:p w14:paraId="46BF6498">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6C9FFD2B">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1F6DDC9B">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7F3FD1AE">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4D157E95">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5D7E2509">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083ACA1A">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6B71C84F">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681F39F6">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6DAFAE95">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0558FF5B">
      <w:pPr>
        <w:autoSpaceDE w:val="0"/>
        <w:autoSpaceDN w:val="0"/>
        <w:spacing w:line="360" w:lineRule="auto"/>
        <w:ind w:left="2"/>
        <w:jc w:val="left"/>
        <w:rPr>
          <w:rFonts w:ascii="仿宋" w:hAnsi="仿宋" w:cs="仿宋"/>
          <w:color w:val="auto"/>
          <w:kern w:val="0"/>
          <w:sz w:val="24"/>
          <w:lang w:val="zh-CN"/>
        </w:rPr>
      </w:pPr>
    </w:p>
    <w:p w14:paraId="676D3384">
      <w:pPr>
        <w:autoSpaceDE w:val="0"/>
        <w:autoSpaceDN w:val="0"/>
        <w:spacing w:line="360" w:lineRule="auto"/>
        <w:ind w:left="2"/>
        <w:jc w:val="left"/>
        <w:rPr>
          <w:rFonts w:ascii="仿宋" w:hAnsi="仿宋" w:cs="仿宋"/>
          <w:color w:val="auto"/>
          <w:kern w:val="0"/>
          <w:sz w:val="24"/>
          <w:lang w:val="zh-CN"/>
        </w:rPr>
      </w:pPr>
    </w:p>
    <w:p w14:paraId="7725D03F">
      <w:pPr>
        <w:autoSpaceDE w:val="0"/>
        <w:autoSpaceDN w:val="0"/>
        <w:spacing w:line="360" w:lineRule="auto"/>
        <w:ind w:left="2"/>
        <w:jc w:val="left"/>
        <w:rPr>
          <w:rFonts w:ascii="仿宋" w:hAnsi="仿宋" w:cs="仿宋"/>
          <w:color w:val="auto"/>
          <w:kern w:val="0"/>
          <w:sz w:val="24"/>
          <w:lang w:val="zh-CN"/>
        </w:rPr>
      </w:pPr>
    </w:p>
    <w:p w14:paraId="27D237B5">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247DED54">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0B690B15">
      <w:pPr>
        <w:spacing w:line="360" w:lineRule="auto"/>
        <w:jc w:val="center"/>
        <w:rPr>
          <w:rFonts w:ascii="仿宋" w:hAnsi="仿宋" w:cs="仿宋"/>
          <w:b/>
          <w:bCs/>
          <w:color w:val="auto"/>
          <w:sz w:val="24"/>
        </w:rPr>
      </w:pPr>
    </w:p>
    <w:p w14:paraId="508E3E99">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495DCB41">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07564AE">
      <w:pPr>
        <w:keepNext/>
        <w:keepLines/>
        <w:spacing w:before="340" w:after="330" w:line="400" w:lineRule="exact"/>
        <w:ind w:left="-142"/>
        <w:jc w:val="center"/>
        <w:outlineLvl w:val="0"/>
        <w:rPr>
          <w:rFonts w:ascii="宋体" w:hAnsi="宋体"/>
          <w:b/>
          <w:bCs/>
          <w:color w:val="auto"/>
          <w:spacing w:val="-20"/>
          <w:kern w:val="44"/>
          <w:sz w:val="32"/>
          <w:szCs w:val="32"/>
        </w:rPr>
      </w:pPr>
      <w:bookmarkStart w:id="109" w:name="_Toc32736"/>
      <w:bookmarkStart w:id="110" w:name="_Toc217446093"/>
      <w:bookmarkStart w:id="111" w:name="_Toc5241"/>
      <w:bookmarkStart w:id="112" w:name="_Toc11942"/>
      <w:bookmarkStart w:id="113" w:name="_Toc316292231"/>
      <w:bookmarkStart w:id="114" w:name="_Toc321382057"/>
      <w:r>
        <w:rPr>
          <w:rFonts w:hint="eastAsia" w:ascii="宋体" w:hAnsi="宋体"/>
          <w:b/>
          <w:bCs/>
          <w:color w:val="auto"/>
          <w:spacing w:val="-20"/>
          <w:kern w:val="44"/>
          <w:sz w:val="32"/>
          <w:szCs w:val="32"/>
        </w:rPr>
        <w:t>第4章 采购需求</w:t>
      </w:r>
      <w:bookmarkEnd w:id="109"/>
      <w:bookmarkEnd w:id="110"/>
      <w:bookmarkEnd w:id="111"/>
      <w:bookmarkEnd w:id="112"/>
      <w:bookmarkStart w:id="115" w:name="_Toc513796936"/>
      <w:bookmarkStart w:id="116" w:name="_Toc529173741"/>
      <w:bookmarkStart w:id="117" w:name="_Toc533672602"/>
    </w:p>
    <w:bookmarkEnd w:id="115"/>
    <w:bookmarkEnd w:id="116"/>
    <w:bookmarkEnd w:id="117"/>
    <w:p w14:paraId="7E4A93D7">
      <w:pPr>
        <w:spacing w:line="560" w:lineRule="exact"/>
        <w:ind w:firstLine="562" w:firstLineChars="200"/>
        <w:rPr>
          <w:rFonts w:ascii="仿宋" w:hAnsi="仿宋" w:cs="仿宋"/>
          <w:b/>
          <w:color w:val="auto"/>
          <w:sz w:val="28"/>
          <w:szCs w:val="28"/>
        </w:rPr>
      </w:pPr>
      <w:bookmarkStart w:id="118" w:name="_Toc3973"/>
      <w:r>
        <w:rPr>
          <w:rFonts w:hint="eastAsia" w:ascii="仿宋" w:hAnsi="仿宋" w:cs="仿宋"/>
          <w:b/>
          <w:color w:val="auto"/>
          <w:sz w:val="28"/>
          <w:szCs w:val="28"/>
        </w:rPr>
        <w:t>一、项目名称和编号</w:t>
      </w:r>
    </w:p>
    <w:p w14:paraId="6D93E8E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项目名称：新疆和田县银石山一带银铜多金属矿普查项目（物探）</w:t>
      </w:r>
    </w:p>
    <w:p w14:paraId="0FC1E2E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项目编号：GYZB-2025-48-CG</w:t>
      </w:r>
    </w:p>
    <w:p w14:paraId="37A42D5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项目资金人民币：339300.00元(叁拾叁万玖仟叁佰元整）</w:t>
      </w:r>
    </w:p>
    <w:p w14:paraId="54915497">
      <w:pPr>
        <w:ind w:firstLine="562" w:firstLineChars="200"/>
        <w:rPr>
          <w:rFonts w:ascii="仿宋" w:hAnsi="仿宋" w:cs="仿宋"/>
          <w:b/>
          <w:color w:val="auto"/>
          <w:sz w:val="28"/>
          <w:szCs w:val="28"/>
        </w:rPr>
      </w:pPr>
      <w:r>
        <w:rPr>
          <w:rFonts w:hint="eastAsia" w:ascii="仿宋" w:hAnsi="仿宋" w:cs="仿宋"/>
          <w:b/>
          <w:color w:val="auto"/>
          <w:sz w:val="28"/>
          <w:szCs w:val="28"/>
        </w:rPr>
        <w:t>二、工作内容</w:t>
      </w:r>
    </w:p>
    <w:tbl>
      <w:tblPr>
        <w:tblStyle w:val="49"/>
        <w:tblW w:w="8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17"/>
        <w:gridCol w:w="854"/>
        <w:gridCol w:w="1131"/>
        <w:gridCol w:w="3295"/>
      </w:tblGrid>
      <w:tr w14:paraId="29380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3317" w:type="dxa"/>
            <w:tcBorders>
              <w:tl2br w:val="nil"/>
              <w:tr2bl w:val="nil"/>
            </w:tcBorders>
            <w:vAlign w:val="center"/>
          </w:tcPr>
          <w:p w14:paraId="0E2A9DCB">
            <w:pPr>
              <w:adjustRightInd w:val="0"/>
              <w:snapToGrid w:val="0"/>
              <w:jc w:val="center"/>
              <w:rPr>
                <w:rFonts w:ascii="仿宋" w:hAnsi="仿宋" w:cs="仿宋"/>
                <w:color w:val="auto"/>
                <w:sz w:val="28"/>
                <w:szCs w:val="28"/>
              </w:rPr>
            </w:pPr>
            <w:r>
              <w:rPr>
                <w:rFonts w:hint="eastAsia" w:ascii="仿宋" w:hAnsi="仿宋" w:cs="仿宋"/>
                <w:color w:val="auto"/>
                <w:sz w:val="28"/>
                <w:szCs w:val="28"/>
              </w:rPr>
              <w:t>工作项目</w:t>
            </w:r>
          </w:p>
        </w:tc>
        <w:tc>
          <w:tcPr>
            <w:tcW w:w="854" w:type="dxa"/>
            <w:tcBorders>
              <w:tl2br w:val="nil"/>
              <w:tr2bl w:val="nil"/>
            </w:tcBorders>
            <w:vAlign w:val="center"/>
          </w:tcPr>
          <w:p w14:paraId="209D7DD6">
            <w:pPr>
              <w:adjustRightInd w:val="0"/>
              <w:snapToGrid w:val="0"/>
              <w:jc w:val="center"/>
              <w:rPr>
                <w:rFonts w:ascii="仿宋" w:hAnsi="仿宋" w:cs="仿宋"/>
                <w:color w:val="auto"/>
                <w:sz w:val="28"/>
                <w:szCs w:val="28"/>
              </w:rPr>
            </w:pPr>
            <w:r>
              <w:rPr>
                <w:rFonts w:hint="eastAsia" w:ascii="仿宋" w:hAnsi="仿宋" w:cs="仿宋"/>
                <w:color w:val="auto"/>
                <w:sz w:val="28"/>
                <w:szCs w:val="28"/>
              </w:rPr>
              <w:t>计算单位</w:t>
            </w:r>
          </w:p>
        </w:tc>
        <w:tc>
          <w:tcPr>
            <w:tcW w:w="1131" w:type="dxa"/>
            <w:tcBorders>
              <w:tl2br w:val="nil"/>
              <w:tr2bl w:val="nil"/>
            </w:tcBorders>
            <w:vAlign w:val="center"/>
          </w:tcPr>
          <w:p w14:paraId="49F13FEA">
            <w:pPr>
              <w:adjustRightInd w:val="0"/>
              <w:snapToGrid w:val="0"/>
              <w:jc w:val="center"/>
              <w:rPr>
                <w:rFonts w:ascii="仿宋" w:hAnsi="仿宋" w:cs="仿宋"/>
                <w:color w:val="auto"/>
                <w:sz w:val="28"/>
                <w:szCs w:val="28"/>
              </w:rPr>
            </w:pPr>
            <w:r>
              <w:rPr>
                <w:rFonts w:hint="eastAsia" w:ascii="仿宋" w:hAnsi="仿宋" w:cs="仿宋"/>
                <w:color w:val="auto"/>
                <w:sz w:val="28"/>
                <w:szCs w:val="28"/>
              </w:rPr>
              <w:t>设计工作量</w:t>
            </w:r>
          </w:p>
        </w:tc>
        <w:tc>
          <w:tcPr>
            <w:tcW w:w="3295" w:type="dxa"/>
            <w:tcBorders>
              <w:tl2br w:val="nil"/>
              <w:tr2bl w:val="nil"/>
            </w:tcBorders>
            <w:vAlign w:val="center"/>
          </w:tcPr>
          <w:p w14:paraId="0409A038">
            <w:pPr>
              <w:adjustRightInd w:val="0"/>
              <w:snapToGrid w:val="0"/>
              <w:jc w:val="center"/>
              <w:rPr>
                <w:rFonts w:ascii="仿宋" w:hAnsi="仿宋" w:cs="仿宋"/>
                <w:color w:val="auto"/>
                <w:sz w:val="28"/>
                <w:szCs w:val="28"/>
              </w:rPr>
            </w:pPr>
            <w:r>
              <w:rPr>
                <w:rFonts w:hint="eastAsia" w:ascii="仿宋" w:hAnsi="仿宋" w:cs="仿宋"/>
                <w:color w:val="auto"/>
                <w:sz w:val="28"/>
                <w:szCs w:val="28"/>
              </w:rPr>
              <w:t>地形条件及点距要求</w:t>
            </w:r>
          </w:p>
        </w:tc>
      </w:tr>
      <w:tr w14:paraId="1DA8E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17" w:type="dxa"/>
            <w:tcBorders>
              <w:tl2br w:val="nil"/>
              <w:tr2bl w:val="nil"/>
            </w:tcBorders>
            <w:vAlign w:val="center"/>
          </w:tcPr>
          <w:p w14:paraId="1676D751">
            <w:pPr>
              <w:adjustRightInd w:val="0"/>
              <w:snapToGrid w:val="0"/>
              <w:jc w:val="center"/>
              <w:rPr>
                <w:rFonts w:ascii="仿宋" w:hAnsi="仿宋" w:cs="仿宋"/>
                <w:color w:val="auto"/>
                <w:sz w:val="28"/>
                <w:szCs w:val="28"/>
              </w:rPr>
            </w:pPr>
            <w:r>
              <w:rPr>
                <w:rFonts w:hint="eastAsia" w:ascii="仿宋" w:hAnsi="仿宋" w:cs="仿宋"/>
                <w:color w:val="auto"/>
                <w:sz w:val="28"/>
                <w:szCs w:val="28"/>
              </w:rPr>
              <w:t>1∶1万磁法测量</w:t>
            </w:r>
          </w:p>
        </w:tc>
        <w:tc>
          <w:tcPr>
            <w:tcW w:w="854" w:type="dxa"/>
            <w:tcBorders>
              <w:tl2br w:val="nil"/>
              <w:tr2bl w:val="nil"/>
            </w:tcBorders>
            <w:vAlign w:val="center"/>
          </w:tcPr>
          <w:p w14:paraId="01E5798A">
            <w:pPr>
              <w:adjustRightInd w:val="0"/>
              <w:snapToGrid w:val="0"/>
              <w:jc w:val="center"/>
              <w:rPr>
                <w:rFonts w:ascii="仿宋" w:hAnsi="仿宋" w:cs="仿宋"/>
                <w:color w:val="auto"/>
                <w:sz w:val="28"/>
                <w:szCs w:val="28"/>
              </w:rPr>
            </w:pPr>
            <w:r>
              <w:rPr>
                <w:rFonts w:hint="eastAsia" w:ascii="仿宋" w:hAnsi="仿宋" w:cs="仿宋"/>
                <w:color w:val="auto"/>
                <w:sz w:val="28"/>
                <w:szCs w:val="28"/>
              </w:rPr>
              <w:t>千米</w:t>
            </w:r>
          </w:p>
        </w:tc>
        <w:tc>
          <w:tcPr>
            <w:tcW w:w="1131" w:type="dxa"/>
            <w:tcBorders>
              <w:tl2br w:val="nil"/>
              <w:tr2bl w:val="nil"/>
            </w:tcBorders>
            <w:vAlign w:val="center"/>
          </w:tcPr>
          <w:p w14:paraId="63270CFE">
            <w:pPr>
              <w:adjustRightInd w:val="0"/>
              <w:snapToGrid w:val="0"/>
              <w:jc w:val="center"/>
              <w:rPr>
                <w:rFonts w:ascii="仿宋" w:hAnsi="仿宋" w:cs="仿宋"/>
                <w:color w:val="auto"/>
                <w:sz w:val="28"/>
                <w:szCs w:val="28"/>
              </w:rPr>
            </w:pPr>
            <w:r>
              <w:rPr>
                <w:rFonts w:hint="eastAsia" w:ascii="仿宋" w:hAnsi="仿宋" w:cs="仿宋"/>
                <w:color w:val="auto"/>
                <w:sz w:val="28"/>
                <w:szCs w:val="28"/>
              </w:rPr>
              <w:t>40</w:t>
            </w:r>
          </w:p>
        </w:tc>
        <w:tc>
          <w:tcPr>
            <w:tcW w:w="3295" w:type="dxa"/>
            <w:tcBorders>
              <w:tl2br w:val="nil"/>
              <w:tr2bl w:val="nil"/>
            </w:tcBorders>
            <w:vAlign w:val="center"/>
          </w:tcPr>
          <w:p w14:paraId="39DD56E9">
            <w:pPr>
              <w:adjustRightInd w:val="0"/>
              <w:snapToGrid w:val="0"/>
              <w:jc w:val="center"/>
              <w:rPr>
                <w:rFonts w:ascii="仿宋" w:hAnsi="仿宋" w:cs="仿宋"/>
                <w:color w:val="auto"/>
                <w:sz w:val="28"/>
                <w:szCs w:val="28"/>
              </w:rPr>
            </w:pPr>
            <w:r>
              <w:rPr>
                <w:rFonts w:hint="eastAsia" w:ascii="仿宋" w:hAnsi="仿宋" w:cs="仿宋"/>
                <w:color w:val="auto"/>
                <w:sz w:val="28"/>
                <w:szCs w:val="28"/>
              </w:rPr>
              <w:t>地区调整系数1.9，地形等级3.75-4.5</w:t>
            </w:r>
          </w:p>
        </w:tc>
      </w:tr>
      <w:tr w14:paraId="635A7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17" w:type="dxa"/>
            <w:tcBorders>
              <w:tl2br w:val="nil"/>
              <w:tr2bl w:val="nil"/>
            </w:tcBorders>
            <w:shd w:val="clear" w:color="auto" w:fill="auto"/>
            <w:vAlign w:val="center"/>
          </w:tcPr>
          <w:p w14:paraId="5788941F">
            <w:pPr>
              <w:adjustRightInd w:val="0"/>
              <w:snapToGrid w:val="0"/>
              <w:jc w:val="center"/>
              <w:rPr>
                <w:rFonts w:ascii="仿宋" w:hAnsi="仿宋" w:cs="仿宋"/>
                <w:color w:val="auto"/>
                <w:sz w:val="28"/>
                <w:szCs w:val="28"/>
              </w:rPr>
            </w:pPr>
            <w:r>
              <w:rPr>
                <w:rFonts w:hint="eastAsia" w:ascii="仿宋" w:hAnsi="仿宋" w:cs="仿宋"/>
                <w:color w:val="auto"/>
                <w:sz w:val="28"/>
                <w:szCs w:val="28"/>
              </w:rPr>
              <w:t>1∶1万重力剖面</w:t>
            </w:r>
          </w:p>
        </w:tc>
        <w:tc>
          <w:tcPr>
            <w:tcW w:w="854" w:type="dxa"/>
            <w:tcBorders>
              <w:tl2br w:val="nil"/>
              <w:tr2bl w:val="nil"/>
            </w:tcBorders>
            <w:shd w:val="clear" w:color="auto" w:fill="auto"/>
            <w:vAlign w:val="center"/>
          </w:tcPr>
          <w:p w14:paraId="181FAB24">
            <w:pPr>
              <w:adjustRightInd w:val="0"/>
              <w:snapToGrid w:val="0"/>
              <w:jc w:val="center"/>
              <w:rPr>
                <w:rFonts w:ascii="仿宋" w:hAnsi="仿宋" w:cs="仿宋"/>
                <w:color w:val="auto"/>
                <w:sz w:val="28"/>
                <w:szCs w:val="28"/>
              </w:rPr>
            </w:pPr>
            <w:r>
              <w:rPr>
                <w:rFonts w:hint="eastAsia" w:ascii="仿宋" w:hAnsi="仿宋" w:cs="仿宋"/>
                <w:color w:val="auto"/>
                <w:sz w:val="28"/>
                <w:szCs w:val="28"/>
              </w:rPr>
              <w:t>千米</w:t>
            </w:r>
          </w:p>
        </w:tc>
        <w:tc>
          <w:tcPr>
            <w:tcW w:w="1131" w:type="dxa"/>
            <w:tcBorders>
              <w:tl2br w:val="nil"/>
              <w:tr2bl w:val="nil"/>
            </w:tcBorders>
            <w:shd w:val="clear" w:color="auto" w:fill="auto"/>
            <w:vAlign w:val="center"/>
          </w:tcPr>
          <w:p w14:paraId="07E9FFFA">
            <w:pPr>
              <w:adjustRightInd w:val="0"/>
              <w:snapToGrid w:val="0"/>
              <w:jc w:val="center"/>
              <w:rPr>
                <w:rFonts w:ascii="仿宋" w:hAnsi="仿宋" w:cs="仿宋"/>
                <w:color w:val="auto"/>
                <w:sz w:val="28"/>
                <w:szCs w:val="28"/>
              </w:rPr>
            </w:pPr>
            <w:r>
              <w:rPr>
                <w:rFonts w:hint="eastAsia" w:ascii="仿宋" w:hAnsi="仿宋" w:cs="仿宋"/>
                <w:color w:val="auto"/>
                <w:sz w:val="28"/>
                <w:szCs w:val="28"/>
              </w:rPr>
              <w:t>40</w:t>
            </w:r>
          </w:p>
        </w:tc>
        <w:tc>
          <w:tcPr>
            <w:tcW w:w="3295" w:type="dxa"/>
            <w:tcBorders>
              <w:tl2br w:val="nil"/>
              <w:tr2bl w:val="nil"/>
            </w:tcBorders>
            <w:shd w:val="clear" w:color="auto" w:fill="auto"/>
            <w:vAlign w:val="center"/>
          </w:tcPr>
          <w:p w14:paraId="4EC294E7">
            <w:pPr>
              <w:adjustRightInd w:val="0"/>
              <w:snapToGrid w:val="0"/>
              <w:jc w:val="center"/>
              <w:rPr>
                <w:rFonts w:ascii="仿宋" w:hAnsi="仿宋" w:cs="仿宋"/>
                <w:color w:val="auto"/>
                <w:sz w:val="28"/>
                <w:szCs w:val="28"/>
              </w:rPr>
            </w:pPr>
            <w:r>
              <w:rPr>
                <w:rFonts w:hint="eastAsia" w:ascii="仿宋" w:hAnsi="仿宋" w:cs="仿宋"/>
                <w:color w:val="auto"/>
                <w:sz w:val="28"/>
                <w:szCs w:val="28"/>
              </w:rPr>
              <w:t>地区调整系数1.9，地形等级3.75-4.5</w:t>
            </w:r>
          </w:p>
        </w:tc>
      </w:tr>
      <w:tr w14:paraId="00D8E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17" w:type="dxa"/>
            <w:tcBorders>
              <w:tl2br w:val="nil"/>
              <w:tr2bl w:val="nil"/>
            </w:tcBorders>
            <w:shd w:val="clear" w:color="auto" w:fill="auto"/>
            <w:vAlign w:val="center"/>
          </w:tcPr>
          <w:p w14:paraId="24DBA7D0">
            <w:pPr>
              <w:adjustRightInd w:val="0"/>
              <w:snapToGrid w:val="0"/>
              <w:jc w:val="center"/>
              <w:rPr>
                <w:rFonts w:ascii="仿宋" w:hAnsi="仿宋" w:cs="仿宋"/>
                <w:color w:val="auto"/>
                <w:sz w:val="28"/>
                <w:szCs w:val="28"/>
              </w:rPr>
            </w:pPr>
            <w:r>
              <w:rPr>
                <w:rFonts w:hint="eastAsia" w:ascii="仿宋" w:hAnsi="仿宋" w:cs="仿宋"/>
                <w:color w:val="auto"/>
                <w:sz w:val="28"/>
                <w:szCs w:val="28"/>
              </w:rPr>
              <w:t>1∶1万激电测量</w:t>
            </w:r>
          </w:p>
        </w:tc>
        <w:tc>
          <w:tcPr>
            <w:tcW w:w="854" w:type="dxa"/>
            <w:tcBorders>
              <w:tl2br w:val="nil"/>
              <w:tr2bl w:val="nil"/>
            </w:tcBorders>
            <w:shd w:val="clear" w:color="auto" w:fill="auto"/>
            <w:vAlign w:val="center"/>
          </w:tcPr>
          <w:p w14:paraId="2C4F1BD5">
            <w:pPr>
              <w:adjustRightInd w:val="0"/>
              <w:snapToGrid w:val="0"/>
              <w:jc w:val="center"/>
              <w:rPr>
                <w:rFonts w:ascii="仿宋" w:hAnsi="仿宋" w:cs="仿宋"/>
                <w:color w:val="auto"/>
                <w:sz w:val="28"/>
                <w:szCs w:val="28"/>
              </w:rPr>
            </w:pPr>
            <w:r>
              <w:rPr>
                <w:rFonts w:hint="eastAsia" w:ascii="仿宋" w:hAnsi="仿宋" w:cs="仿宋"/>
                <w:color w:val="auto"/>
                <w:sz w:val="28"/>
                <w:szCs w:val="28"/>
              </w:rPr>
              <w:t>千米</w:t>
            </w:r>
          </w:p>
        </w:tc>
        <w:tc>
          <w:tcPr>
            <w:tcW w:w="1131" w:type="dxa"/>
            <w:tcBorders>
              <w:tl2br w:val="nil"/>
              <w:tr2bl w:val="nil"/>
            </w:tcBorders>
            <w:shd w:val="clear" w:color="auto" w:fill="auto"/>
            <w:vAlign w:val="center"/>
          </w:tcPr>
          <w:p w14:paraId="5985E20F">
            <w:pPr>
              <w:adjustRightInd w:val="0"/>
              <w:snapToGrid w:val="0"/>
              <w:jc w:val="center"/>
              <w:rPr>
                <w:rFonts w:ascii="仿宋" w:hAnsi="仿宋" w:cs="仿宋"/>
                <w:color w:val="auto"/>
                <w:sz w:val="28"/>
                <w:szCs w:val="28"/>
              </w:rPr>
            </w:pPr>
            <w:r>
              <w:rPr>
                <w:rFonts w:hint="eastAsia" w:ascii="仿宋" w:hAnsi="仿宋" w:cs="仿宋"/>
                <w:color w:val="auto"/>
                <w:sz w:val="28"/>
                <w:szCs w:val="28"/>
              </w:rPr>
              <w:t>10</w:t>
            </w:r>
          </w:p>
        </w:tc>
        <w:tc>
          <w:tcPr>
            <w:tcW w:w="3295" w:type="dxa"/>
            <w:tcBorders>
              <w:tl2br w:val="nil"/>
              <w:tr2bl w:val="nil"/>
            </w:tcBorders>
            <w:shd w:val="clear" w:color="auto" w:fill="auto"/>
            <w:vAlign w:val="center"/>
          </w:tcPr>
          <w:p w14:paraId="2FA1ACFC">
            <w:pPr>
              <w:adjustRightInd w:val="0"/>
              <w:snapToGrid w:val="0"/>
              <w:jc w:val="center"/>
              <w:rPr>
                <w:rFonts w:ascii="仿宋" w:hAnsi="仿宋" w:cs="仿宋"/>
                <w:color w:val="auto"/>
                <w:sz w:val="28"/>
                <w:szCs w:val="28"/>
              </w:rPr>
            </w:pPr>
            <w:r>
              <w:rPr>
                <w:rFonts w:hint="eastAsia" w:ascii="仿宋" w:hAnsi="仿宋" w:cs="仿宋"/>
                <w:color w:val="auto"/>
                <w:sz w:val="28"/>
                <w:szCs w:val="28"/>
              </w:rPr>
              <w:t>地区调整系数1.9，地形等级3.75-4.5</w:t>
            </w:r>
          </w:p>
        </w:tc>
      </w:tr>
    </w:tbl>
    <w:p w14:paraId="4F82E4CA">
      <w:pPr>
        <w:ind w:firstLine="562" w:firstLineChars="200"/>
        <w:rPr>
          <w:rFonts w:ascii="仿宋" w:hAnsi="仿宋" w:cs="仿宋"/>
          <w:b/>
          <w:bCs/>
          <w:color w:val="auto"/>
          <w:sz w:val="28"/>
          <w:szCs w:val="28"/>
        </w:rPr>
      </w:pPr>
      <w:r>
        <w:rPr>
          <w:rFonts w:hint="eastAsia" w:ascii="仿宋" w:hAnsi="仿宋" w:cs="仿宋"/>
          <w:b/>
          <w:bCs/>
          <w:color w:val="auto"/>
          <w:sz w:val="28"/>
          <w:szCs w:val="28"/>
        </w:rPr>
        <w:t>三、技术要求</w:t>
      </w:r>
    </w:p>
    <w:p w14:paraId="5C110D6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《全球定位系统GPS测量规范》（GB/T 18314-2009）</w:t>
      </w:r>
    </w:p>
    <w:p w14:paraId="753465DB">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《地面高精度磁测技术规程》（DZ/T 0071-1993）</w:t>
      </w:r>
    </w:p>
    <w:p w14:paraId="0080ED3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《重力调查技术规范》（DZ/T 0004-2015）</w:t>
      </w:r>
    </w:p>
    <w:p w14:paraId="71BFDB44">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《时间域激发极化法技术规程》（DZ/T 0070-2016）</w:t>
      </w:r>
    </w:p>
    <w:p w14:paraId="03FAE5F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《岩矿石标本物性测量技术规程》（DZ/T 0368-2021）</w:t>
      </w:r>
    </w:p>
    <w:p w14:paraId="05CB4C50">
      <w:pPr>
        <w:spacing w:line="560" w:lineRule="exact"/>
        <w:ind w:firstLine="562" w:firstLineChars="200"/>
        <w:rPr>
          <w:color w:val="auto"/>
        </w:rPr>
      </w:pPr>
      <w:r>
        <w:rPr>
          <w:rFonts w:hint="eastAsia" w:ascii="仿宋" w:hAnsi="仿宋" w:cs="仿宋"/>
          <w:b/>
          <w:color w:val="auto"/>
          <w:sz w:val="28"/>
          <w:szCs w:val="28"/>
        </w:rPr>
        <w:t>四、相关要求</w:t>
      </w:r>
    </w:p>
    <w:p w14:paraId="62555B9E">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1、高精度磁法测量</w:t>
      </w:r>
    </w:p>
    <w:p w14:paraId="42ECD55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地面磁测工作严格按照《地面高精度磁测技术规程》（DZ/T 0071-1993）（以下简称“《技术规程》”）的有关要求进行。</w:t>
      </w:r>
    </w:p>
    <w:p w14:paraId="56574B67">
      <w:pPr>
        <w:spacing w:line="560" w:lineRule="exact"/>
        <w:ind w:firstLine="560" w:firstLineChars="200"/>
        <w:rPr>
          <w:rFonts w:ascii="仿宋" w:hAnsi="仿宋" w:cs="仿宋"/>
          <w:color w:val="auto"/>
          <w:sz w:val="28"/>
          <w:szCs w:val="28"/>
        </w:rPr>
      </w:pPr>
      <w:r>
        <w:rPr>
          <w:rFonts w:ascii="仿宋" w:hAnsi="仿宋" w:cs="仿宋"/>
          <w:color w:val="auto"/>
          <w:sz w:val="28"/>
          <w:szCs w:val="28"/>
        </w:rPr>
        <w:t>高精度磁测选定磁测总精度</w:t>
      </w:r>
      <w:r>
        <w:rPr>
          <w:rFonts w:hint="eastAsia" w:ascii="仿宋" w:hAnsi="仿宋" w:cs="仿宋"/>
          <w:color w:val="auto"/>
          <w:sz w:val="28"/>
          <w:szCs w:val="28"/>
        </w:rPr>
        <w:t>应小于</w:t>
      </w:r>
      <w:r>
        <w:rPr>
          <w:rFonts w:ascii="仿宋" w:hAnsi="仿宋" w:cs="仿宋"/>
          <w:color w:val="auto"/>
          <w:sz w:val="28"/>
          <w:szCs w:val="28"/>
        </w:rPr>
        <w:t>±5nT，误差分配见（表</w:t>
      </w:r>
      <w:r>
        <w:rPr>
          <w:rFonts w:hint="eastAsia" w:ascii="仿宋" w:hAnsi="仿宋" w:cs="仿宋"/>
          <w:color w:val="auto"/>
          <w:sz w:val="28"/>
          <w:szCs w:val="28"/>
        </w:rPr>
        <w:t>1</w:t>
      </w:r>
      <w:r>
        <w:rPr>
          <w:rFonts w:ascii="仿宋" w:hAnsi="仿宋" w:cs="仿宋"/>
          <w:color w:val="auto"/>
          <w:sz w:val="28"/>
          <w:szCs w:val="28"/>
        </w:rPr>
        <w:t>）。</w:t>
      </w:r>
    </w:p>
    <w:p w14:paraId="380C706A">
      <w:pPr>
        <w:spacing w:line="560" w:lineRule="exact"/>
        <w:ind w:firstLine="560" w:firstLineChars="200"/>
        <w:rPr>
          <w:rFonts w:ascii="仿宋" w:hAnsi="仿宋" w:cs="仿宋"/>
          <w:color w:val="auto"/>
          <w:sz w:val="28"/>
          <w:szCs w:val="28"/>
        </w:rPr>
      </w:pPr>
    </w:p>
    <w:p w14:paraId="47C93222">
      <w:pPr>
        <w:spacing w:line="560" w:lineRule="exact"/>
        <w:ind w:firstLine="560" w:firstLineChars="200"/>
        <w:rPr>
          <w:rFonts w:ascii="仿宋" w:hAnsi="仿宋" w:cs="仿宋"/>
          <w:color w:val="auto"/>
          <w:sz w:val="28"/>
          <w:szCs w:val="28"/>
        </w:rPr>
      </w:pPr>
    </w:p>
    <w:p w14:paraId="5D0EFDFD">
      <w:pPr>
        <w:ind w:firstLine="420" w:firstLineChars="200"/>
        <w:jc w:val="center"/>
        <w:rPr>
          <w:rFonts w:ascii="微软雅黑" w:hAnsi="微软雅黑" w:eastAsia="微软雅黑" w:cs="微软雅黑"/>
          <w:b/>
          <w:bCs/>
          <w:color w:val="auto"/>
          <w:sz w:val="24"/>
          <w:szCs w:val="24"/>
        </w:rPr>
      </w:pPr>
      <w:r>
        <w:rPr>
          <w:rFonts w:hint="eastAsia" w:ascii="微软雅黑" w:hAnsi="微软雅黑" w:eastAsia="微软雅黑" w:cs="微软雅黑"/>
          <w:b/>
          <w:bCs/>
          <w:color w:val="auto"/>
          <w:szCs w:val="21"/>
        </w:rPr>
        <w:t>表1：磁测误差分配表</w:t>
      </w:r>
    </w:p>
    <w:tbl>
      <w:tblPr>
        <w:tblStyle w:val="4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649"/>
        <w:gridCol w:w="959"/>
        <w:gridCol w:w="960"/>
        <w:gridCol w:w="804"/>
        <w:gridCol w:w="807"/>
        <w:gridCol w:w="650"/>
        <w:gridCol w:w="963"/>
        <w:gridCol w:w="805"/>
        <w:gridCol w:w="963"/>
      </w:tblGrid>
      <w:tr w14:paraId="006D6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64" w:type="pct"/>
            <w:shd w:val="clear" w:color="auto" w:fill="auto"/>
            <w:vAlign w:val="center"/>
          </w:tcPr>
          <w:p w14:paraId="461F549E">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磁测</w:t>
            </w:r>
          </w:p>
        </w:tc>
        <w:tc>
          <w:tcPr>
            <w:tcW w:w="2509" w:type="pct"/>
            <w:gridSpan w:val="5"/>
            <w:shd w:val="clear" w:color="auto" w:fill="auto"/>
            <w:vAlign w:val="center"/>
          </w:tcPr>
          <w:p w14:paraId="42A6244F">
            <w:pPr>
              <w:autoSpaceDE w:val="0"/>
              <w:autoSpaceDN w:val="0"/>
              <w:adjustRightInd w:val="0"/>
              <w:ind w:right="65" w:rightChars="31" w:firstLine="525" w:firstLineChars="250"/>
              <w:jc w:val="center"/>
              <w:rPr>
                <w:rFonts w:ascii="Times New Roman" w:hAnsi="Times New Roman" w:eastAsiaTheme="minorEastAsia"/>
                <w:bCs/>
                <w:color w:val="auto"/>
                <w:szCs w:val="18"/>
              </w:rPr>
            </w:pPr>
            <w:r>
              <w:rPr>
                <w:rFonts w:ascii="Times New Roman" w:hAnsi="Times New Roman" w:eastAsiaTheme="minorEastAsia"/>
                <w:bCs/>
                <w:color w:val="auto"/>
                <w:szCs w:val="18"/>
              </w:rPr>
              <w:t>野外观测均方误差（nT）</w:t>
            </w:r>
          </w:p>
        </w:tc>
        <w:tc>
          <w:tcPr>
            <w:tcW w:w="2028" w:type="pct"/>
            <w:gridSpan w:val="4"/>
            <w:shd w:val="clear" w:color="auto" w:fill="auto"/>
            <w:vAlign w:val="center"/>
          </w:tcPr>
          <w:p w14:paraId="07B1EE29">
            <w:pPr>
              <w:autoSpaceDE w:val="0"/>
              <w:autoSpaceDN w:val="0"/>
              <w:adjustRightInd w:val="0"/>
              <w:ind w:right="65" w:rightChars="31" w:firstLine="525" w:firstLineChars="250"/>
              <w:jc w:val="center"/>
              <w:rPr>
                <w:rFonts w:ascii="Times New Roman" w:hAnsi="Times New Roman" w:eastAsiaTheme="minorEastAsia"/>
                <w:bCs/>
                <w:color w:val="auto"/>
                <w:szCs w:val="18"/>
              </w:rPr>
            </w:pPr>
            <w:r>
              <w:rPr>
                <w:rFonts w:ascii="Times New Roman" w:hAnsi="Times New Roman" w:eastAsiaTheme="minorEastAsia"/>
                <w:bCs/>
                <w:color w:val="auto"/>
                <w:szCs w:val="18"/>
              </w:rPr>
              <w:t>基点、高程及正常场改正误差（nT）</w:t>
            </w:r>
          </w:p>
        </w:tc>
      </w:tr>
      <w:tr w14:paraId="4A783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4" w:type="pct"/>
            <w:shd w:val="clear" w:color="auto" w:fill="auto"/>
            <w:vAlign w:val="center"/>
          </w:tcPr>
          <w:p w14:paraId="1115FE9A">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∑总（nT）</w:t>
            </w:r>
          </w:p>
        </w:tc>
        <w:tc>
          <w:tcPr>
            <w:tcW w:w="391" w:type="pct"/>
            <w:shd w:val="clear" w:color="auto" w:fill="auto"/>
            <w:vAlign w:val="center"/>
          </w:tcPr>
          <w:p w14:paraId="7E81F318">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w:t>
            </w:r>
            <w:r>
              <w:rPr>
                <w:rFonts w:ascii="Times New Roman" w:hAnsi="Times New Roman" w:eastAsiaTheme="minorEastAsia"/>
                <w:bCs/>
                <w:color w:val="auto"/>
                <w:szCs w:val="18"/>
                <w:vertAlign w:val="subscript"/>
              </w:rPr>
              <w:t>总观</w:t>
            </w:r>
          </w:p>
        </w:tc>
        <w:tc>
          <w:tcPr>
            <w:tcW w:w="575" w:type="pct"/>
            <w:shd w:val="clear" w:color="auto" w:fill="auto"/>
            <w:vAlign w:val="center"/>
          </w:tcPr>
          <w:p w14:paraId="318CEC59">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操作及点位误差</w:t>
            </w:r>
          </w:p>
        </w:tc>
        <w:tc>
          <w:tcPr>
            <w:tcW w:w="575" w:type="pct"/>
            <w:shd w:val="clear" w:color="auto" w:fill="auto"/>
            <w:vAlign w:val="center"/>
          </w:tcPr>
          <w:p w14:paraId="2FC5443E">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仪器一致性误差</w:t>
            </w:r>
          </w:p>
        </w:tc>
        <w:tc>
          <w:tcPr>
            <w:tcW w:w="483" w:type="pct"/>
            <w:shd w:val="clear" w:color="auto" w:fill="auto"/>
            <w:vAlign w:val="center"/>
          </w:tcPr>
          <w:p w14:paraId="5A9EB8D4">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噪声</w:t>
            </w:r>
          </w:p>
          <w:p w14:paraId="38AC4DD2">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误差</w:t>
            </w:r>
          </w:p>
        </w:tc>
        <w:tc>
          <w:tcPr>
            <w:tcW w:w="484" w:type="pct"/>
            <w:shd w:val="clear" w:color="auto" w:fill="auto"/>
            <w:vAlign w:val="center"/>
          </w:tcPr>
          <w:p w14:paraId="03681F05">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日变改正误差</w:t>
            </w:r>
          </w:p>
        </w:tc>
        <w:tc>
          <w:tcPr>
            <w:tcW w:w="392" w:type="pct"/>
            <w:shd w:val="clear" w:color="auto" w:fill="auto"/>
            <w:vAlign w:val="center"/>
          </w:tcPr>
          <w:p w14:paraId="337E9914">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总计</w:t>
            </w:r>
          </w:p>
        </w:tc>
        <w:tc>
          <w:tcPr>
            <w:tcW w:w="576" w:type="pct"/>
            <w:shd w:val="clear" w:color="auto" w:fill="auto"/>
            <w:vAlign w:val="center"/>
          </w:tcPr>
          <w:p w14:paraId="4E2E6AA2">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正常场改正误差</w:t>
            </w:r>
          </w:p>
        </w:tc>
        <w:tc>
          <w:tcPr>
            <w:tcW w:w="483" w:type="pct"/>
            <w:shd w:val="clear" w:color="auto" w:fill="auto"/>
            <w:vAlign w:val="center"/>
          </w:tcPr>
          <w:p w14:paraId="6F2BED37">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高程正误差</w:t>
            </w:r>
          </w:p>
        </w:tc>
        <w:tc>
          <w:tcPr>
            <w:tcW w:w="576" w:type="pct"/>
            <w:shd w:val="clear" w:color="auto" w:fill="auto"/>
            <w:vAlign w:val="center"/>
          </w:tcPr>
          <w:p w14:paraId="434469B7">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总基改正误差</w:t>
            </w:r>
          </w:p>
        </w:tc>
      </w:tr>
      <w:tr w14:paraId="50181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4" w:type="pct"/>
            <w:shd w:val="clear" w:color="auto" w:fill="auto"/>
            <w:vAlign w:val="center"/>
          </w:tcPr>
          <w:p w14:paraId="42E41B01">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5.0</w:t>
            </w:r>
          </w:p>
        </w:tc>
        <w:tc>
          <w:tcPr>
            <w:tcW w:w="391" w:type="pct"/>
            <w:shd w:val="clear" w:color="auto" w:fill="auto"/>
            <w:vAlign w:val="center"/>
          </w:tcPr>
          <w:p w14:paraId="5F8CF250">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4.36</w:t>
            </w:r>
          </w:p>
        </w:tc>
        <w:tc>
          <w:tcPr>
            <w:tcW w:w="575" w:type="pct"/>
            <w:shd w:val="clear" w:color="auto" w:fill="auto"/>
            <w:vAlign w:val="center"/>
          </w:tcPr>
          <w:p w14:paraId="4E87BDAF">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2.65</w:t>
            </w:r>
          </w:p>
        </w:tc>
        <w:tc>
          <w:tcPr>
            <w:tcW w:w="575" w:type="pct"/>
            <w:shd w:val="clear" w:color="auto" w:fill="auto"/>
            <w:vAlign w:val="center"/>
          </w:tcPr>
          <w:p w14:paraId="279805AB">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2.00</w:t>
            </w:r>
          </w:p>
        </w:tc>
        <w:tc>
          <w:tcPr>
            <w:tcW w:w="483" w:type="pct"/>
            <w:shd w:val="clear" w:color="auto" w:fill="auto"/>
            <w:vAlign w:val="center"/>
          </w:tcPr>
          <w:p w14:paraId="116490BC">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2.00</w:t>
            </w:r>
          </w:p>
        </w:tc>
        <w:tc>
          <w:tcPr>
            <w:tcW w:w="484" w:type="pct"/>
            <w:shd w:val="clear" w:color="auto" w:fill="auto"/>
            <w:vAlign w:val="center"/>
          </w:tcPr>
          <w:p w14:paraId="2EE81CEA">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2.00</w:t>
            </w:r>
          </w:p>
        </w:tc>
        <w:tc>
          <w:tcPr>
            <w:tcW w:w="392" w:type="pct"/>
            <w:shd w:val="clear" w:color="auto" w:fill="auto"/>
            <w:vAlign w:val="center"/>
          </w:tcPr>
          <w:p w14:paraId="754D6A8D">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2.45</w:t>
            </w:r>
          </w:p>
        </w:tc>
        <w:tc>
          <w:tcPr>
            <w:tcW w:w="576" w:type="pct"/>
            <w:shd w:val="clear" w:color="auto" w:fill="auto"/>
            <w:vAlign w:val="center"/>
          </w:tcPr>
          <w:p w14:paraId="37EF97CA">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1.00</w:t>
            </w:r>
          </w:p>
        </w:tc>
        <w:tc>
          <w:tcPr>
            <w:tcW w:w="483" w:type="pct"/>
            <w:shd w:val="clear" w:color="auto" w:fill="auto"/>
            <w:vAlign w:val="center"/>
          </w:tcPr>
          <w:p w14:paraId="2A9F4F1A">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1.00</w:t>
            </w:r>
          </w:p>
        </w:tc>
        <w:tc>
          <w:tcPr>
            <w:tcW w:w="576" w:type="pct"/>
            <w:shd w:val="clear" w:color="auto" w:fill="auto"/>
            <w:vAlign w:val="center"/>
          </w:tcPr>
          <w:p w14:paraId="47197750">
            <w:pPr>
              <w:autoSpaceDE w:val="0"/>
              <w:autoSpaceDN w:val="0"/>
              <w:adjustRightInd w:val="0"/>
              <w:ind w:right="65" w:rightChars="31"/>
              <w:jc w:val="center"/>
              <w:rPr>
                <w:rFonts w:ascii="Times New Roman" w:hAnsi="Times New Roman" w:eastAsiaTheme="minorEastAsia"/>
                <w:bCs/>
                <w:color w:val="auto"/>
                <w:szCs w:val="18"/>
              </w:rPr>
            </w:pPr>
            <w:r>
              <w:rPr>
                <w:rFonts w:ascii="Times New Roman" w:hAnsi="Times New Roman" w:eastAsiaTheme="minorEastAsia"/>
                <w:bCs/>
                <w:color w:val="auto"/>
                <w:szCs w:val="18"/>
              </w:rPr>
              <w:t>2.00</w:t>
            </w:r>
          </w:p>
        </w:tc>
      </w:tr>
    </w:tbl>
    <w:p w14:paraId="056AD2D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1）基点选择</w:t>
      </w:r>
    </w:p>
    <w:p w14:paraId="6914698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选择了磁场稳定、地势开阔、附近没有磁性干扰物的地点作为总基点，即选择在半径2m及高差0.5m范围内磁场变化不超过2nT的地点作为总基点。实地选择时分别做十字剖面和垂直高度观测，并在实地打桩标记。日变站控制范围均在20km之内，符合规范要求。</w:t>
      </w:r>
    </w:p>
    <w:p w14:paraId="1926F6E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2）基点T0值的确定</w:t>
      </w:r>
    </w:p>
    <w:p w14:paraId="3E2F591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日变仪器在总基点作24小时的连续日变观测，选择期间最平静的2小时磁场值平均值作为总基点场值。</w:t>
      </w:r>
    </w:p>
    <w:p w14:paraId="21ACBFE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3）仪器实验</w:t>
      </w:r>
    </w:p>
    <w:p w14:paraId="7B852DE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开工前、收工后，分别对投入工作的磁力仪进行了仪器一致性实验、仪器噪声水平测定等，结果均要满足设计要求。</w:t>
      </w:r>
    </w:p>
    <w:p w14:paraId="5481B0C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4）测点观测</w:t>
      </w:r>
    </w:p>
    <w:p w14:paraId="6FB287D9">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进行测点观测时，观测人员进行了去磁处理，对突变点、可疑点等进行了重复观测。</w:t>
      </w:r>
    </w:p>
    <w:p w14:paraId="53C6A10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5）质量要求</w:t>
      </w:r>
    </w:p>
    <w:p w14:paraId="2219F789">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实行“三级检查”的质量检查制度。质量检查工作按“一同三不同”的方式进行，质检区段在工作区内分布大致均匀，并同时进行定位精度检查，面积性工作检查率不低于3%，剖面工作检查率不低于10%。当检查结果误差超过设计规定或在某些地段存在明显系统误差时，应适当增加检查工作量，以提高检查结果的可信度。计算均方误差时，可将误差过大的个别点舍弃，但舍弃点数不得超过相应检查点数的1%。</w:t>
      </w:r>
    </w:p>
    <w:p w14:paraId="6A5A5BDE">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2、重力测量</w:t>
      </w:r>
    </w:p>
    <w:p w14:paraId="3827306A">
      <w:pPr>
        <w:kinsoku w:val="0"/>
        <w:overflowPunct w:val="0"/>
        <w:autoSpaceDE w:val="0"/>
        <w:autoSpaceDN w:val="0"/>
        <w:ind w:firstLine="560" w:firstLineChars="200"/>
        <w:rPr>
          <w:rFonts w:ascii="仿宋" w:hAnsi="仿宋" w:cs="仿宋"/>
          <w:color w:val="auto"/>
          <w:sz w:val="28"/>
          <w:szCs w:val="28"/>
        </w:rPr>
      </w:pPr>
      <w:r>
        <w:rPr>
          <w:rFonts w:hint="eastAsia" w:ascii="仿宋" w:hAnsi="仿宋" w:cs="仿宋"/>
          <w:color w:val="auto"/>
          <w:sz w:val="28"/>
          <w:szCs w:val="28"/>
        </w:rPr>
        <w:t>地面重力测量工作严格按照《重力调查技术规范》（DZ/T 0004-2015）（以下简称“《技术规程》”）的有关要求进行。</w:t>
      </w:r>
    </w:p>
    <w:p w14:paraId="781F151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重力测量总精度要求为0.05×10</w:t>
      </w:r>
      <w:r>
        <w:rPr>
          <w:rFonts w:hint="eastAsia" w:ascii="仿宋" w:hAnsi="仿宋" w:cs="仿宋"/>
          <w:color w:val="auto"/>
          <w:sz w:val="28"/>
          <w:szCs w:val="28"/>
          <w:vertAlign w:val="superscript"/>
        </w:rPr>
        <w:t>-5</w:t>
      </w:r>
      <w:r>
        <w:rPr>
          <w:rFonts w:hint="eastAsia" w:ascii="仿宋" w:hAnsi="仿宋" w:cs="仿宋"/>
          <w:color w:val="auto"/>
          <w:sz w:val="28"/>
          <w:szCs w:val="28"/>
        </w:rPr>
        <w:t>m/s</w:t>
      </w:r>
      <w:r>
        <w:rPr>
          <w:rFonts w:hint="eastAsia" w:ascii="仿宋" w:hAnsi="仿宋" w:cs="仿宋"/>
          <w:color w:val="auto"/>
          <w:sz w:val="28"/>
          <w:szCs w:val="28"/>
          <w:vertAlign w:val="superscript"/>
        </w:rPr>
        <w:t>2</w:t>
      </w:r>
      <w:r>
        <w:rPr>
          <w:rFonts w:hint="eastAsia" w:ascii="仿宋" w:hAnsi="仿宋" w:cs="仿宋"/>
          <w:color w:val="auto"/>
          <w:sz w:val="28"/>
          <w:szCs w:val="28"/>
        </w:rPr>
        <w:t>。各误差分项见表2。地形校正均方误差按近、中、远三区合理分配，一般按表3分配。</w:t>
      </w:r>
    </w:p>
    <w:p w14:paraId="2E66EE30">
      <w:pPr>
        <w:spacing w:line="400" w:lineRule="exact"/>
        <w:ind w:firstLine="420" w:firstLineChars="200"/>
        <w:jc w:val="center"/>
        <w:rPr>
          <w:rFonts w:ascii="微软雅黑" w:hAnsi="微软雅黑" w:eastAsia="微软雅黑" w:cs="微软雅黑"/>
          <w:b/>
          <w:bCs/>
          <w:color w:val="auto"/>
          <w:szCs w:val="21"/>
        </w:rPr>
      </w:pPr>
      <w:r>
        <w:rPr>
          <w:rFonts w:hint="eastAsia" w:ascii="微软雅黑" w:hAnsi="微软雅黑" w:eastAsia="微软雅黑" w:cs="微软雅黑"/>
          <w:b/>
          <w:bCs/>
          <w:color w:val="auto"/>
          <w:szCs w:val="21"/>
        </w:rPr>
        <w:t>表2  重力测量误差分配表</w:t>
      </w:r>
    </w:p>
    <w:tbl>
      <w:tblPr>
        <w:tblStyle w:val="4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37"/>
        <w:gridCol w:w="1338"/>
        <w:gridCol w:w="1295"/>
        <w:gridCol w:w="1295"/>
        <w:gridCol w:w="1295"/>
        <w:gridCol w:w="950"/>
        <w:gridCol w:w="825"/>
      </w:tblGrid>
      <w:tr w14:paraId="715B7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rPr>
        <w:tc>
          <w:tcPr>
            <w:tcW w:w="0" w:type="auto"/>
            <w:tcMar>
              <w:left w:w="28" w:type="dxa"/>
              <w:right w:w="28" w:type="dxa"/>
            </w:tcMar>
            <w:vAlign w:val="center"/>
          </w:tcPr>
          <w:p w14:paraId="37990986">
            <w:pPr>
              <w:spacing w:line="400" w:lineRule="exact"/>
              <w:jc w:val="center"/>
              <w:rPr>
                <w:rFonts w:ascii="宋体" w:hAnsi="宋体"/>
                <w:color w:val="auto"/>
                <w:szCs w:val="21"/>
              </w:rPr>
            </w:pPr>
            <w:r>
              <w:rPr>
                <w:rFonts w:ascii="宋体" w:hAnsi="宋体"/>
                <w:color w:val="auto"/>
                <w:szCs w:val="21"/>
              </w:rPr>
              <w:t>布格重力异常总精度(10</w:t>
            </w:r>
            <w:r>
              <w:rPr>
                <w:rFonts w:ascii="宋体" w:hAnsi="宋体"/>
                <w:color w:val="auto"/>
                <w:szCs w:val="21"/>
                <w:vertAlign w:val="superscript"/>
              </w:rPr>
              <w:t>-5</w:t>
            </w:r>
            <w:r>
              <w:rPr>
                <w:rFonts w:ascii="宋体" w:hAnsi="宋体"/>
                <w:color w:val="auto"/>
                <w:szCs w:val="21"/>
              </w:rPr>
              <w:t>m/s</w:t>
            </w:r>
            <w:r>
              <w:rPr>
                <w:rFonts w:ascii="宋体" w:hAnsi="宋体"/>
                <w:color w:val="auto"/>
                <w:szCs w:val="21"/>
                <w:vertAlign w:val="superscript"/>
              </w:rPr>
              <w:t>2</w:t>
            </w:r>
            <w:r>
              <w:rPr>
                <w:rFonts w:ascii="宋体" w:hAnsi="宋体"/>
                <w:color w:val="auto"/>
                <w:szCs w:val="21"/>
              </w:rPr>
              <w:t>)</w:t>
            </w:r>
          </w:p>
        </w:tc>
        <w:tc>
          <w:tcPr>
            <w:tcW w:w="0" w:type="auto"/>
            <w:tcMar>
              <w:left w:w="28" w:type="dxa"/>
              <w:right w:w="28" w:type="dxa"/>
            </w:tcMar>
            <w:vAlign w:val="center"/>
          </w:tcPr>
          <w:p w14:paraId="3914C148">
            <w:pPr>
              <w:spacing w:line="400" w:lineRule="exact"/>
              <w:jc w:val="center"/>
              <w:rPr>
                <w:rFonts w:ascii="宋体" w:hAnsi="宋体"/>
                <w:color w:val="auto"/>
                <w:szCs w:val="21"/>
              </w:rPr>
            </w:pPr>
            <w:r>
              <w:rPr>
                <w:rFonts w:ascii="宋体" w:hAnsi="宋体"/>
                <w:color w:val="auto"/>
                <w:szCs w:val="21"/>
              </w:rPr>
              <w:t>测点重力值均方误差(10</w:t>
            </w:r>
            <w:r>
              <w:rPr>
                <w:rFonts w:ascii="宋体" w:hAnsi="宋体"/>
                <w:color w:val="auto"/>
                <w:szCs w:val="21"/>
                <w:vertAlign w:val="superscript"/>
              </w:rPr>
              <w:t>-5</w:t>
            </w:r>
            <w:r>
              <w:rPr>
                <w:rFonts w:ascii="宋体" w:hAnsi="宋体"/>
                <w:color w:val="auto"/>
                <w:szCs w:val="21"/>
              </w:rPr>
              <w:t>m/s</w:t>
            </w:r>
            <w:r>
              <w:rPr>
                <w:rFonts w:ascii="宋体" w:hAnsi="宋体"/>
                <w:color w:val="auto"/>
                <w:szCs w:val="21"/>
                <w:vertAlign w:val="superscript"/>
              </w:rPr>
              <w:t>2</w:t>
            </w:r>
            <w:r>
              <w:rPr>
                <w:rFonts w:ascii="宋体" w:hAnsi="宋体"/>
                <w:color w:val="auto"/>
                <w:szCs w:val="21"/>
              </w:rPr>
              <w:t>)</w:t>
            </w:r>
          </w:p>
        </w:tc>
        <w:tc>
          <w:tcPr>
            <w:tcW w:w="0" w:type="auto"/>
            <w:tcMar>
              <w:left w:w="28" w:type="dxa"/>
              <w:right w:w="28" w:type="dxa"/>
            </w:tcMar>
            <w:vAlign w:val="center"/>
          </w:tcPr>
          <w:p w14:paraId="34CF51D9">
            <w:pPr>
              <w:spacing w:line="400" w:lineRule="exact"/>
              <w:jc w:val="center"/>
              <w:rPr>
                <w:rFonts w:ascii="宋体" w:hAnsi="宋体"/>
                <w:color w:val="auto"/>
                <w:szCs w:val="21"/>
              </w:rPr>
            </w:pPr>
            <w:r>
              <w:rPr>
                <w:rFonts w:ascii="宋体" w:hAnsi="宋体"/>
                <w:color w:val="auto"/>
                <w:szCs w:val="21"/>
              </w:rPr>
              <w:t>布格校正均方误差(10</w:t>
            </w:r>
            <w:r>
              <w:rPr>
                <w:rFonts w:ascii="宋体" w:hAnsi="宋体"/>
                <w:color w:val="auto"/>
                <w:szCs w:val="21"/>
                <w:vertAlign w:val="superscript"/>
              </w:rPr>
              <w:t>-5</w:t>
            </w:r>
            <w:r>
              <w:rPr>
                <w:rFonts w:ascii="宋体" w:hAnsi="宋体"/>
                <w:color w:val="auto"/>
                <w:szCs w:val="21"/>
              </w:rPr>
              <w:t>m/s</w:t>
            </w:r>
            <w:r>
              <w:rPr>
                <w:rFonts w:ascii="宋体" w:hAnsi="宋体"/>
                <w:color w:val="auto"/>
                <w:szCs w:val="21"/>
                <w:vertAlign w:val="superscript"/>
              </w:rPr>
              <w:t>2</w:t>
            </w:r>
            <w:r>
              <w:rPr>
                <w:rFonts w:ascii="宋体" w:hAnsi="宋体"/>
                <w:color w:val="auto"/>
                <w:szCs w:val="21"/>
              </w:rPr>
              <w:t>)</w:t>
            </w:r>
          </w:p>
        </w:tc>
        <w:tc>
          <w:tcPr>
            <w:tcW w:w="0" w:type="auto"/>
            <w:tcMar>
              <w:left w:w="28" w:type="dxa"/>
              <w:right w:w="28" w:type="dxa"/>
            </w:tcMar>
            <w:vAlign w:val="center"/>
          </w:tcPr>
          <w:p w14:paraId="1A4043B2">
            <w:pPr>
              <w:spacing w:line="400" w:lineRule="exact"/>
              <w:jc w:val="center"/>
              <w:rPr>
                <w:rFonts w:ascii="宋体" w:hAnsi="宋体"/>
                <w:color w:val="auto"/>
                <w:szCs w:val="21"/>
              </w:rPr>
            </w:pPr>
            <w:r>
              <w:rPr>
                <w:rFonts w:ascii="宋体" w:hAnsi="宋体"/>
                <w:color w:val="auto"/>
                <w:szCs w:val="21"/>
              </w:rPr>
              <w:t>地形校正均方误差(10</w:t>
            </w:r>
            <w:r>
              <w:rPr>
                <w:rFonts w:ascii="宋体" w:hAnsi="宋体"/>
                <w:color w:val="auto"/>
                <w:szCs w:val="21"/>
                <w:vertAlign w:val="superscript"/>
              </w:rPr>
              <w:t>-5</w:t>
            </w:r>
            <w:r>
              <w:rPr>
                <w:rFonts w:ascii="宋体" w:hAnsi="宋体"/>
                <w:color w:val="auto"/>
                <w:szCs w:val="21"/>
              </w:rPr>
              <w:t>m/s</w:t>
            </w:r>
            <w:r>
              <w:rPr>
                <w:rFonts w:ascii="宋体" w:hAnsi="宋体"/>
                <w:color w:val="auto"/>
                <w:szCs w:val="21"/>
                <w:vertAlign w:val="superscript"/>
              </w:rPr>
              <w:t>2</w:t>
            </w:r>
            <w:r>
              <w:rPr>
                <w:rFonts w:ascii="宋体" w:hAnsi="宋体"/>
                <w:color w:val="auto"/>
                <w:szCs w:val="21"/>
              </w:rPr>
              <w:t>)</w:t>
            </w:r>
          </w:p>
        </w:tc>
        <w:tc>
          <w:tcPr>
            <w:tcW w:w="0" w:type="auto"/>
            <w:tcMar>
              <w:left w:w="28" w:type="dxa"/>
              <w:right w:w="28" w:type="dxa"/>
            </w:tcMar>
            <w:vAlign w:val="center"/>
          </w:tcPr>
          <w:p w14:paraId="452B3749">
            <w:pPr>
              <w:spacing w:line="400" w:lineRule="exact"/>
              <w:jc w:val="center"/>
              <w:rPr>
                <w:rFonts w:ascii="宋体" w:hAnsi="宋体"/>
                <w:color w:val="auto"/>
                <w:szCs w:val="21"/>
              </w:rPr>
            </w:pPr>
            <w:r>
              <w:rPr>
                <w:rFonts w:ascii="宋体" w:hAnsi="宋体"/>
                <w:color w:val="auto"/>
                <w:szCs w:val="21"/>
              </w:rPr>
              <w:t>纬度校正均方误差(10</w:t>
            </w:r>
            <w:r>
              <w:rPr>
                <w:rFonts w:ascii="宋体" w:hAnsi="宋体"/>
                <w:color w:val="auto"/>
                <w:szCs w:val="21"/>
                <w:vertAlign w:val="superscript"/>
              </w:rPr>
              <w:t>-5</w:t>
            </w:r>
            <w:r>
              <w:rPr>
                <w:rFonts w:ascii="宋体" w:hAnsi="宋体"/>
                <w:color w:val="auto"/>
                <w:szCs w:val="21"/>
              </w:rPr>
              <w:t>m/s</w:t>
            </w:r>
            <w:r>
              <w:rPr>
                <w:rFonts w:ascii="宋体" w:hAnsi="宋体"/>
                <w:color w:val="auto"/>
                <w:szCs w:val="21"/>
                <w:vertAlign w:val="superscript"/>
              </w:rPr>
              <w:t>2</w:t>
            </w:r>
            <w:r>
              <w:rPr>
                <w:rFonts w:ascii="宋体" w:hAnsi="宋体"/>
                <w:color w:val="auto"/>
                <w:szCs w:val="21"/>
              </w:rPr>
              <w:t>)</w:t>
            </w:r>
          </w:p>
        </w:tc>
        <w:tc>
          <w:tcPr>
            <w:tcW w:w="0" w:type="auto"/>
            <w:tcMar>
              <w:left w:w="28" w:type="dxa"/>
              <w:right w:w="28" w:type="dxa"/>
            </w:tcMar>
            <w:vAlign w:val="center"/>
          </w:tcPr>
          <w:p w14:paraId="5D3AF4B3">
            <w:pPr>
              <w:spacing w:line="400" w:lineRule="exact"/>
              <w:jc w:val="center"/>
              <w:rPr>
                <w:rFonts w:ascii="宋体" w:hAnsi="宋体"/>
                <w:color w:val="auto"/>
                <w:szCs w:val="21"/>
              </w:rPr>
            </w:pPr>
            <w:r>
              <w:rPr>
                <w:rFonts w:ascii="宋体" w:hAnsi="宋体"/>
                <w:color w:val="auto"/>
                <w:szCs w:val="21"/>
              </w:rPr>
              <w:t>测点高程均方误差（m）</w:t>
            </w:r>
          </w:p>
        </w:tc>
        <w:tc>
          <w:tcPr>
            <w:tcW w:w="0" w:type="auto"/>
            <w:tcMar>
              <w:left w:w="28" w:type="dxa"/>
              <w:right w:w="28" w:type="dxa"/>
            </w:tcMar>
            <w:vAlign w:val="center"/>
          </w:tcPr>
          <w:p w14:paraId="065E2E8A">
            <w:pPr>
              <w:spacing w:line="400" w:lineRule="exact"/>
              <w:jc w:val="center"/>
              <w:rPr>
                <w:rFonts w:ascii="宋体" w:hAnsi="宋体"/>
                <w:color w:val="auto"/>
                <w:szCs w:val="21"/>
              </w:rPr>
            </w:pPr>
            <w:r>
              <w:rPr>
                <w:rFonts w:ascii="宋体" w:hAnsi="宋体"/>
                <w:color w:val="auto"/>
                <w:szCs w:val="21"/>
              </w:rPr>
              <w:t>测点平面位置均方误差 (m)</w:t>
            </w:r>
          </w:p>
        </w:tc>
      </w:tr>
      <w:tr w14:paraId="1DC1E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0" w:type="auto"/>
            <w:vAlign w:val="center"/>
          </w:tcPr>
          <w:p w14:paraId="73E849F0">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0.050</w:t>
            </w:r>
          </w:p>
        </w:tc>
        <w:tc>
          <w:tcPr>
            <w:tcW w:w="0" w:type="auto"/>
            <w:vAlign w:val="center"/>
          </w:tcPr>
          <w:p w14:paraId="4B3C9486">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0.030</w:t>
            </w:r>
          </w:p>
        </w:tc>
        <w:tc>
          <w:tcPr>
            <w:tcW w:w="0" w:type="auto"/>
            <w:vAlign w:val="center"/>
          </w:tcPr>
          <w:p w14:paraId="44402E58">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0.015</w:t>
            </w:r>
          </w:p>
        </w:tc>
        <w:tc>
          <w:tcPr>
            <w:tcW w:w="0" w:type="auto"/>
            <w:vAlign w:val="center"/>
          </w:tcPr>
          <w:p w14:paraId="709AFCE6">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0.035</w:t>
            </w:r>
          </w:p>
        </w:tc>
        <w:tc>
          <w:tcPr>
            <w:tcW w:w="0" w:type="auto"/>
            <w:vAlign w:val="center"/>
          </w:tcPr>
          <w:p w14:paraId="13E6057B">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0.010</w:t>
            </w:r>
          </w:p>
        </w:tc>
        <w:tc>
          <w:tcPr>
            <w:tcW w:w="0" w:type="auto"/>
            <w:vAlign w:val="center"/>
          </w:tcPr>
          <w:p w14:paraId="24241A48">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0.075</w:t>
            </w:r>
          </w:p>
        </w:tc>
        <w:tc>
          <w:tcPr>
            <w:tcW w:w="0" w:type="auto"/>
            <w:vAlign w:val="center"/>
          </w:tcPr>
          <w:p w14:paraId="3CD61DEA">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10</w:t>
            </w:r>
          </w:p>
        </w:tc>
      </w:tr>
    </w:tbl>
    <w:p w14:paraId="5594199E">
      <w:pPr>
        <w:pStyle w:val="339"/>
        <w:ind w:firstLine="560"/>
        <w:rPr>
          <w:color w:val="auto"/>
        </w:rPr>
      </w:pPr>
    </w:p>
    <w:p w14:paraId="27E3BAF4">
      <w:pPr>
        <w:spacing w:line="400" w:lineRule="exact"/>
        <w:ind w:firstLine="420" w:firstLineChars="200"/>
        <w:jc w:val="center"/>
        <w:rPr>
          <w:rFonts w:ascii="微软雅黑" w:hAnsi="微软雅黑" w:eastAsia="微软雅黑" w:cs="微软雅黑"/>
          <w:b/>
          <w:bCs/>
          <w:color w:val="auto"/>
          <w:szCs w:val="21"/>
        </w:rPr>
      </w:pPr>
      <w:r>
        <w:rPr>
          <w:rFonts w:hint="eastAsia" w:ascii="微软雅黑" w:hAnsi="微软雅黑" w:eastAsia="微软雅黑" w:cs="微软雅黑"/>
          <w:b/>
          <w:bCs/>
          <w:color w:val="auto"/>
          <w:szCs w:val="21"/>
        </w:rPr>
        <w:t>表3  重力测量地形校正近中远区误差分配</w:t>
      </w:r>
    </w:p>
    <w:tbl>
      <w:tblPr>
        <w:tblStyle w:val="4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3"/>
        <w:gridCol w:w="1809"/>
        <w:gridCol w:w="2010"/>
        <w:gridCol w:w="1973"/>
      </w:tblGrid>
      <w:tr w14:paraId="4756E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1" w:type="pct"/>
            <w:vAlign w:val="center"/>
          </w:tcPr>
          <w:p w14:paraId="3E8B8035">
            <w:pPr>
              <w:adjustRightInd w:val="0"/>
              <w:snapToGrid w:val="0"/>
              <w:spacing w:line="400" w:lineRule="exact"/>
              <w:jc w:val="center"/>
              <w:rPr>
                <w:rFonts w:ascii="宋体" w:hAnsi="宋体"/>
                <w:color w:val="auto"/>
                <w:szCs w:val="21"/>
              </w:rPr>
            </w:pPr>
            <w:r>
              <w:rPr>
                <w:rFonts w:hint="eastAsia" w:ascii="宋体" w:hAnsi="宋体"/>
                <w:color w:val="auto"/>
                <w:szCs w:val="21"/>
              </w:rPr>
              <w:t>地形校正均方误差</w:t>
            </w:r>
          </w:p>
          <w:p w14:paraId="29FDC199">
            <w:pPr>
              <w:adjustRightInd w:val="0"/>
              <w:snapToGrid w:val="0"/>
              <w:spacing w:line="400" w:lineRule="exact"/>
              <w:jc w:val="center"/>
              <w:rPr>
                <w:rFonts w:ascii="宋体" w:hAnsi="宋体"/>
                <w:color w:val="auto"/>
                <w:szCs w:val="21"/>
              </w:rPr>
            </w:pPr>
            <w:r>
              <w:rPr>
                <w:rFonts w:hint="eastAsia" w:ascii="宋体" w:hAnsi="宋体"/>
                <w:color w:val="auto"/>
                <w:szCs w:val="21"/>
              </w:rPr>
              <w:t>（10</w:t>
            </w:r>
            <w:r>
              <w:rPr>
                <w:rFonts w:hint="eastAsia" w:ascii="宋体" w:hAnsi="宋体"/>
                <w:color w:val="auto"/>
                <w:szCs w:val="21"/>
                <w:vertAlign w:val="superscript"/>
              </w:rPr>
              <w:t>-2</w:t>
            </w:r>
            <w:r>
              <w:rPr>
                <w:rFonts w:hint="eastAsia" w:ascii="宋体" w:hAnsi="宋体"/>
                <w:color w:val="auto"/>
                <w:szCs w:val="21"/>
              </w:rPr>
              <w:t>m／s</w:t>
            </w:r>
            <w:r>
              <w:rPr>
                <w:rFonts w:hint="eastAsia" w:ascii="宋体" w:hAnsi="宋体"/>
                <w:color w:val="auto"/>
                <w:szCs w:val="21"/>
                <w:vertAlign w:val="superscript"/>
              </w:rPr>
              <w:t>2</w:t>
            </w:r>
            <w:r>
              <w:rPr>
                <w:rFonts w:hint="eastAsia" w:ascii="宋体" w:hAnsi="宋体"/>
                <w:color w:val="auto"/>
                <w:szCs w:val="21"/>
              </w:rPr>
              <w:t>）</w:t>
            </w:r>
          </w:p>
        </w:tc>
        <w:tc>
          <w:tcPr>
            <w:tcW w:w="1065" w:type="pct"/>
            <w:vAlign w:val="center"/>
          </w:tcPr>
          <w:p w14:paraId="05C42E33">
            <w:pPr>
              <w:adjustRightInd w:val="0"/>
              <w:snapToGrid w:val="0"/>
              <w:spacing w:line="400" w:lineRule="exact"/>
              <w:jc w:val="center"/>
              <w:rPr>
                <w:rFonts w:ascii="宋体" w:hAnsi="宋体"/>
                <w:color w:val="auto"/>
                <w:szCs w:val="21"/>
              </w:rPr>
            </w:pPr>
            <w:r>
              <w:rPr>
                <w:rFonts w:hint="eastAsia" w:ascii="宋体" w:hAnsi="宋体"/>
                <w:color w:val="auto"/>
                <w:szCs w:val="21"/>
              </w:rPr>
              <w:t>近区</w:t>
            </w:r>
          </w:p>
          <w:p w14:paraId="563C98E8">
            <w:pPr>
              <w:adjustRightInd w:val="0"/>
              <w:snapToGrid w:val="0"/>
              <w:spacing w:line="400" w:lineRule="exact"/>
              <w:jc w:val="center"/>
              <w:rPr>
                <w:rFonts w:ascii="宋体" w:hAnsi="宋体"/>
                <w:color w:val="auto"/>
                <w:szCs w:val="21"/>
              </w:rPr>
            </w:pPr>
            <w:r>
              <w:rPr>
                <w:rFonts w:hint="eastAsia" w:ascii="宋体" w:hAnsi="宋体"/>
                <w:color w:val="auto"/>
                <w:szCs w:val="21"/>
              </w:rPr>
              <w:t>（0</w:t>
            </w:r>
            <w:bookmarkStart w:id="119" w:name="OLE_LINK9"/>
            <w:r>
              <w:rPr>
                <w:rFonts w:hint="eastAsia" w:ascii="宋体" w:hAnsi="宋体"/>
                <w:color w:val="auto"/>
                <w:szCs w:val="21"/>
              </w:rPr>
              <w:t>～</w:t>
            </w:r>
            <w:bookmarkEnd w:id="119"/>
            <w:r>
              <w:rPr>
                <w:rFonts w:hint="eastAsia" w:ascii="宋体" w:hAnsi="宋体"/>
                <w:color w:val="auto"/>
                <w:szCs w:val="21"/>
              </w:rPr>
              <w:t>20m）</w:t>
            </w:r>
          </w:p>
        </w:tc>
        <w:tc>
          <w:tcPr>
            <w:tcW w:w="1183" w:type="pct"/>
            <w:vAlign w:val="center"/>
          </w:tcPr>
          <w:p w14:paraId="62BA6BE2">
            <w:pPr>
              <w:adjustRightInd w:val="0"/>
              <w:snapToGrid w:val="0"/>
              <w:spacing w:line="400" w:lineRule="exact"/>
              <w:jc w:val="center"/>
              <w:rPr>
                <w:rFonts w:ascii="宋体" w:hAnsi="宋体"/>
                <w:color w:val="auto"/>
                <w:szCs w:val="21"/>
              </w:rPr>
            </w:pPr>
            <w:r>
              <w:rPr>
                <w:rFonts w:hint="eastAsia" w:ascii="宋体" w:hAnsi="宋体"/>
                <w:color w:val="auto"/>
                <w:szCs w:val="21"/>
              </w:rPr>
              <w:t>中区</w:t>
            </w:r>
          </w:p>
          <w:p w14:paraId="42CA087D">
            <w:pPr>
              <w:adjustRightInd w:val="0"/>
              <w:snapToGrid w:val="0"/>
              <w:spacing w:line="400" w:lineRule="exact"/>
              <w:jc w:val="center"/>
              <w:rPr>
                <w:rFonts w:ascii="宋体" w:hAnsi="宋体"/>
                <w:color w:val="auto"/>
                <w:szCs w:val="21"/>
              </w:rPr>
            </w:pPr>
            <w:r>
              <w:rPr>
                <w:rFonts w:hint="eastAsia" w:ascii="宋体" w:hAnsi="宋体"/>
                <w:color w:val="auto"/>
                <w:szCs w:val="21"/>
              </w:rPr>
              <w:t>（20～200m）</w:t>
            </w:r>
          </w:p>
        </w:tc>
        <w:tc>
          <w:tcPr>
            <w:tcW w:w="1161" w:type="pct"/>
            <w:vAlign w:val="center"/>
          </w:tcPr>
          <w:p w14:paraId="2CC93743">
            <w:pPr>
              <w:adjustRightInd w:val="0"/>
              <w:snapToGrid w:val="0"/>
              <w:spacing w:line="400" w:lineRule="exact"/>
              <w:jc w:val="center"/>
              <w:rPr>
                <w:rFonts w:ascii="宋体" w:hAnsi="宋体"/>
                <w:color w:val="auto"/>
                <w:szCs w:val="21"/>
              </w:rPr>
            </w:pPr>
            <w:r>
              <w:rPr>
                <w:rFonts w:hint="eastAsia" w:ascii="宋体" w:hAnsi="宋体"/>
                <w:color w:val="auto"/>
                <w:szCs w:val="21"/>
              </w:rPr>
              <w:t>远区</w:t>
            </w:r>
          </w:p>
          <w:p w14:paraId="0C25C3BE">
            <w:pPr>
              <w:adjustRightInd w:val="0"/>
              <w:snapToGrid w:val="0"/>
              <w:spacing w:line="400" w:lineRule="exact"/>
              <w:jc w:val="center"/>
              <w:rPr>
                <w:rFonts w:ascii="宋体" w:hAnsi="宋体"/>
                <w:color w:val="auto"/>
                <w:szCs w:val="21"/>
              </w:rPr>
            </w:pPr>
            <w:r>
              <w:rPr>
                <w:rFonts w:hint="eastAsia" w:ascii="宋体" w:hAnsi="宋体"/>
                <w:color w:val="auto"/>
                <w:szCs w:val="21"/>
              </w:rPr>
              <w:t>（200m以远）</w:t>
            </w:r>
          </w:p>
        </w:tc>
      </w:tr>
      <w:tr w14:paraId="2DBB1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1" w:type="pct"/>
            <w:vAlign w:val="center"/>
          </w:tcPr>
          <w:p w14:paraId="293559A9">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0.070</w:t>
            </w:r>
          </w:p>
        </w:tc>
        <w:tc>
          <w:tcPr>
            <w:tcW w:w="1065" w:type="pct"/>
            <w:vAlign w:val="center"/>
          </w:tcPr>
          <w:p w14:paraId="49256DD9">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0.020</w:t>
            </w:r>
          </w:p>
        </w:tc>
        <w:tc>
          <w:tcPr>
            <w:tcW w:w="1183" w:type="pct"/>
            <w:vAlign w:val="center"/>
          </w:tcPr>
          <w:p w14:paraId="5CB7332F">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0.045</w:t>
            </w:r>
          </w:p>
        </w:tc>
        <w:tc>
          <w:tcPr>
            <w:tcW w:w="1161" w:type="pct"/>
            <w:vAlign w:val="center"/>
          </w:tcPr>
          <w:p w14:paraId="11D61FD5">
            <w:pPr>
              <w:kinsoku w:val="0"/>
              <w:overflowPunct w:val="0"/>
              <w:autoSpaceDE w:val="0"/>
              <w:autoSpaceDN w:val="0"/>
              <w:spacing w:line="400" w:lineRule="exact"/>
              <w:jc w:val="center"/>
              <w:textAlignment w:val="center"/>
              <w:rPr>
                <w:rStyle w:val="128"/>
                <w:rFonts w:hint="default"/>
                <w:color w:val="auto"/>
                <w:lang w:bidi="ar"/>
              </w:rPr>
            </w:pPr>
            <w:r>
              <w:rPr>
                <w:rStyle w:val="128"/>
                <w:rFonts w:hint="default"/>
                <w:color w:val="auto"/>
                <w:lang w:bidi="ar"/>
              </w:rPr>
              <w:t>0.050</w:t>
            </w:r>
          </w:p>
        </w:tc>
      </w:tr>
    </w:tbl>
    <w:p w14:paraId="3FD24BC5">
      <w:pPr>
        <w:kinsoku w:val="0"/>
        <w:overflowPunct w:val="0"/>
        <w:autoSpaceDE w:val="0"/>
        <w:autoSpaceDN w:val="0"/>
        <w:spacing w:line="400" w:lineRule="exact"/>
        <w:ind w:firstLine="280" w:firstLineChars="100"/>
        <w:rPr>
          <w:rFonts w:ascii="仿宋" w:hAnsi="仿宋" w:cs="仿宋"/>
          <w:color w:val="auto"/>
          <w:sz w:val="28"/>
          <w:szCs w:val="28"/>
        </w:rPr>
      </w:pPr>
      <w:r>
        <w:rPr>
          <w:rFonts w:hint="eastAsia" w:ascii="仿宋" w:hAnsi="仿宋" w:cs="仿宋"/>
          <w:color w:val="auto"/>
          <w:sz w:val="28"/>
          <w:szCs w:val="28"/>
        </w:rPr>
        <w:t>1）静态试验</w:t>
      </w:r>
    </w:p>
    <w:p w14:paraId="3F00CED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试验时间不短于24h，环境温度应力求变化不大，观测地点应稳固无振动干扰。通常每隔30min观测一次，取得一个读数，同时记录观测时间和温度变化。对静态观测结果应进行固体潮校正和绘制静态零点位移曲线，以了解静态位移特点。</w:t>
      </w:r>
    </w:p>
    <w:p w14:paraId="2D4208D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2）动态试验</w:t>
      </w:r>
    </w:p>
    <w:p w14:paraId="109B455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仪的动态试验是了解仪器动态零点位移和观测可能达到的精度的一种重要试验，开工前应进行，其后野外工作期间每三个月进行一次，野外工作结束后再进行一次。野外工作中如仪器受震或经检修亦应进行动态试验。要求试验时间不短于l0h，试验点间重力差大于3×10</w:t>
      </w:r>
      <w:r>
        <w:rPr>
          <w:rFonts w:hint="eastAsia" w:ascii="仿宋" w:hAnsi="仿宋" w:cs="仿宋"/>
          <w:color w:val="auto"/>
          <w:sz w:val="28"/>
          <w:szCs w:val="28"/>
          <w:vertAlign w:val="superscript"/>
        </w:rPr>
        <w:t>-5</w:t>
      </w:r>
      <w:r>
        <w:rPr>
          <w:rFonts w:hint="eastAsia" w:ascii="仿宋" w:hAnsi="仿宋" w:cs="仿宋"/>
          <w:color w:val="auto"/>
          <w:sz w:val="28"/>
          <w:szCs w:val="28"/>
        </w:rPr>
        <w:t>m/s</w:t>
      </w:r>
      <w:r>
        <w:rPr>
          <w:rFonts w:hint="eastAsia" w:ascii="仿宋" w:hAnsi="仿宋" w:cs="仿宋"/>
          <w:color w:val="auto"/>
          <w:sz w:val="28"/>
          <w:szCs w:val="28"/>
          <w:vertAlign w:val="superscript"/>
        </w:rPr>
        <w:t>2</w:t>
      </w:r>
      <w:r>
        <w:rPr>
          <w:rFonts w:hint="eastAsia" w:ascii="仿宋" w:hAnsi="仿宋" w:cs="仿宋"/>
          <w:color w:val="auto"/>
          <w:sz w:val="28"/>
          <w:szCs w:val="28"/>
        </w:rPr>
        <w:t>，两点间单程观测时间间隔小于20min。在观测的同时应记录观测时间和温度变化。对动态观测结果应进行固体潮校正和绘制动态零点位移曲线，并根据该曲线计算出仪器的动态零点位移率和零点位移线性部分的持续时间。对动态观测精度应进行统计，用于基点（或测点）观测的仪器，其动态观测均方误差应小于设计的基点（或测点）重力观测均方误差的二分之一。</w:t>
      </w:r>
    </w:p>
    <w:p w14:paraId="3922A42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3）重力基点的选择与联测</w:t>
      </w:r>
    </w:p>
    <w:p w14:paraId="25CB33F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基点网应根据设计方案，结合工区踏勘后所掌握的实际地形、交通条件和高程等情况进行实地布设。基点应选择在地基稳定、周围没有震源、重力水平梯度较小（附近无大的陡崖）、联测方便、附近地形和其它引力质量近期内不致有大变化的地方。</w:t>
      </w:r>
    </w:p>
    <w:p w14:paraId="4DE95C6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4）重力基点网的联测</w:t>
      </w:r>
    </w:p>
    <w:p w14:paraId="246C525B">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应采用双程往返重复观测法（观测顺序为：1，2，……，n–1，n，n，n–1，……，2，1）。</w:t>
      </w:r>
    </w:p>
    <w:p w14:paraId="2258880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重力基点联测时，每个基点上观测读数取三组数据，每组数据中最大互差不大于0.2格（对CG-5、CG-5型重力仪一般不大于20×10</w:t>
      </w:r>
      <w:r>
        <w:rPr>
          <w:rFonts w:hint="eastAsia" w:ascii="仿宋" w:hAnsi="仿宋" w:cs="仿宋"/>
          <w:color w:val="auto"/>
          <w:sz w:val="28"/>
          <w:szCs w:val="28"/>
          <w:vertAlign w:val="superscript"/>
        </w:rPr>
        <w:t>-8</w:t>
      </w:r>
      <w:r>
        <w:rPr>
          <w:rFonts w:hint="eastAsia" w:ascii="仿宋" w:hAnsi="仿宋" w:cs="仿宋"/>
          <w:color w:val="auto"/>
          <w:sz w:val="28"/>
          <w:szCs w:val="28"/>
        </w:rPr>
        <w:t>m/s</w:t>
      </w:r>
      <w:r>
        <w:rPr>
          <w:rFonts w:hint="eastAsia" w:ascii="仿宋" w:hAnsi="仿宋" w:cs="仿宋"/>
          <w:color w:val="auto"/>
          <w:sz w:val="28"/>
          <w:szCs w:val="28"/>
          <w:vertAlign w:val="superscript"/>
        </w:rPr>
        <w:t>2</w:t>
      </w:r>
      <w:r>
        <w:rPr>
          <w:rFonts w:hint="eastAsia" w:ascii="仿宋" w:hAnsi="仿宋" w:cs="仿宋"/>
          <w:color w:val="auto"/>
          <w:sz w:val="28"/>
          <w:szCs w:val="28"/>
        </w:rPr>
        <w:t>）。野外工作中遇到测点重力值超出仪器的测程时，应辅设支基点，其联测方法和要求，亦按上述各项规定执行。</w:t>
      </w:r>
    </w:p>
    <w:p w14:paraId="3F5E1D19">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5）重力测点的布设与观测</w:t>
      </w:r>
    </w:p>
    <w:p w14:paraId="3E7CA3A9">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重力测网应按设计规定的点距、线距和测线方向进行布设，测点可尽量选择在地形平坦、近区地形影响较小的地方，测点上应有临时标志，标出其编号，以便于质量检查。</w:t>
      </w:r>
    </w:p>
    <w:p w14:paraId="0CC9315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测点的重力观测，一般采用单程观测法，闭合时间的长短可根据仪器性能确定，当仪器性能较差或观测精度要求较高的情况下，应缩短闭合时间。对不恒温仪器，在气温变化梯度大的时间内观测时，要适当缩短观测的闭合时间。每个闭合段的零点位移值，应根据每台仪器的动态、静态试验结果，在设计书中分别加以规定，一般不大于测点重力观测设计精度的2～3倍。</w:t>
      </w:r>
    </w:p>
    <w:p w14:paraId="7F980550">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6）野外观测技术要求</w:t>
      </w:r>
    </w:p>
    <w:p w14:paraId="1160D71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每日工作前应将仪器放在与野外工作相同的环境下，轻微地活动仪器，使仪器的状态接近工作实际情况，仪器活动的时间参照动态观测结果确定。每日野外观测开始前（或工作停顿时间超过30分钟后再进行观测时），应在基点上（或临时基点上）按基点--辅助点--基点的次序进行观测，以检查仪器是否处于正常工作状态。基点上前后两次平均读格之差一般应不大于0.3格，否则应检查原因。如因仪器活动不够，则应继续重复上述操作，直到平均读格差符合要求后方能投入生产。辅助点与基点间的重力差不宜太小，距离应适当远，以保证基点上两次读数时间间隔不小于5min。</w:t>
      </w:r>
    </w:p>
    <w:p w14:paraId="1F0705A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重力观测在测点上读取两个数。在读完第一个数后应转动计数器，并进一步检查和调平水泡，然后读第二个数。两个读数相差不得超过0.2格。水泡调平要求准到1/5刻度，观测中允许变化1/2刻度。</w:t>
      </w:r>
    </w:p>
    <w:p w14:paraId="241D08F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野外观测时，平盘脚架面与高程测量放尺点的高度应尽量一致，二者高差不超过2cm。超过2cm时应实测差值并做记录，以便做相应改正。</w:t>
      </w:r>
    </w:p>
    <w:p w14:paraId="04ACFE5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7）质量检查</w:t>
      </w:r>
    </w:p>
    <w:p w14:paraId="5C902F7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测点重力观测的质量，应通过独立的检查观测来评价。当用两台以上仪器观测时，检查观测应按“一同三不同”（同点位、不同时间、不同仪器、不同操作员）的方法进行。质量检查必须有专门记录本。对于剖面性工作，其检查工作量应占原始工作量的10%以上，检查点不应少于l0个。检查结果中δi/2（δi为某点检查观测值与原始观测值之差）超过设计的测点重力观测均方误差三倍的点数不得超过检查点数的1%，否则应对有关测线和地段扩大检查工作量，以查明其原因。当肯定质量有问题时，应根据具体情况对资料作妥善处理（如作废或降低精度使用等）。测点重力观测的质量检查，应随着野外工作的展开经常进行，以便及时发现和解决问题，不允许野外工作全部结束后再进行总的突击性检查。对重力异常的突变点，应100%进行检查，并判别产生的原因。必要时检查相邻测点，以便正确判别畸变点产生的原因。若与仪器性能变化有关，则对其该日工作的测点按15%的比例进行检查观测，视检查结果决定其原始观测是否合格。</w:t>
      </w:r>
    </w:p>
    <w:p w14:paraId="6D217F5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3、激电测量</w:t>
      </w:r>
    </w:p>
    <w:p w14:paraId="74AA48F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1）测线方向采用GPS确定，激电测点采用GPS定位（野外工作前，对GPS进行了校正），要求GPS定点与点位图的点位实际误差不超过10米。</w:t>
      </w:r>
    </w:p>
    <w:p w14:paraId="6C89C81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2）激电剖面工作比例尺1∶1万，测网按规则网形式布设，剖面点距为40米，矿（化）点加密至20米。</w:t>
      </w:r>
    </w:p>
    <w:p w14:paraId="2C6CA3F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3）精度要求</w:t>
      </w:r>
    </w:p>
    <w:p w14:paraId="4E417BA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激电测量精度用均方相对误差衡量，要求均方相对误差Mηs≤±7%；Mρs≤±7%。在视极化率ηs小于3%的地段采用均方误差衡量，要求均方误差≤0.21。</w:t>
      </w:r>
    </w:p>
    <w:p w14:paraId="5285D6F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4）使用仪器要求</w:t>
      </w:r>
    </w:p>
    <w:p w14:paraId="2C015D7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为保证获取资料的可靠性，要求生产前对仪器进行整机性能检查、调试，使各项指标达到工作要求后投入生产。工作中每月进行一次整机性能检查，并将结果严格按要求填写在仪器使用薄内。当两台以上仪器在同一测区工作时，应进行仪器间的一致性试验。一致性试验点数应大于20个。</w:t>
      </w:r>
    </w:p>
    <w:p w14:paraId="38DE227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5）测量装置</w:t>
      </w:r>
    </w:p>
    <w:p w14:paraId="0631A93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面积（剖面）测量采用中间梯度装置，AB=1600米，MN=40米，（根据实际工作试验确定）MN观测地段在AB极距的1/2长度内，每个排列之间要有2～3个接头点。旁侧剖面与主测线的最大间距不超过AB/5。布极方向应垂直极化体，要求AB极布极方向差&lt;±5，距离准到1%。工作中严格执行物探工作规程，放线过程中严密监视漏电情况，供电前应测量接地电阻。激电测深工作AB距离要求达到2000-3000米（根据实际工作区情况确定）。</w:t>
      </w:r>
    </w:p>
    <w:p w14:paraId="1179DD4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6）测量方式</w:t>
      </w:r>
    </w:p>
    <w:p w14:paraId="48E26EA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野外生产供电方式采用短脉冲，供电周期为16～32秒（根据试验确定），延时200毫秒（根据试验确定），采样间隔40毫秒，叠加2次，激电测深工作与激电剖面工作才用相同的测量参数，同一工作区应使用相同的测量参数。视电阻率ρs值由读取的V1值计算而得。视极化率ηs由仪器直接读取。对畸变点、可疑点均应进行重复观测。重复观测取数原则三比一。当发现异常时，加密点距进行测量。观测前AB极和测量导线均应进行漏电检查。</w:t>
      </w:r>
    </w:p>
    <w:p w14:paraId="6B3BFB4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7）质量检查</w:t>
      </w:r>
    </w:p>
    <w:p w14:paraId="7B706E4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质量检查采用“一同三不同”原则进行，即同点位、不同仪器、不同时间、不同操作员。质量检查应随工作同步进行。各检查段应均匀分布于测区，面积工作质检率要求≥3%；剖面工作质检率要求≥5%。激电测深工作应在达到检测比例的前提条件下，对一个测点进行完整的数据质检，并达到数据质量要求。</w:t>
      </w:r>
    </w:p>
    <w:p w14:paraId="7AFC4A98">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4、物性测量工作</w:t>
      </w:r>
    </w:p>
    <w:p w14:paraId="57D8877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要求每类岩性标本不少于10块，主要岩性不少于30块。对测定的岩（矿）石的物性资料，应在准确定名，正确划分所属地层或时代的基础上，合理分类。要求计算出每类岩（矿）石物性参数的算术平均值、常见值。当同类岩（矿）石的标本数量不足30块时，只计算其算术平均值。具体方法及质量要求见相关标准规范。</w:t>
      </w:r>
    </w:p>
    <w:p w14:paraId="17CB4FBF">
      <w:pPr>
        <w:adjustRightInd w:val="0"/>
        <w:snapToGrid w:val="0"/>
        <w:ind w:firstLine="562" w:firstLineChars="200"/>
        <w:rPr>
          <w:rFonts w:ascii="仿宋" w:hAnsi="仿宋" w:cs="仿宋"/>
          <w:b/>
          <w:color w:val="auto"/>
          <w:sz w:val="28"/>
          <w:szCs w:val="28"/>
        </w:rPr>
      </w:pPr>
      <w:r>
        <w:rPr>
          <w:rFonts w:hint="eastAsia" w:ascii="仿宋" w:hAnsi="仿宋" w:cs="仿宋"/>
          <w:b/>
          <w:color w:val="auto"/>
          <w:sz w:val="28"/>
          <w:szCs w:val="28"/>
        </w:rPr>
        <w:t>五、预期提交成果</w:t>
      </w:r>
    </w:p>
    <w:p w14:paraId="52675BBF">
      <w:pPr>
        <w:adjustRightInd w:val="0"/>
        <w:snapToGrid w:val="0"/>
        <w:spacing w:line="520" w:lineRule="exact"/>
        <w:ind w:firstLine="560" w:firstLineChars="200"/>
        <w:rPr>
          <w:rFonts w:ascii="仿宋" w:hAnsi="仿宋" w:cs="仿宋"/>
          <w:color w:val="auto"/>
          <w:sz w:val="28"/>
          <w:szCs w:val="28"/>
        </w:rPr>
      </w:pPr>
      <w:r>
        <w:rPr>
          <w:rFonts w:hint="eastAsia" w:ascii="仿宋" w:hAnsi="仿宋" w:cs="仿宋"/>
          <w:color w:val="auto"/>
          <w:sz w:val="28"/>
          <w:szCs w:val="28"/>
        </w:rPr>
        <w:t>提交1∶1万高精度磁法测量、1∶1万重力测量、1∶1万激电中梯测量、激电测深相关纸质版成果资料，以及相关原始材料电子文档。(包括RTK、GPS、测量仪器性能测定数据及评价报告、磁法测量数据、重力测量数据、激电测量数据、成果图鉴、质量检查记录、物探成果报告等)。</w:t>
      </w:r>
    </w:p>
    <w:p w14:paraId="0E824F73">
      <w:pPr>
        <w:adjustRightInd w:val="0"/>
        <w:snapToGrid w:val="0"/>
        <w:spacing w:line="520" w:lineRule="exact"/>
        <w:ind w:firstLine="562" w:firstLineChars="200"/>
        <w:rPr>
          <w:rFonts w:ascii="仿宋" w:hAnsi="仿宋" w:cs="仿宋"/>
          <w:b/>
          <w:color w:val="auto"/>
          <w:sz w:val="28"/>
          <w:szCs w:val="28"/>
        </w:rPr>
      </w:pPr>
      <w:r>
        <w:rPr>
          <w:rFonts w:hint="eastAsia" w:ascii="仿宋" w:hAnsi="仿宋" w:cs="仿宋"/>
          <w:b/>
          <w:color w:val="auto"/>
          <w:sz w:val="28"/>
          <w:szCs w:val="28"/>
        </w:rPr>
        <w:t>六、项目工期</w:t>
      </w:r>
    </w:p>
    <w:p w14:paraId="236C6EBA">
      <w:pPr>
        <w:spacing w:line="520" w:lineRule="exact"/>
        <w:ind w:firstLine="600" w:firstLineChars="200"/>
        <w:jc w:val="left"/>
        <w:rPr>
          <w:rFonts w:ascii="仿宋" w:hAnsi="仿宋" w:cs="仿宋"/>
          <w:color w:val="auto"/>
          <w:sz w:val="28"/>
          <w:szCs w:val="28"/>
          <w:lang w:val="zh-CN"/>
        </w:rPr>
      </w:pPr>
      <w:r>
        <w:rPr>
          <w:rFonts w:hint="eastAsia" w:ascii="仿宋" w:hAnsi="仿宋" w:cs="仿宋"/>
          <w:color w:val="auto"/>
          <w:sz w:val="30"/>
          <w:szCs w:val="30"/>
        </w:rPr>
        <w:t>2025年6月—2025年8月</w:t>
      </w:r>
      <w:bookmarkStart w:id="318" w:name="_GoBack"/>
      <w:bookmarkEnd w:id="318"/>
      <w:r>
        <w:rPr>
          <w:rFonts w:hint="eastAsia" w:ascii="仿宋" w:hAnsi="仿宋" w:cs="仿宋"/>
          <w:color w:val="auto"/>
          <w:sz w:val="30"/>
          <w:szCs w:val="30"/>
        </w:rPr>
        <w:t>。</w:t>
      </w:r>
    </w:p>
    <w:p w14:paraId="658D338F">
      <w:pPr>
        <w:spacing w:line="400" w:lineRule="exact"/>
        <w:ind w:firstLine="643" w:firstLineChars="200"/>
        <w:rPr>
          <w:rFonts w:ascii="仿宋" w:hAnsi="仿宋" w:cs="仿宋"/>
          <w:b/>
          <w:bCs/>
          <w:color w:val="auto"/>
          <w:sz w:val="32"/>
          <w:szCs w:val="28"/>
        </w:rPr>
        <w:sectPr>
          <w:headerReference r:id="rId16" w:type="default"/>
          <w:footerReference r:id="rId17" w:type="default"/>
          <w:pgSz w:w="11907" w:h="16840"/>
          <w:pgMar w:top="1474" w:right="1814" w:bottom="1474" w:left="1814" w:header="851" w:footer="851" w:gutter="0"/>
          <w:cols w:space="720" w:num="1"/>
        </w:sectPr>
      </w:pPr>
      <w:r>
        <w:rPr>
          <w:rFonts w:hint="eastAsia" w:ascii="仿宋" w:hAnsi="仿宋" w:cs="仿宋"/>
          <w:b/>
          <w:bCs/>
          <w:color w:val="auto"/>
          <w:sz w:val="32"/>
          <w:szCs w:val="28"/>
        </w:rPr>
        <w:t xml:space="preserve">   </w:t>
      </w:r>
    </w:p>
    <w:p w14:paraId="0716E6C8">
      <w:pPr>
        <w:ind w:firstLine="643" w:firstLineChars="200"/>
        <w:jc w:val="center"/>
        <w:outlineLvl w:val="0"/>
        <w:rPr>
          <w:color w:val="auto"/>
        </w:rPr>
      </w:pPr>
      <w:bookmarkStart w:id="120" w:name="_Toc28612"/>
      <w:bookmarkStart w:id="121" w:name="_Toc30018"/>
      <w:r>
        <w:rPr>
          <w:rFonts w:hint="eastAsia" w:ascii="仿宋" w:hAnsi="仿宋" w:cs="仿宋"/>
          <w:b/>
          <w:bCs/>
          <w:color w:val="auto"/>
          <w:sz w:val="32"/>
          <w:szCs w:val="28"/>
        </w:rPr>
        <w:t>第5章 资格性审查</w:t>
      </w:r>
      <w:bookmarkEnd w:id="118"/>
      <w:bookmarkEnd w:id="120"/>
      <w:bookmarkEnd w:id="121"/>
    </w:p>
    <w:p w14:paraId="2062F6AA">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5E04C98F">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18FA0C5B">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0AF7174B">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4DB5A7FE">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vAlign w:val="center"/>
          </w:tcPr>
          <w:p w14:paraId="23D95C67">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4E560519">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719F54EE">
            <w:pPr>
              <w:widowControl/>
              <w:spacing w:line="480" w:lineRule="exact"/>
              <w:jc w:val="left"/>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5433C73C">
            <w:pPr>
              <w:widowControl/>
              <w:spacing w:line="480" w:lineRule="exact"/>
              <w:jc w:val="left"/>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vAlign w:val="center"/>
          </w:tcPr>
          <w:p w14:paraId="64783EE8">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vAlign w:val="center"/>
          </w:tcPr>
          <w:p w14:paraId="771311F8">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631162A6">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vAlign w:val="center"/>
          </w:tcPr>
          <w:p w14:paraId="5227BFA0">
            <w:pPr>
              <w:widowControl/>
              <w:spacing w:line="480" w:lineRule="exact"/>
              <w:jc w:val="center"/>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vAlign w:val="center"/>
          </w:tcPr>
          <w:p w14:paraId="1ECEFA15">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vAlign w:val="center"/>
          </w:tcPr>
          <w:p w14:paraId="023958EB">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vAlign w:val="center"/>
          </w:tcPr>
          <w:p w14:paraId="3B7952F7">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4E08E283">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vAlign w:val="center"/>
          </w:tcPr>
          <w:p w14:paraId="281229F4">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vAlign w:val="center"/>
          </w:tcPr>
          <w:p w14:paraId="76628EC3">
            <w:pPr>
              <w:widowControl/>
              <w:spacing w:line="480" w:lineRule="exact"/>
              <w:jc w:val="left"/>
              <w:rPr>
                <w:rFonts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67807F29">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5EB14B52">
            <w:pPr>
              <w:widowControl/>
              <w:spacing w:line="480" w:lineRule="exact"/>
              <w:jc w:val="left"/>
              <w:rPr>
                <w:rFonts w:ascii="仿宋" w:hAnsi="仿宋" w:cs="仿宋"/>
                <w:color w:val="auto"/>
                <w:kern w:val="0"/>
                <w:sz w:val="24"/>
                <w:szCs w:val="24"/>
              </w:rPr>
            </w:pPr>
          </w:p>
        </w:tc>
      </w:tr>
      <w:tr w14:paraId="43D11B74">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0E5A8F1B">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vAlign w:val="center"/>
          </w:tcPr>
          <w:p w14:paraId="47B334A9">
            <w:pPr>
              <w:widowControl/>
              <w:spacing w:line="480" w:lineRule="exact"/>
              <w:jc w:val="left"/>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73679309">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0C62325E">
            <w:pPr>
              <w:widowControl/>
              <w:spacing w:line="480" w:lineRule="exact"/>
              <w:jc w:val="left"/>
              <w:rPr>
                <w:rFonts w:ascii="仿宋" w:hAnsi="仿宋" w:cs="仿宋"/>
                <w:color w:val="auto"/>
                <w:kern w:val="0"/>
                <w:sz w:val="24"/>
                <w:szCs w:val="24"/>
              </w:rPr>
            </w:pPr>
          </w:p>
        </w:tc>
      </w:tr>
      <w:tr w14:paraId="2640A450">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6E90FD4F">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vAlign w:val="center"/>
          </w:tcPr>
          <w:p w14:paraId="0331D727">
            <w:pPr>
              <w:widowControl/>
              <w:spacing w:line="480" w:lineRule="exact"/>
              <w:jc w:val="left"/>
              <w:rPr>
                <w:rFonts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4104DE72">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11134E34">
            <w:pPr>
              <w:widowControl/>
              <w:spacing w:line="480" w:lineRule="exact"/>
              <w:jc w:val="left"/>
              <w:rPr>
                <w:rFonts w:ascii="仿宋" w:hAnsi="仿宋" w:cs="仿宋"/>
                <w:color w:val="auto"/>
                <w:kern w:val="0"/>
                <w:sz w:val="24"/>
                <w:szCs w:val="24"/>
              </w:rPr>
            </w:pPr>
          </w:p>
        </w:tc>
      </w:tr>
      <w:tr w14:paraId="6AD0B7A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1E1434B2">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vAlign w:val="center"/>
          </w:tcPr>
          <w:p w14:paraId="6E8387E9">
            <w:pPr>
              <w:widowControl/>
              <w:spacing w:line="480" w:lineRule="exact"/>
              <w:jc w:val="left"/>
              <w:rPr>
                <w:rFonts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vAlign w:val="center"/>
          </w:tcPr>
          <w:p w14:paraId="17E3FA7C">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1AB1315F">
            <w:pPr>
              <w:widowControl/>
              <w:spacing w:line="480" w:lineRule="exact"/>
              <w:jc w:val="left"/>
              <w:rPr>
                <w:rFonts w:ascii="仿宋" w:hAnsi="仿宋" w:cs="仿宋"/>
                <w:color w:val="auto"/>
                <w:kern w:val="0"/>
                <w:sz w:val="24"/>
                <w:szCs w:val="24"/>
              </w:rPr>
            </w:pPr>
          </w:p>
        </w:tc>
      </w:tr>
      <w:tr w14:paraId="7A0B052A">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vAlign w:val="center"/>
          </w:tcPr>
          <w:p w14:paraId="3C4D4564">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vAlign w:val="center"/>
          </w:tcPr>
          <w:p w14:paraId="69536EEB">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vAlign w:val="center"/>
          </w:tcPr>
          <w:p w14:paraId="6258DAD2">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5C74A3ED">
            <w:pPr>
              <w:widowControl/>
              <w:spacing w:line="480" w:lineRule="exact"/>
              <w:jc w:val="left"/>
              <w:rPr>
                <w:rFonts w:ascii="仿宋" w:hAnsi="仿宋" w:cs="仿宋"/>
                <w:color w:val="auto"/>
                <w:kern w:val="0"/>
                <w:sz w:val="24"/>
                <w:szCs w:val="24"/>
              </w:rPr>
            </w:pPr>
          </w:p>
        </w:tc>
      </w:tr>
      <w:tr w14:paraId="6C27B832">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2A502F5C">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vAlign w:val="center"/>
          </w:tcPr>
          <w:p w14:paraId="0A22096F">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5379091E">
            <w:pPr>
              <w:widowControl/>
              <w:spacing w:line="480" w:lineRule="exact"/>
              <w:jc w:val="left"/>
              <w:rPr>
                <w:rFonts w:ascii="仿宋" w:hAnsi="仿宋" w:cs="仿宋"/>
                <w:color w:val="auto"/>
                <w:kern w:val="0"/>
                <w:sz w:val="24"/>
                <w:szCs w:val="24"/>
              </w:rPr>
            </w:pPr>
          </w:p>
        </w:tc>
      </w:tr>
      <w:tr w14:paraId="0F35BFF3">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05665E11">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5A081F18">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vAlign w:val="center"/>
          </w:tcPr>
          <w:p w14:paraId="132575E6">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38B0D1AD">
            <w:pPr>
              <w:widowControl/>
              <w:spacing w:line="480" w:lineRule="exact"/>
              <w:jc w:val="left"/>
              <w:rPr>
                <w:rFonts w:ascii="仿宋" w:hAnsi="仿宋" w:cs="仿宋"/>
                <w:color w:val="auto"/>
                <w:kern w:val="0"/>
                <w:sz w:val="24"/>
                <w:szCs w:val="24"/>
              </w:rPr>
            </w:pPr>
          </w:p>
        </w:tc>
      </w:tr>
    </w:tbl>
    <w:p w14:paraId="490F4AD8">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43449B60">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0A72D9FF">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29866457">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22" w:name="_Toc2886"/>
      <w:bookmarkStart w:id="123" w:name="_Toc5057"/>
      <w:bookmarkStart w:id="124" w:name="_Toc27300"/>
      <w:r>
        <w:rPr>
          <w:rFonts w:hint="eastAsia" w:ascii="仿宋" w:hAnsi="仿宋" w:cs="仿宋"/>
          <w:b/>
          <w:bCs/>
          <w:color w:val="auto"/>
          <w:spacing w:val="-20"/>
          <w:kern w:val="44"/>
          <w:sz w:val="32"/>
          <w:szCs w:val="32"/>
        </w:rPr>
        <w:t>第6章 评标办法</w:t>
      </w:r>
      <w:bookmarkEnd w:id="122"/>
      <w:bookmarkEnd w:id="123"/>
      <w:bookmarkEnd w:id="124"/>
    </w:p>
    <w:p w14:paraId="228936D4">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25" w:name="_Toc3981"/>
      <w:r>
        <w:rPr>
          <w:rFonts w:ascii="Times New Roman" w:hAnsi="Times New Roman" w:eastAsia="宋体"/>
          <w:b/>
          <w:bCs/>
          <w:color w:val="auto"/>
          <w:sz w:val="28"/>
          <w:szCs w:val="28"/>
        </w:rPr>
        <w:t>2.3</w:t>
      </w:r>
      <w:r>
        <w:rPr>
          <w:rFonts w:hint="eastAsia" w:ascii="仿宋" w:hAnsi="仿宋" w:cs="仿宋"/>
          <w:b/>
          <w:bCs/>
          <w:color w:val="auto"/>
          <w:sz w:val="28"/>
          <w:szCs w:val="28"/>
        </w:rPr>
        <w:t>总则</w:t>
      </w:r>
      <w:bookmarkEnd w:id="125"/>
    </w:p>
    <w:p w14:paraId="386DB051">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37B2920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二、评标工作由采购人或采购代理机构负责组织，具体评标事务由采购人或采购代理机构依法组建的评标委员会负责。本项目评标委员会成员5名，在新疆政府采购网按3:1比例随机抽取。</w:t>
      </w:r>
    </w:p>
    <w:p w14:paraId="37D8A74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543E93DC">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343F79AD">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1E9B696D">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69912C7E">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1DEBD80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270DFBE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3DBC9939">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42D1E44A">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5FC70F62">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311A6DF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3574BFB0">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28C92FB9">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0698C047">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0708DE07">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26" w:name="_Toc14322"/>
      <w:r>
        <w:rPr>
          <w:rFonts w:ascii="Times New Roman" w:hAnsi="Times New Roman" w:eastAsia="宋体"/>
          <w:b/>
          <w:bCs/>
          <w:color w:val="auto"/>
          <w:sz w:val="28"/>
          <w:szCs w:val="28"/>
        </w:rPr>
        <w:t>2.4</w:t>
      </w:r>
      <w:r>
        <w:rPr>
          <w:rFonts w:hint="eastAsia" w:ascii="仿宋" w:hAnsi="仿宋" w:cs="仿宋"/>
          <w:b/>
          <w:bCs/>
          <w:color w:val="auto"/>
          <w:sz w:val="28"/>
          <w:szCs w:val="28"/>
        </w:rPr>
        <w:t>评标方法</w:t>
      </w:r>
      <w:bookmarkEnd w:id="126"/>
    </w:p>
    <w:p w14:paraId="263A0319">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611496B4">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27" w:name="_Toc2968"/>
      <w:r>
        <w:rPr>
          <w:rFonts w:ascii="Times New Roman" w:hAnsi="Times New Roman" w:eastAsia="宋体"/>
          <w:b/>
          <w:bCs/>
          <w:color w:val="auto"/>
          <w:sz w:val="28"/>
          <w:szCs w:val="28"/>
        </w:rPr>
        <w:t>2.5</w:t>
      </w:r>
      <w:r>
        <w:rPr>
          <w:rFonts w:hint="eastAsia" w:ascii="仿宋" w:hAnsi="仿宋" w:cs="仿宋"/>
          <w:b/>
          <w:bCs/>
          <w:color w:val="auto"/>
          <w:sz w:val="28"/>
          <w:szCs w:val="28"/>
        </w:rPr>
        <w:t>评标程序</w:t>
      </w:r>
      <w:bookmarkEnd w:id="127"/>
    </w:p>
    <w:p w14:paraId="2558F511">
      <w:pPr>
        <w:keepNext/>
        <w:keepLines/>
        <w:numPr>
          <w:ilvl w:val="2"/>
          <w:numId w:val="0"/>
        </w:numPr>
        <w:spacing w:line="360" w:lineRule="auto"/>
        <w:ind w:left="3119" w:hanging="3119"/>
        <w:rPr>
          <w:rFonts w:ascii="仿宋" w:hAnsi="仿宋" w:cs="仿宋"/>
          <w:b/>
          <w:bCs/>
          <w:color w:val="auto"/>
          <w:sz w:val="28"/>
          <w:szCs w:val="28"/>
        </w:rPr>
      </w:pPr>
      <w:r>
        <w:rPr>
          <w:rFonts w:ascii="Times New Roman" w:hAnsi="Times New Roman" w:eastAsia="宋体"/>
          <w:b/>
          <w:bCs/>
          <w:color w:val="auto"/>
          <w:sz w:val="28"/>
          <w:szCs w:val="28"/>
        </w:rPr>
        <w:t>2.5.1</w:t>
      </w:r>
      <w:r>
        <w:rPr>
          <w:rFonts w:hint="eastAsia" w:ascii="仿宋" w:hAnsi="仿宋" w:cs="仿宋"/>
          <w:b/>
          <w:bCs/>
          <w:color w:val="auto"/>
          <w:sz w:val="28"/>
          <w:szCs w:val="28"/>
        </w:rPr>
        <w:t>符合性审查</w:t>
      </w:r>
    </w:p>
    <w:p w14:paraId="6A702ED5">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05977AC4">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1BFBB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E8D3B74">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vAlign w:val="center"/>
          </w:tcPr>
          <w:p w14:paraId="733355D5">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vAlign w:val="center"/>
          </w:tcPr>
          <w:p w14:paraId="0383A4F3">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vAlign w:val="center"/>
          </w:tcPr>
          <w:p w14:paraId="2A22A656">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74A61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56A6C24">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vAlign w:val="center"/>
          </w:tcPr>
          <w:p w14:paraId="21F4F126">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vAlign w:val="center"/>
          </w:tcPr>
          <w:p w14:paraId="5803D661">
            <w:pPr>
              <w:widowControl/>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vAlign w:val="center"/>
          </w:tcPr>
          <w:p w14:paraId="521D880D">
            <w:pPr>
              <w:widowControl/>
              <w:rPr>
                <w:rFonts w:ascii="仿宋" w:hAnsi="仿宋" w:cs="仿宋"/>
                <w:color w:val="auto"/>
                <w:kern w:val="0"/>
                <w:sz w:val="24"/>
                <w:szCs w:val="24"/>
              </w:rPr>
            </w:pPr>
            <w:r>
              <w:rPr>
                <w:rFonts w:hint="eastAsia" w:ascii="仿宋" w:hAnsi="仿宋" w:cs="仿宋"/>
                <w:color w:val="auto"/>
                <w:kern w:val="0"/>
                <w:sz w:val="24"/>
                <w:szCs w:val="24"/>
              </w:rPr>
              <w:t>供应商报价超过采购文件规定的最高限价金额，其投标将被认定为投标无效。</w:t>
            </w:r>
          </w:p>
        </w:tc>
      </w:tr>
      <w:tr w14:paraId="7A919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7132BCF5">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vAlign w:val="center"/>
          </w:tcPr>
          <w:p w14:paraId="5DB1329B">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vAlign w:val="center"/>
          </w:tcPr>
          <w:p w14:paraId="1241BF77">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40A6513D">
            <w:pPr>
              <w:widowControl/>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0A3FF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9B4CD78">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vAlign w:val="center"/>
          </w:tcPr>
          <w:p w14:paraId="697F649A">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vAlign w:val="center"/>
          </w:tcPr>
          <w:p w14:paraId="75188C9D">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05FAF491">
            <w:pPr>
              <w:widowControl/>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22270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vAlign w:val="center"/>
          </w:tcPr>
          <w:p w14:paraId="77C7D7A8">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vAlign w:val="center"/>
          </w:tcPr>
          <w:p w14:paraId="2A02F8A8">
            <w:pPr>
              <w:widowControl/>
              <w:jc w:val="center"/>
              <w:rPr>
                <w:rFonts w:ascii="仿宋" w:hAnsi="仿宋" w:cs="仿宋"/>
                <w:color w:val="auto"/>
                <w:kern w:val="0"/>
                <w:sz w:val="24"/>
                <w:szCs w:val="24"/>
              </w:rPr>
            </w:pPr>
          </w:p>
        </w:tc>
      </w:tr>
      <w:tr w14:paraId="18A36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vAlign w:val="center"/>
          </w:tcPr>
          <w:p w14:paraId="022B6EF5">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2AF9F59C">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6D6FF17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4534E1B3">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0C970D22">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2.5.2</w:t>
      </w:r>
      <w:r>
        <w:rPr>
          <w:rFonts w:hint="eastAsia" w:ascii="仿宋" w:hAnsi="仿宋" w:cs="仿宋"/>
          <w:b/>
          <w:bCs/>
          <w:color w:val="auto"/>
          <w:sz w:val="28"/>
          <w:szCs w:val="28"/>
        </w:rPr>
        <w:t>解释、澄清有关问题</w:t>
      </w:r>
    </w:p>
    <w:p w14:paraId="242353E8">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1F494294">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70E8A1E7">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2A3552C6">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7A5BCF6D">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055DF0B1">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1DDDF677">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77DE391E">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1D64908A">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11CD6A4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08E2B46D">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21D23301">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1B0D9BFC">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2336FC47">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33471E4D">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2.5.3</w:t>
      </w:r>
      <w:r>
        <w:rPr>
          <w:rFonts w:hint="eastAsia" w:ascii="仿宋" w:hAnsi="仿宋" w:cs="仿宋"/>
          <w:b/>
          <w:bCs/>
          <w:color w:val="auto"/>
          <w:sz w:val="28"/>
          <w:szCs w:val="28"/>
        </w:rPr>
        <w:t>比较与评价</w:t>
      </w:r>
    </w:p>
    <w:p w14:paraId="66758175">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4224EC99">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2.5.4</w:t>
      </w:r>
      <w:r>
        <w:rPr>
          <w:rFonts w:hint="eastAsia" w:ascii="仿宋" w:hAnsi="仿宋" w:cs="仿宋"/>
          <w:b/>
          <w:bCs/>
          <w:color w:val="auto"/>
          <w:sz w:val="28"/>
          <w:szCs w:val="28"/>
        </w:rPr>
        <w:t>复核</w:t>
      </w:r>
    </w:p>
    <w:p w14:paraId="7D513153">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2CF895FF">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0910F074">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15CF2B4F">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5C754C77">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5B7F1CB5">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65714B1A">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7A8B1EA9">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7D821898">
      <w:pPr>
        <w:keepNext/>
        <w:keepLines/>
        <w:numPr>
          <w:ilvl w:val="2"/>
          <w:numId w:val="0"/>
        </w:numPr>
        <w:spacing w:line="360" w:lineRule="auto"/>
        <w:rPr>
          <w:rFonts w:ascii="仿宋" w:hAnsi="仿宋" w:cs="仿宋"/>
          <w:b/>
          <w:bCs/>
          <w:color w:val="auto"/>
          <w:sz w:val="28"/>
          <w:szCs w:val="28"/>
        </w:rPr>
      </w:pPr>
      <w:r>
        <w:rPr>
          <w:rFonts w:ascii="Times New Roman" w:hAnsi="Times New Roman" w:eastAsia="宋体"/>
          <w:b/>
          <w:bCs/>
          <w:color w:val="auto"/>
          <w:sz w:val="28"/>
          <w:szCs w:val="28"/>
        </w:rPr>
        <w:t>2.5.5</w:t>
      </w:r>
      <w:r>
        <w:rPr>
          <w:rFonts w:hint="eastAsia" w:ascii="仿宋" w:hAnsi="仿宋" w:cs="仿宋"/>
          <w:b/>
          <w:bCs/>
          <w:color w:val="auto"/>
          <w:sz w:val="28"/>
          <w:szCs w:val="28"/>
        </w:rPr>
        <w:t>确定中标候选人名单</w:t>
      </w:r>
    </w:p>
    <w:p w14:paraId="5B26D45D">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559245C6">
      <w:pPr>
        <w:keepNext/>
        <w:keepLines/>
        <w:numPr>
          <w:ilvl w:val="2"/>
          <w:numId w:val="0"/>
        </w:numPr>
        <w:spacing w:before="240" w:line="360" w:lineRule="auto"/>
        <w:rPr>
          <w:rFonts w:ascii="仿宋" w:hAnsi="仿宋" w:cs="仿宋"/>
          <w:b/>
          <w:bCs/>
          <w:color w:val="auto"/>
          <w:sz w:val="28"/>
          <w:szCs w:val="28"/>
        </w:rPr>
      </w:pPr>
      <w:r>
        <w:rPr>
          <w:rFonts w:ascii="Times New Roman" w:hAnsi="Times New Roman" w:eastAsia="宋体"/>
          <w:b/>
          <w:bCs/>
          <w:color w:val="auto"/>
          <w:sz w:val="28"/>
          <w:szCs w:val="28"/>
        </w:rPr>
        <w:t>2.5.6</w:t>
      </w:r>
      <w:r>
        <w:rPr>
          <w:rFonts w:hint="eastAsia" w:ascii="仿宋" w:hAnsi="仿宋" w:cs="仿宋"/>
          <w:b/>
          <w:bCs/>
          <w:color w:val="auto"/>
          <w:sz w:val="28"/>
          <w:szCs w:val="28"/>
        </w:rPr>
        <w:t>评标报告</w:t>
      </w:r>
    </w:p>
    <w:p w14:paraId="7211C5E2">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240F4316">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219AD577">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13BD45D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73A6B5F7">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46F0CB91">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5850F76B">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34BF98D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45051AC0">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3899C83C">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28" w:name="_Toc13211"/>
      <w:r>
        <w:rPr>
          <w:rFonts w:ascii="Times New Roman" w:hAnsi="Times New Roman" w:eastAsia="宋体"/>
          <w:b/>
          <w:bCs/>
          <w:color w:val="auto"/>
          <w:sz w:val="28"/>
          <w:szCs w:val="28"/>
        </w:rPr>
        <w:t>2.6</w:t>
      </w:r>
      <w:r>
        <w:rPr>
          <w:rFonts w:hint="eastAsia" w:ascii="仿宋" w:hAnsi="仿宋" w:cs="仿宋"/>
          <w:b/>
          <w:bCs/>
          <w:color w:val="auto"/>
          <w:sz w:val="28"/>
          <w:szCs w:val="28"/>
        </w:rPr>
        <w:t>评标争议处理规则</w:t>
      </w:r>
      <w:bookmarkEnd w:id="128"/>
    </w:p>
    <w:p w14:paraId="6831EAE7">
      <w:pPr>
        <w:tabs>
          <w:tab w:val="left" w:pos="1155"/>
        </w:tabs>
        <w:spacing w:line="560" w:lineRule="exact"/>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2E17BBE0">
      <w:pPr>
        <w:keepNext/>
        <w:keepLines/>
        <w:numPr>
          <w:ilvl w:val="1"/>
          <w:numId w:val="0"/>
        </w:numPr>
        <w:spacing w:line="560" w:lineRule="exact"/>
        <w:ind w:left="567" w:hanging="567"/>
        <w:jc w:val="left"/>
        <w:outlineLvl w:val="1"/>
        <w:rPr>
          <w:rFonts w:ascii="仿宋" w:hAnsi="仿宋" w:cs="仿宋"/>
          <w:b/>
          <w:bCs/>
          <w:color w:val="auto"/>
          <w:sz w:val="28"/>
          <w:szCs w:val="28"/>
        </w:rPr>
      </w:pPr>
      <w:bookmarkStart w:id="129" w:name="_Toc30306"/>
      <w:r>
        <w:rPr>
          <w:rFonts w:ascii="Times New Roman" w:hAnsi="Times New Roman" w:eastAsia="宋体"/>
          <w:b/>
          <w:bCs/>
          <w:color w:val="auto"/>
          <w:sz w:val="28"/>
          <w:szCs w:val="28"/>
        </w:rPr>
        <w:t>2.7</w:t>
      </w:r>
      <w:r>
        <w:rPr>
          <w:rFonts w:hint="eastAsia" w:ascii="仿宋" w:hAnsi="仿宋" w:cs="仿宋"/>
          <w:b/>
          <w:bCs/>
          <w:color w:val="auto"/>
          <w:sz w:val="28"/>
          <w:szCs w:val="28"/>
        </w:rPr>
        <w:t>评标细则及标准</w:t>
      </w:r>
      <w:bookmarkEnd w:id="129"/>
    </w:p>
    <w:p w14:paraId="3C0E6BE5">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4F5A25C1">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226A03CF">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1E4DBFBF">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2.7.1</w:t>
      </w:r>
      <w:r>
        <w:rPr>
          <w:rFonts w:hint="eastAsia" w:ascii="仿宋" w:hAnsi="仿宋" w:cs="仿宋"/>
          <w:b/>
          <w:bCs/>
          <w:color w:val="auto"/>
          <w:sz w:val="28"/>
          <w:szCs w:val="28"/>
        </w:rPr>
        <w:t>评分办法</w:t>
      </w:r>
    </w:p>
    <w:p w14:paraId="610E5A88">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171B1F64">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25B1BBCD">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30" w:name="_Toc315871656"/>
      <w:bookmarkEnd w:id="130"/>
      <w:bookmarkStart w:id="131" w:name="_Toc318206701"/>
      <w:bookmarkEnd w:id="131"/>
      <w:bookmarkStart w:id="132" w:name="_Toc315871658"/>
      <w:bookmarkEnd w:id="132"/>
      <w:bookmarkStart w:id="133" w:name="_Toc320624275"/>
      <w:bookmarkEnd w:id="133"/>
      <w:bookmarkStart w:id="134" w:name="_Toc320624260"/>
      <w:bookmarkEnd w:id="134"/>
      <w:bookmarkStart w:id="135" w:name="_Toc320624255"/>
      <w:bookmarkEnd w:id="135"/>
      <w:bookmarkStart w:id="136" w:name="_Toc320624290"/>
      <w:bookmarkEnd w:id="136"/>
      <w:bookmarkStart w:id="137" w:name="_Toc320624285"/>
      <w:bookmarkEnd w:id="137"/>
      <w:bookmarkStart w:id="138" w:name="_Toc320624265"/>
      <w:bookmarkEnd w:id="138"/>
      <w:bookmarkStart w:id="139" w:name="_Toc320624295"/>
      <w:bookmarkEnd w:id="139"/>
      <w:bookmarkStart w:id="140" w:name="_Toc320624240"/>
      <w:bookmarkEnd w:id="140"/>
      <w:bookmarkStart w:id="141" w:name="_Toc315871725"/>
      <w:bookmarkEnd w:id="141"/>
      <w:bookmarkStart w:id="142" w:name="_Toc320624280"/>
      <w:bookmarkEnd w:id="142"/>
      <w:bookmarkStart w:id="143" w:name="_Toc315871657"/>
      <w:bookmarkEnd w:id="143"/>
    </w:p>
    <w:p w14:paraId="579004B4">
      <w:pPr>
        <w:jc w:val="center"/>
        <w:rPr>
          <w:b/>
          <w:bCs/>
          <w:color w:val="auto"/>
          <w:sz w:val="28"/>
          <w:szCs w:val="36"/>
        </w:rPr>
      </w:pPr>
      <w:bookmarkStart w:id="144" w:name="_Toc21131"/>
      <w:r>
        <w:rPr>
          <w:rFonts w:hint="eastAsia"/>
          <w:b/>
          <w:bCs/>
          <w:color w:val="auto"/>
          <w:sz w:val="28"/>
          <w:szCs w:val="36"/>
        </w:rPr>
        <w:t>商务部分</w:t>
      </w:r>
    </w:p>
    <w:tbl>
      <w:tblPr>
        <w:tblStyle w:val="49"/>
        <w:tblpPr w:leftFromText="180" w:rightFromText="180" w:vertAnchor="text" w:horzAnchor="page" w:tblpX="1036" w:tblpY="151"/>
        <w:tblOverlap w:val="never"/>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1592"/>
        <w:gridCol w:w="1138"/>
        <w:gridCol w:w="5524"/>
      </w:tblGrid>
      <w:tr w14:paraId="1EDBA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4" w:type="dxa"/>
            <w:vAlign w:val="center"/>
          </w:tcPr>
          <w:p w14:paraId="5AFA5446">
            <w:pPr>
              <w:jc w:val="center"/>
              <w:rPr>
                <w:b/>
                <w:bCs/>
                <w:color w:val="auto"/>
                <w:sz w:val="28"/>
                <w:szCs w:val="36"/>
              </w:rPr>
            </w:pPr>
            <w:r>
              <w:rPr>
                <w:rFonts w:hint="eastAsia"/>
                <w:b/>
                <w:bCs/>
                <w:color w:val="auto"/>
                <w:sz w:val="28"/>
                <w:szCs w:val="36"/>
              </w:rPr>
              <w:t>评审</w:t>
            </w:r>
          </w:p>
          <w:p w14:paraId="46082B34">
            <w:pPr>
              <w:jc w:val="center"/>
              <w:rPr>
                <w:b/>
                <w:bCs/>
                <w:color w:val="auto"/>
                <w:sz w:val="28"/>
                <w:szCs w:val="36"/>
              </w:rPr>
            </w:pPr>
            <w:r>
              <w:rPr>
                <w:rFonts w:hint="eastAsia"/>
                <w:b/>
                <w:bCs/>
                <w:color w:val="auto"/>
                <w:sz w:val="28"/>
                <w:szCs w:val="36"/>
              </w:rPr>
              <w:t>因素</w:t>
            </w:r>
          </w:p>
        </w:tc>
        <w:tc>
          <w:tcPr>
            <w:tcW w:w="1592" w:type="dxa"/>
            <w:vAlign w:val="center"/>
          </w:tcPr>
          <w:p w14:paraId="4C9CA91C">
            <w:pPr>
              <w:jc w:val="center"/>
              <w:rPr>
                <w:b/>
                <w:bCs/>
                <w:color w:val="auto"/>
                <w:sz w:val="28"/>
                <w:szCs w:val="36"/>
              </w:rPr>
            </w:pPr>
            <w:r>
              <w:rPr>
                <w:rFonts w:hint="eastAsia"/>
                <w:b/>
                <w:bCs/>
                <w:color w:val="auto"/>
                <w:sz w:val="28"/>
                <w:szCs w:val="36"/>
              </w:rPr>
              <w:t>评审要点</w:t>
            </w:r>
          </w:p>
        </w:tc>
        <w:tc>
          <w:tcPr>
            <w:tcW w:w="1138" w:type="dxa"/>
            <w:vAlign w:val="center"/>
          </w:tcPr>
          <w:p w14:paraId="7A681D44">
            <w:pPr>
              <w:jc w:val="center"/>
              <w:rPr>
                <w:b/>
                <w:bCs/>
                <w:color w:val="auto"/>
                <w:sz w:val="28"/>
                <w:szCs w:val="36"/>
              </w:rPr>
            </w:pPr>
            <w:r>
              <w:rPr>
                <w:rFonts w:hint="eastAsia"/>
                <w:b/>
                <w:bCs/>
                <w:color w:val="auto"/>
                <w:sz w:val="28"/>
                <w:szCs w:val="36"/>
              </w:rPr>
              <w:t>评标</w:t>
            </w:r>
          </w:p>
          <w:p w14:paraId="6546EB93">
            <w:pPr>
              <w:jc w:val="center"/>
              <w:rPr>
                <w:b/>
                <w:bCs/>
                <w:color w:val="auto"/>
                <w:sz w:val="28"/>
                <w:szCs w:val="36"/>
              </w:rPr>
            </w:pPr>
            <w:r>
              <w:rPr>
                <w:rFonts w:hint="eastAsia"/>
                <w:b/>
                <w:bCs/>
                <w:color w:val="auto"/>
                <w:sz w:val="28"/>
                <w:szCs w:val="36"/>
              </w:rPr>
              <w:t>指标</w:t>
            </w:r>
          </w:p>
        </w:tc>
        <w:tc>
          <w:tcPr>
            <w:tcW w:w="5524" w:type="dxa"/>
            <w:vAlign w:val="center"/>
          </w:tcPr>
          <w:p w14:paraId="752339DB">
            <w:pPr>
              <w:jc w:val="center"/>
              <w:rPr>
                <w:b/>
                <w:bCs/>
                <w:color w:val="auto"/>
                <w:sz w:val="28"/>
                <w:szCs w:val="36"/>
              </w:rPr>
            </w:pPr>
            <w:r>
              <w:rPr>
                <w:rFonts w:hint="eastAsia"/>
                <w:b/>
                <w:bCs/>
                <w:color w:val="auto"/>
                <w:sz w:val="28"/>
                <w:szCs w:val="36"/>
              </w:rPr>
              <w:t>评分标准</w:t>
            </w:r>
          </w:p>
        </w:tc>
      </w:tr>
      <w:tr w14:paraId="4BB99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4" w:type="dxa"/>
            <w:vMerge w:val="restart"/>
            <w:vAlign w:val="center"/>
          </w:tcPr>
          <w:p w14:paraId="16297E33">
            <w:pPr>
              <w:jc w:val="center"/>
              <w:rPr>
                <w:rFonts w:ascii="仿宋" w:hAnsi="仿宋" w:cs="仿宋"/>
                <w:color w:val="auto"/>
                <w:sz w:val="24"/>
                <w:szCs w:val="24"/>
              </w:rPr>
            </w:pPr>
            <w:r>
              <w:rPr>
                <w:rFonts w:hint="eastAsia" w:cs="宋体"/>
                <w:color w:val="auto"/>
                <w:sz w:val="24"/>
                <w:szCs w:val="24"/>
              </w:rPr>
              <w:t>商务（30分）</w:t>
            </w:r>
          </w:p>
        </w:tc>
        <w:tc>
          <w:tcPr>
            <w:tcW w:w="1592" w:type="dxa"/>
            <w:vAlign w:val="center"/>
          </w:tcPr>
          <w:p w14:paraId="4D7DEDAC">
            <w:pPr>
              <w:jc w:val="center"/>
              <w:rPr>
                <w:rFonts w:ascii="仿宋" w:hAnsi="仿宋" w:cs="仿宋"/>
                <w:color w:val="auto"/>
                <w:sz w:val="24"/>
                <w:szCs w:val="24"/>
              </w:rPr>
            </w:pPr>
            <w:r>
              <w:rPr>
                <w:rFonts w:hint="eastAsia" w:ascii="仿宋" w:hAnsi="仿宋" w:cs="仿宋"/>
                <w:color w:val="auto"/>
                <w:sz w:val="24"/>
                <w:szCs w:val="24"/>
              </w:rPr>
              <w:t>业绩</w:t>
            </w:r>
          </w:p>
        </w:tc>
        <w:tc>
          <w:tcPr>
            <w:tcW w:w="1138" w:type="dxa"/>
            <w:vAlign w:val="center"/>
          </w:tcPr>
          <w:p w14:paraId="75B1DBF7">
            <w:pPr>
              <w:jc w:val="center"/>
              <w:rPr>
                <w:rFonts w:ascii="仿宋" w:hAnsi="仿宋" w:cs="仿宋"/>
                <w:color w:val="auto"/>
                <w:sz w:val="24"/>
                <w:szCs w:val="24"/>
              </w:rPr>
            </w:pPr>
            <w:r>
              <w:rPr>
                <w:rFonts w:hint="eastAsia" w:ascii="仿宋" w:hAnsi="仿宋" w:cs="仿宋"/>
                <w:color w:val="auto"/>
                <w:sz w:val="24"/>
                <w:szCs w:val="24"/>
              </w:rPr>
              <w:t>15分</w:t>
            </w:r>
          </w:p>
        </w:tc>
        <w:tc>
          <w:tcPr>
            <w:tcW w:w="5524" w:type="dxa"/>
            <w:vAlign w:val="center"/>
          </w:tcPr>
          <w:p w14:paraId="2B318529">
            <w:pPr>
              <w:jc w:val="left"/>
              <w:rPr>
                <w:rFonts w:ascii="仿宋" w:hAnsi="仿宋" w:cs="仿宋"/>
                <w:color w:val="auto"/>
                <w:sz w:val="24"/>
                <w:szCs w:val="24"/>
              </w:rPr>
            </w:pPr>
            <w:r>
              <w:rPr>
                <w:rFonts w:hint="eastAsia" w:ascii="仿宋" w:hAnsi="仿宋" w:cs="仿宋"/>
                <w:color w:val="auto"/>
                <w:sz w:val="24"/>
                <w:szCs w:val="24"/>
              </w:rPr>
              <w:t>提供投标单位完成的相关业绩合同或中标通知书复印件，每提供一个得3分，满分15分。</w:t>
            </w:r>
          </w:p>
        </w:tc>
      </w:tr>
      <w:tr w14:paraId="6637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4" w:type="dxa"/>
            <w:vMerge w:val="continue"/>
            <w:vAlign w:val="center"/>
          </w:tcPr>
          <w:p w14:paraId="47BDA256">
            <w:pPr>
              <w:jc w:val="center"/>
              <w:rPr>
                <w:rFonts w:ascii="仿宋" w:hAnsi="仿宋" w:cs="仿宋"/>
                <w:color w:val="auto"/>
                <w:sz w:val="24"/>
                <w:szCs w:val="24"/>
              </w:rPr>
            </w:pPr>
          </w:p>
        </w:tc>
        <w:tc>
          <w:tcPr>
            <w:tcW w:w="1592" w:type="dxa"/>
            <w:vAlign w:val="center"/>
          </w:tcPr>
          <w:p w14:paraId="055A2BED">
            <w:pPr>
              <w:jc w:val="center"/>
              <w:rPr>
                <w:rFonts w:ascii="仿宋" w:hAnsi="仿宋" w:cs="仿宋"/>
                <w:color w:val="auto"/>
                <w:sz w:val="24"/>
                <w:szCs w:val="24"/>
              </w:rPr>
            </w:pPr>
            <w:r>
              <w:rPr>
                <w:rFonts w:hint="eastAsia" w:ascii="仿宋" w:hAnsi="仿宋" w:cs="仿宋"/>
                <w:color w:val="auto"/>
                <w:sz w:val="24"/>
                <w:szCs w:val="24"/>
              </w:rPr>
              <w:t>质量目标承诺</w:t>
            </w:r>
          </w:p>
        </w:tc>
        <w:tc>
          <w:tcPr>
            <w:tcW w:w="1138" w:type="dxa"/>
            <w:vAlign w:val="center"/>
          </w:tcPr>
          <w:p w14:paraId="5E3096BB">
            <w:pPr>
              <w:jc w:val="center"/>
              <w:rPr>
                <w:rFonts w:ascii="仿宋" w:hAnsi="仿宋" w:cs="仿宋"/>
                <w:color w:val="auto"/>
                <w:sz w:val="24"/>
                <w:szCs w:val="24"/>
              </w:rPr>
            </w:pPr>
            <w:r>
              <w:rPr>
                <w:rFonts w:hint="eastAsia" w:ascii="仿宋" w:hAnsi="仿宋" w:cs="仿宋"/>
                <w:color w:val="auto"/>
                <w:sz w:val="24"/>
                <w:szCs w:val="24"/>
              </w:rPr>
              <w:t>8分</w:t>
            </w:r>
          </w:p>
        </w:tc>
        <w:tc>
          <w:tcPr>
            <w:tcW w:w="5524" w:type="dxa"/>
            <w:vAlign w:val="center"/>
          </w:tcPr>
          <w:p w14:paraId="2C5D987B">
            <w:pPr>
              <w:jc w:val="left"/>
              <w:rPr>
                <w:rFonts w:ascii="仿宋" w:hAnsi="仿宋" w:cs="仿宋"/>
                <w:color w:val="auto"/>
                <w:sz w:val="24"/>
                <w:szCs w:val="24"/>
              </w:rPr>
            </w:pPr>
            <w:r>
              <w:rPr>
                <w:rFonts w:hint="eastAsia" w:ascii="仿宋" w:hAnsi="仿宋" w:cs="仿宋"/>
                <w:color w:val="auto"/>
                <w:sz w:val="24"/>
                <w:szCs w:val="24"/>
              </w:rPr>
              <w:t>承诺满足采购人要求及达到招标文件要求的标准。</w:t>
            </w:r>
          </w:p>
        </w:tc>
      </w:tr>
      <w:tr w14:paraId="085DF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4" w:type="dxa"/>
            <w:vMerge w:val="continue"/>
            <w:vAlign w:val="center"/>
          </w:tcPr>
          <w:p w14:paraId="7F6C95FE">
            <w:pPr>
              <w:jc w:val="center"/>
              <w:rPr>
                <w:rFonts w:ascii="仿宋" w:hAnsi="仿宋" w:cs="仿宋"/>
                <w:color w:val="auto"/>
                <w:sz w:val="24"/>
                <w:szCs w:val="24"/>
              </w:rPr>
            </w:pPr>
          </w:p>
        </w:tc>
        <w:tc>
          <w:tcPr>
            <w:tcW w:w="1592" w:type="dxa"/>
            <w:vAlign w:val="center"/>
          </w:tcPr>
          <w:p w14:paraId="0FC8A117">
            <w:pPr>
              <w:jc w:val="center"/>
              <w:rPr>
                <w:rFonts w:ascii="仿宋" w:hAnsi="仿宋" w:cs="仿宋"/>
                <w:color w:val="auto"/>
                <w:sz w:val="24"/>
                <w:szCs w:val="24"/>
              </w:rPr>
            </w:pPr>
            <w:r>
              <w:rPr>
                <w:rFonts w:hint="eastAsia" w:ascii="仿宋" w:hAnsi="仿宋" w:cs="仿宋"/>
                <w:color w:val="auto"/>
                <w:sz w:val="24"/>
                <w:szCs w:val="24"/>
              </w:rPr>
              <w:t>标书制作规范</w:t>
            </w:r>
          </w:p>
        </w:tc>
        <w:tc>
          <w:tcPr>
            <w:tcW w:w="1138" w:type="dxa"/>
            <w:vAlign w:val="center"/>
          </w:tcPr>
          <w:p w14:paraId="69F81350">
            <w:pPr>
              <w:jc w:val="center"/>
              <w:rPr>
                <w:rFonts w:ascii="仿宋" w:hAnsi="仿宋" w:cs="仿宋"/>
                <w:color w:val="auto"/>
                <w:sz w:val="24"/>
                <w:szCs w:val="24"/>
              </w:rPr>
            </w:pPr>
            <w:r>
              <w:rPr>
                <w:rFonts w:hint="eastAsia" w:ascii="仿宋" w:hAnsi="仿宋" w:cs="仿宋"/>
                <w:color w:val="auto"/>
                <w:sz w:val="24"/>
                <w:szCs w:val="24"/>
              </w:rPr>
              <w:t>7分</w:t>
            </w:r>
          </w:p>
        </w:tc>
        <w:tc>
          <w:tcPr>
            <w:tcW w:w="5524" w:type="dxa"/>
            <w:vAlign w:val="center"/>
          </w:tcPr>
          <w:p w14:paraId="6BA94800">
            <w:pPr>
              <w:jc w:val="left"/>
              <w:rPr>
                <w:rFonts w:ascii="仿宋" w:hAnsi="仿宋" w:cs="仿宋"/>
                <w:color w:val="auto"/>
                <w:sz w:val="24"/>
                <w:szCs w:val="24"/>
              </w:rPr>
            </w:pPr>
            <w:r>
              <w:rPr>
                <w:rFonts w:hint="eastAsia" w:ascii="仿宋" w:hAnsi="仿宋" w:cs="仿宋"/>
                <w:color w:val="auto"/>
                <w:sz w:val="24"/>
                <w:szCs w:val="24"/>
              </w:rPr>
              <w:t>标书制作规范优秀得5分，制作良好得2分，排序有误、制作差的不得分。</w:t>
            </w:r>
          </w:p>
        </w:tc>
      </w:tr>
    </w:tbl>
    <w:p w14:paraId="3ABAAED5">
      <w:pPr>
        <w:pStyle w:val="308"/>
        <w:rPr>
          <w:color w:val="auto"/>
        </w:rPr>
      </w:pPr>
    </w:p>
    <w:p w14:paraId="3A0892F2">
      <w:pPr>
        <w:pStyle w:val="308"/>
        <w:jc w:val="center"/>
        <w:rPr>
          <w:rFonts w:ascii="Calibri" w:eastAsia="仿宋" w:cs="Times New Roman"/>
          <w:b/>
          <w:bCs/>
          <w:color w:val="auto"/>
          <w:kern w:val="2"/>
          <w:sz w:val="28"/>
          <w:szCs w:val="36"/>
        </w:rPr>
      </w:pPr>
      <w:r>
        <w:rPr>
          <w:rFonts w:hint="eastAsia" w:ascii="Calibri" w:eastAsia="仿宋" w:cs="Times New Roman"/>
          <w:b/>
          <w:bCs/>
          <w:color w:val="auto"/>
          <w:kern w:val="2"/>
          <w:sz w:val="28"/>
          <w:szCs w:val="36"/>
        </w:rPr>
        <w:t>技术部分</w:t>
      </w:r>
    </w:p>
    <w:tbl>
      <w:tblPr>
        <w:tblStyle w:val="49"/>
        <w:tblpPr w:leftFromText="180" w:rightFromText="180" w:vertAnchor="text" w:horzAnchor="page" w:tblpX="1036" w:tblpY="1"/>
        <w:tblOverlap w:val="never"/>
        <w:tblW w:w="93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1491"/>
        <w:gridCol w:w="1178"/>
        <w:gridCol w:w="5577"/>
      </w:tblGrid>
      <w:tr w14:paraId="101F2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065" w:type="dxa"/>
            <w:vAlign w:val="center"/>
          </w:tcPr>
          <w:p w14:paraId="34B7104C">
            <w:pPr>
              <w:jc w:val="center"/>
              <w:rPr>
                <w:b/>
                <w:bCs/>
                <w:color w:val="auto"/>
                <w:sz w:val="28"/>
                <w:szCs w:val="36"/>
              </w:rPr>
            </w:pPr>
            <w:r>
              <w:rPr>
                <w:rFonts w:hint="eastAsia"/>
                <w:b/>
                <w:bCs/>
                <w:color w:val="auto"/>
                <w:sz w:val="28"/>
                <w:szCs w:val="36"/>
              </w:rPr>
              <w:t>评审</w:t>
            </w:r>
          </w:p>
          <w:p w14:paraId="37731073">
            <w:pPr>
              <w:spacing w:line="300" w:lineRule="exact"/>
              <w:jc w:val="center"/>
              <w:rPr>
                <w:rFonts w:ascii="楷体" w:hAnsi="楷体" w:eastAsia="楷体" w:cs="楷体"/>
                <w:color w:val="auto"/>
                <w:sz w:val="18"/>
                <w:szCs w:val="18"/>
              </w:rPr>
            </w:pPr>
            <w:r>
              <w:rPr>
                <w:rFonts w:hint="eastAsia"/>
                <w:b/>
                <w:bCs/>
                <w:color w:val="auto"/>
                <w:sz w:val="28"/>
                <w:szCs w:val="36"/>
              </w:rPr>
              <w:t>因素</w:t>
            </w:r>
          </w:p>
        </w:tc>
        <w:tc>
          <w:tcPr>
            <w:tcW w:w="1491" w:type="dxa"/>
            <w:vAlign w:val="center"/>
          </w:tcPr>
          <w:p w14:paraId="3C1D257C">
            <w:pPr>
              <w:spacing w:line="300" w:lineRule="exact"/>
              <w:jc w:val="center"/>
              <w:rPr>
                <w:rFonts w:ascii="楷体" w:hAnsi="楷体" w:eastAsia="楷体" w:cs="楷体"/>
                <w:color w:val="auto"/>
                <w:sz w:val="18"/>
                <w:szCs w:val="18"/>
              </w:rPr>
            </w:pPr>
            <w:r>
              <w:rPr>
                <w:rFonts w:hint="eastAsia"/>
                <w:b/>
                <w:bCs/>
                <w:color w:val="auto"/>
                <w:sz w:val="28"/>
                <w:szCs w:val="36"/>
              </w:rPr>
              <w:t>评审要点</w:t>
            </w:r>
          </w:p>
        </w:tc>
        <w:tc>
          <w:tcPr>
            <w:tcW w:w="1178" w:type="dxa"/>
            <w:vAlign w:val="center"/>
          </w:tcPr>
          <w:p w14:paraId="4E61D43B">
            <w:pPr>
              <w:jc w:val="center"/>
              <w:rPr>
                <w:b/>
                <w:bCs/>
                <w:color w:val="auto"/>
                <w:sz w:val="28"/>
                <w:szCs w:val="36"/>
              </w:rPr>
            </w:pPr>
            <w:r>
              <w:rPr>
                <w:rFonts w:hint="eastAsia"/>
                <w:b/>
                <w:bCs/>
                <w:color w:val="auto"/>
                <w:sz w:val="28"/>
                <w:szCs w:val="36"/>
              </w:rPr>
              <w:t>评标</w:t>
            </w:r>
          </w:p>
          <w:p w14:paraId="217D1239">
            <w:pPr>
              <w:spacing w:line="300" w:lineRule="exact"/>
              <w:jc w:val="center"/>
              <w:rPr>
                <w:rFonts w:ascii="楷体" w:hAnsi="楷体" w:eastAsia="楷体" w:cs="楷体"/>
                <w:color w:val="auto"/>
                <w:sz w:val="18"/>
                <w:szCs w:val="18"/>
              </w:rPr>
            </w:pPr>
            <w:r>
              <w:rPr>
                <w:rFonts w:hint="eastAsia"/>
                <w:b/>
                <w:bCs/>
                <w:color w:val="auto"/>
                <w:sz w:val="28"/>
                <w:szCs w:val="36"/>
              </w:rPr>
              <w:t>指标</w:t>
            </w:r>
          </w:p>
        </w:tc>
        <w:tc>
          <w:tcPr>
            <w:tcW w:w="5577" w:type="dxa"/>
            <w:vAlign w:val="center"/>
          </w:tcPr>
          <w:p w14:paraId="72B7EEFA">
            <w:pPr>
              <w:spacing w:line="300" w:lineRule="exact"/>
              <w:jc w:val="center"/>
              <w:rPr>
                <w:rFonts w:ascii="楷体" w:hAnsi="楷体" w:eastAsia="楷体" w:cs="楷体"/>
                <w:color w:val="auto"/>
                <w:sz w:val="18"/>
                <w:szCs w:val="18"/>
              </w:rPr>
            </w:pPr>
            <w:r>
              <w:rPr>
                <w:rFonts w:hint="eastAsia"/>
                <w:b/>
                <w:bCs/>
                <w:color w:val="auto"/>
                <w:sz w:val="28"/>
                <w:szCs w:val="36"/>
              </w:rPr>
              <w:t>评分标准</w:t>
            </w:r>
          </w:p>
        </w:tc>
      </w:tr>
      <w:tr w14:paraId="6D5C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065" w:type="dxa"/>
            <w:vMerge w:val="restart"/>
            <w:vAlign w:val="center"/>
          </w:tcPr>
          <w:p w14:paraId="6B18CF90">
            <w:pPr>
              <w:jc w:val="left"/>
              <w:rPr>
                <w:rFonts w:ascii="仿宋" w:hAnsi="仿宋" w:cs="仿宋"/>
                <w:color w:val="auto"/>
                <w:sz w:val="24"/>
                <w:szCs w:val="24"/>
              </w:rPr>
            </w:pPr>
            <w:r>
              <w:rPr>
                <w:rFonts w:hint="eastAsia" w:ascii="仿宋" w:hAnsi="仿宋" w:cs="仿宋"/>
                <w:color w:val="auto"/>
                <w:sz w:val="24"/>
                <w:szCs w:val="24"/>
              </w:rPr>
              <w:t>技术（60分）</w:t>
            </w:r>
          </w:p>
          <w:p w14:paraId="31FCC065">
            <w:pPr>
              <w:jc w:val="left"/>
              <w:rPr>
                <w:rFonts w:ascii="仿宋" w:hAnsi="仿宋" w:cs="仿宋"/>
                <w:color w:val="auto"/>
                <w:sz w:val="24"/>
                <w:szCs w:val="24"/>
              </w:rPr>
            </w:pPr>
          </w:p>
        </w:tc>
        <w:tc>
          <w:tcPr>
            <w:tcW w:w="1491" w:type="dxa"/>
            <w:vMerge w:val="restart"/>
            <w:vAlign w:val="center"/>
          </w:tcPr>
          <w:p w14:paraId="7B0EA75E">
            <w:pPr>
              <w:jc w:val="left"/>
              <w:rPr>
                <w:rFonts w:ascii="仿宋" w:hAnsi="仿宋" w:cs="仿宋"/>
                <w:color w:val="auto"/>
                <w:sz w:val="24"/>
                <w:szCs w:val="24"/>
              </w:rPr>
            </w:pPr>
            <w:r>
              <w:rPr>
                <w:rFonts w:hint="eastAsia" w:ascii="仿宋" w:hAnsi="仿宋" w:cs="仿宋"/>
                <w:color w:val="auto"/>
                <w:sz w:val="24"/>
                <w:szCs w:val="24"/>
              </w:rPr>
              <w:t>工作方法及仪器的参数选择</w:t>
            </w:r>
          </w:p>
        </w:tc>
        <w:tc>
          <w:tcPr>
            <w:tcW w:w="1178" w:type="dxa"/>
            <w:vMerge w:val="restart"/>
            <w:vAlign w:val="center"/>
          </w:tcPr>
          <w:p w14:paraId="300F5341">
            <w:pPr>
              <w:jc w:val="center"/>
              <w:rPr>
                <w:rFonts w:ascii="仿宋" w:hAnsi="仿宋" w:cs="仿宋"/>
                <w:color w:val="auto"/>
                <w:sz w:val="24"/>
                <w:szCs w:val="24"/>
              </w:rPr>
            </w:pPr>
            <w:r>
              <w:rPr>
                <w:rFonts w:hint="eastAsia" w:ascii="仿宋" w:hAnsi="仿宋" w:cs="仿宋"/>
                <w:color w:val="auto"/>
                <w:sz w:val="24"/>
                <w:szCs w:val="24"/>
              </w:rPr>
              <w:t>25分</w:t>
            </w:r>
          </w:p>
        </w:tc>
        <w:tc>
          <w:tcPr>
            <w:tcW w:w="5577" w:type="dxa"/>
            <w:vAlign w:val="center"/>
          </w:tcPr>
          <w:p w14:paraId="38B2B537">
            <w:pPr>
              <w:jc w:val="left"/>
              <w:rPr>
                <w:rFonts w:ascii="仿宋" w:hAnsi="仿宋" w:cs="仿宋"/>
                <w:color w:val="auto"/>
                <w:sz w:val="24"/>
                <w:szCs w:val="24"/>
              </w:rPr>
            </w:pPr>
            <w:r>
              <w:rPr>
                <w:rFonts w:hint="eastAsia" w:ascii="仿宋" w:hAnsi="仿宋" w:cs="仿宋"/>
                <w:color w:val="auto"/>
                <w:sz w:val="24"/>
                <w:szCs w:val="24"/>
              </w:rPr>
              <w:t>工作方法及仪器的参数选择满足任务要求，方法合理。（16-25分）</w:t>
            </w:r>
          </w:p>
        </w:tc>
      </w:tr>
      <w:tr w14:paraId="507E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65" w:type="dxa"/>
            <w:vMerge w:val="continue"/>
            <w:vAlign w:val="center"/>
          </w:tcPr>
          <w:p w14:paraId="053ABA8B">
            <w:pPr>
              <w:jc w:val="left"/>
              <w:rPr>
                <w:rFonts w:ascii="仿宋" w:hAnsi="仿宋" w:cs="仿宋"/>
                <w:color w:val="auto"/>
                <w:sz w:val="24"/>
                <w:szCs w:val="24"/>
              </w:rPr>
            </w:pPr>
          </w:p>
        </w:tc>
        <w:tc>
          <w:tcPr>
            <w:tcW w:w="1491" w:type="dxa"/>
            <w:vMerge w:val="continue"/>
            <w:vAlign w:val="center"/>
          </w:tcPr>
          <w:p w14:paraId="253CFD97">
            <w:pPr>
              <w:jc w:val="left"/>
              <w:rPr>
                <w:rFonts w:ascii="仿宋" w:hAnsi="仿宋" w:cs="仿宋"/>
                <w:color w:val="auto"/>
                <w:sz w:val="24"/>
                <w:szCs w:val="24"/>
              </w:rPr>
            </w:pPr>
          </w:p>
        </w:tc>
        <w:tc>
          <w:tcPr>
            <w:tcW w:w="1178" w:type="dxa"/>
            <w:vMerge w:val="continue"/>
            <w:vAlign w:val="center"/>
          </w:tcPr>
          <w:p w14:paraId="4CD47AF0">
            <w:pPr>
              <w:jc w:val="center"/>
              <w:rPr>
                <w:rFonts w:ascii="仿宋" w:hAnsi="仿宋" w:cs="仿宋"/>
                <w:color w:val="auto"/>
                <w:sz w:val="24"/>
                <w:szCs w:val="24"/>
              </w:rPr>
            </w:pPr>
          </w:p>
        </w:tc>
        <w:tc>
          <w:tcPr>
            <w:tcW w:w="5577" w:type="dxa"/>
            <w:vAlign w:val="center"/>
          </w:tcPr>
          <w:p w14:paraId="0042A766">
            <w:pPr>
              <w:jc w:val="left"/>
              <w:rPr>
                <w:rFonts w:ascii="仿宋" w:hAnsi="仿宋" w:cs="仿宋"/>
                <w:color w:val="auto"/>
                <w:sz w:val="24"/>
                <w:szCs w:val="24"/>
              </w:rPr>
            </w:pPr>
            <w:r>
              <w:rPr>
                <w:rFonts w:hint="eastAsia" w:ascii="仿宋" w:hAnsi="仿宋" w:cs="仿宋"/>
                <w:color w:val="auto"/>
                <w:sz w:val="24"/>
                <w:szCs w:val="24"/>
              </w:rPr>
              <w:t>工作方法及仪器的参数选择基本满足任务要求，方法合理。（6-15分）</w:t>
            </w:r>
          </w:p>
        </w:tc>
      </w:tr>
      <w:tr w14:paraId="0225D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065" w:type="dxa"/>
            <w:vMerge w:val="continue"/>
            <w:vAlign w:val="center"/>
          </w:tcPr>
          <w:p w14:paraId="208088F0">
            <w:pPr>
              <w:jc w:val="left"/>
              <w:rPr>
                <w:rFonts w:ascii="仿宋" w:hAnsi="仿宋" w:cs="仿宋"/>
                <w:color w:val="auto"/>
                <w:sz w:val="24"/>
                <w:szCs w:val="24"/>
              </w:rPr>
            </w:pPr>
          </w:p>
        </w:tc>
        <w:tc>
          <w:tcPr>
            <w:tcW w:w="1491" w:type="dxa"/>
            <w:vMerge w:val="continue"/>
            <w:vAlign w:val="center"/>
          </w:tcPr>
          <w:p w14:paraId="32F12A7C">
            <w:pPr>
              <w:jc w:val="left"/>
              <w:rPr>
                <w:rFonts w:ascii="仿宋" w:hAnsi="仿宋" w:cs="仿宋"/>
                <w:color w:val="auto"/>
                <w:sz w:val="24"/>
                <w:szCs w:val="24"/>
              </w:rPr>
            </w:pPr>
          </w:p>
        </w:tc>
        <w:tc>
          <w:tcPr>
            <w:tcW w:w="1178" w:type="dxa"/>
            <w:vMerge w:val="continue"/>
            <w:vAlign w:val="center"/>
          </w:tcPr>
          <w:p w14:paraId="00D5B187">
            <w:pPr>
              <w:jc w:val="center"/>
              <w:rPr>
                <w:rFonts w:ascii="仿宋" w:hAnsi="仿宋" w:cs="仿宋"/>
                <w:color w:val="auto"/>
                <w:sz w:val="24"/>
                <w:szCs w:val="24"/>
              </w:rPr>
            </w:pPr>
          </w:p>
        </w:tc>
        <w:tc>
          <w:tcPr>
            <w:tcW w:w="5577" w:type="dxa"/>
            <w:vAlign w:val="center"/>
          </w:tcPr>
          <w:p w14:paraId="1020FFB0">
            <w:pPr>
              <w:jc w:val="left"/>
              <w:rPr>
                <w:rFonts w:ascii="仿宋" w:hAnsi="仿宋" w:cs="仿宋"/>
                <w:color w:val="auto"/>
                <w:sz w:val="24"/>
                <w:szCs w:val="24"/>
              </w:rPr>
            </w:pPr>
            <w:r>
              <w:rPr>
                <w:rFonts w:hint="eastAsia" w:ascii="仿宋" w:hAnsi="仿宋" w:cs="仿宋"/>
                <w:color w:val="auto"/>
                <w:sz w:val="24"/>
                <w:szCs w:val="24"/>
              </w:rPr>
              <w:t>工作方法及仪器的参数选择不能满足任务要求，方法不合理。（0-5分）</w:t>
            </w:r>
          </w:p>
        </w:tc>
      </w:tr>
      <w:tr w14:paraId="3439C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065" w:type="dxa"/>
            <w:vMerge w:val="continue"/>
            <w:vAlign w:val="center"/>
          </w:tcPr>
          <w:p w14:paraId="0DFCA32E">
            <w:pPr>
              <w:jc w:val="left"/>
              <w:rPr>
                <w:rFonts w:ascii="仿宋" w:hAnsi="仿宋" w:cs="仿宋"/>
                <w:color w:val="auto"/>
                <w:sz w:val="24"/>
                <w:szCs w:val="24"/>
              </w:rPr>
            </w:pPr>
          </w:p>
        </w:tc>
        <w:tc>
          <w:tcPr>
            <w:tcW w:w="1491" w:type="dxa"/>
            <w:vMerge w:val="restart"/>
            <w:vAlign w:val="center"/>
          </w:tcPr>
          <w:p w14:paraId="56D44450">
            <w:pPr>
              <w:jc w:val="left"/>
              <w:rPr>
                <w:rFonts w:ascii="仿宋" w:hAnsi="仿宋" w:cs="仿宋"/>
                <w:color w:val="auto"/>
                <w:sz w:val="24"/>
                <w:szCs w:val="24"/>
              </w:rPr>
            </w:pPr>
            <w:r>
              <w:rPr>
                <w:rFonts w:hint="eastAsia" w:ascii="仿宋" w:hAnsi="仿宋" w:cs="仿宋"/>
                <w:color w:val="auto"/>
                <w:sz w:val="24"/>
                <w:szCs w:val="24"/>
              </w:rPr>
              <w:t>质量保证措施及工程勘测进度计划</w:t>
            </w:r>
          </w:p>
        </w:tc>
        <w:tc>
          <w:tcPr>
            <w:tcW w:w="1178" w:type="dxa"/>
            <w:vMerge w:val="restart"/>
            <w:vAlign w:val="center"/>
          </w:tcPr>
          <w:p w14:paraId="4D9D7B82">
            <w:pPr>
              <w:jc w:val="center"/>
              <w:rPr>
                <w:rFonts w:ascii="仿宋" w:hAnsi="仿宋" w:cs="仿宋"/>
                <w:color w:val="auto"/>
                <w:sz w:val="24"/>
                <w:szCs w:val="24"/>
              </w:rPr>
            </w:pPr>
            <w:r>
              <w:rPr>
                <w:rFonts w:hint="eastAsia" w:ascii="仿宋" w:hAnsi="仿宋" w:cs="仿宋"/>
                <w:color w:val="auto"/>
                <w:sz w:val="24"/>
                <w:szCs w:val="24"/>
              </w:rPr>
              <w:t>20分</w:t>
            </w:r>
          </w:p>
        </w:tc>
        <w:tc>
          <w:tcPr>
            <w:tcW w:w="5577" w:type="dxa"/>
            <w:vAlign w:val="center"/>
          </w:tcPr>
          <w:p w14:paraId="745BCDA3">
            <w:pPr>
              <w:jc w:val="left"/>
              <w:rPr>
                <w:rFonts w:ascii="仿宋" w:hAnsi="仿宋" w:cs="仿宋"/>
                <w:color w:val="auto"/>
                <w:sz w:val="24"/>
                <w:szCs w:val="24"/>
              </w:rPr>
            </w:pPr>
            <w:r>
              <w:rPr>
                <w:rFonts w:hint="eastAsia" w:ascii="仿宋" w:hAnsi="仿宋" w:cs="仿宋"/>
                <w:color w:val="auto"/>
                <w:sz w:val="24"/>
                <w:szCs w:val="24"/>
              </w:rPr>
              <w:t>工作安排满足任务要求，进度安排合理。企业内部管理制度完善，服务意识强，对完成本报告有较好承诺，项目质量的保障措施具体、合理、可行、针对性强，能够持续提供完整、优质后续服务（14-20分）</w:t>
            </w:r>
          </w:p>
        </w:tc>
      </w:tr>
      <w:tr w14:paraId="0D160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065" w:type="dxa"/>
            <w:vMerge w:val="continue"/>
            <w:vAlign w:val="center"/>
          </w:tcPr>
          <w:p w14:paraId="2FC31A77">
            <w:pPr>
              <w:jc w:val="left"/>
              <w:rPr>
                <w:rFonts w:ascii="仿宋" w:hAnsi="仿宋" w:cs="仿宋"/>
                <w:color w:val="auto"/>
                <w:sz w:val="24"/>
                <w:szCs w:val="24"/>
              </w:rPr>
            </w:pPr>
          </w:p>
        </w:tc>
        <w:tc>
          <w:tcPr>
            <w:tcW w:w="1491" w:type="dxa"/>
            <w:vMerge w:val="continue"/>
            <w:vAlign w:val="center"/>
          </w:tcPr>
          <w:p w14:paraId="7E519559">
            <w:pPr>
              <w:jc w:val="left"/>
              <w:rPr>
                <w:rFonts w:ascii="仿宋" w:hAnsi="仿宋" w:cs="仿宋"/>
                <w:color w:val="auto"/>
                <w:sz w:val="24"/>
                <w:szCs w:val="24"/>
              </w:rPr>
            </w:pPr>
          </w:p>
        </w:tc>
        <w:tc>
          <w:tcPr>
            <w:tcW w:w="1178" w:type="dxa"/>
            <w:vMerge w:val="continue"/>
            <w:vAlign w:val="center"/>
          </w:tcPr>
          <w:p w14:paraId="0705148E">
            <w:pPr>
              <w:jc w:val="center"/>
              <w:rPr>
                <w:rFonts w:ascii="仿宋" w:hAnsi="仿宋" w:cs="仿宋"/>
                <w:color w:val="auto"/>
                <w:sz w:val="24"/>
                <w:szCs w:val="24"/>
              </w:rPr>
            </w:pPr>
          </w:p>
        </w:tc>
        <w:tc>
          <w:tcPr>
            <w:tcW w:w="5577" w:type="dxa"/>
            <w:vAlign w:val="center"/>
          </w:tcPr>
          <w:p w14:paraId="2B83682C">
            <w:pPr>
              <w:jc w:val="left"/>
              <w:rPr>
                <w:rFonts w:ascii="仿宋" w:hAnsi="仿宋" w:cs="仿宋"/>
                <w:color w:val="auto"/>
                <w:sz w:val="24"/>
                <w:szCs w:val="24"/>
              </w:rPr>
            </w:pPr>
            <w:r>
              <w:rPr>
                <w:rFonts w:hint="eastAsia" w:ascii="仿宋" w:hAnsi="仿宋" w:cs="仿宋"/>
                <w:color w:val="auto"/>
                <w:sz w:val="24"/>
                <w:szCs w:val="24"/>
              </w:rPr>
              <w:t>工作安排基本满足任务要求，进度安排具一定合理性。企业服务意识强，项目质量的保障措施具体、可行（8-13分）</w:t>
            </w:r>
          </w:p>
        </w:tc>
      </w:tr>
      <w:tr w14:paraId="4AA78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1065" w:type="dxa"/>
            <w:vMerge w:val="continue"/>
            <w:vAlign w:val="center"/>
          </w:tcPr>
          <w:p w14:paraId="7F6EEDFD">
            <w:pPr>
              <w:jc w:val="left"/>
              <w:rPr>
                <w:rFonts w:ascii="仿宋" w:hAnsi="仿宋" w:cs="仿宋"/>
                <w:color w:val="auto"/>
                <w:sz w:val="24"/>
                <w:szCs w:val="24"/>
              </w:rPr>
            </w:pPr>
          </w:p>
        </w:tc>
        <w:tc>
          <w:tcPr>
            <w:tcW w:w="1491" w:type="dxa"/>
            <w:vMerge w:val="continue"/>
            <w:vAlign w:val="center"/>
          </w:tcPr>
          <w:p w14:paraId="52C9A276">
            <w:pPr>
              <w:jc w:val="left"/>
              <w:rPr>
                <w:rFonts w:ascii="仿宋" w:hAnsi="仿宋" w:cs="仿宋"/>
                <w:color w:val="auto"/>
                <w:sz w:val="24"/>
                <w:szCs w:val="24"/>
              </w:rPr>
            </w:pPr>
          </w:p>
        </w:tc>
        <w:tc>
          <w:tcPr>
            <w:tcW w:w="1178" w:type="dxa"/>
            <w:vMerge w:val="continue"/>
            <w:vAlign w:val="center"/>
          </w:tcPr>
          <w:p w14:paraId="5F0EC1A7">
            <w:pPr>
              <w:jc w:val="center"/>
              <w:rPr>
                <w:rFonts w:ascii="仿宋" w:hAnsi="仿宋" w:cs="仿宋"/>
                <w:color w:val="auto"/>
                <w:sz w:val="24"/>
                <w:szCs w:val="24"/>
              </w:rPr>
            </w:pPr>
          </w:p>
        </w:tc>
        <w:tc>
          <w:tcPr>
            <w:tcW w:w="5577" w:type="dxa"/>
            <w:vAlign w:val="center"/>
          </w:tcPr>
          <w:p w14:paraId="29F0CD0D">
            <w:pPr>
              <w:jc w:val="left"/>
              <w:rPr>
                <w:rFonts w:ascii="仿宋" w:hAnsi="仿宋" w:cs="仿宋"/>
                <w:color w:val="auto"/>
                <w:sz w:val="24"/>
                <w:szCs w:val="24"/>
              </w:rPr>
            </w:pPr>
            <w:r>
              <w:rPr>
                <w:rFonts w:hint="eastAsia" w:ascii="仿宋" w:hAnsi="仿宋" w:cs="仿宋"/>
                <w:color w:val="auto"/>
                <w:sz w:val="24"/>
                <w:szCs w:val="24"/>
              </w:rPr>
              <w:t>工作安排不符合任务要求，进度安排不合理。企业服务意识薄弱，难以保障项目质量（0-7分）</w:t>
            </w:r>
          </w:p>
        </w:tc>
      </w:tr>
      <w:tr w14:paraId="669DC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065" w:type="dxa"/>
            <w:vMerge w:val="continue"/>
            <w:vAlign w:val="center"/>
          </w:tcPr>
          <w:p w14:paraId="6B975744">
            <w:pPr>
              <w:jc w:val="left"/>
              <w:rPr>
                <w:rFonts w:ascii="仿宋" w:hAnsi="仿宋" w:cs="仿宋"/>
                <w:color w:val="auto"/>
                <w:sz w:val="24"/>
                <w:szCs w:val="24"/>
              </w:rPr>
            </w:pPr>
          </w:p>
        </w:tc>
        <w:tc>
          <w:tcPr>
            <w:tcW w:w="1491" w:type="dxa"/>
            <w:vAlign w:val="center"/>
          </w:tcPr>
          <w:p w14:paraId="2A9C0261">
            <w:pPr>
              <w:jc w:val="left"/>
              <w:rPr>
                <w:rFonts w:ascii="仿宋" w:hAnsi="仿宋" w:cs="仿宋"/>
                <w:color w:val="auto"/>
                <w:sz w:val="24"/>
                <w:szCs w:val="24"/>
              </w:rPr>
            </w:pPr>
            <w:r>
              <w:rPr>
                <w:rFonts w:hint="eastAsia" w:ascii="仿宋" w:hAnsi="仿宋" w:cs="仿宋"/>
                <w:color w:val="auto"/>
                <w:sz w:val="24"/>
                <w:szCs w:val="24"/>
              </w:rPr>
              <w:t>项目团队人员配备</w:t>
            </w:r>
          </w:p>
        </w:tc>
        <w:tc>
          <w:tcPr>
            <w:tcW w:w="1178" w:type="dxa"/>
            <w:vAlign w:val="center"/>
          </w:tcPr>
          <w:p w14:paraId="38B29720">
            <w:pPr>
              <w:jc w:val="center"/>
              <w:rPr>
                <w:rFonts w:ascii="仿宋" w:hAnsi="仿宋" w:cs="仿宋"/>
                <w:color w:val="auto"/>
                <w:sz w:val="24"/>
                <w:szCs w:val="24"/>
              </w:rPr>
            </w:pPr>
            <w:r>
              <w:rPr>
                <w:rFonts w:hint="eastAsia" w:ascii="仿宋" w:hAnsi="仿宋" w:cs="仿宋"/>
                <w:color w:val="auto"/>
                <w:sz w:val="24"/>
                <w:szCs w:val="24"/>
              </w:rPr>
              <w:t>10分</w:t>
            </w:r>
          </w:p>
        </w:tc>
        <w:tc>
          <w:tcPr>
            <w:tcW w:w="5577" w:type="dxa"/>
            <w:vAlign w:val="center"/>
          </w:tcPr>
          <w:p w14:paraId="7F7577DF">
            <w:pPr>
              <w:jc w:val="left"/>
              <w:rPr>
                <w:rFonts w:ascii="仿宋" w:hAnsi="仿宋" w:cs="仿宋"/>
                <w:color w:val="auto"/>
                <w:sz w:val="24"/>
                <w:szCs w:val="24"/>
              </w:rPr>
            </w:pPr>
            <w:r>
              <w:rPr>
                <w:rFonts w:hint="eastAsia" w:ascii="仿宋" w:hAnsi="仿宋" w:cs="仿宋"/>
                <w:color w:val="auto"/>
                <w:sz w:val="24"/>
                <w:szCs w:val="24"/>
              </w:rPr>
              <w:t>项目团队人员配备不低5人，满足得5分每缺少1人扣1分，每多提供一个上岗人员有相关资格证书的得1分，本项最多得10分</w:t>
            </w:r>
          </w:p>
        </w:tc>
      </w:tr>
      <w:tr w14:paraId="66081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1065" w:type="dxa"/>
            <w:vMerge w:val="continue"/>
            <w:vAlign w:val="center"/>
          </w:tcPr>
          <w:p w14:paraId="16108AAC">
            <w:pPr>
              <w:jc w:val="left"/>
              <w:rPr>
                <w:rFonts w:ascii="仿宋" w:hAnsi="仿宋" w:cs="仿宋"/>
                <w:color w:val="auto"/>
                <w:sz w:val="24"/>
                <w:szCs w:val="24"/>
              </w:rPr>
            </w:pPr>
          </w:p>
        </w:tc>
        <w:tc>
          <w:tcPr>
            <w:tcW w:w="1491" w:type="dxa"/>
            <w:vAlign w:val="center"/>
          </w:tcPr>
          <w:p w14:paraId="553ABCBD">
            <w:pPr>
              <w:jc w:val="left"/>
              <w:rPr>
                <w:rFonts w:ascii="仿宋" w:hAnsi="仿宋" w:cs="仿宋"/>
                <w:color w:val="auto"/>
                <w:sz w:val="24"/>
                <w:szCs w:val="24"/>
              </w:rPr>
            </w:pPr>
            <w:r>
              <w:rPr>
                <w:rFonts w:hint="eastAsia" w:ascii="仿宋" w:hAnsi="仿宋" w:cs="仿宋"/>
                <w:color w:val="auto"/>
                <w:sz w:val="24"/>
                <w:szCs w:val="24"/>
              </w:rPr>
              <w:t>勘探机器、设备</w:t>
            </w:r>
          </w:p>
        </w:tc>
        <w:tc>
          <w:tcPr>
            <w:tcW w:w="1178" w:type="dxa"/>
            <w:vAlign w:val="center"/>
          </w:tcPr>
          <w:p w14:paraId="52BCDFE3">
            <w:pPr>
              <w:jc w:val="center"/>
              <w:rPr>
                <w:rFonts w:ascii="仿宋" w:hAnsi="仿宋" w:cs="仿宋"/>
                <w:color w:val="auto"/>
                <w:sz w:val="24"/>
                <w:szCs w:val="24"/>
              </w:rPr>
            </w:pPr>
            <w:r>
              <w:rPr>
                <w:rFonts w:hint="eastAsia" w:ascii="仿宋" w:hAnsi="仿宋" w:cs="仿宋"/>
                <w:color w:val="auto"/>
                <w:sz w:val="24"/>
                <w:szCs w:val="24"/>
              </w:rPr>
              <w:t>5分</w:t>
            </w:r>
          </w:p>
        </w:tc>
        <w:tc>
          <w:tcPr>
            <w:tcW w:w="5577" w:type="dxa"/>
            <w:vAlign w:val="center"/>
          </w:tcPr>
          <w:p w14:paraId="05E4D632">
            <w:pPr>
              <w:jc w:val="left"/>
              <w:rPr>
                <w:rFonts w:ascii="仿宋" w:hAnsi="仿宋" w:cs="仿宋"/>
                <w:color w:val="auto"/>
                <w:sz w:val="24"/>
                <w:szCs w:val="24"/>
              </w:rPr>
            </w:pPr>
            <w:r>
              <w:rPr>
                <w:rFonts w:hint="eastAsia" w:ascii="仿宋" w:hAnsi="仿宋" w:cs="仿宋"/>
                <w:color w:val="auto"/>
                <w:sz w:val="24"/>
                <w:szCs w:val="24"/>
              </w:rPr>
              <w:t>供应商具备的勘探设备及工具：与勘探相应的机械设备及工具，开标时须提供上述购买设备属于本公司拥有证明材料，每提供一种相关机械设备的得1分（相同设备不得重复得分），最多得5分。</w:t>
            </w:r>
          </w:p>
        </w:tc>
      </w:tr>
    </w:tbl>
    <w:p w14:paraId="2EC3A20B">
      <w:pPr>
        <w:pStyle w:val="337"/>
        <w:ind w:left="0" w:leftChars="0" w:firstLine="0"/>
        <w:jc w:val="center"/>
        <w:rPr>
          <w:rFonts w:ascii="仿宋" w:hAnsi="仿宋" w:cs="仿宋"/>
          <w:b/>
          <w:color w:val="auto"/>
          <w:sz w:val="28"/>
          <w:szCs w:val="28"/>
        </w:rPr>
      </w:pPr>
    </w:p>
    <w:p w14:paraId="480BA7CE">
      <w:pPr>
        <w:pStyle w:val="337"/>
        <w:ind w:left="0" w:leftChars="0" w:firstLine="0"/>
        <w:jc w:val="center"/>
        <w:rPr>
          <w:rFonts w:hint="eastAsia" w:ascii="仿宋" w:hAnsi="仿宋" w:cs="仿宋"/>
          <w:b/>
          <w:color w:val="auto"/>
          <w:sz w:val="28"/>
          <w:szCs w:val="28"/>
        </w:rPr>
      </w:pPr>
    </w:p>
    <w:p w14:paraId="40B6689B">
      <w:pPr>
        <w:pStyle w:val="337"/>
        <w:ind w:left="0" w:leftChars="0" w:firstLine="0"/>
        <w:jc w:val="center"/>
        <w:rPr>
          <w:rFonts w:hint="eastAsia" w:ascii="仿宋" w:hAnsi="仿宋" w:cs="仿宋"/>
          <w:b/>
          <w:color w:val="auto"/>
          <w:sz w:val="28"/>
          <w:szCs w:val="28"/>
        </w:rPr>
      </w:pPr>
    </w:p>
    <w:p w14:paraId="68AEFAD7">
      <w:pPr>
        <w:pStyle w:val="337"/>
        <w:ind w:left="0" w:leftChars="0" w:firstLine="0"/>
        <w:jc w:val="center"/>
        <w:rPr>
          <w:rFonts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235E8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vAlign w:val="center"/>
          </w:tcPr>
          <w:p w14:paraId="666EA99E">
            <w:pPr>
              <w:jc w:val="center"/>
              <w:rPr>
                <w:rFonts w:ascii="仿宋" w:hAnsi="仿宋" w:cs="仿宋"/>
                <w:b/>
                <w:bCs/>
                <w:color w:val="auto"/>
                <w:sz w:val="44"/>
                <w:szCs w:val="48"/>
              </w:rPr>
            </w:pPr>
            <w:r>
              <w:rPr>
                <w:rFonts w:hint="eastAsia"/>
                <w:b/>
                <w:color w:val="auto"/>
                <w:sz w:val="28"/>
                <w:szCs w:val="36"/>
              </w:rPr>
              <w:t>评标指标</w:t>
            </w:r>
          </w:p>
        </w:tc>
        <w:tc>
          <w:tcPr>
            <w:tcW w:w="1126" w:type="dxa"/>
            <w:vAlign w:val="center"/>
          </w:tcPr>
          <w:p w14:paraId="3486F6B6">
            <w:pPr>
              <w:jc w:val="center"/>
              <w:rPr>
                <w:b/>
                <w:color w:val="auto"/>
                <w:sz w:val="28"/>
                <w:szCs w:val="36"/>
              </w:rPr>
            </w:pPr>
            <w:r>
              <w:rPr>
                <w:rFonts w:hint="eastAsia"/>
                <w:b/>
                <w:color w:val="auto"/>
                <w:sz w:val="28"/>
                <w:szCs w:val="36"/>
              </w:rPr>
              <w:t>分值</w:t>
            </w:r>
          </w:p>
        </w:tc>
        <w:tc>
          <w:tcPr>
            <w:tcW w:w="6880" w:type="dxa"/>
            <w:vAlign w:val="center"/>
          </w:tcPr>
          <w:p w14:paraId="3F726DBD">
            <w:pPr>
              <w:jc w:val="center"/>
              <w:rPr>
                <w:b/>
                <w:color w:val="auto"/>
                <w:sz w:val="28"/>
                <w:szCs w:val="36"/>
              </w:rPr>
            </w:pPr>
            <w:r>
              <w:rPr>
                <w:rFonts w:hint="eastAsia"/>
                <w:b/>
                <w:color w:val="auto"/>
                <w:sz w:val="28"/>
                <w:szCs w:val="36"/>
              </w:rPr>
              <w:t>评分标准</w:t>
            </w:r>
          </w:p>
        </w:tc>
      </w:tr>
      <w:tr w14:paraId="5E63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7" w:hRule="atLeast"/>
          <w:jc w:val="center"/>
        </w:trPr>
        <w:tc>
          <w:tcPr>
            <w:tcW w:w="1413" w:type="dxa"/>
            <w:vAlign w:val="center"/>
          </w:tcPr>
          <w:p w14:paraId="705E5BDF">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vAlign w:val="center"/>
          </w:tcPr>
          <w:p w14:paraId="722C588C">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vAlign w:val="center"/>
          </w:tcPr>
          <w:p w14:paraId="432A180D">
            <w:pPr>
              <w:spacing w:line="360" w:lineRule="auto"/>
              <w:jc w:val="left"/>
              <w:rPr>
                <w:rFonts w:ascii="仿宋" w:hAnsi="仿宋" w:cs="仿宋"/>
                <w:color w:val="auto"/>
                <w:sz w:val="24"/>
                <w:szCs w:val="28"/>
              </w:rPr>
            </w:pPr>
            <w:r>
              <w:rPr>
                <w:rFonts w:hint="eastAsia" w:ascii="仿宋" w:hAnsi="仿宋" w:cs="仿宋"/>
                <w:color w:val="auto"/>
                <w:sz w:val="24"/>
                <w:szCs w:val="28"/>
              </w:rPr>
              <w:t>评标基准价=有效投标报价的最低值，有效投标报价等于基准值的得满分10分，投标报价得分=（评标基准价/投标报价）×价格权重×100；有效投标报价为通过初步审查的供应商报价。</w:t>
            </w:r>
          </w:p>
        </w:tc>
      </w:tr>
    </w:tbl>
    <w:p w14:paraId="31CD706C">
      <w:pPr>
        <w:pStyle w:val="337"/>
        <w:ind w:left="0" w:leftChars="0" w:firstLine="0"/>
        <w:rPr>
          <w:rFonts w:ascii="仿宋" w:hAnsi="仿宋" w:cs="仿宋"/>
          <w:color w:val="auto"/>
          <w:sz w:val="28"/>
          <w:szCs w:val="28"/>
        </w:rPr>
      </w:pPr>
      <w:r>
        <w:rPr>
          <w:rFonts w:hint="eastAsia" w:ascii="仿宋" w:hAnsi="仿宋" w:cs="仿宋"/>
          <w:b/>
          <w:bCs/>
          <w:color w:val="auto"/>
          <w:sz w:val="28"/>
          <w:szCs w:val="28"/>
        </w:rPr>
        <w:t>*备注：</w:t>
      </w:r>
    </w:p>
    <w:p w14:paraId="31A94A6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417770F8">
      <w:pPr>
        <w:spacing w:line="560" w:lineRule="exact"/>
        <w:outlineLvl w:val="1"/>
        <w:rPr>
          <w:rFonts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31C6E038">
      <w:pPr>
        <w:spacing w:line="560" w:lineRule="exact"/>
        <w:outlineLvl w:val="1"/>
        <w:rPr>
          <w:rFonts w:ascii="仿宋" w:hAnsi="仿宋" w:cs="仿宋"/>
          <w:b/>
          <w:bCs/>
          <w:color w:val="auto"/>
          <w:sz w:val="28"/>
          <w:szCs w:val="28"/>
        </w:rPr>
      </w:pPr>
      <w:r>
        <w:rPr>
          <w:rFonts w:hint="eastAsia" w:ascii="仿宋" w:hAnsi="仿宋" w:cs="仿宋"/>
          <w:b/>
          <w:bCs/>
          <w:color w:val="auto"/>
          <w:sz w:val="28"/>
          <w:szCs w:val="28"/>
        </w:rPr>
        <w:t>1.17废标</w:t>
      </w:r>
      <w:bookmarkEnd w:id="144"/>
    </w:p>
    <w:p w14:paraId="7634111E">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1D41F12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736B4CB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2.出现影响采购公正的违法、违规行为的；</w:t>
      </w:r>
    </w:p>
    <w:p w14:paraId="75832F5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7B772A8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4.因重大变故，采购任务取消的；</w:t>
      </w:r>
    </w:p>
    <w:p w14:paraId="21098D39">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3426AA22">
      <w:pPr>
        <w:keepNext/>
        <w:keepLines/>
        <w:spacing w:line="560" w:lineRule="exact"/>
        <w:outlineLvl w:val="1"/>
        <w:rPr>
          <w:rFonts w:ascii="仿宋" w:hAnsi="仿宋" w:cs="仿宋"/>
          <w:b/>
          <w:bCs/>
          <w:color w:val="auto"/>
          <w:sz w:val="28"/>
          <w:szCs w:val="28"/>
        </w:rPr>
      </w:pPr>
      <w:bookmarkStart w:id="145" w:name="_Toc4548"/>
      <w:r>
        <w:rPr>
          <w:rFonts w:hint="eastAsia" w:ascii="仿宋" w:hAnsi="仿宋" w:cs="仿宋"/>
          <w:b/>
          <w:bCs/>
          <w:color w:val="auto"/>
          <w:sz w:val="28"/>
          <w:szCs w:val="28"/>
        </w:rPr>
        <w:t>1.18定标</w:t>
      </w:r>
      <w:bookmarkEnd w:id="145"/>
    </w:p>
    <w:p w14:paraId="55DD136F">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1.18.1定标原则</w:t>
      </w:r>
    </w:p>
    <w:p w14:paraId="6B54902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49D4FA5B">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0F9CC946">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1.18.2定标程序</w:t>
      </w:r>
    </w:p>
    <w:p w14:paraId="5F51144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419C995E">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1D5BA97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7395C60C">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4BE89C3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711CB2D5">
      <w:pPr>
        <w:keepNext/>
        <w:keepLines/>
        <w:spacing w:line="560" w:lineRule="exact"/>
        <w:jc w:val="left"/>
        <w:outlineLvl w:val="1"/>
        <w:rPr>
          <w:rFonts w:ascii="仿宋" w:hAnsi="仿宋" w:cs="仿宋"/>
          <w:b/>
          <w:bCs/>
          <w:color w:val="auto"/>
          <w:sz w:val="28"/>
          <w:szCs w:val="28"/>
        </w:rPr>
      </w:pPr>
      <w:bookmarkStart w:id="146" w:name="_Toc21869"/>
      <w:r>
        <w:rPr>
          <w:rFonts w:hint="eastAsia" w:ascii="仿宋" w:hAnsi="仿宋" w:cs="仿宋"/>
          <w:b/>
          <w:bCs/>
          <w:color w:val="auto"/>
          <w:sz w:val="28"/>
          <w:szCs w:val="28"/>
        </w:rPr>
        <w:t>1.19评审专家在政府采购活动中承担以下义务</w:t>
      </w:r>
      <w:bookmarkEnd w:id="146"/>
    </w:p>
    <w:p w14:paraId="6DFA8303">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6ADF2960">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6FDDA6DD">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2A1BF939">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02B6B208">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6A57CFCC">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008ABB3C">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7B768F39">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46FE5CFF">
      <w:pPr>
        <w:keepNext/>
        <w:keepLines/>
        <w:spacing w:before="240" w:line="560" w:lineRule="exact"/>
        <w:jc w:val="left"/>
        <w:outlineLvl w:val="1"/>
        <w:rPr>
          <w:rFonts w:ascii="仿宋" w:hAnsi="仿宋" w:cs="仿宋"/>
          <w:b/>
          <w:bCs/>
          <w:color w:val="auto"/>
          <w:sz w:val="28"/>
          <w:szCs w:val="28"/>
        </w:rPr>
      </w:pPr>
      <w:bookmarkStart w:id="147" w:name="_Toc20776"/>
      <w:r>
        <w:rPr>
          <w:rFonts w:hint="eastAsia" w:ascii="仿宋" w:hAnsi="仿宋" w:cs="仿宋"/>
          <w:b/>
          <w:bCs/>
          <w:color w:val="auto"/>
          <w:sz w:val="28"/>
          <w:szCs w:val="28"/>
        </w:rPr>
        <w:t>1.20评审专家在政府采购活动中应当遵守以下工作纪律</w:t>
      </w:r>
      <w:bookmarkEnd w:id="147"/>
    </w:p>
    <w:p w14:paraId="3B6C921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0D912641">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0BAECE31">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53DFB3D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5011760F">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113DF9BA">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5756D07D">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7C35BFC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669BFF3C">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7B6F44B6">
      <w:pPr>
        <w:tabs>
          <w:tab w:val="left" w:pos="1155"/>
          <w:tab w:val="left" w:pos="1276"/>
          <w:tab w:val="left" w:pos="1418"/>
        </w:tabs>
        <w:spacing w:line="360" w:lineRule="auto"/>
        <w:rPr>
          <w:rFonts w:ascii="宋体" w:hAnsi="宋体" w:eastAsia="宋体" w:cs="宋体"/>
          <w:color w:val="auto"/>
          <w:sz w:val="24"/>
          <w:szCs w:val="24"/>
        </w:rPr>
      </w:pPr>
    </w:p>
    <w:p w14:paraId="072DBE17">
      <w:pPr>
        <w:pStyle w:val="6"/>
        <w:rPr>
          <w:color w:val="auto"/>
          <w:sz w:val="24"/>
          <w:szCs w:val="24"/>
        </w:rPr>
      </w:pPr>
    </w:p>
    <w:bookmarkEnd w:id="2"/>
    <w:bookmarkEnd w:id="3"/>
    <w:bookmarkEnd w:id="4"/>
    <w:bookmarkEnd w:id="5"/>
    <w:bookmarkEnd w:id="113"/>
    <w:bookmarkEnd w:id="114"/>
    <w:p w14:paraId="34D61D2C">
      <w:pPr>
        <w:widowControl/>
        <w:jc w:val="left"/>
        <w:rPr>
          <w:rFonts w:ascii="宋体" w:hAnsi="宋体"/>
          <w:b/>
          <w:bCs/>
          <w:color w:val="auto"/>
          <w:spacing w:val="-20"/>
          <w:kern w:val="44"/>
          <w:sz w:val="32"/>
          <w:szCs w:val="32"/>
        </w:rPr>
      </w:pPr>
      <w:bookmarkStart w:id="148" w:name="_Toc217446108"/>
      <w:bookmarkStart w:id="149" w:name="_Toc8573798"/>
      <w:bookmarkStart w:id="150" w:name="_Toc34729074"/>
      <w:r>
        <w:rPr>
          <w:rFonts w:ascii="宋体" w:hAnsi="宋体"/>
          <w:b/>
          <w:bCs/>
          <w:color w:val="auto"/>
          <w:spacing w:val="-20"/>
          <w:kern w:val="44"/>
          <w:sz w:val="24"/>
          <w:szCs w:val="24"/>
        </w:rPr>
        <w:br w:type="page"/>
      </w:r>
    </w:p>
    <w:p w14:paraId="0A4AF5B1">
      <w:pPr>
        <w:keepNext/>
        <w:keepLines/>
        <w:spacing w:before="340" w:after="330" w:line="400" w:lineRule="exact"/>
        <w:ind w:left="-142"/>
        <w:jc w:val="center"/>
        <w:outlineLvl w:val="0"/>
        <w:rPr>
          <w:rFonts w:ascii="宋体" w:hAnsi="宋体"/>
          <w:b/>
          <w:bCs/>
          <w:color w:val="auto"/>
          <w:spacing w:val="-20"/>
          <w:kern w:val="44"/>
          <w:sz w:val="32"/>
          <w:szCs w:val="32"/>
        </w:rPr>
      </w:pPr>
      <w:bookmarkStart w:id="151" w:name="_Toc11838"/>
      <w:bookmarkStart w:id="152" w:name="_Toc27073"/>
      <w:bookmarkStart w:id="153" w:name="_Toc14865"/>
      <w:r>
        <w:rPr>
          <w:rFonts w:hint="eastAsia" w:ascii="宋体" w:hAnsi="宋体"/>
          <w:b/>
          <w:bCs/>
          <w:color w:val="auto"/>
          <w:spacing w:val="-20"/>
          <w:kern w:val="44"/>
          <w:sz w:val="32"/>
          <w:szCs w:val="32"/>
        </w:rPr>
        <w:t>第7章 拟签订的合同文本</w:t>
      </w:r>
      <w:bookmarkEnd w:id="151"/>
      <w:bookmarkEnd w:id="152"/>
      <w:bookmarkEnd w:id="153"/>
    </w:p>
    <w:p w14:paraId="604D4CE8">
      <w:pPr>
        <w:rPr>
          <w:color w:val="auto"/>
        </w:rPr>
      </w:pPr>
    </w:p>
    <w:bookmarkEnd w:id="148"/>
    <w:bookmarkEnd w:id="149"/>
    <w:bookmarkEnd w:id="150"/>
    <w:p w14:paraId="33BD449F">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5F012FCA">
      <w:pPr>
        <w:spacing w:line="480" w:lineRule="auto"/>
        <w:jc w:val="center"/>
        <w:rPr>
          <w:rFonts w:ascii="宋体" w:hAnsi="宋体" w:cs="宋体"/>
          <w:b/>
          <w:color w:val="auto"/>
          <w:sz w:val="28"/>
          <w:szCs w:val="28"/>
        </w:rPr>
      </w:pPr>
    </w:p>
    <w:p w14:paraId="1EB24A59">
      <w:pPr>
        <w:spacing w:line="480" w:lineRule="auto"/>
        <w:jc w:val="center"/>
        <w:rPr>
          <w:rFonts w:ascii="宋体" w:hAnsi="宋体" w:cs="宋体"/>
          <w:b/>
          <w:color w:val="auto"/>
          <w:sz w:val="24"/>
        </w:rPr>
      </w:pPr>
    </w:p>
    <w:p w14:paraId="1CAC4A38">
      <w:pPr>
        <w:spacing w:line="480" w:lineRule="auto"/>
        <w:jc w:val="center"/>
        <w:rPr>
          <w:rFonts w:ascii="宋体" w:hAnsi="宋体" w:cs="宋体"/>
          <w:b/>
          <w:color w:val="auto"/>
          <w:sz w:val="24"/>
        </w:rPr>
      </w:pPr>
    </w:p>
    <w:p w14:paraId="5C7983CC">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4F38A787">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65B97242">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5F8414B6">
      <w:pPr>
        <w:spacing w:before="120" w:line="22" w:lineRule="atLeast"/>
        <w:rPr>
          <w:rFonts w:ascii="宋体" w:hAnsi="宋体" w:cs="宋体"/>
          <w:color w:val="auto"/>
          <w:sz w:val="24"/>
        </w:rPr>
      </w:pPr>
    </w:p>
    <w:p w14:paraId="3AD161E3">
      <w:pPr>
        <w:keepNext/>
        <w:keepLines/>
        <w:tabs>
          <w:tab w:val="left" w:pos="432"/>
        </w:tabs>
        <w:ind w:left="431" w:hanging="431"/>
        <w:rPr>
          <w:color w:val="auto"/>
        </w:rPr>
      </w:pPr>
    </w:p>
    <w:p w14:paraId="3A43E78A">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574924B2">
      <w:pPr>
        <w:pStyle w:val="215"/>
        <w:spacing w:before="120" w:line="22" w:lineRule="atLeast"/>
        <w:rPr>
          <w:rFonts w:ascii="宋体" w:hAnsi="宋体" w:eastAsia="宋体" w:cs="宋体"/>
          <w:color w:val="auto"/>
          <w:szCs w:val="24"/>
        </w:rPr>
      </w:pPr>
    </w:p>
    <w:p w14:paraId="43AB37A9">
      <w:pPr>
        <w:pStyle w:val="215"/>
        <w:spacing w:before="120" w:line="22" w:lineRule="atLeast"/>
        <w:rPr>
          <w:rFonts w:ascii="宋体" w:hAnsi="宋体" w:eastAsia="宋体" w:cs="宋体"/>
          <w:color w:val="auto"/>
          <w:szCs w:val="24"/>
        </w:rPr>
      </w:pPr>
    </w:p>
    <w:p w14:paraId="4151AA69">
      <w:pPr>
        <w:rPr>
          <w:rFonts w:ascii="宋体" w:hAnsi="宋体" w:cs="宋体"/>
          <w:color w:val="auto"/>
          <w:sz w:val="24"/>
        </w:rPr>
      </w:pPr>
    </w:p>
    <w:p w14:paraId="177D148C">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6F91CF96">
      <w:pPr>
        <w:spacing w:before="120" w:line="22" w:lineRule="atLeast"/>
        <w:rPr>
          <w:rFonts w:ascii="宋体" w:hAnsi="宋体" w:cs="宋体"/>
          <w:color w:val="auto"/>
          <w:sz w:val="24"/>
        </w:rPr>
      </w:pPr>
    </w:p>
    <w:p w14:paraId="29A6375D">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6862B4A7">
      <w:pPr>
        <w:spacing w:before="120" w:line="22" w:lineRule="atLeast"/>
        <w:rPr>
          <w:rFonts w:ascii="宋体" w:hAnsi="宋体" w:cs="宋体"/>
          <w:color w:val="auto"/>
          <w:sz w:val="24"/>
        </w:rPr>
      </w:pPr>
    </w:p>
    <w:p w14:paraId="581CD656">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5FF66F8E">
      <w:pPr>
        <w:spacing w:before="120" w:line="22" w:lineRule="atLeast"/>
        <w:rPr>
          <w:rFonts w:ascii="宋体" w:hAnsi="宋体" w:cs="宋体"/>
          <w:color w:val="auto"/>
          <w:sz w:val="24"/>
        </w:rPr>
      </w:pPr>
    </w:p>
    <w:p w14:paraId="0CE4771F">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75B6B79C">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3393FD16">
      <w:pPr>
        <w:rPr>
          <w:rFonts w:ascii="宋体" w:hAnsi="宋体" w:cs="宋体"/>
          <w:b/>
          <w:color w:val="auto"/>
          <w:sz w:val="24"/>
        </w:rPr>
      </w:pPr>
    </w:p>
    <w:p w14:paraId="1833790A">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1B6A4E1D">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63C6EFF2">
      <w:pPr>
        <w:spacing w:line="560" w:lineRule="exact"/>
        <w:ind w:firstLine="482" w:firstLineChars="200"/>
        <w:outlineLvl w:val="1"/>
        <w:rPr>
          <w:rFonts w:ascii="仿宋" w:hAnsi="仿宋" w:cs="仿宋"/>
          <w:color w:val="auto"/>
          <w:sz w:val="24"/>
        </w:rPr>
      </w:pPr>
      <w:bookmarkStart w:id="154" w:name="_Toc28855"/>
      <w:bookmarkStart w:id="155" w:name="_Toc20421"/>
      <w:bookmarkStart w:id="156" w:name="_Toc19803"/>
      <w:bookmarkStart w:id="157" w:name="_Toc15367"/>
      <w:bookmarkStart w:id="158" w:name="_Toc22967"/>
      <w:bookmarkStart w:id="159" w:name="_Toc7366"/>
      <w:bookmarkStart w:id="160" w:name="_Toc19273"/>
      <w:r>
        <w:rPr>
          <w:rFonts w:hint="eastAsia" w:ascii="仿宋" w:hAnsi="仿宋" w:cs="仿宋"/>
          <w:b/>
          <w:color w:val="auto"/>
          <w:sz w:val="24"/>
        </w:rPr>
        <w:t>1.1 合同组成部分</w:t>
      </w:r>
      <w:bookmarkEnd w:id="154"/>
      <w:bookmarkEnd w:id="155"/>
      <w:bookmarkEnd w:id="156"/>
      <w:bookmarkEnd w:id="157"/>
      <w:bookmarkEnd w:id="158"/>
      <w:bookmarkEnd w:id="159"/>
      <w:bookmarkEnd w:id="160"/>
    </w:p>
    <w:p w14:paraId="73E8612E">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DFEA2F7">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060BD42D">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77ECC97B">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1341D8CC">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3F6AE96A">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5596C483">
      <w:pPr>
        <w:spacing w:line="560" w:lineRule="exact"/>
        <w:ind w:firstLine="482" w:firstLineChars="200"/>
        <w:outlineLvl w:val="1"/>
        <w:rPr>
          <w:rFonts w:ascii="仿宋" w:hAnsi="仿宋" w:cs="仿宋"/>
          <w:b/>
          <w:color w:val="auto"/>
          <w:sz w:val="24"/>
        </w:rPr>
      </w:pPr>
      <w:bookmarkStart w:id="161" w:name="_Toc6773"/>
      <w:bookmarkStart w:id="162" w:name="_Toc6311"/>
      <w:bookmarkStart w:id="163" w:name="_Toc18585"/>
      <w:bookmarkStart w:id="164" w:name="_Toc2918"/>
      <w:bookmarkStart w:id="165" w:name="_Toc22185"/>
      <w:bookmarkStart w:id="166" w:name="_Toc7659"/>
      <w:bookmarkStart w:id="167" w:name="_Toc27828"/>
      <w:r>
        <w:rPr>
          <w:rFonts w:hint="eastAsia" w:ascii="仿宋" w:hAnsi="仿宋" w:cs="仿宋"/>
          <w:b/>
          <w:color w:val="auto"/>
          <w:sz w:val="24"/>
        </w:rPr>
        <w:t>1.2 标的</w:t>
      </w:r>
      <w:bookmarkEnd w:id="161"/>
      <w:bookmarkEnd w:id="162"/>
      <w:bookmarkEnd w:id="163"/>
      <w:bookmarkEnd w:id="164"/>
      <w:bookmarkEnd w:id="165"/>
      <w:bookmarkEnd w:id="166"/>
      <w:bookmarkEnd w:id="167"/>
    </w:p>
    <w:p w14:paraId="694E1B99">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43809D98">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554F4DCF">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4AEE4D05">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7CAB3353">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76EB342A">
      <w:pPr>
        <w:spacing w:line="560" w:lineRule="exact"/>
        <w:ind w:firstLine="480" w:firstLineChars="200"/>
        <w:rPr>
          <w:rFonts w:ascii="仿宋" w:hAnsi="仿宋" w:cs="仿宋"/>
          <w:color w:val="auto"/>
          <w:sz w:val="24"/>
          <w:u w:val="single"/>
        </w:rPr>
      </w:pPr>
      <w:bookmarkStart w:id="168" w:name="_Toc13918"/>
      <w:bookmarkStart w:id="169" w:name="_Toc4929"/>
      <w:bookmarkStart w:id="170" w:name="_Toc21124"/>
      <w:bookmarkStart w:id="171" w:name="_Toc1386"/>
      <w:bookmarkStart w:id="172" w:name="_Toc5635"/>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1EC98253">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10A006FB">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40A162CC">
      <w:pPr>
        <w:spacing w:line="560" w:lineRule="exact"/>
        <w:ind w:firstLine="482" w:firstLineChars="200"/>
        <w:outlineLvl w:val="1"/>
        <w:rPr>
          <w:rFonts w:ascii="仿宋" w:hAnsi="仿宋" w:cs="仿宋"/>
          <w:b/>
          <w:color w:val="auto"/>
          <w:sz w:val="24"/>
        </w:rPr>
      </w:pPr>
      <w:bookmarkStart w:id="173" w:name="_Toc25508"/>
      <w:bookmarkStart w:id="174" w:name="_Toc4258"/>
      <w:r>
        <w:rPr>
          <w:rFonts w:hint="eastAsia" w:ascii="仿宋" w:hAnsi="仿宋" w:cs="仿宋"/>
          <w:b/>
          <w:color w:val="auto"/>
          <w:sz w:val="24"/>
        </w:rPr>
        <w:t>1.3 价款</w:t>
      </w:r>
      <w:bookmarkEnd w:id="168"/>
      <w:bookmarkEnd w:id="169"/>
      <w:bookmarkEnd w:id="170"/>
      <w:bookmarkEnd w:id="171"/>
      <w:bookmarkEnd w:id="172"/>
      <w:bookmarkEnd w:id="173"/>
      <w:bookmarkEnd w:id="174"/>
    </w:p>
    <w:p w14:paraId="2FF729C0">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51F6C924">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78C69DA9">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92DC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A80882">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vAlign w:val="center"/>
          </w:tcPr>
          <w:p w14:paraId="6CDB1099">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vAlign w:val="center"/>
          </w:tcPr>
          <w:p w14:paraId="79E9447E">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17D0E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70973D">
            <w:pPr>
              <w:pStyle w:val="320"/>
              <w:spacing w:line="560" w:lineRule="exact"/>
              <w:ind w:firstLine="200"/>
              <w:jc w:val="center"/>
              <w:rPr>
                <w:rFonts w:ascii="仿宋" w:hAnsi="仿宋" w:cs="仿宋"/>
                <w:color w:val="auto"/>
                <w:sz w:val="24"/>
                <w:szCs w:val="24"/>
              </w:rPr>
            </w:pPr>
          </w:p>
        </w:tc>
        <w:tc>
          <w:tcPr>
            <w:tcW w:w="3402" w:type="dxa"/>
            <w:vAlign w:val="center"/>
          </w:tcPr>
          <w:p w14:paraId="4788E4B2">
            <w:pPr>
              <w:pStyle w:val="320"/>
              <w:spacing w:line="560" w:lineRule="exact"/>
              <w:ind w:firstLine="200"/>
              <w:jc w:val="center"/>
              <w:rPr>
                <w:rFonts w:ascii="仿宋" w:hAnsi="仿宋" w:cs="仿宋"/>
                <w:color w:val="auto"/>
                <w:sz w:val="24"/>
                <w:szCs w:val="24"/>
              </w:rPr>
            </w:pPr>
          </w:p>
        </w:tc>
        <w:tc>
          <w:tcPr>
            <w:tcW w:w="2552" w:type="dxa"/>
            <w:vAlign w:val="center"/>
          </w:tcPr>
          <w:p w14:paraId="79C33B98">
            <w:pPr>
              <w:pStyle w:val="320"/>
              <w:spacing w:line="560" w:lineRule="exact"/>
              <w:ind w:firstLine="200"/>
              <w:jc w:val="center"/>
              <w:rPr>
                <w:rFonts w:ascii="仿宋" w:hAnsi="仿宋" w:cs="仿宋"/>
                <w:color w:val="auto"/>
                <w:sz w:val="24"/>
                <w:szCs w:val="24"/>
              </w:rPr>
            </w:pPr>
          </w:p>
        </w:tc>
      </w:tr>
      <w:tr w14:paraId="2F3D3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A37FFF3">
            <w:pPr>
              <w:pStyle w:val="320"/>
              <w:spacing w:line="560" w:lineRule="exact"/>
              <w:ind w:firstLine="200"/>
              <w:jc w:val="center"/>
              <w:rPr>
                <w:rFonts w:ascii="仿宋" w:hAnsi="仿宋" w:cs="仿宋"/>
                <w:color w:val="auto"/>
                <w:sz w:val="24"/>
                <w:szCs w:val="24"/>
              </w:rPr>
            </w:pPr>
          </w:p>
        </w:tc>
        <w:tc>
          <w:tcPr>
            <w:tcW w:w="3402" w:type="dxa"/>
            <w:vAlign w:val="center"/>
          </w:tcPr>
          <w:p w14:paraId="3D41DE1C">
            <w:pPr>
              <w:pStyle w:val="320"/>
              <w:spacing w:line="560" w:lineRule="exact"/>
              <w:ind w:firstLine="200"/>
              <w:jc w:val="center"/>
              <w:rPr>
                <w:rFonts w:ascii="仿宋" w:hAnsi="仿宋" w:cs="仿宋"/>
                <w:color w:val="auto"/>
                <w:sz w:val="24"/>
                <w:szCs w:val="24"/>
              </w:rPr>
            </w:pPr>
          </w:p>
        </w:tc>
        <w:tc>
          <w:tcPr>
            <w:tcW w:w="2552" w:type="dxa"/>
            <w:vAlign w:val="center"/>
          </w:tcPr>
          <w:p w14:paraId="728E70F4">
            <w:pPr>
              <w:pStyle w:val="320"/>
              <w:spacing w:line="560" w:lineRule="exact"/>
              <w:ind w:firstLine="200"/>
              <w:jc w:val="center"/>
              <w:rPr>
                <w:rFonts w:ascii="仿宋" w:hAnsi="仿宋" w:cs="仿宋"/>
                <w:color w:val="auto"/>
                <w:sz w:val="24"/>
                <w:szCs w:val="24"/>
              </w:rPr>
            </w:pPr>
          </w:p>
        </w:tc>
      </w:tr>
      <w:tr w14:paraId="6683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0896777">
            <w:pPr>
              <w:pStyle w:val="320"/>
              <w:spacing w:line="560" w:lineRule="exact"/>
              <w:ind w:firstLine="200"/>
              <w:jc w:val="center"/>
              <w:rPr>
                <w:rFonts w:ascii="仿宋" w:hAnsi="仿宋" w:cs="仿宋"/>
                <w:color w:val="auto"/>
                <w:sz w:val="24"/>
                <w:szCs w:val="24"/>
              </w:rPr>
            </w:pPr>
          </w:p>
        </w:tc>
        <w:tc>
          <w:tcPr>
            <w:tcW w:w="3402" w:type="dxa"/>
            <w:vAlign w:val="center"/>
          </w:tcPr>
          <w:p w14:paraId="3B1DF3BA">
            <w:pPr>
              <w:pStyle w:val="320"/>
              <w:spacing w:line="560" w:lineRule="exact"/>
              <w:ind w:firstLine="200"/>
              <w:jc w:val="center"/>
              <w:rPr>
                <w:rFonts w:ascii="仿宋" w:hAnsi="仿宋" w:cs="仿宋"/>
                <w:color w:val="auto"/>
                <w:sz w:val="24"/>
                <w:szCs w:val="24"/>
              </w:rPr>
            </w:pPr>
          </w:p>
        </w:tc>
        <w:tc>
          <w:tcPr>
            <w:tcW w:w="2552" w:type="dxa"/>
            <w:vAlign w:val="center"/>
          </w:tcPr>
          <w:p w14:paraId="1804E06D">
            <w:pPr>
              <w:pStyle w:val="320"/>
              <w:spacing w:line="560" w:lineRule="exact"/>
              <w:ind w:firstLine="200"/>
              <w:jc w:val="center"/>
              <w:rPr>
                <w:rFonts w:ascii="仿宋" w:hAnsi="仿宋" w:cs="仿宋"/>
                <w:color w:val="auto"/>
                <w:sz w:val="24"/>
                <w:szCs w:val="24"/>
              </w:rPr>
            </w:pPr>
          </w:p>
        </w:tc>
      </w:tr>
      <w:tr w14:paraId="22DC3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6203C6">
            <w:pPr>
              <w:pStyle w:val="320"/>
              <w:spacing w:line="560" w:lineRule="exact"/>
              <w:ind w:firstLine="200"/>
              <w:jc w:val="center"/>
              <w:rPr>
                <w:rFonts w:ascii="仿宋" w:hAnsi="仿宋" w:cs="仿宋"/>
                <w:color w:val="auto"/>
                <w:sz w:val="24"/>
                <w:szCs w:val="24"/>
              </w:rPr>
            </w:pPr>
          </w:p>
        </w:tc>
        <w:tc>
          <w:tcPr>
            <w:tcW w:w="3402" w:type="dxa"/>
            <w:vAlign w:val="center"/>
          </w:tcPr>
          <w:p w14:paraId="0B94D4ED">
            <w:pPr>
              <w:pStyle w:val="320"/>
              <w:spacing w:line="560" w:lineRule="exact"/>
              <w:ind w:firstLine="200"/>
              <w:jc w:val="center"/>
              <w:rPr>
                <w:rFonts w:ascii="仿宋" w:hAnsi="仿宋" w:cs="仿宋"/>
                <w:color w:val="auto"/>
                <w:sz w:val="24"/>
                <w:szCs w:val="24"/>
              </w:rPr>
            </w:pPr>
          </w:p>
        </w:tc>
        <w:tc>
          <w:tcPr>
            <w:tcW w:w="2552" w:type="dxa"/>
            <w:vAlign w:val="center"/>
          </w:tcPr>
          <w:p w14:paraId="233596BF">
            <w:pPr>
              <w:pStyle w:val="320"/>
              <w:spacing w:line="560" w:lineRule="exact"/>
              <w:ind w:firstLine="200"/>
              <w:jc w:val="center"/>
              <w:rPr>
                <w:rFonts w:ascii="仿宋" w:hAnsi="仿宋" w:cs="仿宋"/>
                <w:color w:val="auto"/>
                <w:sz w:val="24"/>
                <w:szCs w:val="24"/>
              </w:rPr>
            </w:pPr>
          </w:p>
        </w:tc>
      </w:tr>
      <w:tr w14:paraId="3B2C6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0C5DC9E">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vAlign w:val="center"/>
          </w:tcPr>
          <w:p w14:paraId="009EFB3D">
            <w:pPr>
              <w:pStyle w:val="320"/>
              <w:spacing w:line="560" w:lineRule="exact"/>
              <w:ind w:firstLine="200"/>
              <w:jc w:val="center"/>
              <w:rPr>
                <w:rFonts w:ascii="仿宋" w:hAnsi="仿宋" w:cs="仿宋"/>
                <w:color w:val="auto"/>
                <w:sz w:val="24"/>
                <w:szCs w:val="24"/>
              </w:rPr>
            </w:pPr>
          </w:p>
        </w:tc>
      </w:tr>
    </w:tbl>
    <w:p w14:paraId="31D98AC9">
      <w:pPr>
        <w:spacing w:line="560" w:lineRule="exact"/>
        <w:ind w:firstLine="480" w:firstLineChars="200"/>
        <w:rPr>
          <w:rFonts w:ascii="仿宋" w:hAnsi="仿宋" w:cs="仿宋"/>
          <w:color w:val="auto"/>
          <w:sz w:val="24"/>
        </w:rPr>
      </w:pPr>
      <w:bookmarkStart w:id="175" w:name="_Toc14993"/>
      <w:bookmarkStart w:id="176" w:name="_Toc3654"/>
      <w:bookmarkStart w:id="177" w:name="_Toc30158"/>
      <w:bookmarkStart w:id="178" w:name="_Toc26916"/>
      <w:bookmarkStart w:id="179" w:name="_Toc30506"/>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51261C04">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175"/>
    <w:bookmarkEnd w:id="176"/>
    <w:bookmarkEnd w:id="177"/>
    <w:bookmarkEnd w:id="178"/>
    <w:bookmarkEnd w:id="179"/>
    <w:p w14:paraId="03FBD7CE">
      <w:pPr>
        <w:pStyle w:val="224"/>
        <w:spacing w:before="0" w:beforeAutospacing="0" w:after="0" w:afterAutospacing="0" w:line="360" w:lineRule="auto"/>
        <w:ind w:firstLine="480"/>
        <w:rPr>
          <w:rFonts w:ascii="仿宋" w:hAnsi="仿宋" w:cs="仿宋"/>
          <w:b/>
          <w:color w:val="auto"/>
        </w:rPr>
      </w:pPr>
      <w:bookmarkStart w:id="180" w:name="_Toc10340"/>
      <w:bookmarkStart w:id="181" w:name="_Toc22618"/>
      <w:bookmarkStart w:id="182" w:name="_Toc1814"/>
      <w:bookmarkStart w:id="183" w:name="_Toc31421"/>
      <w:bookmarkStart w:id="184" w:name="_Toc3625"/>
      <w:bookmarkStart w:id="185" w:name="_Toc8772"/>
      <w:bookmarkStart w:id="186" w:name="_Toc4760"/>
      <w:bookmarkStart w:id="187" w:name="_Toc11108"/>
      <w:r>
        <w:rPr>
          <w:rFonts w:hint="eastAsia" w:ascii="仿宋" w:hAnsi="仿宋" w:cs="仿宋"/>
          <w:b/>
          <w:color w:val="auto"/>
        </w:rPr>
        <w:t>1.4履约保函</w:t>
      </w:r>
    </w:p>
    <w:p w14:paraId="14044355">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7FA58509">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681DAC52">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750D3FE5">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04269CA">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2FB288D5">
      <w:pPr>
        <w:spacing w:line="560" w:lineRule="exact"/>
        <w:ind w:firstLine="482" w:firstLineChars="200"/>
        <w:outlineLvl w:val="1"/>
        <w:rPr>
          <w:rFonts w:ascii="仿宋" w:hAnsi="仿宋" w:cs="仿宋"/>
          <w:b/>
          <w:color w:val="auto"/>
          <w:sz w:val="24"/>
        </w:rPr>
      </w:pPr>
      <w:bookmarkStart w:id="188" w:name="_Toc16437"/>
      <w:bookmarkStart w:id="189" w:name="_Toc9623"/>
      <w:r>
        <w:rPr>
          <w:rFonts w:hint="eastAsia" w:ascii="仿宋" w:hAnsi="仿宋" w:cs="仿宋"/>
          <w:b/>
          <w:color w:val="auto"/>
          <w:sz w:val="24"/>
        </w:rPr>
        <w:t>1.5</w:t>
      </w:r>
      <w:bookmarkEnd w:id="180"/>
      <w:bookmarkEnd w:id="181"/>
      <w:bookmarkEnd w:id="182"/>
      <w:r>
        <w:rPr>
          <w:rFonts w:hint="eastAsia" w:ascii="仿宋" w:hAnsi="仿宋" w:cs="仿宋"/>
          <w:b/>
          <w:color w:val="auto"/>
          <w:sz w:val="24"/>
        </w:rPr>
        <w:t>预付款</w:t>
      </w:r>
      <w:bookmarkEnd w:id="188"/>
      <w:bookmarkEnd w:id="189"/>
    </w:p>
    <w:p w14:paraId="2368BB90">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1F0E5D16">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7E747BAA">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2CFB3FBD">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10DF5A46">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2F040E8C">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100E244">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498224BB">
      <w:pPr>
        <w:spacing w:line="560" w:lineRule="exact"/>
        <w:ind w:firstLine="482" w:firstLineChars="200"/>
        <w:outlineLvl w:val="1"/>
        <w:rPr>
          <w:rFonts w:ascii="仿宋" w:hAnsi="仿宋" w:cs="仿宋"/>
          <w:b/>
          <w:color w:val="auto"/>
          <w:sz w:val="24"/>
        </w:rPr>
      </w:pPr>
      <w:bookmarkStart w:id="190" w:name="_Toc6825"/>
      <w:bookmarkStart w:id="191" w:name="_Toc15240"/>
      <w:r>
        <w:rPr>
          <w:rFonts w:hint="eastAsia" w:ascii="仿宋" w:hAnsi="仿宋" w:cs="仿宋"/>
          <w:b/>
          <w:color w:val="auto"/>
          <w:sz w:val="24"/>
        </w:rPr>
        <w:t>1.7 履行期限、地点和方式</w:t>
      </w:r>
      <w:bookmarkEnd w:id="183"/>
      <w:bookmarkEnd w:id="184"/>
      <w:bookmarkEnd w:id="185"/>
      <w:bookmarkEnd w:id="186"/>
      <w:bookmarkEnd w:id="187"/>
      <w:bookmarkEnd w:id="190"/>
      <w:bookmarkEnd w:id="191"/>
    </w:p>
    <w:p w14:paraId="23B10394">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39B743F3">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24B1343C">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6EDEB1B4">
      <w:pPr>
        <w:adjustRightInd w:val="0"/>
        <w:spacing w:line="560" w:lineRule="exact"/>
        <w:ind w:firstLine="480" w:firstLineChars="200"/>
        <w:rPr>
          <w:rFonts w:ascii="仿宋" w:hAnsi="仿宋" w:cs="仿宋"/>
          <w:bCs/>
          <w:color w:val="auto"/>
          <w:sz w:val="24"/>
        </w:rPr>
      </w:pPr>
      <w:bookmarkStart w:id="192" w:name="_Toc5698"/>
      <w:bookmarkStart w:id="193" w:name="_Toc24662"/>
      <w:bookmarkStart w:id="194" w:name="_Toc8586"/>
      <w:bookmarkStart w:id="195" w:name="_Toc3079"/>
      <w:bookmarkStart w:id="196" w:name="_Toc2375"/>
      <w:r>
        <w:rPr>
          <w:rFonts w:hint="eastAsia" w:ascii="仿宋" w:hAnsi="仿宋" w:cs="仿宋"/>
          <w:bCs/>
          <w:color w:val="auto"/>
          <w:sz w:val="24"/>
        </w:rPr>
        <w:t>1.7.4若服务涉及货物的，则货物的：</w:t>
      </w:r>
    </w:p>
    <w:p w14:paraId="3E23DDFF">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0B514351">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3E7D2BD8">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07FE48BE">
      <w:pPr>
        <w:spacing w:line="560" w:lineRule="exact"/>
        <w:ind w:firstLine="482" w:firstLineChars="200"/>
        <w:outlineLvl w:val="1"/>
        <w:rPr>
          <w:rFonts w:ascii="仿宋" w:hAnsi="仿宋" w:cs="仿宋"/>
          <w:color w:val="auto"/>
          <w:sz w:val="24"/>
          <w:u w:val="single"/>
        </w:rPr>
      </w:pPr>
      <w:bookmarkStart w:id="197" w:name="_Toc2009"/>
      <w:bookmarkStart w:id="198" w:name="_Toc15653"/>
      <w:r>
        <w:rPr>
          <w:rFonts w:hint="eastAsia" w:ascii="仿宋" w:hAnsi="仿宋" w:cs="仿宋"/>
          <w:b/>
          <w:color w:val="auto"/>
          <w:sz w:val="24"/>
        </w:rPr>
        <w:t>1.8违约责任</w:t>
      </w:r>
      <w:bookmarkEnd w:id="192"/>
      <w:bookmarkEnd w:id="193"/>
      <w:bookmarkEnd w:id="194"/>
      <w:bookmarkEnd w:id="195"/>
      <w:bookmarkEnd w:id="196"/>
      <w:bookmarkEnd w:id="197"/>
      <w:bookmarkEnd w:id="198"/>
    </w:p>
    <w:p w14:paraId="72899796">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7A7A0853">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1FAEA2CD">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0A09018E">
      <w:pPr>
        <w:spacing w:line="560" w:lineRule="exact"/>
        <w:ind w:firstLine="480" w:firstLineChars="200"/>
        <w:rPr>
          <w:rFonts w:ascii="仿宋" w:hAnsi="仿宋" w:cs="仿宋"/>
          <w:color w:val="auto"/>
          <w:sz w:val="24"/>
        </w:rPr>
      </w:pPr>
      <w:bookmarkStart w:id="199" w:name="_Toc32454"/>
      <w:bookmarkStart w:id="200" w:name="_Toc26807"/>
      <w:bookmarkStart w:id="201" w:name="_Toc30329"/>
      <w:bookmarkStart w:id="202" w:name="_Toc9497"/>
      <w:bookmarkStart w:id="203" w:name="_Toc18683"/>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6F1A3CB">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707CBB9">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F7210C3">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199"/>
    <w:bookmarkEnd w:id="200"/>
    <w:bookmarkEnd w:id="201"/>
    <w:bookmarkEnd w:id="202"/>
    <w:bookmarkEnd w:id="203"/>
    <w:p w14:paraId="10FEC311">
      <w:pPr>
        <w:spacing w:line="560" w:lineRule="exact"/>
        <w:ind w:firstLine="482" w:firstLineChars="200"/>
        <w:outlineLvl w:val="1"/>
        <w:rPr>
          <w:rFonts w:ascii="仿宋" w:hAnsi="仿宋" w:cs="仿宋"/>
          <w:b/>
          <w:color w:val="auto"/>
          <w:sz w:val="24"/>
        </w:rPr>
      </w:pPr>
      <w:bookmarkStart w:id="204" w:name="_Toc28375"/>
      <w:bookmarkStart w:id="205" w:name="_Toc15583"/>
      <w:bookmarkStart w:id="206" w:name="_Toc31049"/>
      <w:bookmarkStart w:id="207" w:name="_Toc16021"/>
      <w:bookmarkStart w:id="208" w:name="_Toc4790"/>
      <w:r>
        <w:rPr>
          <w:rFonts w:hint="eastAsia" w:ascii="仿宋" w:hAnsi="仿宋" w:cs="仿宋"/>
          <w:b/>
          <w:color w:val="auto"/>
          <w:sz w:val="24"/>
        </w:rPr>
        <w:t>1.9合同争议的解决</w:t>
      </w:r>
      <w:bookmarkEnd w:id="204"/>
      <w:bookmarkEnd w:id="205"/>
      <w:bookmarkEnd w:id="206"/>
      <w:bookmarkEnd w:id="207"/>
      <w:bookmarkEnd w:id="208"/>
    </w:p>
    <w:p w14:paraId="408D06B9">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027B6379">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00C8E457">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75D0C5E7">
      <w:pPr>
        <w:spacing w:line="560" w:lineRule="exact"/>
        <w:ind w:firstLine="482" w:firstLineChars="200"/>
        <w:outlineLvl w:val="1"/>
        <w:rPr>
          <w:rFonts w:ascii="仿宋" w:hAnsi="仿宋" w:cs="仿宋"/>
          <w:b/>
          <w:color w:val="auto"/>
          <w:sz w:val="24"/>
        </w:rPr>
      </w:pPr>
      <w:bookmarkStart w:id="209" w:name="_Toc25250"/>
      <w:bookmarkStart w:id="210" w:name="_Toc15322"/>
      <w:bookmarkStart w:id="211" w:name="_Toc7245"/>
      <w:bookmarkStart w:id="212" w:name="_Toc8195"/>
      <w:bookmarkStart w:id="213" w:name="_Toc11173"/>
      <w:r>
        <w:rPr>
          <w:rFonts w:hint="eastAsia" w:ascii="仿宋" w:hAnsi="仿宋" w:cs="仿宋"/>
          <w:b/>
          <w:color w:val="auto"/>
          <w:sz w:val="24"/>
        </w:rPr>
        <w:t>2.0 合同生效</w:t>
      </w:r>
      <w:bookmarkEnd w:id="209"/>
      <w:bookmarkEnd w:id="210"/>
      <w:bookmarkEnd w:id="211"/>
      <w:bookmarkEnd w:id="212"/>
      <w:bookmarkEnd w:id="213"/>
    </w:p>
    <w:p w14:paraId="3DBCC48E">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6015EE22">
      <w:pPr>
        <w:autoSpaceDE w:val="0"/>
        <w:autoSpaceDN w:val="0"/>
        <w:spacing w:line="520" w:lineRule="exact"/>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31A44C29">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745C5A44">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住所：                                   住所：</w:t>
      </w:r>
    </w:p>
    <w:p w14:paraId="1A1CC0AB">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法定代表人或                             法定代表人或</w:t>
      </w:r>
    </w:p>
    <w:p w14:paraId="0AF4945A">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2C54FF26">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联系人：                                 联系人：</w:t>
      </w:r>
    </w:p>
    <w:p w14:paraId="3DD6CC81">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约定送达地址：                           约定送达地址：</w:t>
      </w:r>
    </w:p>
    <w:p w14:paraId="04E24363">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邮政编码：                               邮政编码：</w:t>
      </w:r>
    </w:p>
    <w:p w14:paraId="67928B41">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电话：                                    电话： </w:t>
      </w:r>
    </w:p>
    <w:p w14:paraId="7BE5C01A">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传真：                                    传真：</w:t>
      </w:r>
    </w:p>
    <w:p w14:paraId="08B973AA">
      <w:pPr>
        <w:autoSpaceDE w:val="0"/>
        <w:autoSpaceDN w:val="0"/>
        <w:spacing w:line="520" w:lineRule="exact"/>
        <w:rPr>
          <w:rFonts w:ascii="仿宋" w:hAnsi="仿宋" w:cs="仿宋"/>
          <w:color w:val="auto"/>
          <w:sz w:val="24"/>
        </w:rPr>
      </w:pPr>
      <w:r>
        <w:rPr>
          <w:rFonts w:hint="eastAsia" w:ascii="仿宋" w:hAnsi="仿宋" w:cs="仿宋"/>
          <w:color w:val="auto"/>
          <w:sz w:val="24"/>
          <w:lang w:val="zh-CN"/>
        </w:rPr>
        <w:t>电子邮箱：                               电子邮箱：</w:t>
      </w:r>
    </w:p>
    <w:p w14:paraId="50407BFE">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开户银行：                               开户银行： </w:t>
      </w:r>
    </w:p>
    <w:p w14:paraId="70A4E9A0">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开户名称：                               开户名称： </w:t>
      </w:r>
    </w:p>
    <w:p w14:paraId="794E643B">
      <w:pPr>
        <w:autoSpaceDE w:val="0"/>
        <w:autoSpaceDN w:val="0"/>
        <w:spacing w:line="520" w:lineRule="exact"/>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2B31267C">
      <w:pPr>
        <w:widowControl/>
        <w:jc w:val="left"/>
        <w:rPr>
          <w:rFonts w:ascii="仿宋" w:hAnsi="仿宋" w:cs="仿宋"/>
          <w:b/>
          <w:color w:val="auto"/>
          <w:sz w:val="24"/>
        </w:rPr>
      </w:pPr>
      <w:r>
        <w:rPr>
          <w:rFonts w:hint="eastAsia" w:ascii="仿宋" w:hAnsi="仿宋" w:cs="仿宋"/>
          <w:b/>
          <w:color w:val="auto"/>
        </w:rPr>
        <w:br w:type="page"/>
      </w:r>
    </w:p>
    <w:p w14:paraId="03172608">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79E2608E">
      <w:pPr>
        <w:spacing w:line="560" w:lineRule="exact"/>
        <w:ind w:firstLine="482" w:firstLineChars="200"/>
        <w:outlineLvl w:val="1"/>
        <w:rPr>
          <w:rFonts w:ascii="仿宋" w:hAnsi="仿宋" w:cs="仿宋"/>
          <w:b/>
          <w:color w:val="auto"/>
          <w:sz w:val="24"/>
        </w:rPr>
      </w:pPr>
      <w:bookmarkStart w:id="214" w:name="_Toc8583"/>
      <w:bookmarkStart w:id="215" w:name="_Toc14021"/>
      <w:bookmarkStart w:id="216" w:name="_Toc31297"/>
      <w:bookmarkStart w:id="217" w:name="_Toc25079"/>
      <w:bookmarkStart w:id="218" w:name="_Toc2197"/>
      <w:bookmarkStart w:id="219" w:name="_Toc5228"/>
      <w:bookmarkStart w:id="220" w:name="_Toc19680"/>
      <w:r>
        <w:rPr>
          <w:rFonts w:hint="eastAsia" w:ascii="仿宋" w:hAnsi="仿宋" w:cs="仿宋"/>
          <w:b/>
          <w:color w:val="auto"/>
          <w:sz w:val="24"/>
        </w:rPr>
        <w:t>2.1 定义</w:t>
      </w:r>
      <w:bookmarkEnd w:id="214"/>
      <w:bookmarkEnd w:id="215"/>
      <w:bookmarkEnd w:id="216"/>
      <w:bookmarkEnd w:id="217"/>
      <w:bookmarkEnd w:id="218"/>
      <w:bookmarkEnd w:id="219"/>
      <w:bookmarkEnd w:id="220"/>
    </w:p>
    <w:p w14:paraId="3862D410">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21A0DD49">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64A90990">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61361D90">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192D65FE">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0D1FF050">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86FE62F">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2946E395">
      <w:pPr>
        <w:spacing w:line="560" w:lineRule="exact"/>
        <w:ind w:firstLine="482" w:firstLineChars="200"/>
        <w:outlineLvl w:val="1"/>
        <w:rPr>
          <w:rFonts w:ascii="仿宋" w:hAnsi="仿宋" w:cs="仿宋"/>
          <w:b/>
          <w:color w:val="auto"/>
          <w:sz w:val="24"/>
        </w:rPr>
      </w:pPr>
      <w:bookmarkStart w:id="221" w:name="_Toc16752"/>
      <w:bookmarkStart w:id="222" w:name="_Toc11795"/>
      <w:bookmarkStart w:id="223" w:name="_Toc31402"/>
      <w:bookmarkStart w:id="224" w:name="_Toc3769"/>
      <w:bookmarkStart w:id="225" w:name="_Toc6220"/>
      <w:bookmarkStart w:id="226" w:name="_Toc23289"/>
      <w:bookmarkStart w:id="227" w:name="_Toc19539"/>
      <w:r>
        <w:rPr>
          <w:rFonts w:hint="eastAsia" w:ascii="仿宋" w:hAnsi="仿宋" w:cs="仿宋"/>
          <w:b/>
          <w:color w:val="auto"/>
          <w:sz w:val="24"/>
        </w:rPr>
        <w:t>2.2 技术规范</w:t>
      </w:r>
      <w:bookmarkEnd w:id="221"/>
      <w:bookmarkEnd w:id="222"/>
      <w:bookmarkEnd w:id="223"/>
      <w:bookmarkEnd w:id="224"/>
      <w:bookmarkEnd w:id="225"/>
      <w:bookmarkEnd w:id="226"/>
      <w:bookmarkEnd w:id="227"/>
    </w:p>
    <w:p w14:paraId="5C241F83">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D0EDF05">
      <w:pPr>
        <w:spacing w:line="560" w:lineRule="exact"/>
        <w:ind w:firstLine="482" w:firstLineChars="200"/>
        <w:outlineLvl w:val="1"/>
        <w:rPr>
          <w:rFonts w:ascii="仿宋" w:hAnsi="仿宋" w:cs="仿宋"/>
          <w:b/>
          <w:color w:val="auto"/>
          <w:sz w:val="24"/>
        </w:rPr>
      </w:pPr>
      <w:bookmarkStart w:id="228" w:name="_Toc9161"/>
      <w:bookmarkStart w:id="229" w:name="_Toc27945"/>
      <w:bookmarkStart w:id="230" w:name="_Toc6990"/>
      <w:bookmarkStart w:id="231" w:name="_Toc32684"/>
      <w:bookmarkStart w:id="232" w:name="_Toc12412"/>
      <w:bookmarkStart w:id="233" w:name="_Toc4133"/>
      <w:bookmarkStart w:id="234" w:name="_Toc13673"/>
      <w:r>
        <w:rPr>
          <w:rFonts w:hint="eastAsia" w:ascii="仿宋" w:hAnsi="仿宋" w:cs="仿宋"/>
          <w:b/>
          <w:color w:val="auto"/>
          <w:sz w:val="24"/>
        </w:rPr>
        <w:t>2.3 知识产权</w:t>
      </w:r>
      <w:bookmarkEnd w:id="228"/>
      <w:bookmarkEnd w:id="229"/>
      <w:bookmarkEnd w:id="230"/>
      <w:bookmarkEnd w:id="231"/>
      <w:bookmarkEnd w:id="232"/>
      <w:bookmarkEnd w:id="233"/>
      <w:bookmarkEnd w:id="234"/>
    </w:p>
    <w:p w14:paraId="08B9D06E">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7C4E0C8">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169C38D9">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0DF205E5">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3F916F6">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627334B9">
      <w:pPr>
        <w:spacing w:line="560" w:lineRule="exact"/>
        <w:ind w:firstLine="482" w:firstLineChars="200"/>
        <w:outlineLvl w:val="1"/>
        <w:rPr>
          <w:rFonts w:ascii="仿宋" w:hAnsi="仿宋" w:cs="仿宋"/>
          <w:b/>
          <w:color w:val="auto"/>
          <w:sz w:val="24"/>
        </w:rPr>
      </w:pPr>
      <w:bookmarkStart w:id="235" w:name="_Toc26006"/>
      <w:bookmarkStart w:id="236" w:name="_Toc22011"/>
      <w:bookmarkStart w:id="237" w:name="_Toc31233"/>
      <w:bookmarkStart w:id="238" w:name="_Toc32670"/>
      <w:bookmarkStart w:id="239" w:name="_Toc15447"/>
      <w:bookmarkStart w:id="240" w:name="_Toc26555"/>
      <w:bookmarkStart w:id="241" w:name="_Toc5954"/>
      <w:r>
        <w:rPr>
          <w:rFonts w:hint="eastAsia" w:ascii="仿宋" w:hAnsi="仿宋" w:cs="仿宋"/>
          <w:b/>
          <w:color w:val="auto"/>
          <w:sz w:val="24"/>
        </w:rPr>
        <w:t>2.5 结算方式和付款条件</w:t>
      </w:r>
      <w:bookmarkEnd w:id="235"/>
      <w:bookmarkEnd w:id="236"/>
      <w:bookmarkEnd w:id="237"/>
      <w:bookmarkEnd w:id="238"/>
      <w:bookmarkEnd w:id="239"/>
      <w:bookmarkEnd w:id="240"/>
      <w:bookmarkEnd w:id="241"/>
    </w:p>
    <w:p w14:paraId="778D7091">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5ABA2528">
      <w:pPr>
        <w:spacing w:line="560" w:lineRule="exact"/>
        <w:ind w:firstLine="482" w:firstLineChars="200"/>
        <w:outlineLvl w:val="1"/>
        <w:rPr>
          <w:rFonts w:ascii="仿宋" w:hAnsi="仿宋" w:cs="仿宋"/>
          <w:b/>
          <w:color w:val="auto"/>
          <w:sz w:val="24"/>
        </w:rPr>
      </w:pPr>
      <w:bookmarkStart w:id="242" w:name="_Toc18990"/>
      <w:bookmarkStart w:id="243" w:name="_Toc9128"/>
      <w:bookmarkStart w:id="244" w:name="_Toc16163"/>
      <w:bookmarkStart w:id="245" w:name="_Toc232"/>
      <w:bookmarkStart w:id="246" w:name="_Toc30507"/>
      <w:bookmarkStart w:id="247" w:name="_Toc13154"/>
      <w:bookmarkStart w:id="248" w:name="_Toc13467"/>
      <w:r>
        <w:rPr>
          <w:rFonts w:hint="eastAsia" w:ascii="仿宋" w:hAnsi="仿宋" w:cs="仿宋"/>
          <w:b/>
          <w:color w:val="auto"/>
          <w:sz w:val="24"/>
        </w:rPr>
        <w:t>2.6 技术资料和保密义务</w:t>
      </w:r>
      <w:bookmarkEnd w:id="242"/>
      <w:bookmarkEnd w:id="243"/>
      <w:bookmarkEnd w:id="244"/>
      <w:bookmarkEnd w:id="245"/>
      <w:bookmarkEnd w:id="246"/>
      <w:bookmarkEnd w:id="247"/>
      <w:bookmarkEnd w:id="248"/>
    </w:p>
    <w:p w14:paraId="50A01F04">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2E5DB8D4">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04F52F96">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7385F3A">
      <w:pPr>
        <w:spacing w:line="560" w:lineRule="exact"/>
        <w:ind w:firstLine="482" w:firstLineChars="200"/>
        <w:outlineLvl w:val="1"/>
        <w:rPr>
          <w:rFonts w:ascii="仿宋" w:hAnsi="仿宋" w:cs="仿宋"/>
          <w:b/>
          <w:color w:val="auto"/>
          <w:sz w:val="24"/>
        </w:rPr>
      </w:pPr>
      <w:bookmarkStart w:id="249" w:name="_Toc19069"/>
      <w:bookmarkStart w:id="250" w:name="_Toc28724"/>
      <w:bookmarkStart w:id="251" w:name="_Toc4129"/>
      <w:r>
        <w:rPr>
          <w:rFonts w:hint="eastAsia" w:ascii="仿宋" w:hAnsi="仿宋" w:cs="仿宋"/>
          <w:b/>
          <w:color w:val="auto"/>
          <w:sz w:val="24"/>
        </w:rPr>
        <w:t>2.7 质量保证</w:t>
      </w:r>
      <w:bookmarkEnd w:id="249"/>
      <w:bookmarkEnd w:id="250"/>
      <w:bookmarkEnd w:id="251"/>
    </w:p>
    <w:p w14:paraId="24BE8C19">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4ACD16D5">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64D23553">
      <w:pPr>
        <w:spacing w:line="560" w:lineRule="exact"/>
        <w:ind w:firstLine="482" w:firstLineChars="200"/>
        <w:outlineLvl w:val="1"/>
        <w:rPr>
          <w:rFonts w:ascii="仿宋" w:hAnsi="仿宋" w:cs="仿宋"/>
          <w:b/>
          <w:color w:val="auto"/>
          <w:sz w:val="24"/>
        </w:rPr>
      </w:pPr>
      <w:bookmarkStart w:id="252" w:name="_Toc7782"/>
      <w:bookmarkStart w:id="253" w:name="_Toc9528"/>
      <w:bookmarkStart w:id="254" w:name="_Toc22267"/>
      <w:r>
        <w:rPr>
          <w:rFonts w:hint="eastAsia" w:ascii="仿宋" w:hAnsi="仿宋" w:cs="仿宋"/>
          <w:b/>
          <w:color w:val="auto"/>
          <w:sz w:val="24"/>
        </w:rPr>
        <w:t>2.8 延迟履行</w:t>
      </w:r>
      <w:bookmarkEnd w:id="252"/>
      <w:bookmarkEnd w:id="253"/>
      <w:bookmarkEnd w:id="254"/>
    </w:p>
    <w:p w14:paraId="432AB7E8">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8EE1BE0">
      <w:pPr>
        <w:spacing w:line="560" w:lineRule="exact"/>
        <w:ind w:firstLine="482" w:firstLineChars="200"/>
        <w:outlineLvl w:val="1"/>
        <w:rPr>
          <w:rFonts w:ascii="仿宋" w:hAnsi="仿宋" w:cs="仿宋"/>
          <w:b/>
          <w:color w:val="auto"/>
          <w:sz w:val="24"/>
        </w:rPr>
      </w:pPr>
      <w:bookmarkStart w:id="255" w:name="_Toc7798"/>
      <w:bookmarkStart w:id="256" w:name="_Toc10611"/>
      <w:bookmarkStart w:id="257" w:name="_Toc26974"/>
      <w:r>
        <w:rPr>
          <w:rFonts w:hint="eastAsia" w:ascii="仿宋" w:hAnsi="仿宋" w:cs="仿宋"/>
          <w:b/>
          <w:color w:val="auto"/>
          <w:sz w:val="24"/>
        </w:rPr>
        <w:t>2.9 合同变更</w:t>
      </w:r>
      <w:bookmarkEnd w:id="255"/>
      <w:bookmarkEnd w:id="256"/>
      <w:bookmarkEnd w:id="257"/>
    </w:p>
    <w:p w14:paraId="39C3E28B">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721B8077">
      <w:pPr>
        <w:spacing w:line="560" w:lineRule="exact"/>
        <w:ind w:firstLine="482" w:firstLineChars="200"/>
        <w:outlineLvl w:val="1"/>
        <w:rPr>
          <w:rFonts w:ascii="仿宋" w:hAnsi="仿宋" w:cs="仿宋"/>
          <w:b/>
          <w:color w:val="auto"/>
          <w:sz w:val="24"/>
        </w:rPr>
      </w:pPr>
      <w:bookmarkStart w:id="258" w:name="_Toc42"/>
      <w:bookmarkStart w:id="259" w:name="_Toc10663"/>
      <w:bookmarkStart w:id="260" w:name="_Toc28551"/>
      <w:bookmarkStart w:id="261" w:name="_Toc26689"/>
      <w:bookmarkStart w:id="262" w:name="_Toc21830"/>
      <w:bookmarkStart w:id="263" w:name="_Toc23368"/>
      <w:bookmarkStart w:id="264" w:name="_Toc27613"/>
      <w:r>
        <w:rPr>
          <w:rFonts w:hint="eastAsia" w:ascii="仿宋" w:hAnsi="仿宋" w:cs="仿宋"/>
          <w:b/>
          <w:color w:val="auto"/>
          <w:sz w:val="24"/>
        </w:rPr>
        <w:t>2.10 合同转让和分包</w:t>
      </w:r>
      <w:bookmarkEnd w:id="258"/>
      <w:bookmarkEnd w:id="259"/>
      <w:bookmarkEnd w:id="260"/>
      <w:bookmarkEnd w:id="261"/>
      <w:bookmarkEnd w:id="262"/>
      <w:bookmarkEnd w:id="263"/>
      <w:bookmarkEnd w:id="264"/>
    </w:p>
    <w:p w14:paraId="5C64B330">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E0234C6">
      <w:pPr>
        <w:spacing w:line="560" w:lineRule="exact"/>
        <w:ind w:firstLine="482" w:firstLineChars="200"/>
        <w:outlineLvl w:val="1"/>
        <w:rPr>
          <w:rFonts w:ascii="仿宋" w:hAnsi="仿宋" w:cs="仿宋"/>
          <w:b/>
          <w:color w:val="auto"/>
          <w:sz w:val="24"/>
        </w:rPr>
      </w:pPr>
      <w:bookmarkStart w:id="265" w:name="_Toc28756"/>
      <w:bookmarkStart w:id="266" w:name="_Toc12456"/>
      <w:bookmarkStart w:id="267" w:name="_Toc26633"/>
      <w:bookmarkStart w:id="268" w:name="_Toc25571"/>
      <w:bookmarkStart w:id="269" w:name="_Toc4720"/>
      <w:bookmarkStart w:id="270" w:name="_Toc14371"/>
      <w:bookmarkStart w:id="271" w:name="_Toc32494"/>
      <w:r>
        <w:rPr>
          <w:rFonts w:hint="eastAsia" w:ascii="仿宋" w:hAnsi="仿宋" w:cs="仿宋"/>
          <w:b/>
          <w:color w:val="auto"/>
          <w:sz w:val="24"/>
        </w:rPr>
        <w:t>2.11 不可抗力</w:t>
      </w:r>
      <w:bookmarkEnd w:id="265"/>
      <w:bookmarkEnd w:id="266"/>
      <w:bookmarkEnd w:id="267"/>
      <w:bookmarkEnd w:id="268"/>
      <w:bookmarkEnd w:id="269"/>
      <w:bookmarkEnd w:id="270"/>
      <w:bookmarkEnd w:id="271"/>
    </w:p>
    <w:p w14:paraId="724ED5BB">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50096E25">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7C59F500">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0DFB6367">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0E2BCEDD">
      <w:pPr>
        <w:spacing w:line="560" w:lineRule="exact"/>
        <w:ind w:firstLine="482" w:firstLineChars="200"/>
        <w:outlineLvl w:val="1"/>
        <w:rPr>
          <w:rFonts w:ascii="仿宋" w:hAnsi="仿宋" w:cs="仿宋"/>
          <w:b/>
          <w:color w:val="auto"/>
          <w:sz w:val="24"/>
        </w:rPr>
      </w:pPr>
      <w:bookmarkStart w:id="272" w:name="_Toc24465"/>
      <w:bookmarkStart w:id="273" w:name="_Toc3638"/>
      <w:bookmarkStart w:id="274" w:name="_Toc25783"/>
      <w:bookmarkStart w:id="275" w:name="_Toc23854"/>
      <w:bookmarkStart w:id="276" w:name="_Toc14115"/>
      <w:bookmarkStart w:id="277" w:name="_Toc20515"/>
      <w:bookmarkStart w:id="278" w:name="_Toc23706"/>
      <w:r>
        <w:rPr>
          <w:rFonts w:hint="eastAsia" w:ascii="仿宋" w:hAnsi="仿宋" w:cs="仿宋"/>
          <w:b/>
          <w:color w:val="auto"/>
          <w:sz w:val="24"/>
        </w:rPr>
        <w:t>2.12 税费</w:t>
      </w:r>
      <w:bookmarkEnd w:id="272"/>
      <w:bookmarkEnd w:id="273"/>
      <w:bookmarkEnd w:id="274"/>
      <w:bookmarkEnd w:id="275"/>
      <w:bookmarkEnd w:id="276"/>
      <w:bookmarkEnd w:id="277"/>
      <w:bookmarkEnd w:id="278"/>
    </w:p>
    <w:p w14:paraId="27FA35A1">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58E0092D">
      <w:pPr>
        <w:spacing w:line="560" w:lineRule="exact"/>
        <w:ind w:firstLine="482" w:firstLineChars="200"/>
        <w:outlineLvl w:val="1"/>
        <w:rPr>
          <w:rFonts w:ascii="仿宋" w:hAnsi="仿宋" w:cs="仿宋"/>
          <w:b/>
          <w:color w:val="auto"/>
          <w:sz w:val="24"/>
        </w:rPr>
      </w:pPr>
      <w:bookmarkStart w:id="279" w:name="_Toc25525"/>
      <w:bookmarkStart w:id="280" w:name="_Toc26883"/>
      <w:bookmarkStart w:id="281" w:name="_Toc11189"/>
      <w:bookmarkStart w:id="282" w:name="_Toc14814"/>
      <w:bookmarkStart w:id="283" w:name="_Toc28684"/>
      <w:bookmarkStart w:id="284" w:name="_Toc30105"/>
      <w:bookmarkStart w:id="285" w:name="_Toc7315"/>
      <w:r>
        <w:rPr>
          <w:rFonts w:hint="eastAsia" w:ascii="仿宋" w:hAnsi="仿宋" w:cs="仿宋"/>
          <w:b/>
          <w:color w:val="auto"/>
          <w:sz w:val="24"/>
        </w:rPr>
        <w:t>2.13 乙方破产</w:t>
      </w:r>
      <w:bookmarkEnd w:id="279"/>
      <w:bookmarkEnd w:id="280"/>
      <w:bookmarkEnd w:id="281"/>
      <w:bookmarkEnd w:id="282"/>
      <w:bookmarkEnd w:id="283"/>
      <w:bookmarkEnd w:id="284"/>
      <w:bookmarkEnd w:id="285"/>
    </w:p>
    <w:p w14:paraId="24A00ECC">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FA4FCC9">
      <w:pPr>
        <w:spacing w:line="560" w:lineRule="exact"/>
        <w:ind w:firstLine="482" w:firstLineChars="200"/>
        <w:outlineLvl w:val="1"/>
        <w:rPr>
          <w:rFonts w:ascii="仿宋" w:hAnsi="仿宋" w:cs="仿宋"/>
          <w:b/>
          <w:color w:val="auto"/>
          <w:sz w:val="24"/>
        </w:rPr>
      </w:pPr>
      <w:bookmarkStart w:id="286" w:name="_Toc24695"/>
      <w:bookmarkStart w:id="287" w:name="_Toc1123"/>
      <w:bookmarkStart w:id="288" w:name="_Toc23323"/>
      <w:bookmarkStart w:id="289" w:name="_Toc2016"/>
      <w:bookmarkStart w:id="290" w:name="_Toc16331"/>
      <w:r>
        <w:rPr>
          <w:rFonts w:hint="eastAsia" w:ascii="仿宋" w:hAnsi="仿宋" w:cs="仿宋"/>
          <w:b/>
          <w:color w:val="auto"/>
          <w:sz w:val="24"/>
        </w:rPr>
        <w:t>2.14 合同中止、终止</w:t>
      </w:r>
      <w:bookmarkEnd w:id="286"/>
      <w:bookmarkEnd w:id="287"/>
      <w:bookmarkEnd w:id="288"/>
      <w:bookmarkEnd w:id="289"/>
      <w:bookmarkEnd w:id="290"/>
    </w:p>
    <w:p w14:paraId="6F9C9517">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1F99ABB5">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1F18D265">
      <w:pPr>
        <w:spacing w:line="560" w:lineRule="exact"/>
        <w:ind w:firstLine="482" w:firstLineChars="200"/>
        <w:outlineLvl w:val="1"/>
        <w:rPr>
          <w:rFonts w:ascii="仿宋" w:hAnsi="仿宋" w:cs="仿宋"/>
          <w:b/>
          <w:color w:val="auto"/>
          <w:sz w:val="24"/>
        </w:rPr>
      </w:pPr>
      <w:bookmarkStart w:id="291" w:name="_Toc32055"/>
      <w:bookmarkStart w:id="292" w:name="_Toc14525"/>
      <w:bookmarkStart w:id="293" w:name="_Toc1969"/>
      <w:bookmarkStart w:id="294" w:name="_Toc17363"/>
      <w:bookmarkStart w:id="295" w:name="_Toc1987"/>
      <w:r>
        <w:rPr>
          <w:rFonts w:hint="eastAsia" w:ascii="仿宋" w:hAnsi="仿宋" w:cs="仿宋"/>
          <w:b/>
          <w:color w:val="auto"/>
          <w:sz w:val="24"/>
        </w:rPr>
        <w:t>2.15 检验和验收</w:t>
      </w:r>
      <w:bookmarkEnd w:id="291"/>
      <w:bookmarkEnd w:id="292"/>
      <w:bookmarkEnd w:id="293"/>
      <w:bookmarkEnd w:id="294"/>
      <w:bookmarkEnd w:id="295"/>
    </w:p>
    <w:p w14:paraId="36A43DD0">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3E58BFF9">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286F033">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451BEFE1">
      <w:pPr>
        <w:spacing w:line="560" w:lineRule="exact"/>
        <w:ind w:firstLine="482" w:firstLineChars="200"/>
        <w:outlineLvl w:val="1"/>
        <w:rPr>
          <w:rFonts w:ascii="仿宋" w:hAnsi="仿宋" w:cs="仿宋"/>
          <w:b/>
          <w:color w:val="auto"/>
          <w:sz w:val="24"/>
        </w:rPr>
      </w:pPr>
      <w:bookmarkStart w:id="296" w:name="_Toc9808"/>
      <w:bookmarkStart w:id="297" w:name="_Toc25198"/>
      <w:bookmarkStart w:id="298" w:name="_Toc12666"/>
      <w:bookmarkStart w:id="299" w:name="_Toc416"/>
      <w:bookmarkStart w:id="300" w:name="_Toc2308"/>
      <w:bookmarkStart w:id="301" w:name="_Toc31892"/>
      <w:bookmarkStart w:id="302" w:name="_Toc18910"/>
      <w:r>
        <w:rPr>
          <w:rFonts w:hint="eastAsia" w:ascii="仿宋" w:hAnsi="仿宋" w:cs="仿宋"/>
          <w:b/>
          <w:color w:val="auto"/>
          <w:sz w:val="24"/>
        </w:rPr>
        <w:t>2.16 通知和送达</w:t>
      </w:r>
      <w:bookmarkEnd w:id="296"/>
      <w:bookmarkEnd w:id="297"/>
      <w:bookmarkEnd w:id="298"/>
      <w:bookmarkEnd w:id="299"/>
      <w:bookmarkEnd w:id="300"/>
      <w:bookmarkEnd w:id="301"/>
      <w:bookmarkEnd w:id="302"/>
    </w:p>
    <w:p w14:paraId="7E72E71E">
      <w:pPr>
        <w:spacing w:line="560" w:lineRule="exact"/>
        <w:ind w:firstLine="480" w:firstLineChars="200"/>
        <w:rPr>
          <w:rFonts w:ascii="仿宋" w:hAnsi="仿宋" w:cs="仿宋"/>
          <w:color w:val="auto"/>
          <w:sz w:val="24"/>
        </w:rPr>
      </w:pPr>
      <w:bookmarkStart w:id="303" w:name="_Toc27674"/>
      <w:bookmarkStart w:id="304" w:name="_Toc18401"/>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15E158A7">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03"/>
      <w:bookmarkEnd w:id="304"/>
    </w:p>
    <w:p w14:paraId="427759C5">
      <w:pPr>
        <w:spacing w:line="560" w:lineRule="exact"/>
        <w:ind w:firstLine="482" w:firstLineChars="200"/>
        <w:outlineLvl w:val="1"/>
        <w:rPr>
          <w:rFonts w:ascii="仿宋" w:hAnsi="仿宋" w:cs="仿宋"/>
          <w:b/>
          <w:color w:val="auto"/>
          <w:sz w:val="24"/>
        </w:rPr>
      </w:pPr>
      <w:bookmarkStart w:id="305" w:name="_Toc13906"/>
      <w:bookmarkStart w:id="306" w:name="_Toc375"/>
      <w:bookmarkStart w:id="307" w:name="_Toc28906"/>
      <w:bookmarkStart w:id="308" w:name="_Toc5063"/>
      <w:bookmarkStart w:id="309" w:name="_Toc20808"/>
      <w:bookmarkStart w:id="310" w:name="_Toc27644"/>
      <w:bookmarkStart w:id="311" w:name="_Toc12254"/>
      <w:r>
        <w:rPr>
          <w:rFonts w:hint="eastAsia" w:ascii="仿宋" w:hAnsi="仿宋" w:cs="仿宋"/>
          <w:b/>
          <w:color w:val="auto"/>
          <w:sz w:val="24"/>
        </w:rPr>
        <w:t>2.17 合同使用的文字和适用的法律</w:t>
      </w:r>
      <w:bookmarkEnd w:id="305"/>
      <w:bookmarkEnd w:id="306"/>
      <w:bookmarkEnd w:id="307"/>
      <w:bookmarkEnd w:id="308"/>
      <w:bookmarkEnd w:id="309"/>
      <w:bookmarkEnd w:id="310"/>
      <w:bookmarkEnd w:id="311"/>
    </w:p>
    <w:p w14:paraId="16D1CC8E">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合同使用汉语书写、变更和解释；</w:t>
      </w:r>
    </w:p>
    <w:p w14:paraId="533E7F04">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26A01F07">
      <w:pPr>
        <w:spacing w:line="560" w:lineRule="exact"/>
        <w:ind w:firstLine="482" w:firstLineChars="200"/>
        <w:outlineLvl w:val="1"/>
        <w:rPr>
          <w:rFonts w:ascii="仿宋" w:hAnsi="仿宋" w:cs="仿宋"/>
          <w:b/>
          <w:color w:val="auto"/>
          <w:sz w:val="24"/>
        </w:rPr>
      </w:pPr>
      <w:bookmarkStart w:id="312" w:name="_Toc18540"/>
      <w:bookmarkStart w:id="313" w:name="_Toc4355"/>
      <w:bookmarkStart w:id="314" w:name="_Toc15649"/>
      <w:bookmarkStart w:id="315" w:name="_Toc30599"/>
      <w:bookmarkStart w:id="316" w:name="_Toc7335"/>
      <w:r>
        <w:rPr>
          <w:rFonts w:hint="eastAsia" w:ascii="仿宋" w:hAnsi="仿宋" w:cs="仿宋"/>
          <w:b/>
          <w:color w:val="auto"/>
          <w:sz w:val="24"/>
        </w:rPr>
        <w:t>2.18 计量单位</w:t>
      </w:r>
      <w:bookmarkEnd w:id="312"/>
      <w:bookmarkEnd w:id="313"/>
      <w:bookmarkEnd w:id="314"/>
      <w:bookmarkEnd w:id="315"/>
      <w:bookmarkEnd w:id="316"/>
    </w:p>
    <w:p w14:paraId="7E7240FF">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369F6212">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26597C10">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0C328BD1">
      <w:pPr>
        <w:spacing w:line="360" w:lineRule="auto"/>
        <w:jc w:val="center"/>
        <w:rPr>
          <w:rFonts w:ascii="仿宋" w:hAnsi="仿宋" w:cs="仿宋"/>
          <w:b/>
          <w:color w:val="auto"/>
          <w:sz w:val="24"/>
        </w:rPr>
      </w:pPr>
      <w:r>
        <w:rPr>
          <w:rFonts w:hint="eastAsia" w:ascii="仿宋" w:hAnsi="仿宋" w:cs="仿宋"/>
          <w:color w:val="auto"/>
          <w:kern w:val="0"/>
        </w:rPr>
        <w:br w:type="page"/>
      </w:r>
      <w:bookmarkStart w:id="317" w:name="_Toc331685784"/>
      <w:r>
        <w:rPr>
          <w:rFonts w:hint="eastAsia" w:ascii="仿宋" w:hAnsi="仿宋" w:cs="仿宋"/>
          <w:b/>
          <w:color w:val="auto"/>
          <w:sz w:val="24"/>
        </w:rPr>
        <w:t xml:space="preserve"> </w:t>
      </w:r>
      <w:bookmarkEnd w:id="317"/>
      <w:r>
        <w:rPr>
          <w:rFonts w:hint="eastAsia" w:ascii="仿宋" w:hAnsi="仿宋" w:cs="仿宋"/>
          <w:b/>
          <w:color w:val="auto"/>
          <w:sz w:val="24"/>
        </w:rPr>
        <w:t>第三部分  合同专用条款</w:t>
      </w:r>
    </w:p>
    <w:p w14:paraId="4F513E19">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1D2F27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vAlign w:val="center"/>
          </w:tcPr>
          <w:p w14:paraId="2825C653">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vAlign w:val="center"/>
          </w:tcPr>
          <w:p w14:paraId="5596DC78">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653C68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C8C1AC3">
            <w:pPr>
              <w:spacing w:line="360" w:lineRule="auto"/>
              <w:rPr>
                <w:rFonts w:ascii="仿宋" w:hAnsi="仿宋" w:cs="仿宋"/>
                <w:color w:val="auto"/>
                <w:sz w:val="24"/>
              </w:rPr>
            </w:pPr>
            <w:r>
              <w:rPr>
                <w:rFonts w:hint="eastAsia" w:ascii="仿宋" w:hAnsi="仿宋" w:cs="仿宋"/>
                <w:color w:val="auto"/>
                <w:sz w:val="24"/>
              </w:rPr>
              <w:t>1.3.2</w:t>
            </w:r>
          </w:p>
        </w:tc>
        <w:tc>
          <w:tcPr>
            <w:tcW w:w="7472" w:type="dxa"/>
            <w:vAlign w:val="center"/>
          </w:tcPr>
          <w:p w14:paraId="038E4EEC">
            <w:pPr>
              <w:spacing w:line="360" w:lineRule="auto"/>
              <w:rPr>
                <w:rFonts w:ascii="仿宋" w:hAnsi="仿宋" w:cs="仿宋"/>
                <w:color w:val="auto"/>
                <w:sz w:val="24"/>
              </w:rPr>
            </w:pPr>
          </w:p>
        </w:tc>
      </w:tr>
      <w:tr w14:paraId="2A35F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1FDB954">
            <w:pPr>
              <w:spacing w:line="360" w:lineRule="auto"/>
              <w:rPr>
                <w:rFonts w:ascii="仿宋" w:hAnsi="仿宋" w:cs="仿宋"/>
                <w:color w:val="auto"/>
                <w:sz w:val="24"/>
              </w:rPr>
            </w:pPr>
            <w:r>
              <w:rPr>
                <w:rFonts w:hint="eastAsia" w:ascii="仿宋" w:hAnsi="仿宋" w:cs="仿宋"/>
                <w:color w:val="auto"/>
                <w:sz w:val="24"/>
              </w:rPr>
              <w:t>1.4.2</w:t>
            </w:r>
          </w:p>
        </w:tc>
        <w:tc>
          <w:tcPr>
            <w:tcW w:w="7472" w:type="dxa"/>
            <w:vAlign w:val="center"/>
          </w:tcPr>
          <w:p w14:paraId="4FF05C53">
            <w:pPr>
              <w:spacing w:line="360" w:lineRule="auto"/>
              <w:rPr>
                <w:rFonts w:ascii="仿宋" w:hAnsi="仿宋" w:cs="仿宋"/>
                <w:color w:val="auto"/>
                <w:sz w:val="24"/>
              </w:rPr>
            </w:pPr>
          </w:p>
        </w:tc>
      </w:tr>
      <w:tr w14:paraId="676F8E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15FA444">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vAlign w:val="center"/>
          </w:tcPr>
          <w:p w14:paraId="2DCC14BF">
            <w:pPr>
              <w:spacing w:line="360" w:lineRule="auto"/>
              <w:rPr>
                <w:rFonts w:ascii="仿宋" w:hAnsi="仿宋" w:cs="仿宋"/>
                <w:color w:val="auto"/>
                <w:sz w:val="24"/>
              </w:rPr>
            </w:pPr>
          </w:p>
        </w:tc>
      </w:tr>
      <w:tr w14:paraId="7CDF62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5E7E845">
            <w:pPr>
              <w:spacing w:line="360" w:lineRule="auto"/>
              <w:rPr>
                <w:rFonts w:ascii="仿宋" w:hAnsi="仿宋" w:cs="仿宋"/>
                <w:color w:val="auto"/>
                <w:sz w:val="24"/>
              </w:rPr>
            </w:pPr>
            <w:r>
              <w:rPr>
                <w:rFonts w:hint="eastAsia" w:ascii="仿宋" w:hAnsi="仿宋" w:cs="仿宋"/>
                <w:color w:val="auto"/>
                <w:sz w:val="24"/>
              </w:rPr>
              <w:t>1.5.2</w:t>
            </w:r>
          </w:p>
        </w:tc>
        <w:tc>
          <w:tcPr>
            <w:tcW w:w="7472" w:type="dxa"/>
            <w:vAlign w:val="center"/>
          </w:tcPr>
          <w:p w14:paraId="0A91D54E">
            <w:pPr>
              <w:spacing w:line="360" w:lineRule="auto"/>
              <w:rPr>
                <w:rFonts w:ascii="仿宋" w:hAnsi="仿宋" w:cs="仿宋"/>
                <w:color w:val="auto"/>
                <w:sz w:val="24"/>
              </w:rPr>
            </w:pPr>
          </w:p>
        </w:tc>
      </w:tr>
      <w:tr w14:paraId="40F016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30BE5B6">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vAlign w:val="center"/>
          </w:tcPr>
          <w:p w14:paraId="144F914B">
            <w:pPr>
              <w:spacing w:line="360" w:lineRule="auto"/>
              <w:rPr>
                <w:rFonts w:ascii="仿宋" w:hAnsi="仿宋" w:cs="仿宋"/>
                <w:color w:val="auto"/>
                <w:sz w:val="24"/>
              </w:rPr>
            </w:pPr>
          </w:p>
        </w:tc>
      </w:tr>
      <w:tr w14:paraId="31B5A1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13FF2ED6">
            <w:pPr>
              <w:spacing w:line="360" w:lineRule="auto"/>
              <w:rPr>
                <w:rFonts w:ascii="仿宋" w:hAnsi="仿宋" w:cs="仿宋"/>
                <w:color w:val="auto"/>
                <w:sz w:val="24"/>
              </w:rPr>
            </w:pPr>
            <w:r>
              <w:rPr>
                <w:rFonts w:hint="eastAsia" w:ascii="仿宋" w:hAnsi="仿宋" w:cs="仿宋"/>
                <w:color w:val="auto"/>
                <w:sz w:val="24"/>
              </w:rPr>
              <w:t>1.6.2</w:t>
            </w:r>
          </w:p>
        </w:tc>
        <w:tc>
          <w:tcPr>
            <w:tcW w:w="7472" w:type="dxa"/>
            <w:vAlign w:val="center"/>
          </w:tcPr>
          <w:p w14:paraId="39FFE6BC">
            <w:pPr>
              <w:spacing w:line="360" w:lineRule="auto"/>
              <w:rPr>
                <w:rFonts w:ascii="仿宋" w:hAnsi="仿宋" w:cs="仿宋"/>
                <w:color w:val="auto"/>
                <w:sz w:val="24"/>
              </w:rPr>
            </w:pPr>
          </w:p>
        </w:tc>
      </w:tr>
      <w:tr w14:paraId="2B95E1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3EBEE68">
            <w:pPr>
              <w:spacing w:line="360" w:lineRule="auto"/>
              <w:rPr>
                <w:rFonts w:ascii="仿宋" w:hAnsi="仿宋" w:cs="仿宋"/>
                <w:color w:val="auto"/>
                <w:sz w:val="24"/>
              </w:rPr>
            </w:pPr>
            <w:r>
              <w:rPr>
                <w:rFonts w:hint="eastAsia" w:ascii="仿宋" w:hAnsi="仿宋" w:cs="仿宋"/>
                <w:color w:val="auto"/>
                <w:sz w:val="24"/>
              </w:rPr>
              <w:t>1.7.1</w:t>
            </w:r>
          </w:p>
        </w:tc>
        <w:tc>
          <w:tcPr>
            <w:tcW w:w="7472" w:type="dxa"/>
            <w:vAlign w:val="center"/>
          </w:tcPr>
          <w:p w14:paraId="02FDF9C7">
            <w:pPr>
              <w:spacing w:line="360" w:lineRule="auto"/>
              <w:rPr>
                <w:rFonts w:ascii="仿宋" w:hAnsi="仿宋" w:cs="仿宋"/>
                <w:color w:val="auto"/>
                <w:sz w:val="24"/>
              </w:rPr>
            </w:pPr>
          </w:p>
        </w:tc>
      </w:tr>
      <w:tr w14:paraId="27CE1D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8D7BB98">
            <w:pPr>
              <w:spacing w:line="360" w:lineRule="auto"/>
              <w:rPr>
                <w:rFonts w:ascii="仿宋" w:hAnsi="仿宋" w:cs="仿宋"/>
                <w:color w:val="auto"/>
                <w:sz w:val="24"/>
              </w:rPr>
            </w:pPr>
            <w:r>
              <w:rPr>
                <w:rFonts w:hint="eastAsia" w:ascii="仿宋" w:hAnsi="仿宋" w:cs="仿宋"/>
                <w:color w:val="auto"/>
                <w:sz w:val="24"/>
              </w:rPr>
              <w:t>1.7.2</w:t>
            </w:r>
          </w:p>
        </w:tc>
        <w:tc>
          <w:tcPr>
            <w:tcW w:w="7472" w:type="dxa"/>
            <w:vAlign w:val="center"/>
          </w:tcPr>
          <w:p w14:paraId="305A0B85">
            <w:pPr>
              <w:spacing w:line="360" w:lineRule="auto"/>
              <w:rPr>
                <w:rFonts w:ascii="仿宋" w:hAnsi="仿宋" w:cs="仿宋"/>
                <w:color w:val="auto"/>
                <w:sz w:val="24"/>
              </w:rPr>
            </w:pPr>
          </w:p>
        </w:tc>
      </w:tr>
      <w:tr w14:paraId="032EF1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D268EB4">
            <w:pPr>
              <w:spacing w:line="360" w:lineRule="auto"/>
              <w:rPr>
                <w:rFonts w:ascii="仿宋" w:hAnsi="仿宋" w:cs="仿宋"/>
                <w:color w:val="auto"/>
                <w:sz w:val="24"/>
              </w:rPr>
            </w:pPr>
            <w:r>
              <w:rPr>
                <w:rFonts w:hint="eastAsia" w:ascii="仿宋" w:hAnsi="仿宋" w:cs="仿宋"/>
                <w:color w:val="auto"/>
                <w:sz w:val="24"/>
              </w:rPr>
              <w:t>1.7.3</w:t>
            </w:r>
          </w:p>
        </w:tc>
        <w:tc>
          <w:tcPr>
            <w:tcW w:w="7472" w:type="dxa"/>
            <w:vAlign w:val="center"/>
          </w:tcPr>
          <w:p w14:paraId="0EE02B50">
            <w:pPr>
              <w:spacing w:line="360" w:lineRule="auto"/>
              <w:rPr>
                <w:rFonts w:ascii="仿宋" w:hAnsi="仿宋" w:cs="仿宋"/>
                <w:color w:val="auto"/>
                <w:sz w:val="24"/>
              </w:rPr>
            </w:pPr>
          </w:p>
        </w:tc>
      </w:tr>
      <w:tr w14:paraId="18CE2C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370F210">
            <w:pPr>
              <w:spacing w:line="360" w:lineRule="auto"/>
              <w:rPr>
                <w:rFonts w:ascii="仿宋" w:hAnsi="仿宋" w:cs="仿宋"/>
                <w:color w:val="auto"/>
                <w:sz w:val="24"/>
              </w:rPr>
            </w:pPr>
            <w:r>
              <w:rPr>
                <w:rFonts w:hint="eastAsia" w:ascii="仿宋" w:hAnsi="仿宋" w:cs="仿宋"/>
                <w:color w:val="auto"/>
                <w:sz w:val="24"/>
              </w:rPr>
              <w:t>1.7.4.1</w:t>
            </w:r>
          </w:p>
        </w:tc>
        <w:tc>
          <w:tcPr>
            <w:tcW w:w="7472" w:type="dxa"/>
            <w:vAlign w:val="center"/>
          </w:tcPr>
          <w:p w14:paraId="4FD07291">
            <w:pPr>
              <w:spacing w:line="360" w:lineRule="auto"/>
              <w:rPr>
                <w:rFonts w:ascii="仿宋" w:hAnsi="仿宋" w:cs="仿宋"/>
                <w:color w:val="auto"/>
                <w:sz w:val="24"/>
              </w:rPr>
            </w:pPr>
          </w:p>
        </w:tc>
      </w:tr>
      <w:tr w14:paraId="7AAC1D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BD0FAB0">
            <w:pPr>
              <w:spacing w:line="360" w:lineRule="auto"/>
              <w:rPr>
                <w:rFonts w:ascii="仿宋" w:hAnsi="仿宋" w:cs="仿宋"/>
                <w:color w:val="auto"/>
                <w:sz w:val="24"/>
              </w:rPr>
            </w:pPr>
            <w:r>
              <w:rPr>
                <w:rFonts w:hint="eastAsia" w:ascii="仿宋" w:hAnsi="仿宋" w:cs="仿宋"/>
                <w:color w:val="auto"/>
                <w:sz w:val="24"/>
              </w:rPr>
              <w:t>1.7.4.2</w:t>
            </w:r>
          </w:p>
        </w:tc>
        <w:tc>
          <w:tcPr>
            <w:tcW w:w="7472" w:type="dxa"/>
            <w:vAlign w:val="center"/>
          </w:tcPr>
          <w:p w14:paraId="4AC448B8">
            <w:pPr>
              <w:spacing w:line="360" w:lineRule="auto"/>
              <w:rPr>
                <w:rFonts w:ascii="仿宋" w:hAnsi="仿宋" w:cs="仿宋"/>
                <w:color w:val="auto"/>
                <w:sz w:val="24"/>
              </w:rPr>
            </w:pPr>
          </w:p>
        </w:tc>
      </w:tr>
      <w:tr w14:paraId="6D7FA9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E421086">
            <w:pPr>
              <w:spacing w:line="360" w:lineRule="auto"/>
              <w:rPr>
                <w:rFonts w:ascii="仿宋" w:hAnsi="仿宋" w:cs="仿宋"/>
                <w:color w:val="auto"/>
                <w:sz w:val="24"/>
              </w:rPr>
            </w:pPr>
            <w:r>
              <w:rPr>
                <w:rFonts w:hint="eastAsia" w:ascii="仿宋" w:hAnsi="仿宋" w:cs="仿宋"/>
                <w:color w:val="auto"/>
                <w:sz w:val="24"/>
              </w:rPr>
              <w:t>1.7.4.3</w:t>
            </w:r>
          </w:p>
        </w:tc>
        <w:tc>
          <w:tcPr>
            <w:tcW w:w="7472" w:type="dxa"/>
            <w:vAlign w:val="center"/>
          </w:tcPr>
          <w:p w14:paraId="55E8FE86">
            <w:pPr>
              <w:spacing w:line="360" w:lineRule="auto"/>
              <w:rPr>
                <w:rFonts w:ascii="仿宋" w:hAnsi="仿宋" w:cs="仿宋"/>
                <w:color w:val="auto"/>
                <w:sz w:val="24"/>
              </w:rPr>
            </w:pPr>
          </w:p>
        </w:tc>
      </w:tr>
      <w:tr w14:paraId="683777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DAD130D">
            <w:pPr>
              <w:spacing w:line="360" w:lineRule="auto"/>
              <w:rPr>
                <w:rFonts w:ascii="仿宋" w:hAnsi="仿宋" w:cs="仿宋"/>
                <w:color w:val="auto"/>
                <w:sz w:val="24"/>
              </w:rPr>
            </w:pPr>
            <w:r>
              <w:rPr>
                <w:rFonts w:hint="eastAsia" w:ascii="仿宋" w:hAnsi="仿宋" w:cs="仿宋"/>
                <w:color w:val="auto"/>
                <w:sz w:val="24"/>
              </w:rPr>
              <w:t>1.8.7</w:t>
            </w:r>
          </w:p>
        </w:tc>
        <w:tc>
          <w:tcPr>
            <w:tcW w:w="7472" w:type="dxa"/>
            <w:vAlign w:val="center"/>
          </w:tcPr>
          <w:p w14:paraId="40BE28E7">
            <w:pPr>
              <w:spacing w:line="360" w:lineRule="auto"/>
              <w:rPr>
                <w:rFonts w:ascii="仿宋" w:hAnsi="仿宋" w:cs="仿宋"/>
                <w:color w:val="auto"/>
                <w:sz w:val="24"/>
              </w:rPr>
            </w:pPr>
          </w:p>
        </w:tc>
      </w:tr>
      <w:tr w14:paraId="67FA03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43846EA">
            <w:pPr>
              <w:spacing w:line="360" w:lineRule="auto"/>
              <w:rPr>
                <w:rFonts w:ascii="仿宋" w:hAnsi="仿宋" w:cs="仿宋"/>
                <w:color w:val="auto"/>
                <w:sz w:val="24"/>
              </w:rPr>
            </w:pPr>
            <w:r>
              <w:rPr>
                <w:rFonts w:hint="eastAsia" w:ascii="仿宋" w:hAnsi="仿宋" w:cs="仿宋"/>
                <w:color w:val="auto"/>
                <w:sz w:val="24"/>
              </w:rPr>
              <w:t>1.9.1</w:t>
            </w:r>
          </w:p>
        </w:tc>
        <w:tc>
          <w:tcPr>
            <w:tcW w:w="7472" w:type="dxa"/>
            <w:vAlign w:val="center"/>
          </w:tcPr>
          <w:p w14:paraId="35F5EF4C">
            <w:pPr>
              <w:spacing w:line="360" w:lineRule="auto"/>
              <w:rPr>
                <w:rFonts w:ascii="仿宋" w:hAnsi="仿宋" w:cs="仿宋"/>
                <w:color w:val="auto"/>
                <w:sz w:val="24"/>
              </w:rPr>
            </w:pPr>
          </w:p>
        </w:tc>
      </w:tr>
      <w:tr w14:paraId="63DE20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A9BF744">
            <w:pPr>
              <w:spacing w:line="360" w:lineRule="auto"/>
              <w:rPr>
                <w:rFonts w:ascii="仿宋" w:hAnsi="仿宋" w:cs="仿宋"/>
                <w:color w:val="auto"/>
                <w:sz w:val="24"/>
              </w:rPr>
            </w:pPr>
            <w:r>
              <w:rPr>
                <w:rFonts w:hint="eastAsia" w:ascii="仿宋" w:hAnsi="仿宋" w:cs="仿宋"/>
                <w:color w:val="auto"/>
                <w:sz w:val="24"/>
              </w:rPr>
              <w:t>1.9.2</w:t>
            </w:r>
          </w:p>
        </w:tc>
        <w:tc>
          <w:tcPr>
            <w:tcW w:w="7472" w:type="dxa"/>
            <w:vAlign w:val="center"/>
          </w:tcPr>
          <w:p w14:paraId="0F816277">
            <w:pPr>
              <w:spacing w:line="360" w:lineRule="auto"/>
              <w:rPr>
                <w:rFonts w:ascii="仿宋" w:hAnsi="仿宋" w:cs="仿宋"/>
                <w:color w:val="auto"/>
                <w:sz w:val="24"/>
              </w:rPr>
            </w:pPr>
          </w:p>
        </w:tc>
      </w:tr>
      <w:tr w14:paraId="77F7F0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A8BB45B">
            <w:pPr>
              <w:spacing w:line="360" w:lineRule="auto"/>
              <w:rPr>
                <w:rFonts w:ascii="仿宋" w:hAnsi="仿宋" w:cs="仿宋"/>
                <w:color w:val="auto"/>
                <w:sz w:val="24"/>
              </w:rPr>
            </w:pPr>
            <w:r>
              <w:rPr>
                <w:rFonts w:hint="eastAsia" w:ascii="仿宋" w:hAnsi="仿宋" w:cs="仿宋"/>
                <w:color w:val="auto"/>
                <w:sz w:val="24"/>
              </w:rPr>
              <w:t>2.3.2</w:t>
            </w:r>
          </w:p>
        </w:tc>
        <w:tc>
          <w:tcPr>
            <w:tcW w:w="7472" w:type="dxa"/>
            <w:vAlign w:val="center"/>
          </w:tcPr>
          <w:p w14:paraId="50EFBCCF">
            <w:pPr>
              <w:spacing w:line="360" w:lineRule="auto"/>
              <w:ind w:left="-420" w:leftChars="-200" w:right="-420" w:rightChars="-200" w:firstLine="480" w:firstLineChars="200"/>
              <w:rPr>
                <w:rFonts w:ascii="仿宋" w:hAnsi="仿宋" w:cs="仿宋"/>
                <w:color w:val="auto"/>
                <w:sz w:val="24"/>
              </w:rPr>
            </w:pPr>
          </w:p>
        </w:tc>
      </w:tr>
      <w:tr w14:paraId="64B830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7E0ADE9">
            <w:pPr>
              <w:spacing w:line="360" w:lineRule="auto"/>
              <w:rPr>
                <w:rFonts w:ascii="仿宋" w:hAnsi="仿宋" w:cs="仿宋"/>
                <w:color w:val="auto"/>
                <w:sz w:val="24"/>
              </w:rPr>
            </w:pPr>
            <w:r>
              <w:rPr>
                <w:rFonts w:hint="eastAsia" w:ascii="仿宋" w:hAnsi="仿宋" w:cs="仿宋"/>
                <w:color w:val="auto"/>
                <w:sz w:val="24"/>
              </w:rPr>
              <w:t>2.5</w:t>
            </w:r>
          </w:p>
        </w:tc>
        <w:tc>
          <w:tcPr>
            <w:tcW w:w="7472" w:type="dxa"/>
            <w:vAlign w:val="center"/>
          </w:tcPr>
          <w:p w14:paraId="34AAA474">
            <w:pPr>
              <w:spacing w:line="360" w:lineRule="auto"/>
              <w:ind w:left="-420" w:leftChars="-200" w:right="-420" w:rightChars="-200" w:firstLine="480" w:firstLineChars="200"/>
              <w:rPr>
                <w:rFonts w:ascii="仿宋" w:hAnsi="仿宋" w:cs="仿宋"/>
                <w:color w:val="auto"/>
                <w:sz w:val="24"/>
              </w:rPr>
            </w:pPr>
          </w:p>
        </w:tc>
      </w:tr>
      <w:tr w14:paraId="2353C7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00B1009">
            <w:pPr>
              <w:spacing w:line="360" w:lineRule="auto"/>
              <w:rPr>
                <w:rFonts w:ascii="仿宋" w:hAnsi="仿宋" w:cs="仿宋"/>
                <w:color w:val="auto"/>
                <w:sz w:val="24"/>
              </w:rPr>
            </w:pPr>
            <w:r>
              <w:rPr>
                <w:rFonts w:hint="eastAsia" w:ascii="仿宋" w:hAnsi="仿宋" w:cs="仿宋"/>
                <w:color w:val="auto"/>
                <w:sz w:val="24"/>
              </w:rPr>
              <w:t>2.11.2</w:t>
            </w:r>
          </w:p>
        </w:tc>
        <w:tc>
          <w:tcPr>
            <w:tcW w:w="7472" w:type="dxa"/>
            <w:vAlign w:val="center"/>
          </w:tcPr>
          <w:p w14:paraId="701E0B0C">
            <w:pPr>
              <w:spacing w:line="360" w:lineRule="auto"/>
              <w:rPr>
                <w:rFonts w:ascii="仿宋" w:hAnsi="仿宋" w:cs="仿宋"/>
                <w:color w:val="auto"/>
                <w:sz w:val="24"/>
              </w:rPr>
            </w:pPr>
          </w:p>
        </w:tc>
      </w:tr>
      <w:tr w14:paraId="0BB604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tcPr>
          <w:p w14:paraId="38272583">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tcPr>
          <w:p w14:paraId="066CCEEA">
            <w:pPr>
              <w:spacing w:line="360" w:lineRule="auto"/>
              <w:rPr>
                <w:rFonts w:ascii="仿宋" w:hAnsi="仿宋" w:cs="仿宋"/>
                <w:color w:val="auto"/>
                <w:sz w:val="24"/>
              </w:rPr>
            </w:pPr>
          </w:p>
        </w:tc>
      </w:tr>
      <w:tr w14:paraId="04A400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08FC0AB">
            <w:pPr>
              <w:spacing w:line="360" w:lineRule="auto"/>
              <w:rPr>
                <w:rFonts w:ascii="仿宋" w:hAnsi="仿宋" w:cs="仿宋"/>
                <w:color w:val="auto"/>
                <w:sz w:val="24"/>
              </w:rPr>
            </w:pPr>
            <w:r>
              <w:rPr>
                <w:rFonts w:hint="eastAsia" w:ascii="仿宋" w:hAnsi="仿宋" w:cs="仿宋"/>
                <w:color w:val="auto"/>
                <w:sz w:val="24"/>
              </w:rPr>
              <w:t>2.15.1</w:t>
            </w:r>
          </w:p>
        </w:tc>
        <w:tc>
          <w:tcPr>
            <w:tcW w:w="7472" w:type="dxa"/>
            <w:vAlign w:val="center"/>
          </w:tcPr>
          <w:p w14:paraId="0C7B9C9E">
            <w:pPr>
              <w:spacing w:line="360" w:lineRule="auto"/>
              <w:rPr>
                <w:rFonts w:ascii="仿宋" w:hAnsi="仿宋" w:cs="仿宋"/>
                <w:color w:val="auto"/>
                <w:sz w:val="24"/>
              </w:rPr>
            </w:pPr>
          </w:p>
        </w:tc>
      </w:tr>
      <w:tr w14:paraId="678E68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93DAC19">
            <w:pPr>
              <w:spacing w:line="360" w:lineRule="auto"/>
              <w:rPr>
                <w:rFonts w:ascii="仿宋" w:hAnsi="仿宋" w:cs="仿宋"/>
                <w:color w:val="auto"/>
                <w:sz w:val="24"/>
              </w:rPr>
            </w:pPr>
            <w:r>
              <w:rPr>
                <w:rFonts w:hint="eastAsia" w:ascii="仿宋" w:hAnsi="仿宋" w:cs="仿宋"/>
                <w:color w:val="auto"/>
                <w:sz w:val="24"/>
              </w:rPr>
              <w:t>2.15.3</w:t>
            </w:r>
          </w:p>
        </w:tc>
        <w:tc>
          <w:tcPr>
            <w:tcW w:w="7472" w:type="dxa"/>
            <w:vAlign w:val="center"/>
          </w:tcPr>
          <w:p w14:paraId="6D34C70D">
            <w:pPr>
              <w:spacing w:line="360" w:lineRule="auto"/>
              <w:rPr>
                <w:rFonts w:ascii="仿宋" w:hAnsi="仿宋" w:cs="仿宋"/>
                <w:color w:val="auto"/>
                <w:sz w:val="24"/>
              </w:rPr>
            </w:pPr>
          </w:p>
        </w:tc>
      </w:tr>
      <w:tr w14:paraId="30BE4F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tcPr>
          <w:p w14:paraId="1CBFECB8">
            <w:pPr>
              <w:spacing w:line="360" w:lineRule="auto"/>
              <w:rPr>
                <w:rFonts w:ascii="仿宋" w:hAnsi="仿宋" w:cs="仿宋"/>
                <w:color w:val="auto"/>
                <w:sz w:val="24"/>
              </w:rPr>
            </w:pPr>
            <w:r>
              <w:rPr>
                <w:rFonts w:hint="eastAsia" w:ascii="仿宋" w:hAnsi="仿宋" w:cs="仿宋"/>
                <w:color w:val="auto"/>
                <w:sz w:val="24"/>
              </w:rPr>
              <w:t>2.19</w:t>
            </w:r>
          </w:p>
        </w:tc>
        <w:tc>
          <w:tcPr>
            <w:tcW w:w="7472" w:type="dxa"/>
          </w:tcPr>
          <w:p w14:paraId="31B5C523">
            <w:pPr>
              <w:spacing w:line="360" w:lineRule="auto"/>
              <w:rPr>
                <w:rFonts w:ascii="仿宋" w:hAnsi="仿宋" w:cs="仿宋"/>
                <w:color w:val="auto"/>
                <w:sz w:val="24"/>
              </w:rPr>
            </w:pPr>
          </w:p>
        </w:tc>
      </w:tr>
    </w:tbl>
    <w:p w14:paraId="72AD7D6F">
      <w:pPr>
        <w:rPr>
          <w:rFonts w:ascii="仿宋" w:hAnsi="仿宋" w:cs="仿宋"/>
          <w:color w:val="auto"/>
        </w:rPr>
      </w:pPr>
    </w:p>
    <w:sectPr>
      <w:headerReference r:id="rId18" w:type="default"/>
      <w:footerReference r:id="rId1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B9C6D06-EED2-4CA1-8A6D-1FA8C5CB0CE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AF6EDE0-9432-413A-AC77-EDF55414C9BA}"/>
  </w:font>
  <w:font w:name="仿宋">
    <w:panose1 w:val="02010609060101010101"/>
    <w:charset w:val="86"/>
    <w:family w:val="modern"/>
    <w:pitch w:val="default"/>
    <w:sig w:usb0="800002BF" w:usb1="38CF7CFA" w:usb2="00000016" w:usb3="00000000" w:csb0="00040001" w:csb1="00000000"/>
    <w:embedRegular r:id="rId3" w:fontKey="{09BBEA3D-1E14-46AF-839D-D59D9898BC5D}"/>
  </w:font>
  <w:font w:name="Arial Narrow">
    <w:altName w:val="Arial"/>
    <w:panose1 w:val="020B0606020202030204"/>
    <w:charset w:val="00"/>
    <w:family w:val="swiss"/>
    <w:pitch w:val="default"/>
    <w:sig w:usb0="00000000" w:usb1="00000000" w:usb2="00000000" w:usb3="00000000" w:csb0="0000009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4" w:fontKey="{B9F016B3-9F5C-41B6-BF2E-936007E2C5FA}"/>
  </w:font>
  <w:font w:name="华文中宋">
    <w:altName w:val="宋体"/>
    <w:panose1 w:val="02010600040101010101"/>
    <w:charset w:val="86"/>
    <w:family w:val="auto"/>
    <w:pitch w:val="default"/>
    <w:sig w:usb0="00000000" w:usb1="00000000" w:usb2="00000010" w:usb3="00000000" w:csb0="000400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embedRegular r:id="rId5" w:fontKey="{5E6B4686-425D-4CAB-9F3D-C4F4FA5664FD}"/>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326EFDC1-E38C-4DE8-96FF-61A94B2446B4}"/>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C3BC1">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E915B">
    <w:pPr>
      <w:pStyle w:val="30"/>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E5601">
    <w:pPr>
      <w:pStyle w:val="30"/>
      <w:ind w:right="360" w:firstLine="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E6A92F">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MsQstgBAAC0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a9qEl5w5YWni518/z7//nv/8&#10;YPPXqUFdgBXl3QTKxP6t7yl58gM5k+6+iTb9SRGjOLX3dGmv6pHJdGm5WC5LCkmKTQfCL+6uhwj4&#10;XnnLklHxSPPLbRXHj4BD6pSSqjl/rY3JMzTuPwdhJk+RuA8ck4X9rh8F7Xx9Ij30EKhO6+N3zjpa&#10;g4o72nrOzAdHXU4bMxlxMnaTIZykixVHzgbzHebNSkQgvDkgscukU+mh3siIhpllj4uXtuXfc866&#10;e2ybW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wyxCy2AEAALQDAAAOAAAAAAAAAAEAIAAA&#10;AB4BAABkcnMvZTJvRG9jLnhtbFBLBQYAAAAABgAGAFkBAABoBQAAAAA=&#10;">
              <v:fill on="f" focussize="0,0"/>
              <v:stroke on="f"/>
              <v:imagedata o:title=""/>
              <o:lock v:ext="edit" aspectratio="f"/>
              <v:textbox inset="0mm,0mm,0mm,0mm" style="mso-fit-shape-to-text:t;">
                <w:txbxContent>
                  <w:p w14:paraId="15E6A92F">
                    <w:pPr>
                      <w:pStyle w:val="30"/>
                    </w:pPr>
                    <w:r>
                      <w:t xml:space="preserve">第 </w:t>
                    </w:r>
                    <w:r>
                      <w:fldChar w:fldCharType="begin"/>
                    </w:r>
                    <w:r>
                      <w:instrText xml:space="preserve"> PAGE  \* MERGEFORMAT </w:instrText>
                    </w:r>
                    <w:r>
                      <w:fldChar w:fldCharType="separate"/>
                    </w:r>
                    <w:r>
                      <w:t>24</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D24B">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2561CAF">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icgfNcBAACzAwAADgAAAGRycy9lMm9Eb2MueG1srVNBrtMwEN0jcQfL&#10;e5q0SK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NNzZ9z5oSlgV++f7v8+HX5+ZUt&#10;l6k/vceK0u48JcbhFQy0NbMfyZlkD22w6U+CGMWpu+drd9UQmUyX1qv1uqSQpNh8IPzi/roPGN8o&#10;sCwZNQ80vtxVcXqHcUydU1I1B7famDxC4/5yEGbyFIn7yDFZcdgPk6A9NGfSQ++A6nQQvnDW0xbU&#10;3NHSc2beOmpyWpjZCLOxnw3hJF2seeRsNF/HvFiJCPqXx0jsMulUeqw3MaJZZtnT3qVl+fOcs+7f&#10;2v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4nIHzXAQAAswMAAA4AAAAAAAAAAQAgAAAA&#10;HgEAAGRycy9lMm9Eb2MueG1sUEsFBgAAAAAGAAYAWQEAAGcFAAAAAA==&#10;">
              <v:fill on="f" focussize="0,0"/>
              <v:stroke on="f"/>
              <v:imagedata o:title=""/>
              <o:lock v:ext="edit" aspectratio="f"/>
              <v:textbox inset="0mm,0mm,0mm,0mm" style="mso-fit-shape-to-text:t;">
                <w:txbxContent>
                  <w:p w14:paraId="52561CAF">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94545">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D0B187">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3CD0B187">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C66B0">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B460011">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7B460011">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4BE41">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F45E45">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N9KpPXAQAAtAMAAA4AAAAAAAAAAQAgAAAA&#10;HgEAAGRycy9lMm9Eb2MueG1sUEsFBgAAAAAGAAYAWQEAAGcFAAAAAA==&#10;">
              <v:fill on="f" focussize="0,0"/>
              <v:stroke on="f"/>
              <v:imagedata o:title=""/>
              <o:lock v:ext="edit" aspectratio="f"/>
              <v:textbox inset="0mm,0mm,0mm,0mm" style="mso-fit-shape-to-text:t;">
                <w:txbxContent>
                  <w:p w14:paraId="28F45E45">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49B73">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F9ECC8">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A8jNcBAAC0AwAADgAAAGRycy9lMm9Eb2MueG1srVNBrtMwEN0jcQfL&#10;e5q0Eq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MNbcKSMycsTfzy/dvlx6/Lz69s&#10;+Tw1qPdYUd6dp8w4vIKBkmc/kjPpHtpg058UMYpTe8/X9qohMpkurVfrdUkhSbH5QPjF/XUfML5R&#10;YFkyah5ofrmt4vQO45g6p6RqDm61MXmGxv3lIMzkKRL3kWOy4rAfJkF7aM6khx4C1ekgfOGspzWo&#10;uaOt58y8ddTltDGzEWZjPxvCSbpY88jZaL6OebMSEfQvj5HYZdKp9FhvYkTDzLKnxUvb8uc5Z90/&#10;tu1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IQPIzXAQAAtAMAAA4AAAAAAAAAAQAgAAAA&#10;HgEAAGRycy9lMm9Eb2MueG1sUEsFBgAAAAAGAAYAWQEAAGcFAAAAAA==&#10;">
              <v:fill on="f" focussize="0,0"/>
              <v:stroke on="f"/>
              <v:imagedata o:title=""/>
              <o:lock v:ext="edit" aspectratio="f"/>
              <v:textbox inset="0mm,0mm,0mm,0mm" style="mso-fit-shape-to-text:t;">
                <w:txbxContent>
                  <w:p w14:paraId="32F9ECC8">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79AF4">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56F262E">
                          <w:pPr>
                            <w:pStyle w:val="3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756F262E">
                    <w:pPr>
                      <w:pStyle w:val="30"/>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AC413">
    <w:pPr>
      <w:pStyle w:val="31"/>
      <w:pBdr>
        <w:bottom w:val="none" w:color="auto" w:sz="0" w:space="1"/>
      </w:pBdr>
      <w:rPr>
        <w:rFonts w:ascii="仿宋_GB2312" w:eastAsia="仿宋_GB2312"/>
        <w:b/>
        <w:i/>
        <w:u w:val="single"/>
      </w:rPr>
    </w:pPr>
    <w:r>
      <w:t></w:t>
    </w:r>
    <w:r>
      <w:rPr>
        <w:rFonts w:hint="eastAsia"/>
      </w:rPr>
      <w:t xml:space="preserve">                                                </w:t>
    </w:r>
  </w:p>
  <w:p w14:paraId="3150B435">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8BA97">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93DED">
    <w:pPr>
      <w:pStyle w:val="31"/>
      <w:pBdr>
        <w:bottom w:val="none" w:color="auto" w:sz="0" w:space="1"/>
      </w:pBdr>
      <w:jc w:val="right"/>
      <w:rPr>
        <w:rFonts w:ascii="仿宋_GB2312" w:eastAsia="仿宋_GB2312"/>
        <w:b/>
        <w:i/>
        <w:u w:val="single"/>
      </w:rPr>
    </w:pPr>
    <w:r>
      <w:rPr>
        <w:rFonts w:hint="eastAsia"/>
      </w:rPr>
      <w:t xml:space="preserve">                                 </w:t>
    </w:r>
  </w:p>
  <w:p w14:paraId="5AA9914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0D349">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F1A66">
    <w:pPr>
      <w:pStyle w:val="31"/>
      <w:pBdr>
        <w:bottom w:val="none" w:color="auto" w:sz="0" w:space="1"/>
      </w:pBdr>
      <w:rPr>
        <w:rFonts w:ascii="仿宋_GB2312" w:eastAsia="仿宋_GB2312"/>
        <w:b/>
        <w:i/>
        <w:u w:val="single"/>
      </w:rPr>
    </w:pPr>
    <w:r>
      <w:t></w:t>
    </w:r>
    <w:r>
      <w:rPr>
        <w:rFonts w:hint="eastAsia"/>
      </w:rPr>
      <w:t xml:space="preserve">                                                 </w:t>
    </w:r>
  </w:p>
  <w:p w14:paraId="48F03DB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37A25">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D0D45">
    <w:pPr>
      <w:pStyle w:val="31"/>
      <w:pBdr>
        <w:bottom w:val="none" w:color="auto" w:sz="0" w:space="4"/>
      </w:pBdr>
      <w:jc w:val="right"/>
    </w:pPr>
    <w:r>
      <w:t></w:t>
    </w:r>
    <w:r>
      <w:rPr>
        <w:rFonts w:hint="eastAsia"/>
      </w:rPr>
      <w:t xml:space="preserve">           </w:t>
    </w:r>
  </w:p>
  <w:p w14:paraId="6EC6DF62">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96808">
    <w:pPr>
      <w:pStyle w:val="31"/>
      <w:pBdr>
        <w:bottom w:val="none" w:color="auto" w:sz="0" w:space="1"/>
      </w:pBdr>
      <w:jc w:val="right"/>
      <w:rPr>
        <w:rFonts w:ascii="仿宋_GB2312" w:eastAsia="仿宋_GB2312"/>
        <w:b/>
        <w:i/>
        <w:u w:val="single"/>
      </w:rPr>
    </w:pPr>
    <w:r>
      <w:rPr>
        <w:rFonts w:hint="eastAsia"/>
      </w:rPr>
      <w:t xml:space="preserve">                                 </w:t>
    </w:r>
  </w:p>
  <w:p w14:paraId="69AF558F">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F06CD"/>
    <w:rsid w:val="000F2212"/>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0FC"/>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2508"/>
    <w:rsid w:val="002E303E"/>
    <w:rsid w:val="002E4801"/>
    <w:rsid w:val="002F4342"/>
    <w:rsid w:val="002F6175"/>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6240C"/>
    <w:rsid w:val="00673C2B"/>
    <w:rsid w:val="006766EC"/>
    <w:rsid w:val="0067729F"/>
    <w:rsid w:val="0068036F"/>
    <w:rsid w:val="0068261B"/>
    <w:rsid w:val="00695DDC"/>
    <w:rsid w:val="006970C0"/>
    <w:rsid w:val="006A275F"/>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26E94"/>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34"/>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10F0"/>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4F4D"/>
    <w:rsid w:val="00D66019"/>
    <w:rsid w:val="00D67066"/>
    <w:rsid w:val="00D7011A"/>
    <w:rsid w:val="00D72565"/>
    <w:rsid w:val="00D7389B"/>
    <w:rsid w:val="00D74C5E"/>
    <w:rsid w:val="00D80945"/>
    <w:rsid w:val="00D80950"/>
    <w:rsid w:val="00D817FC"/>
    <w:rsid w:val="00D83086"/>
    <w:rsid w:val="00D8385E"/>
    <w:rsid w:val="00D871C5"/>
    <w:rsid w:val="00D95C60"/>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5F9D"/>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3EEB"/>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1BA5"/>
    <w:rsid w:val="00FE4188"/>
    <w:rsid w:val="00FE5D02"/>
    <w:rsid w:val="010A3A5C"/>
    <w:rsid w:val="01483505"/>
    <w:rsid w:val="01545A05"/>
    <w:rsid w:val="015E4ACC"/>
    <w:rsid w:val="02113806"/>
    <w:rsid w:val="024C492F"/>
    <w:rsid w:val="025516F7"/>
    <w:rsid w:val="026C6D7F"/>
    <w:rsid w:val="02785724"/>
    <w:rsid w:val="02AA727D"/>
    <w:rsid w:val="02D037B2"/>
    <w:rsid w:val="02D908B8"/>
    <w:rsid w:val="02F04A0F"/>
    <w:rsid w:val="02FE503E"/>
    <w:rsid w:val="031F1F3F"/>
    <w:rsid w:val="034129D1"/>
    <w:rsid w:val="03522419"/>
    <w:rsid w:val="035347B0"/>
    <w:rsid w:val="0361265C"/>
    <w:rsid w:val="036D7252"/>
    <w:rsid w:val="03710AF1"/>
    <w:rsid w:val="03B1713F"/>
    <w:rsid w:val="03F90AE6"/>
    <w:rsid w:val="042D2064"/>
    <w:rsid w:val="044D160A"/>
    <w:rsid w:val="046046C1"/>
    <w:rsid w:val="046B5540"/>
    <w:rsid w:val="04C3537C"/>
    <w:rsid w:val="04CB4231"/>
    <w:rsid w:val="04DB00C6"/>
    <w:rsid w:val="04E6106A"/>
    <w:rsid w:val="04FA6F14"/>
    <w:rsid w:val="05355B4E"/>
    <w:rsid w:val="05450FD3"/>
    <w:rsid w:val="054B4292"/>
    <w:rsid w:val="055661F0"/>
    <w:rsid w:val="056D178C"/>
    <w:rsid w:val="057F5710"/>
    <w:rsid w:val="058A1CAE"/>
    <w:rsid w:val="058D598A"/>
    <w:rsid w:val="059D3E1F"/>
    <w:rsid w:val="059F0E35"/>
    <w:rsid w:val="05AA7D54"/>
    <w:rsid w:val="05DB75EA"/>
    <w:rsid w:val="05FD2B10"/>
    <w:rsid w:val="06233BF8"/>
    <w:rsid w:val="06540256"/>
    <w:rsid w:val="068648B3"/>
    <w:rsid w:val="06B036DE"/>
    <w:rsid w:val="06B807E5"/>
    <w:rsid w:val="06C95D55"/>
    <w:rsid w:val="06ED4932"/>
    <w:rsid w:val="06F52164"/>
    <w:rsid w:val="06F7130D"/>
    <w:rsid w:val="07126147"/>
    <w:rsid w:val="071579E5"/>
    <w:rsid w:val="071E0F8F"/>
    <w:rsid w:val="072D3722"/>
    <w:rsid w:val="073C1416"/>
    <w:rsid w:val="07464042"/>
    <w:rsid w:val="07524795"/>
    <w:rsid w:val="075718DD"/>
    <w:rsid w:val="075B1F71"/>
    <w:rsid w:val="07A174CB"/>
    <w:rsid w:val="07AF1BE8"/>
    <w:rsid w:val="07BC4304"/>
    <w:rsid w:val="07CF7529"/>
    <w:rsid w:val="07D13575"/>
    <w:rsid w:val="07D21D7A"/>
    <w:rsid w:val="07EE5C7F"/>
    <w:rsid w:val="07F341CA"/>
    <w:rsid w:val="08404F36"/>
    <w:rsid w:val="08422A5C"/>
    <w:rsid w:val="08427A79"/>
    <w:rsid w:val="085A7D0E"/>
    <w:rsid w:val="086724C2"/>
    <w:rsid w:val="08687FE8"/>
    <w:rsid w:val="087F7F1A"/>
    <w:rsid w:val="08803584"/>
    <w:rsid w:val="089D4136"/>
    <w:rsid w:val="08B36841"/>
    <w:rsid w:val="08E104C7"/>
    <w:rsid w:val="08F17FDE"/>
    <w:rsid w:val="08F55D20"/>
    <w:rsid w:val="09063A89"/>
    <w:rsid w:val="090C7B82"/>
    <w:rsid w:val="092E4D8E"/>
    <w:rsid w:val="09456C20"/>
    <w:rsid w:val="095742E5"/>
    <w:rsid w:val="096B1B3E"/>
    <w:rsid w:val="09955CA0"/>
    <w:rsid w:val="09A20A4C"/>
    <w:rsid w:val="09B538F1"/>
    <w:rsid w:val="09DE3D12"/>
    <w:rsid w:val="0A083831"/>
    <w:rsid w:val="0A0A1357"/>
    <w:rsid w:val="0A195A3E"/>
    <w:rsid w:val="0A5E78F5"/>
    <w:rsid w:val="0A764C3F"/>
    <w:rsid w:val="0AC21CF8"/>
    <w:rsid w:val="0AF618DB"/>
    <w:rsid w:val="0AF71A49"/>
    <w:rsid w:val="0B3643CE"/>
    <w:rsid w:val="0B633415"/>
    <w:rsid w:val="0B8D2240"/>
    <w:rsid w:val="0BE04A65"/>
    <w:rsid w:val="0C225226"/>
    <w:rsid w:val="0C4D5E73"/>
    <w:rsid w:val="0C7C4110"/>
    <w:rsid w:val="0C805B63"/>
    <w:rsid w:val="0C880C59"/>
    <w:rsid w:val="0C882A07"/>
    <w:rsid w:val="0C932295"/>
    <w:rsid w:val="0CAE6912"/>
    <w:rsid w:val="0CC04897"/>
    <w:rsid w:val="0CF10BD3"/>
    <w:rsid w:val="0CFE2CC9"/>
    <w:rsid w:val="0D044784"/>
    <w:rsid w:val="0D0D5F25"/>
    <w:rsid w:val="0D12146D"/>
    <w:rsid w:val="0D246BD4"/>
    <w:rsid w:val="0D336E17"/>
    <w:rsid w:val="0D40475F"/>
    <w:rsid w:val="0D483AB4"/>
    <w:rsid w:val="0D6276FC"/>
    <w:rsid w:val="0D7A4A46"/>
    <w:rsid w:val="0DB77A48"/>
    <w:rsid w:val="0DBF4B4E"/>
    <w:rsid w:val="0DCB704F"/>
    <w:rsid w:val="0DF447F8"/>
    <w:rsid w:val="0E3F636E"/>
    <w:rsid w:val="0E5E4367"/>
    <w:rsid w:val="0E706739"/>
    <w:rsid w:val="0E72396F"/>
    <w:rsid w:val="0E9E29B6"/>
    <w:rsid w:val="0EA0228A"/>
    <w:rsid w:val="0EDB2781"/>
    <w:rsid w:val="0EDE6977"/>
    <w:rsid w:val="0EE505E5"/>
    <w:rsid w:val="0EEF4FBF"/>
    <w:rsid w:val="0EF32D02"/>
    <w:rsid w:val="0F087E2F"/>
    <w:rsid w:val="0F1B0275"/>
    <w:rsid w:val="0F274BF4"/>
    <w:rsid w:val="0F6B6D3C"/>
    <w:rsid w:val="0FB61CDC"/>
    <w:rsid w:val="0FD54DB2"/>
    <w:rsid w:val="0FE268D2"/>
    <w:rsid w:val="102E1B18"/>
    <w:rsid w:val="103B1021"/>
    <w:rsid w:val="10437371"/>
    <w:rsid w:val="10487692"/>
    <w:rsid w:val="10525806"/>
    <w:rsid w:val="106B68C8"/>
    <w:rsid w:val="107F4121"/>
    <w:rsid w:val="10850234"/>
    <w:rsid w:val="10C06C14"/>
    <w:rsid w:val="10D84CE9"/>
    <w:rsid w:val="10DD5A17"/>
    <w:rsid w:val="10F60887"/>
    <w:rsid w:val="115560EE"/>
    <w:rsid w:val="11651569"/>
    <w:rsid w:val="116972AB"/>
    <w:rsid w:val="11965BC6"/>
    <w:rsid w:val="11A264BB"/>
    <w:rsid w:val="11A3235C"/>
    <w:rsid w:val="11C6025A"/>
    <w:rsid w:val="11D84431"/>
    <w:rsid w:val="11E701D0"/>
    <w:rsid w:val="11EB0692"/>
    <w:rsid w:val="12015736"/>
    <w:rsid w:val="124408C2"/>
    <w:rsid w:val="12575356"/>
    <w:rsid w:val="125B6B77"/>
    <w:rsid w:val="127759F8"/>
    <w:rsid w:val="12791B85"/>
    <w:rsid w:val="12802AFE"/>
    <w:rsid w:val="12C02EFB"/>
    <w:rsid w:val="12D469A6"/>
    <w:rsid w:val="13023513"/>
    <w:rsid w:val="131274CE"/>
    <w:rsid w:val="13315BA7"/>
    <w:rsid w:val="133B6A25"/>
    <w:rsid w:val="13517FF7"/>
    <w:rsid w:val="135C4CF2"/>
    <w:rsid w:val="1379754E"/>
    <w:rsid w:val="137D5290"/>
    <w:rsid w:val="13C86F3F"/>
    <w:rsid w:val="13D604FC"/>
    <w:rsid w:val="14072DAB"/>
    <w:rsid w:val="14321BD6"/>
    <w:rsid w:val="143B7C08"/>
    <w:rsid w:val="144B0EEA"/>
    <w:rsid w:val="14587163"/>
    <w:rsid w:val="14757D15"/>
    <w:rsid w:val="14C30A80"/>
    <w:rsid w:val="14E530ED"/>
    <w:rsid w:val="14E804E7"/>
    <w:rsid w:val="14EF5D19"/>
    <w:rsid w:val="14F926F4"/>
    <w:rsid w:val="152D239E"/>
    <w:rsid w:val="15485429"/>
    <w:rsid w:val="15A46B04"/>
    <w:rsid w:val="161B48EC"/>
    <w:rsid w:val="16285CD8"/>
    <w:rsid w:val="16293AC8"/>
    <w:rsid w:val="162C6DB0"/>
    <w:rsid w:val="1654122A"/>
    <w:rsid w:val="166762ED"/>
    <w:rsid w:val="166B13D0"/>
    <w:rsid w:val="167F30CD"/>
    <w:rsid w:val="16F90698"/>
    <w:rsid w:val="174F2A9F"/>
    <w:rsid w:val="174F484D"/>
    <w:rsid w:val="1756356C"/>
    <w:rsid w:val="17620A24"/>
    <w:rsid w:val="178070FD"/>
    <w:rsid w:val="178C5AA1"/>
    <w:rsid w:val="179901BE"/>
    <w:rsid w:val="17CC0594"/>
    <w:rsid w:val="17E551B2"/>
    <w:rsid w:val="17F6116D"/>
    <w:rsid w:val="17FB2C27"/>
    <w:rsid w:val="181A63F7"/>
    <w:rsid w:val="1820292F"/>
    <w:rsid w:val="182C4B8E"/>
    <w:rsid w:val="18477C1A"/>
    <w:rsid w:val="18891FE1"/>
    <w:rsid w:val="18B708FC"/>
    <w:rsid w:val="18DF766D"/>
    <w:rsid w:val="18FF04F5"/>
    <w:rsid w:val="19267830"/>
    <w:rsid w:val="192A0414"/>
    <w:rsid w:val="196640D0"/>
    <w:rsid w:val="199155F1"/>
    <w:rsid w:val="19A85DF7"/>
    <w:rsid w:val="19D84FCE"/>
    <w:rsid w:val="19E27BFB"/>
    <w:rsid w:val="19EA4A5E"/>
    <w:rsid w:val="19F53DD2"/>
    <w:rsid w:val="1A02029D"/>
    <w:rsid w:val="1A023DF9"/>
    <w:rsid w:val="1A077661"/>
    <w:rsid w:val="1A0C36BB"/>
    <w:rsid w:val="1A3348FA"/>
    <w:rsid w:val="1A974E89"/>
    <w:rsid w:val="1AB07CF9"/>
    <w:rsid w:val="1AC50599"/>
    <w:rsid w:val="1ADD089B"/>
    <w:rsid w:val="1ADE1868"/>
    <w:rsid w:val="1AE17EB2"/>
    <w:rsid w:val="1AED5037"/>
    <w:rsid w:val="1B1F09DB"/>
    <w:rsid w:val="1B602EC3"/>
    <w:rsid w:val="1B6D7998"/>
    <w:rsid w:val="1B723200"/>
    <w:rsid w:val="1B75684C"/>
    <w:rsid w:val="1B966EEF"/>
    <w:rsid w:val="1B9D47B8"/>
    <w:rsid w:val="1BFB4FA4"/>
    <w:rsid w:val="1C2E5379"/>
    <w:rsid w:val="1C49357F"/>
    <w:rsid w:val="1C705992"/>
    <w:rsid w:val="1C913B5A"/>
    <w:rsid w:val="1C9D605B"/>
    <w:rsid w:val="1CAC629E"/>
    <w:rsid w:val="1CF10155"/>
    <w:rsid w:val="1D1E3640"/>
    <w:rsid w:val="1D3F5364"/>
    <w:rsid w:val="1D4330A6"/>
    <w:rsid w:val="1D444728"/>
    <w:rsid w:val="1D4A4435"/>
    <w:rsid w:val="1D8A2A83"/>
    <w:rsid w:val="1DB23D88"/>
    <w:rsid w:val="1DC20C9E"/>
    <w:rsid w:val="1DDA4CC4"/>
    <w:rsid w:val="1DDA67CD"/>
    <w:rsid w:val="1E58492F"/>
    <w:rsid w:val="1E6A4309"/>
    <w:rsid w:val="1E766B63"/>
    <w:rsid w:val="1E8130CF"/>
    <w:rsid w:val="1E894AE9"/>
    <w:rsid w:val="1EA330B9"/>
    <w:rsid w:val="1EDB10BC"/>
    <w:rsid w:val="1F1F544D"/>
    <w:rsid w:val="1F3A5DE3"/>
    <w:rsid w:val="1F55541F"/>
    <w:rsid w:val="1F6D7F66"/>
    <w:rsid w:val="1F792DAF"/>
    <w:rsid w:val="1F7B7336"/>
    <w:rsid w:val="1FAF557A"/>
    <w:rsid w:val="1FDC2DBE"/>
    <w:rsid w:val="1FE90F79"/>
    <w:rsid w:val="1FEF6BCD"/>
    <w:rsid w:val="200563F1"/>
    <w:rsid w:val="200C3C23"/>
    <w:rsid w:val="200F54C2"/>
    <w:rsid w:val="203B452A"/>
    <w:rsid w:val="20580C17"/>
    <w:rsid w:val="206770AC"/>
    <w:rsid w:val="207407CA"/>
    <w:rsid w:val="207D1B0E"/>
    <w:rsid w:val="20A35C0A"/>
    <w:rsid w:val="20CF328F"/>
    <w:rsid w:val="20DD111C"/>
    <w:rsid w:val="20F546B7"/>
    <w:rsid w:val="20FB77F4"/>
    <w:rsid w:val="21153A04"/>
    <w:rsid w:val="21303E8B"/>
    <w:rsid w:val="217838C6"/>
    <w:rsid w:val="21787096"/>
    <w:rsid w:val="21A04A27"/>
    <w:rsid w:val="21BA76AF"/>
    <w:rsid w:val="21DE15EF"/>
    <w:rsid w:val="21F77FBB"/>
    <w:rsid w:val="21FA1852"/>
    <w:rsid w:val="22034BB2"/>
    <w:rsid w:val="22056B7C"/>
    <w:rsid w:val="22853819"/>
    <w:rsid w:val="229C0B63"/>
    <w:rsid w:val="22C5455D"/>
    <w:rsid w:val="22D93B65"/>
    <w:rsid w:val="22EC1AEA"/>
    <w:rsid w:val="232A332A"/>
    <w:rsid w:val="233146F3"/>
    <w:rsid w:val="234A1FCB"/>
    <w:rsid w:val="235651B5"/>
    <w:rsid w:val="23614286"/>
    <w:rsid w:val="23733CC5"/>
    <w:rsid w:val="23801031"/>
    <w:rsid w:val="239B2715"/>
    <w:rsid w:val="23C2284B"/>
    <w:rsid w:val="23C35D37"/>
    <w:rsid w:val="23E822B1"/>
    <w:rsid w:val="23F13D6D"/>
    <w:rsid w:val="23F549CE"/>
    <w:rsid w:val="24030E99"/>
    <w:rsid w:val="241E4539"/>
    <w:rsid w:val="241E461F"/>
    <w:rsid w:val="241F1A4B"/>
    <w:rsid w:val="2435301D"/>
    <w:rsid w:val="243F3E9B"/>
    <w:rsid w:val="244514B2"/>
    <w:rsid w:val="244914BD"/>
    <w:rsid w:val="246851A0"/>
    <w:rsid w:val="246A716A"/>
    <w:rsid w:val="248024EA"/>
    <w:rsid w:val="248B49C8"/>
    <w:rsid w:val="249917FE"/>
    <w:rsid w:val="24D000E3"/>
    <w:rsid w:val="24D40A88"/>
    <w:rsid w:val="24E0742D"/>
    <w:rsid w:val="24F479AF"/>
    <w:rsid w:val="253357AE"/>
    <w:rsid w:val="2536704D"/>
    <w:rsid w:val="25387269"/>
    <w:rsid w:val="255D0A7D"/>
    <w:rsid w:val="257F27A2"/>
    <w:rsid w:val="25947D35"/>
    <w:rsid w:val="25BB3952"/>
    <w:rsid w:val="25CE3729"/>
    <w:rsid w:val="25D074A1"/>
    <w:rsid w:val="25D66AED"/>
    <w:rsid w:val="25E44CFA"/>
    <w:rsid w:val="26121868"/>
    <w:rsid w:val="26543C2E"/>
    <w:rsid w:val="26655E3B"/>
    <w:rsid w:val="26B91CE3"/>
    <w:rsid w:val="26BB5A5B"/>
    <w:rsid w:val="26D1527F"/>
    <w:rsid w:val="27225B0B"/>
    <w:rsid w:val="27280C17"/>
    <w:rsid w:val="27595274"/>
    <w:rsid w:val="275F0ADD"/>
    <w:rsid w:val="276A6233"/>
    <w:rsid w:val="2788387B"/>
    <w:rsid w:val="27985D9D"/>
    <w:rsid w:val="27A44741"/>
    <w:rsid w:val="27CC5A46"/>
    <w:rsid w:val="27DF39CB"/>
    <w:rsid w:val="28011B94"/>
    <w:rsid w:val="282833B3"/>
    <w:rsid w:val="283C0E1E"/>
    <w:rsid w:val="284E28FF"/>
    <w:rsid w:val="28550131"/>
    <w:rsid w:val="285E0D94"/>
    <w:rsid w:val="289522DC"/>
    <w:rsid w:val="28976054"/>
    <w:rsid w:val="28A605AF"/>
    <w:rsid w:val="28A7384C"/>
    <w:rsid w:val="28E13773"/>
    <w:rsid w:val="28F90ABD"/>
    <w:rsid w:val="290D6316"/>
    <w:rsid w:val="291642FB"/>
    <w:rsid w:val="293D61E7"/>
    <w:rsid w:val="296F6FD1"/>
    <w:rsid w:val="29C56BF1"/>
    <w:rsid w:val="29D37560"/>
    <w:rsid w:val="29EB00DB"/>
    <w:rsid w:val="29F00112"/>
    <w:rsid w:val="29F15C38"/>
    <w:rsid w:val="29F2365B"/>
    <w:rsid w:val="2A0C2A72"/>
    <w:rsid w:val="2A27165A"/>
    <w:rsid w:val="2A297180"/>
    <w:rsid w:val="2A355B25"/>
    <w:rsid w:val="2A677CA8"/>
    <w:rsid w:val="2A8E6137"/>
    <w:rsid w:val="2A9E7F4C"/>
    <w:rsid w:val="2AAA4765"/>
    <w:rsid w:val="2AD4533E"/>
    <w:rsid w:val="2AD6263E"/>
    <w:rsid w:val="2ADE3BCF"/>
    <w:rsid w:val="2AEC6B2B"/>
    <w:rsid w:val="2B54647E"/>
    <w:rsid w:val="2B960845"/>
    <w:rsid w:val="2BBB64FD"/>
    <w:rsid w:val="2C680433"/>
    <w:rsid w:val="2C6941AB"/>
    <w:rsid w:val="2C815051"/>
    <w:rsid w:val="2C934D84"/>
    <w:rsid w:val="2CCB2770"/>
    <w:rsid w:val="2CCE2260"/>
    <w:rsid w:val="2CED0939"/>
    <w:rsid w:val="2D0143E4"/>
    <w:rsid w:val="2D044592"/>
    <w:rsid w:val="2D085772"/>
    <w:rsid w:val="2D142369"/>
    <w:rsid w:val="2D236108"/>
    <w:rsid w:val="2D346567"/>
    <w:rsid w:val="2D841FE4"/>
    <w:rsid w:val="2D8F19F0"/>
    <w:rsid w:val="2D962D7E"/>
    <w:rsid w:val="2DB43204"/>
    <w:rsid w:val="2DF906C5"/>
    <w:rsid w:val="2E045F3A"/>
    <w:rsid w:val="2E3569FF"/>
    <w:rsid w:val="2E960B5C"/>
    <w:rsid w:val="2EAE5EA6"/>
    <w:rsid w:val="2EB55486"/>
    <w:rsid w:val="2EC76F67"/>
    <w:rsid w:val="2ED81174"/>
    <w:rsid w:val="2EF37D5C"/>
    <w:rsid w:val="2F590507"/>
    <w:rsid w:val="2F5C1DA5"/>
    <w:rsid w:val="2F60557A"/>
    <w:rsid w:val="2F633134"/>
    <w:rsid w:val="2F845F39"/>
    <w:rsid w:val="2F8F5CD7"/>
    <w:rsid w:val="2F9C03F4"/>
    <w:rsid w:val="2FB355FE"/>
    <w:rsid w:val="2FC02334"/>
    <w:rsid w:val="302E2617"/>
    <w:rsid w:val="302E3742"/>
    <w:rsid w:val="30424B3B"/>
    <w:rsid w:val="304E7F5C"/>
    <w:rsid w:val="30515682"/>
    <w:rsid w:val="308D4B79"/>
    <w:rsid w:val="309B0095"/>
    <w:rsid w:val="30A43A04"/>
    <w:rsid w:val="30B8125D"/>
    <w:rsid w:val="30DF4A3C"/>
    <w:rsid w:val="30F4023B"/>
    <w:rsid w:val="31262BAF"/>
    <w:rsid w:val="3139239E"/>
    <w:rsid w:val="314B0324"/>
    <w:rsid w:val="31871801"/>
    <w:rsid w:val="319E66A5"/>
    <w:rsid w:val="31BE28A4"/>
    <w:rsid w:val="31D245A1"/>
    <w:rsid w:val="320209E2"/>
    <w:rsid w:val="32087D02"/>
    <w:rsid w:val="32291291"/>
    <w:rsid w:val="323D1808"/>
    <w:rsid w:val="32807B59"/>
    <w:rsid w:val="32951856"/>
    <w:rsid w:val="32A23F73"/>
    <w:rsid w:val="32E225C2"/>
    <w:rsid w:val="32FF4F22"/>
    <w:rsid w:val="330B7D6A"/>
    <w:rsid w:val="332350B4"/>
    <w:rsid w:val="334201D4"/>
    <w:rsid w:val="33507EA5"/>
    <w:rsid w:val="3353526D"/>
    <w:rsid w:val="335A484E"/>
    <w:rsid w:val="338E17C4"/>
    <w:rsid w:val="33977850"/>
    <w:rsid w:val="33B10912"/>
    <w:rsid w:val="33BA493A"/>
    <w:rsid w:val="33BF2903"/>
    <w:rsid w:val="33E5680D"/>
    <w:rsid w:val="340F73E6"/>
    <w:rsid w:val="34167AA0"/>
    <w:rsid w:val="341E587B"/>
    <w:rsid w:val="343B642D"/>
    <w:rsid w:val="346A286F"/>
    <w:rsid w:val="346D235F"/>
    <w:rsid w:val="34761214"/>
    <w:rsid w:val="348C4EDB"/>
    <w:rsid w:val="34A246FE"/>
    <w:rsid w:val="34A51AF9"/>
    <w:rsid w:val="34AE4E51"/>
    <w:rsid w:val="34C12DD7"/>
    <w:rsid w:val="34E11C86"/>
    <w:rsid w:val="34FB5B11"/>
    <w:rsid w:val="352549E8"/>
    <w:rsid w:val="35402150"/>
    <w:rsid w:val="355D7A0A"/>
    <w:rsid w:val="357065AB"/>
    <w:rsid w:val="35843E04"/>
    <w:rsid w:val="359A53D6"/>
    <w:rsid w:val="35AF34A4"/>
    <w:rsid w:val="35C44201"/>
    <w:rsid w:val="35CA6C17"/>
    <w:rsid w:val="35D4709C"/>
    <w:rsid w:val="35E825E5"/>
    <w:rsid w:val="35EE39A6"/>
    <w:rsid w:val="35F20D6E"/>
    <w:rsid w:val="36080591"/>
    <w:rsid w:val="36327D7A"/>
    <w:rsid w:val="36392E40"/>
    <w:rsid w:val="36401AD9"/>
    <w:rsid w:val="364610BA"/>
    <w:rsid w:val="36581519"/>
    <w:rsid w:val="36B67FED"/>
    <w:rsid w:val="36C95F72"/>
    <w:rsid w:val="36FF1994"/>
    <w:rsid w:val="370E7E29"/>
    <w:rsid w:val="371942C5"/>
    <w:rsid w:val="3723731E"/>
    <w:rsid w:val="375B2943"/>
    <w:rsid w:val="376B702A"/>
    <w:rsid w:val="379C3687"/>
    <w:rsid w:val="37AB3C23"/>
    <w:rsid w:val="37D050DF"/>
    <w:rsid w:val="37E961A0"/>
    <w:rsid w:val="38082ACA"/>
    <w:rsid w:val="381C3783"/>
    <w:rsid w:val="382E309D"/>
    <w:rsid w:val="38855EC9"/>
    <w:rsid w:val="3894610C"/>
    <w:rsid w:val="38CA5FD2"/>
    <w:rsid w:val="38E579A2"/>
    <w:rsid w:val="390777C2"/>
    <w:rsid w:val="390C0398"/>
    <w:rsid w:val="396E2E01"/>
    <w:rsid w:val="39755F3E"/>
    <w:rsid w:val="398C590D"/>
    <w:rsid w:val="39E87CBE"/>
    <w:rsid w:val="3A157721"/>
    <w:rsid w:val="3A1A6AE5"/>
    <w:rsid w:val="3A1E65D5"/>
    <w:rsid w:val="3A331955"/>
    <w:rsid w:val="3A4122C4"/>
    <w:rsid w:val="3A4F01C9"/>
    <w:rsid w:val="3A6F0BDF"/>
    <w:rsid w:val="3A777A93"/>
    <w:rsid w:val="3A7C154E"/>
    <w:rsid w:val="3A95616C"/>
    <w:rsid w:val="3AB02FA5"/>
    <w:rsid w:val="3ACF7F42"/>
    <w:rsid w:val="3AD153F6"/>
    <w:rsid w:val="3AEA04C9"/>
    <w:rsid w:val="3AED5FA8"/>
    <w:rsid w:val="3AEF1D20"/>
    <w:rsid w:val="3B143534"/>
    <w:rsid w:val="3B5D18A3"/>
    <w:rsid w:val="3B9603ED"/>
    <w:rsid w:val="3BA00890"/>
    <w:rsid w:val="3BA03321"/>
    <w:rsid w:val="3BF710CB"/>
    <w:rsid w:val="3BFF41E4"/>
    <w:rsid w:val="3C017F5D"/>
    <w:rsid w:val="3C1557B6"/>
    <w:rsid w:val="3C1B0EFA"/>
    <w:rsid w:val="3C2D2B00"/>
    <w:rsid w:val="3C385439"/>
    <w:rsid w:val="3C697CDF"/>
    <w:rsid w:val="3C7E0814"/>
    <w:rsid w:val="3C826855"/>
    <w:rsid w:val="3C941696"/>
    <w:rsid w:val="3C951B66"/>
    <w:rsid w:val="3CAA5A88"/>
    <w:rsid w:val="3CEF4259"/>
    <w:rsid w:val="3CF950D8"/>
    <w:rsid w:val="3D7838A1"/>
    <w:rsid w:val="3D842BF3"/>
    <w:rsid w:val="3D874491"/>
    <w:rsid w:val="3D9A41C5"/>
    <w:rsid w:val="3DA07301"/>
    <w:rsid w:val="3DC01751"/>
    <w:rsid w:val="3E104487"/>
    <w:rsid w:val="3E295549"/>
    <w:rsid w:val="3E2E7003"/>
    <w:rsid w:val="3E3A1504"/>
    <w:rsid w:val="3E6B5B61"/>
    <w:rsid w:val="3E6D7B2B"/>
    <w:rsid w:val="3E7E3AE6"/>
    <w:rsid w:val="3EA370A9"/>
    <w:rsid w:val="3EA90437"/>
    <w:rsid w:val="3ECE00C6"/>
    <w:rsid w:val="3EE7531C"/>
    <w:rsid w:val="3EE8391D"/>
    <w:rsid w:val="3EF142B8"/>
    <w:rsid w:val="3F01138F"/>
    <w:rsid w:val="3F012022"/>
    <w:rsid w:val="3F6A7BC7"/>
    <w:rsid w:val="3FBB0422"/>
    <w:rsid w:val="3FBD23EC"/>
    <w:rsid w:val="3FE33995"/>
    <w:rsid w:val="3FEF5C9B"/>
    <w:rsid w:val="3FF322B2"/>
    <w:rsid w:val="40011C70"/>
    <w:rsid w:val="4012098A"/>
    <w:rsid w:val="4013025E"/>
    <w:rsid w:val="402F1E52"/>
    <w:rsid w:val="405F34A4"/>
    <w:rsid w:val="406229AA"/>
    <w:rsid w:val="407256EF"/>
    <w:rsid w:val="408353E4"/>
    <w:rsid w:val="40972C3D"/>
    <w:rsid w:val="40B76E3C"/>
    <w:rsid w:val="40D774DE"/>
    <w:rsid w:val="40E1035D"/>
    <w:rsid w:val="40EF2A79"/>
    <w:rsid w:val="41031A19"/>
    <w:rsid w:val="415B010F"/>
    <w:rsid w:val="41744D2D"/>
    <w:rsid w:val="419B050B"/>
    <w:rsid w:val="41AF26D6"/>
    <w:rsid w:val="41C537DA"/>
    <w:rsid w:val="41D43A1D"/>
    <w:rsid w:val="41E41EB2"/>
    <w:rsid w:val="41F67E38"/>
    <w:rsid w:val="424741EF"/>
    <w:rsid w:val="42731488"/>
    <w:rsid w:val="42B45D29"/>
    <w:rsid w:val="42CF2F33"/>
    <w:rsid w:val="42E83C24"/>
    <w:rsid w:val="4374370A"/>
    <w:rsid w:val="437B6846"/>
    <w:rsid w:val="43B34232"/>
    <w:rsid w:val="43CA5CE8"/>
    <w:rsid w:val="43CC7701"/>
    <w:rsid w:val="43D146B8"/>
    <w:rsid w:val="43DE4235"/>
    <w:rsid w:val="43F108B7"/>
    <w:rsid w:val="43F839F3"/>
    <w:rsid w:val="44000AFA"/>
    <w:rsid w:val="44046CCD"/>
    <w:rsid w:val="441E71D2"/>
    <w:rsid w:val="442944F4"/>
    <w:rsid w:val="44330ECF"/>
    <w:rsid w:val="447514E8"/>
    <w:rsid w:val="44C47D79"/>
    <w:rsid w:val="44DD0E3B"/>
    <w:rsid w:val="45181E73"/>
    <w:rsid w:val="451C1963"/>
    <w:rsid w:val="45232CF2"/>
    <w:rsid w:val="459534C4"/>
    <w:rsid w:val="45BD59F1"/>
    <w:rsid w:val="45E306D3"/>
    <w:rsid w:val="45E5269D"/>
    <w:rsid w:val="46396545"/>
    <w:rsid w:val="463F7FFF"/>
    <w:rsid w:val="46623F1C"/>
    <w:rsid w:val="468E4C9D"/>
    <w:rsid w:val="46A67ADA"/>
    <w:rsid w:val="46BE601F"/>
    <w:rsid w:val="46CB1893"/>
    <w:rsid w:val="46CE4EDF"/>
    <w:rsid w:val="46E75FA1"/>
    <w:rsid w:val="470019A9"/>
    <w:rsid w:val="47017EC7"/>
    <w:rsid w:val="472C1F22"/>
    <w:rsid w:val="47777325"/>
    <w:rsid w:val="47CC229D"/>
    <w:rsid w:val="47DB78B4"/>
    <w:rsid w:val="480212E4"/>
    <w:rsid w:val="480768FB"/>
    <w:rsid w:val="480D3C37"/>
    <w:rsid w:val="4832149E"/>
    <w:rsid w:val="48345216"/>
    <w:rsid w:val="48420B71"/>
    <w:rsid w:val="48457423"/>
    <w:rsid w:val="48515DC8"/>
    <w:rsid w:val="485E2293"/>
    <w:rsid w:val="48831CF9"/>
    <w:rsid w:val="488B4EF9"/>
    <w:rsid w:val="489D100D"/>
    <w:rsid w:val="48BA1BBF"/>
    <w:rsid w:val="48E44E8E"/>
    <w:rsid w:val="48F86243"/>
    <w:rsid w:val="491A440C"/>
    <w:rsid w:val="49390B26"/>
    <w:rsid w:val="493D00FA"/>
    <w:rsid w:val="496D09DF"/>
    <w:rsid w:val="497A3B61"/>
    <w:rsid w:val="4980428B"/>
    <w:rsid w:val="49A85EBB"/>
    <w:rsid w:val="49B4660E"/>
    <w:rsid w:val="49F033BE"/>
    <w:rsid w:val="4A525E27"/>
    <w:rsid w:val="4A667F43"/>
    <w:rsid w:val="4A875AD1"/>
    <w:rsid w:val="4AB03279"/>
    <w:rsid w:val="4AB10DA0"/>
    <w:rsid w:val="4ACA3C0F"/>
    <w:rsid w:val="4AD56D70"/>
    <w:rsid w:val="4B007631"/>
    <w:rsid w:val="4B137364"/>
    <w:rsid w:val="4B223A4B"/>
    <w:rsid w:val="4B5F07FC"/>
    <w:rsid w:val="4B6E0A3F"/>
    <w:rsid w:val="4B8E10E1"/>
    <w:rsid w:val="4BBF129A"/>
    <w:rsid w:val="4BE85B56"/>
    <w:rsid w:val="4C0D3267"/>
    <w:rsid w:val="4C4579F1"/>
    <w:rsid w:val="4C4A5008"/>
    <w:rsid w:val="4C4F60C5"/>
    <w:rsid w:val="4C8449BE"/>
    <w:rsid w:val="4C8A18A8"/>
    <w:rsid w:val="4C975D73"/>
    <w:rsid w:val="4C991AEB"/>
    <w:rsid w:val="4CAA019C"/>
    <w:rsid w:val="4CAA3CF8"/>
    <w:rsid w:val="4CD310EA"/>
    <w:rsid w:val="4D001B6A"/>
    <w:rsid w:val="4D0258E3"/>
    <w:rsid w:val="4D333CEE"/>
    <w:rsid w:val="4D5C3245"/>
    <w:rsid w:val="4D783DF7"/>
    <w:rsid w:val="4DAB68C6"/>
    <w:rsid w:val="4DC316F5"/>
    <w:rsid w:val="4DC62DB4"/>
    <w:rsid w:val="4DC70C51"/>
    <w:rsid w:val="4DF53699"/>
    <w:rsid w:val="4E235B10"/>
    <w:rsid w:val="4EC512BE"/>
    <w:rsid w:val="4ED96B17"/>
    <w:rsid w:val="4EDB288F"/>
    <w:rsid w:val="4EEC23A6"/>
    <w:rsid w:val="4EF8660B"/>
    <w:rsid w:val="4F043B94"/>
    <w:rsid w:val="4F09547A"/>
    <w:rsid w:val="4F10078B"/>
    <w:rsid w:val="4F381A8F"/>
    <w:rsid w:val="4F6A2E34"/>
    <w:rsid w:val="4F8B7E11"/>
    <w:rsid w:val="4F8E345D"/>
    <w:rsid w:val="4F952A3E"/>
    <w:rsid w:val="4F980780"/>
    <w:rsid w:val="4F9A3E18"/>
    <w:rsid w:val="4F9B5B7A"/>
    <w:rsid w:val="4FC357FD"/>
    <w:rsid w:val="4FDC241B"/>
    <w:rsid w:val="4FFE4A87"/>
    <w:rsid w:val="50082F83"/>
    <w:rsid w:val="500D0826"/>
    <w:rsid w:val="5032028D"/>
    <w:rsid w:val="506863A4"/>
    <w:rsid w:val="50774D39"/>
    <w:rsid w:val="50940F47"/>
    <w:rsid w:val="509C1BAA"/>
    <w:rsid w:val="509C7D2A"/>
    <w:rsid w:val="50C51101"/>
    <w:rsid w:val="50D45BDC"/>
    <w:rsid w:val="50DB26D2"/>
    <w:rsid w:val="51053BF3"/>
    <w:rsid w:val="510E0CFA"/>
    <w:rsid w:val="512C5EFE"/>
    <w:rsid w:val="51422751"/>
    <w:rsid w:val="514364CA"/>
    <w:rsid w:val="51475FBA"/>
    <w:rsid w:val="51851B58"/>
    <w:rsid w:val="518C74EB"/>
    <w:rsid w:val="519D3E2C"/>
    <w:rsid w:val="51B23FBA"/>
    <w:rsid w:val="51BD002A"/>
    <w:rsid w:val="51BF3DA2"/>
    <w:rsid w:val="51DA0BDC"/>
    <w:rsid w:val="51E732EF"/>
    <w:rsid w:val="52020133"/>
    <w:rsid w:val="520B348B"/>
    <w:rsid w:val="52151C14"/>
    <w:rsid w:val="521A1920"/>
    <w:rsid w:val="523C1897"/>
    <w:rsid w:val="523D116B"/>
    <w:rsid w:val="5244074B"/>
    <w:rsid w:val="52524C16"/>
    <w:rsid w:val="526112FD"/>
    <w:rsid w:val="526606C2"/>
    <w:rsid w:val="52946B8D"/>
    <w:rsid w:val="52973092"/>
    <w:rsid w:val="529E42FF"/>
    <w:rsid w:val="52A336C4"/>
    <w:rsid w:val="52A372F4"/>
    <w:rsid w:val="52CA01FE"/>
    <w:rsid w:val="52CB0F01"/>
    <w:rsid w:val="52D25D57"/>
    <w:rsid w:val="52DB4C0C"/>
    <w:rsid w:val="531B2676"/>
    <w:rsid w:val="532D11DF"/>
    <w:rsid w:val="53654E1D"/>
    <w:rsid w:val="536A41E2"/>
    <w:rsid w:val="5385247B"/>
    <w:rsid w:val="538A03E0"/>
    <w:rsid w:val="53A21BCD"/>
    <w:rsid w:val="53CA0592"/>
    <w:rsid w:val="53CD5B26"/>
    <w:rsid w:val="53E75832"/>
    <w:rsid w:val="53E915AA"/>
    <w:rsid w:val="53FD5056"/>
    <w:rsid w:val="54106B37"/>
    <w:rsid w:val="5422686A"/>
    <w:rsid w:val="543B0F20"/>
    <w:rsid w:val="54420CBA"/>
    <w:rsid w:val="5458228C"/>
    <w:rsid w:val="54921539"/>
    <w:rsid w:val="54B020C8"/>
    <w:rsid w:val="54C2281C"/>
    <w:rsid w:val="54D1276A"/>
    <w:rsid w:val="54DB119A"/>
    <w:rsid w:val="54EC3C29"/>
    <w:rsid w:val="54FF773A"/>
    <w:rsid w:val="55173EF5"/>
    <w:rsid w:val="55216B22"/>
    <w:rsid w:val="552B174F"/>
    <w:rsid w:val="552F53EA"/>
    <w:rsid w:val="553B5E36"/>
    <w:rsid w:val="554271C4"/>
    <w:rsid w:val="5551361E"/>
    <w:rsid w:val="5568271A"/>
    <w:rsid w:val="55804190"/>
    <w:rsid w:val="55872E29"/>
    <w:rsid w:val="55BB0D24"/>
    <w:rsid w:val="55C2009B"/>
    <w:rsid w:val="55C45E2B"/>
    <w:rsid w:val="55D342C0"/>
    <w:rsid w:val="55D3606E"/>
    <w:rsid w:val="561843C9"/>
    <w:rsid w:val="56431446"/>
    <w:rsid w:val="56586573"/>
    <w:rsid w:val="567B0038"/>
    <w:rsid w:val="569357FD"/>
    <w:rsid w:val="56CF2CD9"/>
    <w:rsid w:val="57064221"/>
    <w:rsid w:val="57106E4E"/>
    <w:rsid w:val="57452F9B"/>
    <w:rsid w:val="57AE0B41"/>
    <w:rsid w:val="57D80DA2"/>
    <w:rsid w:val="57D91936"/>
    <w:rsid w:val="57E207EA"/>
    <w:rsid w:val="57EB233C"/>
    <w:rsid w:val="57FE2D3D"/>
    <w:rsid w:val="580C5867"/>
    <w:rsid w:val="581D7C2B"/>
    <w:rsid w:val="58276B45"/>
    <w:rsid w:val="582A3F3F"/>
    <w:rsid w:val="5898534D"/>
    <w:rsid w:val="58A27F7A"/>
    <w:rsid w:val="58DF5C1C"/>
    <w:rsid w:val="59012EF2"/>
    <w:rsid w:val="59653481"/>
    <w:rsid w:val="59710078"/>
    <w:rsid w:val="597C6A1D"/>
    <w:rsid w:val="59943D66"/>
    <w:rsid w:val="5999312B"/>
    <w:rsid w:val="59B14918"/>
    <w:rsid w:val="59B937CD"/>
    <w:rsid w:val="59E14089"/>
    <w:rsid w:val="59F40CA9"/>
    <w:rsid w:val="5A2E056D"/>
    <w:rsid w:val="5A4C4641"/>
    <w:rsid w:val="5AA75EB9"/>
    <w:rsid w:val="5B555777"/>
    <w:rsid w:val="5B5E63DA"/>
    <w:rsid w:val="5B694D7F"/>
    <w:rsid w:val="5B765E19"/>
    <w:rsid w:val="5B793214"/>
    <w:rsid w:val="5B7D11B9"/>
    <w:rsid w:val="5B885B4D"/>
    <w:rsid w:val="5BB71F8E"/>
    <w:rsid w:val="5BBE42D4"/>
    <w:rsid w:val="5BD01D75"/>
    <w:rsid w:val="5BD448EE"/>
    <w:rsid w:val="5C25514A"/>
    <w:rsid w:val="5C272404"/>
    <w:rsid w:val="5C2C3309"/>
    <w:rsid w:val="5C2D3FFE"/>
    <w:rsid w:val="5C313AEE"/>
    <w:rsid w:val="5C621EFA"/>
    <w:rsid w:val="5CA73DB1"/>
    <w:rsid w:val="5CAE513F"/>
    <w:rsid w:val="5CB20CFC"/>
    <w:rsid w:val="5CB364D3"/>
    <w:rsid w:val="5CDE12A4"/>
    <w:rsid w:val="5CFF1E3E"/>
    <w:rsid w:val="5D041203"/>
    <w:rsid w:val="5D072AA1"/>
    <w:rsid w:val="5D0D6309"/>
    <w:rsid w:val="5D0E5BDE"/>
    <w:rsid w:val="5D101956"/>
    <w:rsid w:val="5D170F36"/>
    <w:rsid w:val="5D3173C8"/>
    <w:rsid w:val="5D325574"/>
    <w:rsid w:val="5D92736F"/>
    <w:rsid w:val="5D996258"/>
    <w:rsid w:val="5DAC58CF"/>
    <w:rsid w:val="5DBD090F"/>
    <w:rsid w:val="5DE4004A"/>
    <w:rsid w:val="5E127950"/>
    <w:rsid w:val="5E174F66"/>
    <w:rsid w:val="5E2A7BF7"/>
    <w:rsid w:val="5E545884"/>
    <w:rsid w:val="5E70724C"/>
    <w:rsid w:val="5EC46E9C"/>
    <w:rsid w:val="5EC94920"/>
    <w:rsid w:val="5EE93308"/>
    <w:rsid w:val="5EF62DCD"/>
    <w:rsid w:val="5EFC4888"/>
    <w:rsid w:val="5F12274B"/>
    <w:rsid w:val="5F223BC2"/>
    <w:rsid w:val="5F2C67EF"/>
    <w:rsid w:val="5F3E2940"/>
    <w:rsid w:val="5F4104EC"/>
    <w:rsid w:val="5F5A335C"/>
    <w:rsid w:val="5F6441DB"/>
    <w:rsid w:val="5F893C41"/>
    <w:rsid w:val="5F923927"/>
    <w:rsid w:val="5FB24F46"/>
    <w:rsid w:val="5FEC48FC"/>
    <w:rsid w:val="60483AFC"/>
    <w:rsid w:val="604F1663"/>
    <w:rsid w:val="60566219"/>
    <w:rsid w:val="605B2315"/>
    <w:rsid w:val="60634492"/>
    <w:rsid w:val="609F196E"/>
    <w:rsid w:val="60BB378C"/>
    <w:rsid w:val="60DA29A7"/>
    <w:rsid w:val="60DF1D6B"/>
    <w:rsid w:val="612260FC"/>
    <w:rsid w:val="612E4AA0"/>
    <w:rsid w:val="61371BA7"/>
    <w:rsid w:val="61722BDF"/>
    <w:rsid w:val="617C1087"/>
    <w:rsid w:val="61882403"/>
    <w:rsid w:val="61897F29"/>
    <w:rsid w:val="61A23345"/>
    <w:rsid w:val="61A86601"/>
    <w:rsid w:val="61AE798F"/>
    <w:rsid w:val="61B76844"/>
    <w:rsid w:val="61CA2A1B"/>
    <w:rsid w:val="61D5316E"/>
    <w:rsid w:val="61DF1CED"/>
    <w:rsid w:val="620D2908"/>
    <w:rsid w:val="62233ED9"/>
    <w:rsid w:val="62CE02E9"/>
    <w:rsid w:val="62F615EE"/>
    <w:rsid w:val="62FC6014"/>
    <w:rsid w:val="63155766"/>
    <w:rsid w:val="632379EE"/>
    <w:rsid w:val="633A3BD0"/>
    <w:rsid w:val="633D546F"/>
    <w:rsid w:val="633F1AE4"/>
    <w:rsid w:val="63651864"/>
    <w:rsid w:val="636B1FDC"/>
    <w:rsid w:val="637A3FCD"/>
    <w:rsid w:val="63B01036"/>
    <w:rsid w:val="63D80CF3"/>
    <w:rsid w:val="63ED29F1"/>
    <w:rsid w:val="63FA6EBC"/>
    <w:rsid w:val="6401649C"/>
    <w:rsid w:val="64834155"/>
    <w:rsid w:val="64921BE4"/>
    <w:rsid w:val="64923598"/>
    <w:rsid w:val="649B244D"/>
    <w:rsid w:val="64B82FFF"/>
    <w:rsid w:val="64C5396E"/>
    <w:rsid w:val="64DD0462"/>
    <w:rsid w:val="64E35BA2"/>
    <w:rsid w:val="64F61D79"/>
    <w:rsid w:val="650C334B"/>
    <w:rsid w:val="65242442"/>
    <w:rsid w:val="652A37D1"/>
    <w:rsid w:val="653267BA"/>
    <w:rsid w:val="653603C7"/>
    <w:rsid w:val="653D52B2"/>
    <w:rsid w:val="65620B1F"/>
    <w:rsid w:val="656E5DB3"/>
    <w:rsid w:val="656F7435"/>
    <w:rsid w:val="659B022A"/>
    <w:rsid w:val="65A05841"/>
    <w:rsid w:val="65BA2DA7"/>
    <w:rsid w:val="65D379C4"/>
    <w:rsid w:val="65D5373C"/>
    <w:rsid w:val="65EB11B2"/>
    <w:rsid w:val="66391F1D"/>
    <w:rsid w:val="664851AC"/>
    <w:rsid w:val="66682803"/>
    <w:rsid w:val="666A657B"/>
    <w:rsid w:val="667F1861"/>
    <w:rsid w:val="668605EE"/>
    <w:rsid w:val="66AB5A82"/>
    <w:rsid w:val="66BA2932"/>
    <w:rsid w:val="66E300DB"/>
    <w:rsid w:val="66F513A4"/>
    <w:rsid w:val="67430B7A"/>
    <w:rsid w:val="674F5770"/>
    <w:rsid w:val="67762CFD"/>
    <w:rsid w:val="678C2521"/>
    <w:rsid w:val="67E22141"/>
    <w:rsid w:val="67EC1211"/>
    <w:rsid w:val="67FC294A"/>
    <w:rsid w:val="68330BEE"/>
    <w:rsid w:val="684D1CB0"/>
    <w:rsid w:val="685079F2"/>
    <w:rsid w:val="68812B97"/>
    <w:rsid w:val="689A0C6D"/>
    <w:rsid w:val="68A11FFC"/>
    <w:rsid w:val="68B65AA7"/>
    <w:rsid w:val="68CE0A78"/>
    <w:rsid w:val="68DC4DE2"/>
    <w:rsid w:val="68F70A31"/>
    <w:rsid w:val="69006D22"/>
    <w:rsid w:val="690540BF"/>
    <w:rsid w:val="69224EEB"/>
    <w:rsid w:val="692549DB"/>
    <w:rsid w:val="692A1FF1"/>
    <w:rsid w:val="6943410F"/>
    <w:rsid w:val="69470DF5"/>
    <w:rsid w:val="69540E1C"/>
    <w:rsid w:val="6958090C"/>
    <w:rsid w:val="69821E2D"/>
    <w:rsid w:val="699B6A4B"/>
    <w:rsid w:val="699E769D"/>
    <w:rsid w:val="69D6694F"/>
    <w:rsid w:val="69DD7064"/>
    <w:rsid w:val="69E623BC"/>
    <w:rsid w:val="6A010FA4"/>
    <w:rsid w:val="6A0960AB"/>
    <w:rsid w:val="6A154A4F"/>
    <w:rsid w:val="6A1F12E0"/>
    <w:rsid w:val="6A794FDE"/>
    <w:rsid w:val="6A9A4F55"/>
    <w:rsid w:val="6AA162E3"/>
    <w:rsid w:val="6AA30604"/>
    <w:rsid w:val="6AA4419D"/>
    <w:rsid w:val="6AA47B81"/>
    <w:rsid w:val="6AAB0F10"/>
    <w:rsid w:val="6ADD627B"/>
    <w:rsid w:val="6AEF52A0"/>
    <w:rsid w:val="6AF44665"/>
    <w:rsid w:val="6B062C1F"/>
    <w:rsid w:val="6B105B62"/>
    <w:rsid w:val="6B1C00C9"/>
    <w:rsid w:val="6B2D53A2"/>
    <w:rsid w:val="6B431148"/>
    <w:rsid w:val="6B4D1FC7"/>
    <w:rsid w:val="6B854358"/>
    <w:rsid w:val="6B923E7E"/>
    <w:rsid w:val="6BB4327D"/>
    <w:rsid w:val="6BB67B6C"/>
    <w:rsid w:val="6BEF7967"/>
    <w:rsid w:val="6BF25EAE"/>
    <w:rsid w:val="6C0C1E82"/>
    <w:rsid w:val="6C0F54CE"/>
    <w:rsid w:val="6C360CAD"/>
    <w:rsid w:val="6C767F1C"/>
    <w:rsid w:val="6C81017A"/>
    <w:rsid w:val="6C8639E2"/>
    <w:rsid w:val="6C9C1458"/>
    <w:rsid w:val="6CAD0F6F"/>
    <w:rsid w:val="6CAE4CE7"/>
    <w:rsid w:val="6CBE317C"/>
    <w:rsid w:val="6CC22541"/>
    <w:rsid w:val="6CCD33BF"/>
    <w:rsid w:val="6CD54525"/>
    <w:rsid w:val="6D066806"/>
    <w:rsid w:val="6D1C7EA3"/>
    <w:rsid w:val="6D375489"/>
    <w:rsid w:val="6D3F50F4"/>
    <w:rsid w:val="6D502C2F"/>
    <w:rsid w:val="6DC76061"/>
    <w:rsid w:val="6E2622CC"/>
    <w:rsid w:val="6E2E0238"/>
    <w:rsid w:val="6E315BD0"/>
    <w:rsid w:val="6E421B8B"/>
    <w:rsid w:val="6E4968E0"/>
    <w:rsid w:val="6E4E22DE"/>
    <w:rsid w:val="6E9248C1"/>
    <w:rsid w:val="6EAB14DE"/>
    <w:rsid w:val="6EB80C6F"/>
    <w:rsid w:val="6EEB2223"/>
    <w:rsid w:val="6EED7D49"/>
    <w:rsid w:val="6EEE47E4"/>
    <w:rsid w:val="6EF92E29"/>
    <w:rsid w:val="6F196D90"/>
    <w:rsid w:val="6F571666"/>
    <w:rsid w:val="6F7E042E"/>
    <w:rsid w:val="6F8232BD"/>
    <w:rsid w:val="6FB823B9"/>
    <w:rsid w:val="700C06A3"/>
    <w:rsid w:val="70115CB9"/>
    <w:rsid w:val="701337DF"/>
    <w:rsid w:val="70187047"/>
    <w:rsid w:val="701C5148"/>
    <w:rsid w:val="705B6F34"/>
    <w:rsid w:val="709B5583"/>
    <w:rsid w:val="70A72D1E"/>
    <w:rsid w:val="70B30B1E"/>
    <w:rsid w:val="70BA1EAD"/>
    <w:rsid w:val="70BF5715"/>
    <w:rsid w:val="70D8163A"/>
    <w:rsid w:val="70FF3D63"/>
    <w:rsid w:val="712A5284"/>
    <w:rsid w:val="71486D13"/>
    <w:rsid w:val="71557E27"/>
    <w:rsid w:val="71562C1B"/>
    <w:rsid w:val="71A072F4"/>
    <w:rsid w:val="71C241AC"/>
    <w:rsid w:val="71C64881"/>
    <w:rsid w:val="71DF582A"/>
    <w:rsid w:val="72435ED2"/>
    <w:rsid w:val="724C122A"/>
    <w:rsid w:val="726A7902"/>
    <w:rsid w:val="728E2EEB"/>
    <w:rsid w:val="729350C8"/>
    <w:rsid w:val="72A050D2"/>
    <w:rsid w:val="72B34E05"/>
    <w:rsid w:val="72BB015E"/>
    <w:rsid w:val="72C07522"/>
    <w:rsid w:val="72FE1503"/>
    <w:rsid w:val="731F06ED"/>
    <w:rsid w:val="7329331A"/>
    <w:rsid w:val="733001EA"/>
    <w:rsid w:val="73353A6C"/>
    <w:rsid w:val="733E5017"/>
    <w:rsid w:val="733F0A43"/>
    <w:rsid w:val="73886292"/>
    <w:rsid w:val="73B47087"/>
    <w:rsid w:val="73D03795"/>
    <w:rsid w:val="74130252"/>
    <w:rsid w:val="741C09D1"/>
    <w:rsid w:val="742C4E6F"/>
    <w:rsid w:val="742F670E"/>
    <w:rsid w:val="743B3304"/>
    <w:rsid w:val="747F2476"/>
    <w:rsid w:val="748F53FE"/>
    <w:rsid w:val="74A54C22"/>
    <w:rsid w:val="74B310ED"/>
    <w:rsid w:val="74CE4179"/>
    <w:rsid w:val="74E27C24"/>
    <w:rsid w:val="74EA75CD"/>
    <w:rsid w:val="74F040EF"/>
    <w:rsid w:val="74FC4F26"/>
    <w:rsid w:val="752913AF"/>
    <w:rsid w:val="754461E9"/>
    <w:rsid w:val="754D6977"/>
    <w:rsid w:val="75662603"/>
    <w:rsid w:val="757A4300"/>
    <w:rsid w:val="75802A52"/>
    <w:rsid w:val="75812F99"/>
    <w:rsid w:val="75842A89"/>
    <w:rsid w:val="758D4034"/>
    <w:rsid w:val="75E96649"/>
    <w:rsid w:val="768F1F08"/>
    <w:rsid w:val="76A638F1"/>
    <w:rsid w:val="76B65922"/>
    <w:rsid w:val="76C45833"/>
    <w:rsid w:val="76F31C74"/>
    <w:rsid w:val="771542E1"/>
    <w:rsid w:val="771816DB"/>
    <w:rsid w:val="771B741D"/>
    <w:rsid w:val="77207389"/>
    <w:rsid w:val="772E3E17"/>
    <w:rsid w:val="77530965"/>
    <w:rsid w:val="77764653"/>
    <w:rsid w:val="777E6C5D"/>
    <w:rsid w:val="77A03A22"/>
    <w:rsid w:val="77CD7B6D"/>
    <w:rsid w:val="77CE623E"/>
    <w:rsid w:val="77D01459"/>
    <w:rsid w:val="77E872FF"/>
    <w:rsid w:val="77F43B0E"/>
    <w:rsid w:val="77FA6C1F"/>
    <w:rsid w:val="77FA7033"/>
    <w:rsid w:val="77FF289B"/>
    <w:rsid w:val="78267E28"/>
    <w:rsid w:val="7863107C"/>
    <w:rsid w:val="78770683"/>
    <w:rsid w:val="7889179A"/>
    <w:rsid w:val="78C57641"/>
    <w:rsid w:val="78C87131"/>
    <w:rsid w:val="78D930EC"/>
    <w:rsid w:val="78FF0DA4"/>
    <w:rsid w:val="79202AC9"/>
    <w:rsid w:val="79290CA2"/>
    <w:rsid w:val="793B5B55"/>
    <w:rsid w:val="79464C25"/>
    <w:rsid w:val="794970E4"/>
    <w:rsid w:val="797F3C93"/>
    <w:rsid w:val="79907C4E"/>
    <w:rsid w:val="79955265"/>
    <w:rsid w:val="799C4845"/>
    <w:rsid w:val="79A454A8"/>
    <w:rsid w:val="79BA6C16"/>
    <w:rsid w:val="79DC10E6"/>
    <w:rsid w:val="79DC2E94"/>
    <w:rsid w:val="79F226B7"/>
    <w:rsid w:val="7A0B5527"/>
    <w:rsid w:val="7A230AC3"/>
    <w:rsid w:val="7AD718AD"/>
    <w:rsid w:val="7AD80B29"/>
    <w:rsid w:val="7AF16E13"/>
    <w:rsid w:val="7AF91823"/>
    <w:rsid w:val="7B0E3521"/>
    <w:rsid w:val="7B2A7C2F"/>
    <w:rsid w:val="7B2F3497"/>
    <w:rsid w:val="7B670E83"/>
    <w:rsid w:val="7B784E3E"/>
    <w:rsid w:val="7B8B2DC3"/>
    <w:rsid w:val="7B9B08E1"/>
    <w:rsid w:val="7B9F061D"/>
    <w:rsid w:val="7BB25022"/>
    <w:rsid w:val="7BCA5013"/>
    <w:rsid w:val="7BDA2241"/>
    <w:rsid w:val="7BDA3403"/>
    <w:rsid w:val="7BE91898"/>
    <w:rsid w:val="7BF24174"/>
    <w:rsid w:val="7C093CE8"/>
    <w:rsid w:val="7C0E12FE"/>
    <w:rsid w:val="7C183F2B"/>
    <w:rsid w:val="7C6D24C9"/>
    <w:rsid w:val="7C977546"/>
    <w:rsid w:val="7CC145C3"/>
    <w:rsid w:val="7CD93A0B"/>
    <w:rsid w:val="7CF14EA8"/>
    <w:rsid w:val="7CF60F14"/>
    <w:rsid w:val="7D17206F"/>
    <w:rsid w:val="7D221505"/>
    <w:rsid w:val="7D690EE2"/>
    <w:rsid w:val="7D6A582E"/>
    <w:rsid w:val="7D6C452F"/>
    <w:rsid w:val="7DA77C5D"/>
    <w:rsid w:val="7DA939D5"/>
    <w:rsid w:val="7DB87774"/>
    <w:rsid w:val="7DE1316F"/>
    <w:rsid w:val="7DEC566F"/>
    <w:rsid w:val="7E2968C4"/>
    <w:rsid w:val="7E8E6727"/>
    <w:rsid w:val="7EA128FE"/>
    <w:rsid w:val="7EA22F02"/>
    <w:rsid w:val="7EA37FC5"/>
    <w:rsid w:val="7EC9775F"/>
    <w:rsid w:val="7F166E48"/>
    <w:rsid w:val="7F1E7AAB"/>
    <w:rsid w:val="7F313C82"/>
    <w:rsid w:val="7F4D213E"/>
    <w:rsid w:val="7F7C64B5"/>
    <w:rsid w:val="7F945FBF"/>
    <w:rsid w:val="7FB607EA"/>
    <w:rsid w:val="7FC70142"/>
    <w:rsid w:val="7FE37C2F"/>
    <w:rsid w:val="7FEB51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eastAsia="宋体"/>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next w:val="7"/>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next w:val="5"/>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Char"/>
    <w:link w:val="2"/>
    <w:qFormat/>
    <w:uiPriority w:val="0"/>
    <w:rPr>
      <w:rFonts w:ascii="宋体" w:hAnsi="宋体" w:cs="宋体"/>
      <w:b/>
      <w:bCs/>
      <w:spacing w:val="-20"/>
      <w:kern w:val="44"/>
      <w:sz w:val="32"/>
      <w:szCs w:val="32"/>
    </w:rPr>
  </w:style>
  <w:style w:type="character" w:customStyle="1" w:styleId="58">
    <w:name w:val="标题 2 Char"/>
    <w:link w:val="3"/>
    <w:qFormat/>
    <w:uiPriority w:val="0"/>
    <w:rPr>
      <w:rFonts w:ascii="宋体" w:hAnsi="宋体" w:cs="宋体"/>
      <w:b/>
      <w:bCs/>
      <w:kern w:val="2"/>
      <w:sz w:val="28"/>
      <w:szCs w:val="28"/>
    </w:rPr>
  </w:style>
  <w:style w:type="character" w:customStyle="1" w:styleId="59">
    <w:name w:val="标题 3 Char"/>
    <w:link w:val="4"/>
    <w:qFormat/>
    <w:uiPriority w:val="0"/>
    <w:rPr>
      <w:rFonts w:ascii="宋体" w:hAnsi="宋体" w:cs="宋体"/>
      <w:b/>
      <w:bCs/>
      <w:color w:val="000000"/>
      <w:sz w:val="28"/>
      <w:szCs w:val="28"/>
    </w:rPr>
  </w:style>
  <w:style w:type="character" w:customStyle="1" w:styleId="60">
    <w:name w:val="正文文本 Char4"/>
    <w:link w:val="6"/>
    <w:qFormat/>
    <w:locked/>
    <w:uiPriority w:val="99"/>
    <w:rPr>
      <w:rFonts w:ascii="Calibri" w:hAnsi="Calibri" w:eastAsia="宋体" w:cs="Times New Roman"/>
    </w:rPr>
  </w:style>
  <w:style w:type="character" w:customStyle="1" w:styleId="61">
    <w:name w:val="正文首行缩进 Char"/>
    <w:link w:val="5"/>
    <w:qFormat/>
    <w:uiPriority w:val="0"/>
    <w:rPr>
      <w:rFonts w:ascii="Times New Roman" w:hAnsi="Times New Roman" w:eastAsia="宋体" w:cs="Times New Roman"/>
      <w:kern w:val="0"/>
      <w:sz w:val="18"/>
      <w:szCs w:val="18"/>
    </w:rPr>
  </w:style>
  <w:style w:type="character" w:customStyle="1" w:styleId="62">
    <w:name w:val="标题 4 Char"/>
    <w:link w:val="7"/>
    <w:qFormat/>
    <w:uiPriority w:val="9"/>
    <w:rPr>
      <w:rFonts w:ascii="Arial" w:hAnsi="Arial"/>
      <w:b/>
      <w:bCs/>
      <w:sz w:val="28"/>
      <w:szCs w:val="28"/>
    </w:rPr>
  </w:style>
  <w:style w:type="character" w:customStyle="1" w:styleId="63">
    <w:name w:val="标题 5 Char"/>
    <w:link w:val="8"/>
    <w:qFormat/>
    <w:uiPriority w:val="0"/>
    <w:rPr>
      <w:rFonts w:ascii="Calibri" w:hAnsi="Calibri" w:cs="宋体"/>
      <w:b/>
      <w:bCs/>
      <w:sz w:val="28"/>
      <w:szCs w:val="28"/>
    </w:rPr>
  </w:style>
  <w:style w:type="character" w:customStyle="1" w:styleId="64">
    <w:name w:val="标题 6 Char"/>
    <w:link w:val="9"/>
    <w:qFormat/>
    <w:uiPriority w:val="0"/>
    <w:rPr>
      <w:rFonts w:ascii="Arial" w:hAnsi="Arial"/>
      <w:b/>
      <w:bCs/>
      <w:sz w:val="28"/>
      <w:szCs w:val="18"/>
    </w:rPr>
  </w:style>
  <w:style w:type="character" w:customStyle="1" w:styleId="65">
    <w:name w:val="标题 7 Char"/>
    <w:link w:val="10"/>
    <w:qFormat/>
    <w:uiPriority w:val="0"/>
    <w:rPr>
      <w:rFonts w:ascii="Arial Narrow" w:hAnsi="Arial Narrow" w:eastAsia="宋体" w:cs="Times New Roman"/>
      <w:b/>
      <w:bCs/>
      <w:iCs/>
      <w:kern w:val="0"/>
      <w:sz w:val="20"/>
      <w:szCs w:val="24"/>
      <w:lang w:eastAsia="en-US"/>
    </w:rPr>
  </w:style>
  <w:style w:type="character" w:customStyle="1" w:styleId="66">
    <w:name w:val="标题 8 Char"/>
    <w:link w:val="11"/>
    <w:semiHidden/>
    <w:qFormat/>
    <w:uiPriority w:val="0"/>
    <w:rPr>
      <w:rFonts w:ascii="Arial" w:hAnsi="Arial" w:eastAsia="黑体" w:cs="Times New Roman"/>
      <w:kern w:val="0"/>
      <w:sz w:val="24"/>
      <w:szCs w:val="24"/>
    </w:rPr>
  </w:style>
  <w:style w:type="character" w:customStyle="1" w:styleId="67">
    <w:name w:val="标题 9 Char"/>
    <w:link w:val="12"/>
    <w:semiHidden/>
    <w:qFormat/>
    <w:uiPriority w:val="0"/>
    <w:rPr>
      <w:rFonts w:ascii="Arial" w:hAnsi="Arial" w:eastAsia="黑体" w:cs="Times New Roman"/>
      <w:kern w:val="0"/>
      <w:sz w:val="20"/>
      <w:szCs w:val="21"/>
    </w:rPr>
  </w:style>
  <w:style w:type="character" w:customStyle="1" w:styleId="68">
    <w:name w:val="正文缩进 Char1"/>
    <w:link w:val="15"/>
    <w:qFormat/>
    <w:locked/>
    <w:uiPriority w:val="0"/>
  </w:style>
  <w:style w:type="character" w:customStyle="1" w:styleId="69">
    <w:name w:val="文档结构图 Char"/>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Char3"/>
    <w:link w:val="19"/>
    <w:qFormat/>
    <w:uiPriority w:val="99"/>
    <w:rPr>
      <w:rFonts w:ascii="Times New Roman" w:hAnsi="Times New Roman" w:eastAsia="宋体" w:cs="Times New Roman"/>
      <w:kern w:val="0"/>
      <w:sz w:val="18"/>
      <w:szCs w:val="18"/>
    </w:rPr>
  </w:style>
  <w:style w:type="character" w:customStyle="1" w:styleId="71">
    <w:name w:val="正文文本 3 Char"/>
    <w:link w:val="20"/>
    <w:semiHidden/>
    <w:qFormat/>
    <w:uiPriority w:val="0"/>
    <w:rPr>
      <w:rFonts w:ascii="Times New Roman" w:hAnsi="Times New Roman" w:eastAsia="黑体" w:cs="Times New Roman"/>
      <w:sz w:val="44"/>
      <w:szCs w:val="24"/>
    </w:rPr>
  </w:style>
  <w:style w:type="character" w:customStyle="1" w:styleId="72">
    <w:name w:val="正文文本缩进 Char"/>
    <w:link w:val="21"/>
    <w:semiHidden/>
    <w:qFormat/>
    <w:uiPriority w:val="0"/>
    <w:rPr>
      <w:rFonts w:ascii="Times New Roman" w:hAnsi="Times New Roman" w:eastAsia="宋体" w:cs="Times New Roman"/>
      <w:kern w:val="0"/>
      <w:sz w:val="20"/>
      <w:szCs w:val="24"/>
    </w:rPr>
  </w:style>
  <w:style w:type="character" w:customStyle="1" w:styleId="73">
    <w:name w:val="纯文本 Char1"/>
    <w:link w:val="25"/>
    <w:qFormat/>
    <w:locked/>
    <w:uiPriority w:val="0"/>
    <w:rPr>
      <w:rFonts w:ascii="宋体" w:hAnsi="Courier New" w:eastAsia="宋体" w:cs="Times New Roman"/>
      <w:kern w:val="0"/>
      <w:sz w:val="20"/>
      <w:szCs w:val="18"/>
    </w:rPr>
  </w:style>
  <w:style w:type="character" w:customStyle="1" w:styleId="74">
    <w:name w:val="日期 Char"/>
    <w:link w:val="27"/>
    <w:qFormat/>
    <w:uiPriority w:val="99"/>
    <w:rPr>
      <w:rFonts w:ascii="Times New Roman" w:hAnsi="Times New Roman" w:eastAsia="宋体" w:cs="Times New Roman"/>
      <w:kern w:val="0"/>
      <w:sz w:val="24"/>
      <w:szCs w:val="24"/>
    </w:rPr>
  </w:style>
  <w:style w:type="character" w:customStyle="1" w:styleId="75">
    <w:name w:val="正文文本缩进 2 Char"/>
    <w:link w:val="28"/>
    <w:qFormat/>
    <w:uiPriority w:val="0"/>
    <w:rPr>
      <w:rFonts w:ascii="Calibri" w:hAnsi="Calibri" w:eastAsia="宋体" w:cs="Times New Roman"/>
    </w:rPr>
  </w:style>
  <w:style w:type="character" w:customStyle="1" w:styleId="76">
    <w:name w:val="批注框文本 Char"/>
    <w:link w:val="29"/>
    <w:qFormat/>
    <w:uiPriority w:val="99"/>
    <w:rPr>
      <w:rFonts w:ascii="Times New Roman" w:hAnsi="Times New Roman" w:eastAsia="宋体" w:cs="Times New Roman"/>
      <w:kern w:val="0"/>
      <w:sz w:val="18"/>
      <w:szCs w:val="18"/>
    </w:rPr>
  </w:style>
  <w:style w:type="character" w:customStyle="1" w:styleId="77">
    <w:name w:val="页脚 Char"/>
    <w:link w:val="30"/>
    <w:qFormat/>
    <w:uiPriority w:val="99"/>
    <w:rPr>
      <w:rFonts w:ascii="Calibri" w:hAnsi="Calibri" w:eastAsia="宋体" w:cs="Times New Roman"/>
      <w:kern w:val="0"/>
      <w:sz w:val="18"/>
      <w:szCs w:val="18"/>
    </w:rPr>
  </w:style>
  <w:style w:type="character" w:customStyle="1" w:styleId="78">
    <w:name w:val="页眉 Char"/>
    <w:link w:val="31"/>
    <w:qFormat/>
    <w:uiPriority w:val="99"/>
    <w:rPr>
      <w:rFonts w:ascii="Calibri" w:hAnsi="Calibri" w:eastAsia="宋体" w:cs="Times New Roman"/>
      <w:kern w:val="0"/>
      <w:sz w:val="18"/>
      <w:szCs w:val="18"/>
    </w:rPr>
  </w:style>
  <w:style w:type="character" w:customStyle="1" w:styleId="79">
    <w:name w:val="副标题 Char"/>
    <w:link w:val="34"/>
    <w:qFormat/>
    <w:uiPriority w:val="0"/>
    <w:rPr>
      <w:rFonts w:ascii="Cambria" w:hAnsi="Cambria" w:eastAsia="宋体" w:cs="Times New Roman"/>
      <w:b/>
      <w:bCs/>
      <w:kern w:val="28"/>
      <w:sz w:val="32"/>
      <w:szCs w:val="32"/>
    </w:rPr>
  </w:style>
  <w:style w:type="character" w:customStyle="1" w:styleId="80">
    <w:name w:val="脚注文本 Char"/>
    <w:link w:val="37"/>
    <w:semiHidden/>
    <w:qFormat/>
    <w:uiPriority w:val="0"/>
    <w:rPr>
      <w:rFonts w:ascii="Calibri" w:hAnsi="Calibri" w:eastAsia="宋体" w:cs="Times New Roman"/>
      <w:sz w:val="18"/>
      <w:szCs w:val="18"/>
    </w:rPr>
  </w:style>
  <w:style w:type="character" w:customStyle="1" w:styleId="81">
    <w:name w:val="正文文本缩进 3 Char"/>
    <w:link w:val="39"/>
    <w:semiHidden/>
    <w:qFormat/>
    <w:uiPriority w:val="0"/>
    <w:rPr>
      <w:rFonts w:ascii="宋体" w:hAnsi="宋体" w:eastAsia="宋体" w:cs="Times New Roman"/>
      <w:kern w:val="0"/>
      <w:sz w:val="28"/>
      <w:szCs w:val="28"/>
    </w:rPr>
  </w:style>
  <w:style w:type="character" w:customStyle="1" w:styleId="82">
    <w:name w:val="正文文本 2 Char"/>
    <w:link w:val="42"/>
    <w:semiHidden/>
    <w:qFormat/>
    <w:uiPriority w:val="0"/>
    <w:rPr>
      <w:rFonts w:ascii="Times New Roman" w:hAnsi="Times New Roman" w:eastAsia="宋体" w:cs="Times New Roman"/>
      <w:kern w:val="0"/>
      <w:sz w:val="18"/>
      <w:szCs w:val="18"/>
    </w:rPr>
  </w:style>
  <w:style w:type="character" w:customStyle="1" w:styleId="83">
    <w:name w:val="HTML 预设格式 Char"/>
    <w:link w:val="43"/>
    <w:qFormat/>
    <w:uiPriority w:val="0"/>
    <w:rPr>
      <w:rFonts w:ascii="宋体" w:hAnsi="宋体" w:eastAsia="宋体" w:cs="Times New Roman"/>
      <w:kern w:val="0"/>
      <w:sz w:val="24"/>
      <w:szCs w:val="24"/>
    </w:rPr>
  </w:style>
  <w:style w:type="character" w:customStyle="1" w:styleId="84">
    <w:name w:val="批注主题 Char"/>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basedOn w:val="5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eastAsia="宋体"/>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出段落 Char"/>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sz w:val="19"/>
      <w:szCs w:val="19"/>
      <w:lang w:eastAsia="en-US"/>
    </w:rPr>
  </w:style>
  <w:style w:type="table" w:customStyle="1" w:styleId="336">
    <w:name w:val="Table Normal"/>
    <w:unhideWhenUsed/>
    <w:qFormat/>
    <w:uiPriority w:val="0"/>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 w:type="paragraph" w:customStyle="1" w:styleId="339">
    <w:name w:val="6矿产空行"/>
    <w:basedOn w:val="340"/>
    <w:qFormat/>
    <w:uiPriority w:val="0"/>
    <w:pPr>
      <w:spacing w:line="200" w:lineRule="exact"/>
    </w:pPr>
  </w:style>
  <w:style w:type="paragraph" w:customStyle="1" w:styleId="340">
    <w:name w:val="3正文"/>
    <w:basedOn w:val="341"/>
    <w:qFormat/>
    <w:uiPriority w:val="0"/>
    <w:pPr>
      <w:ind w:firstLine="200" w:firstLineChars="200"/>
      <w:jc w:val="both"/>
      <w:outlineLvl w:val="9"/>
    </w:pPr>
    <w:rPr>
      <w:rFonts w:hAnsi="宋体" w:cs="宋体"/>
      <w:b w:val="0"/>
      <w:bCs/>
      <w:snapToGrid w:val="0"/>
      <w:sz w:val="28"/>
      <w:szCs w:val="21"/>
    </w:rPr>
  </w:style>
  <w:style w:type="paragraph" w:customStyle="1" w:styleId="341">
    <w:name w:val="2级矿产"/>
    <w:basedOn w:val="342"/>
    <w:qFormat/>
    <w:uiPriority w:val="0"/>
    <w:pPr>
      <w:outlineLvl w:val="1"/>
    </w:pPr>
  </w:style>
  <w:style w:type="paragraph" w:customStyle="1" w:styleId="342">
    <w:name w:val="1级矿产"/>
    <w:basedOn w:val="1"/>
    <w:qFormat/>
    <w:uiPriority w:val="0"/>
    <w:pPr>
      <w:adjustRightInd w:val="0"/>
      <w:snapToGrid w:val="0"/>
      <w:jc w:val="center"/>
      <w:outlineLvl w:val="0"/>
    </w:pPr>
    <w:rPr>
      <w:rFonts w:ascii="宋体" w:hAnsiTheme="minorHAnsi" w:cstheme="minorBidi"/>
      <w:b/>
      <w:kern w:val="0"/>
      <w:sz w:val="3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12496</Words>
  <Characters>13395</Characters>
  <Lines>242</Lines>
  <Paragraphs>68</Paragraphs>
  <TotalTime>93</TotalTime>
  <ScaleCrop>false</ScaleCrop>
  <LinksUpToDate>false</LinksUpToDate>
  <CharactersWithSpaces>14557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2025-04-21T10:56:45Z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9BE51E3D8FB54E5C81CBD9948F4995E6_13</vt:lpwstr>
  </property>
  <property fmtid="{D5CDD505-2E9C-101B-9397-08002B2CF9AE}" pid="5" name="KSOTemplateDocerSaveRecord">
    <vt:lpwstr>eyJoZGlkIjoiYTFkMTI0MmIwOTExZmMxMmQzNTllNzI0MjE1MzUzNGUiLCJ1c2VySWQiOiIzMTA2MTI3NjkifQ==</vt:lpwstr>
  </property>
</Properties>
</file>