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72B483">
      <w:pPr>
        <w:rPr>
          <w:rFonts w:hint="eastAsia" w:ascii="仿宋_GB2312" w:hAnsi="仿宋_GB2312" w:eastAsia="仿宋_GB2312" w:cs="仿宋_GB2312"/>
          <w:color w:val="auto"/>
          <w:highlight w:val="none"/>
        </w:rPr>
      </w:pPr>
      <w:r>
        <w:rPr>
          <w:color w:val="auto"/>
          <w:sz w:val="21"/>
          <w:highlight w:val="none"/>
        </w:rPr>
        <mc:AlternateContent>
          <mc:Choice Requires="wps">
            <w:drawing>
              <wp:anchor distT="0" distB="0" distL="114300" distR="114300" simplePos="0" relativeHeight="251661312" behindDoc="0" locked="0" layoutInCell="1" allowOverlap="1">
                <wp:simplePos x="0" y="0"/>
                <wp:positionH relativeFrom="column">
                  <wp:posOffset>-1172845</wp:posOffset>
                </wp:positionH>
                <wp:positionV relativeFrom="paragraph">
                  <wp:posOffset>735330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26E3D3">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新疆医科大学第六附属医院全自动生化分析仪、</w:t>
                            </w:r>
                          </w:p>
                          <w:p w14:paraId="11AA7C0B">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全自动化学发光免疫分析仪检验试剂采购项目（二次）</w:t>
                            </w:r>
                          </w:p>
                          <w:p w14:paraId="07B2F3DC">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（项目编号：SJX-2024-607-02）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57.9pt;height:127.2pt;width:600.1pt;z-index:251661312;mso-width-relative:page;mso-height-relative:page;" filled="f" stroked="f" coordsize="21600,21600" o:gfxdata="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0egHmtwAAAANAQAADwAAAAAAAAABACAAAAAiAAAA&#10;ZHJzL2Rvd25yZXYueG1sUEsBAhQAFAAAAAgAh07iQKGzT388AgAAZwQAAA4AAAAAAAAAAQAgAAAA&#10;KwEAAGRycy9lMm9Eb2MueG1sUEsFBgAAAAAGAAYAWQEAANkFAAAAAA==&#10;">
                <v:fill on="f" focussize="0,0"/>
                <v:stroke on="f" weight="0.5pt"/>
                <v:imagedata o:title=""/>
                <o:lock v:ext="edit" aspectratio="f"/>
                <v:textbox>
                  <w:txbxContent>
                    <w:p w14:paraId="2D26E3D3">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新疆医科大学第六附属医院全自动生化分析仪、</w:t>
                      </w:r>
                    </w:p>
                    <w:p w14:paraId="11AA7C0B">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全自动化学发光免疫分析仪检验试剂采购项目（二次）</w:t>
                      </w:r>
                    </w:p>
                    <w:p w14:paraId="07B2F3DC">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（项目编号：SJX-2024-607-02）</w:t>
                      </w:r>
                    </w:p>
                  </w:txbxContent>
                </v:textbox>
              </v:shape>
            </w:pict>
          </mc:Fallback>
        </mc:AlternateContent>
      </w:r>
      <w:r>
        <w:rPr>
          <w:color w:val="auto"/>
          <w:highlight w:val="none"/>
        </w:rPr>
        <w:drawing>
          <wp:anchor distT="0" distB="0" distL="114300" distR="114300" simplePos="0" relativeHeight="251660288"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7769225" cy="10739755"/>
                    </a:xfrm>
                    <a:prstGeom prst="rect">
                      <a:avLst/>
                    </a:prstGeom>
                    <a:noFill/>
                    <a:ln>
                      <a:noFill/>
                    </a:ln>
                  </pic:spPr>
                </pic:pic>
              </a:graphicData>
            </a:graphic>
          </wp:anchor>
        </w:drawing>
      </w:r>
    </w:p>
    <w:p w14:paraId="4633E9DB">
      <w:pPr>
        <w:rPr>
          <w:rFonts w:hint="eastAsia" w:ascii="仿宋_GB2312" w:hAnsi="仿宋_GB2312" w:eastAsia="仿宋_GB2312" w:cs="仿宋_GB2312"/>
          <w:color w:val="auto"/>
          <w:highlight w:val="none"/>
        </w:rPr>
      </w:pPr>
    </w:p>
    <w:p w14:paraId="370FB272">
      <w:pPr>
        <w:jc w:val="center"/>
        <w:rPr>
          <w:rFonts w:hint="eastAsia" w:ascii="仿宋_GB2312" w:hAnsi="仿宋_GB2312" w:eastAsia="仿宋_GB2312" w:cs="仿宋_GB2312"/>
          <w:color w:val="auto"/>
          <w:sz w:val="32"/>
          <w:szCs w:val="32"/>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color w:val="auto"/>
          <w:sz w:val="21"/>
          <w:highlight w:val="none"/>
        </w:rPr>
        <mc:AlternateContent>
          <mc:Choice Requires="wps">
            <w:drawing>
              <wp:anchor distT="0" distB="0" distL="114300" distR="114300" simplePos="0" relativeHeight="251663360"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95.3pt;height:7.85pt;width:208.55pt;z-index:251663360;v-text-anchor:middle;mso-width-relative:page;mso-height-relative:page;" fillcolor="#2E93B0" filled="t" stroked="f" coordsize="21600,21600" o:gfxdata="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ulyDQN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color w:val="auto"/>
          <w:sz w:val="21"/>
          <w:highlight w:val="none"/>
        </w:rPr>
        <mc:AlternateContent>
          <mc:Choice Requires="wps">
            <w:drawing>
              <wp:anchor distT="0" distB="0" distL="114300" distR="114300" simplePos="0" relativeHeight="251662336"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5356D5">
                            <w:pPr>
                              <w:pStyle w:val="21"/>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pt;margin-top:226.05pt;height:69.4pt;width:561.45pt;z-index:251662336;mso-width-relative:page;mso-height-relative:page;" filled="f" stroked="f" coordsize="21600,21600" o:gfxdata="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521M33QAAAAwBAAAPAAAAAAAAAAEAIAAAACIA&#10;AABkcnMvZG93bnJldi54bWxQSwECFAAUAAAACACHTuJA867+AT0CAABoBAAADgAAAAAAAAABACAA&#10;AAAsAQAAZHJzL2Uyb0RvYy54bWxQSwUGAAAAAAYABgBZAQAA2wUAAAAA&#10;">
                <v:fill on="f" focussize="0,0"/>
                <v:stroke on="f" weight="0.5pt"/>
                <v:imagedata o:title=""/>
                <o:lock v:ext="edit" aspectratio="f"/>
                <v:textbox>
                  <w:txbxContent>
                    <w:p w14:paraId="115356D5">
                      <w:pPr>
                        <w:pStyle w:val="21"/>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v:textbox>
              </v:shape>
            </w:pict>
          </mc:Fallback>
        </mc:AlternateContent>
      </w:r>
      <w:r>
        <w:rPr>
          <w:rFonts w:hint="eastAsia" w:eastAsiaTheme="minorEastAsia"/>
          <w:color w:val="auto"/>
          <w:highlight w:val="none"/>
          <w:lang w:eastAsia="zh-CN"/>
        </w:rPr>
        <w:drawing>
          <wp:anchor distT="0" distB="0" distL="114300" distR="114300" simplePos="0" relativeHeight="251665408" behindDoc="0" locked="0" layoutInCell="1" allowOverlap="1">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9"/>
                    <a:srcRect l="22113" t="29394" r="21666" b="28715"/>
                    <a:stretch>
                      <a:fillRect/>
                    </a:stretch>
                  </pic:blipFill>
                  <pic:spPr>
                    <a:xfrm>
                      <a:off x="0" y="0"/>
                      <a:ext cx="1417320" cy="1410970"/>
                    </a:xfrm>
                    <a:prstGeom prst="rect">
                      <a:avLst/>
                    </a:prstGeom>
                  </pic:spPr>
                </pic:pic>
              </a:graphicData>
            </a:graphic>
          </wp:anchor>
        </w:drawing>
      </w:r>
      <w:r>
        <w:rPr>
          <w:color w:val="auto"/>
          <w:sz w:val="21"/>
          <w:highlight w:val="none"/>
        </w:rPr>
        <mc:AlternateContent>
          <mc:Choice Requires="wps">
            <w:drawing>
              <wp:anchor distT="0" distB="0" distL="114300" distR="114300" simplePos="0" relativeHeight="251664384"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F009A3">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w:t>
                            </w:r>
                            <w:r>
                              <w:rPr>
                                <w:rFonts w:hint="eastAsia" w:ascii="微软雅黑" w:hAnsi="微软雅黑" w:eastAsia="微软雅黑" w:cs="微软雅黑"/>
                                <w:b/>
                                <w:bCs/>
                                <w:color w:val="237085"/>
                                <w:sz w:val="32"/>
                                <w:szCs w:val="32"/>
                              </w:rPr>
                              <w:t>新疆医科大学第六附属医院</w:t>
                            </w:r>
                            <w:r>
                              <w:rPr>
                                <w:rFonts w:hint="eastAsia" w:ascii="微软雅黑" w:hAnsi="微软雅黑" w:eastAsia="微软雅黑" w:cs="微软雅黑"/>
                                <w:b/>
                                <w:bCs/>
                                <w:color w:val="237085"/>
                                <w:sz w:val="32"/>
                                <w:szCs w:val="32"/>
                                <w:lang w:val="en-US" w:eastAsia="zh-CN"/>
                              </w:rPr>
                              <w:t xml:space="preserve"> </w:t>
                            </w:r>
                          </w:p>
                          <w:p w14:paraId="7D1425A8">
                            <w:pPr>
                              <w:jc w:val="left"/>
                              <w:rPr>
                                <w:rFonts w:hint="eastAsia" w:ascii="微软雅黑" w:hAnsi="微软雅黑" w:eastAsia="微软雅黑" w:cs="微软雅黑"/>
                                <w:b/>
                                <w:bCs/>
                                <w:color w:val="237085"/>
                                <w:sz w:val="32"/>
                                <w:szCs w:val="32"/>
                                <w:lang w:val="en-US" w:eastAsia="zh-CN"/>
                              </w:rPr>
                            </w:pPr>
                          </w:p>
                          <w:p w14:paraId="5E0C7F61">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采购代理机构：新疆世纪星工程咨询有限公司（盖章）</w:t>
                            </w:r>
                          </w:p>
                          <w:p w14:paraId="5209E66F">
                            <w:pPr>
                              <w:jc w:val="center"/>
                              <w:rPr>
                                <w:rFonts w:hint="eastAsia" w:ascii="微软雅黑" w:hAnsi="微软雅黑" w:eastAsia="微软雅黑" w:cs="微软雅黑"/>
                                <w:b/>
                                <w:bCs/>
                                <w:color w:val="237085"/>
                                <w:sz w:val="32"/>
                                <w:szCs w:val="32"/>
                                <w:lang w:val="en-US" w:eastAsia="zh-CN"/>
                              </w:rPr>
                            </w:pPr>
                          </w:p>
                          <w:p w14:paraId="3126231D">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日期：2025年03月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456.25pt;height:195.75pt;width:430.25pt;z-index:251664384;mso-width-relative:page;mso-height-relative:page;" filled="f" stroked="f" coordsize="21600,21600" o:gfxdata="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w8aPb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2AF009A3">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w:t>
                      </w:r>
                      <w:r>
                        <w:rPr>
                          <w:rFonts w:hint="eastAsia" w:ascii="微软雅黑" w:hAnsi="微软雅黑" w:eastAsia="微软雅黑" w:cs="微软雅黑"/>
                          <w:b/>
                          <w:bCs/>
                          <w:color w:val="237085"/>
                          <w:sz w:val="32"/>
                          <w:szCs w:val="32"/>
                        </w:rPr>
                        <w:t>新疆医科大学第六附属医院</w:t>
                      </w:r>
                      <w:r>
                        <w:rPr>
                          <w:rFonts w:hint="eastAsia" w:ascii="微软雅黑" w:hAnsi="微软雅黑" w:eastAsia="微软雅黑" w:cs="微软雅黑"/>
                          <w:b/>
                          <w:bCs/>
                          <w:color w:val="237085"/>
                          <w:sz w:val="32"/>
                          <w:szCs w:val="32"/>
                          <w:lang w:val="en-US" w:eastAsia="zh-CN"/>
                        </w:rPr>
                        <w:t xml:space="preserve"> </w:t>
                      </w:r>
                    </w:p>
                    <w:p w14:paraId="7D1425A8">
                      <w:pPr>
                        <w:jc w:val="left"/>
                        <w:rPr>
                          <w:rFonts w:hint="eastAsia" w:ascii="微软雅黑" w:hAnsi="微软雅黑" w:eastAsia="微软雅黑" w:cs="微软雅黑"/>
                          <w:b/>
                          <w:bCs/>
                          <w:color w:val="237085"/>
                          <w:sz w:val="32"/>
                          <w:szCs w:val="32"/>
                          <w:lang w:val="en-US" w:eastAsia="zh-CN"/>
                        </w:rPr>
                      </w:pPr>
                    </w:p>
                    <w:p w14:paraId="5E0C7F61">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采购代理机构：新疆世纪星工程咨询有限公司（盖章）</w:t>
                      </w:r>
                    </w:p>
                    <w:p w14:paraId="5209E66F">
                      <w:pPr>
                        <w:jc w:val="center"/>
                        <w:rPr>
                          <w:rFonts w:hint="eastAsia" w:ascii="微软雅黑" w:hAnsi="微软雅黑" w:eastAsia="微软雅黑" w:cs="微软雅黑"/>
                          <w:b/>
                          <w:bCs/>
                          <w:color w:val="237085"/>
                          <w:sz w:val="32"/>
                          <w:szCs w:val="32"/>
                          <w:lang w:val="en-US" w:eastAsia="zh-CN"/>
                        </w:rPr>
                      </w:pPr>
                    </w:p>
                    <w:p w14:paraId="3126231D">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日期：2025年03月</w:t>
                      </w:r>
                    </w:p>
                  </w:txbxContent>
                </v:textbox>
              </v:shape>
            </w:pict>
          </mc:Fallback>
        </mc:AlternateContent>
      </w:r>
    </w:p>
    <w:p w14:paraId="4E202F36">
      <w:pPr>
        <w:jc w:val="center"/>
        <w:rPr>
          <w:rFonts w:hint="eastAsia" w:ascii="仿宋_GB2312" w:hAnsi="仿宋_GB2312" w:eastAsia="仿宋_GB2312" w:cs="仿宋_GB2312"/>
          <w:color w:val="auto"/>
          <w:sz w:val="32"/>
          <w:szCs w:val="32"/>
          <w:highlight w:val="none"/>
        </w:rPr>
      </w:pPr>
    </w:p>
    <w:tbl>
      <w:tblPr>
        <w:tblStyle w:val="22"/>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14E46A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10513" w:hRule="atLeast"/>
          <w:jc w:val="center"/>
        </w:trPr>
        <w:tc>
          <w:tcPr>
            <w:tcW w:w="9280" w:type="dxa"/>
            <w:tcBorders>
              <w:tl2br w:val="nil"/>
              <w:tr2bl w:val="nil"/>
            </w:tcBorders>
            <w:noWrap w:val="0"/>
            <w:vAlign w:val="top"/>
          </w:tcPr>
          <w:p w14:paraId="13FF5E75">
            <w:pPr>
              <w:rPr>
                <w:rFonts w:hint="eastAsia" w:ascii="仿宋" w:hAnsi="仿宋" w:eastAsia="仿宋" w:cs="Arial"/>
                <w:b/>
                <w:bCs/>
                <w:color w:val="auto"/>
                <w:sz w:val="32"/>
                <w:szCs w:val="32"/>
                <w:highlight w:val="none"/>
              </w:rPr>
            </w:pPr>
            <w:r>
              <w:rPr>
                <w:rFonts w:hint="eastAsia" w:ascii="仿宋_GB2312" w:hAnsi="仿宋_GB2312" w:eastAsia="仿宋_GB2312" w:cs="仿宋_GB2312"/>
                <w:color w:val="auto"/>
                <w:sz w:val="32"/>
                <w:szCs w:val="32"/>
                <w:highlight w:val="none"/>
              </w:rPr>
              <w:br w:type="page"/>
            </w:r>
          </w:p>
          <w:p w14:paraId="44079DBB">
            <w:pPr>
              <w:spacing w:line="360" w:lineRule="auto"/>
              <w:ind w:right="31" w:rightChars="15"/>
              <w:jc w:val="center"/>
              <w:rPr>
                <w:rFonts w:hint="eastAsia" w:ascii="仿宋" w:hAnsi="仿宋" w:eastAsia="仿宋" w:cs="Arial"/>
                <w:b/>
                <w:bCs/>
                <w:color w:val="auto"/>
                <w:sz w:val="32"/>
                <w:szCs w:val="32"/>
                <w:highlight w:val="none"/>
              </w:rPr>
            </w:pPr>
          </w:p>
          <w:p w14:paraId="4F2ABD88">
            <w:pPr>
              <w:spacing w:line="360" w:lineRule="auto"/>
              <w:ind w:right="31" w:rightChars="15"/>
              <w:jc w:val="center"/>
              <w:rPr>
                <w:rFonts w:hint="eastAsia" w:ascii="仿宋" w:hAnsi="仿宋" w:eastAsia="仿宋" w:cs="Arial"/>
                <w:b/>
                <w:bCs/>
                <w:color w:val="auto"/>
                <w:sz w:val="32"/>
                <w:szCs w:val="32"/>
                <w:highlight w:val="none"/>
              </w:rPr>
            </w:pPr>
            <w:r>
              <w:rPr>
                <w:rFonts w:hint="eastAsia" w:ascii="仿宋" w:hAnsi="仿宋" w:eastAsia="仿宋" w:cs="Arial"/>
                <w:b/>
                <w:bCs/>
                <w:color w:val="auto"/>
                <w:sz w:val="32"/>
                <w:szCs w:val="32"/>
                <w:highlight w:val="none"/>
              </w:rPr>
              <w:t>招标文件确认</w:t>
            </w:r>
            <w:r>
              <w:rPr>
                <w:rFonts w:hint="eastAsia" w:ascii="仿宋" w:hAnsi="仿宋" w:eastAsia="仿宋" w:cs="Arial"/>
                <w:b/>
                <w:bCs/>
                <w:color w:val="auto"/>
                <w:sz w:val="32"/>
                <w:szCs w:val="32"/>
                <w:highlight w:val="none"/>
                <w:lang w:val="en-US" w:eastAsia="zh-CN"/>
              </w:rPr>
              <w:t>表</w:t>
            </w:r>
          </w:p>
          <w:p w14:paraId="602E7F20">
            <w:pPr>
              <w:spacing w:line="360" w:lineRule="auto"/>
              <w:ind w:firstLine="720" w:firstLineChars="300"/>
              <w:jc w:val="both"/>
              <w:rPr>
                <w:rFonts w:hint="eastAsia" w:ascii="仿宋" w:hAnsi="仿宋" w:eastAsia="仿宋" w:cs="Arial"/>
                <w:color w:val="auto"/>
                <w:sz w:val="24"/>
                <w:szCs w:val="24"/>
                <w:highlight w:val="none"/>
                <w:lang w:val="en-US" w:eastAsia="zh-CN"/>
              </w:rPr>
            </w:pPr>
          </w:p>
          <w:p w14:paraId="11CD341E">
            <w:pPr>
              <w:spacing w:line="360" w:lineRule="auto"/>
              <w:jc w:val="both"/>
              <w:rPr>
                <w:rFonts w:hint="default" w:ascii="仿宋" w:hAnsi="仿宋" w:eastAsia="仿宋" w:cs="Arial"/>
                <w:color w:val="auto"/>
                <w:sz w:val="28"/>
                <w:szCs w:val="28"/>
                <w:highlight w:val="none"/>
                <w:lang w:val="en-US" w:eastAsia="zh-CN"/>
              </w:rPr>
            </w:pPr>
            <w:r>
              <w:rPr>
                <w:rFonts w:hint="eastAsia" w:ascii="仿宋" w:hAnsi="仿宋" w:eastAsia="仿宋" w:cs="Arial"/>
                <w:color w:val="auto"/>
                <w:sz w:val="28"/>
                <w:szCs w:val="28"/>
                <w:highlight w:val="none"/>
                <w:lang w:val="en-US" w:eastAsia="zh-CN"/>
              </w:rPr>
              <w:t>新疆世纪星工程咨询有限公司：</w:t>
            </w:r>
          </w:p>
          <w:p w14:paraId="5C2EE036">
            <w:pPr>
              <w:spacing w:line="360" w:lineRule="auto"/>
              <w:ind w:firstLine="840" w:firstLineChars="300"/>
              <w:jc w:val="both"/>
              <w:rPr>
                <w:rFonts w:hint="eastAsia" w:ascii="仿宋" w:hAnsi="仿宋" w:eastAsia="仿宋" w:cs="Arial"/>
                <w:color w:val="auto"/>
                <w:sz w:val="28"/>
                <w:szCs w:val="28"/>
                <w:highlight w:val="none"/>
                <w:lang w:val="en-US" w:eastAsia="zh-CN"/>
              </w:rPr>
            </w:pPr>
            <w:r>
              <w:rPr>
                <w:rFonts w:hint="eastAsia" w:ascii="仿宋" w:hAnsi="仿宋" w:eastAsia="仿宋" w:cs="Arial"/>
                <w:color w:val="auto"/>
                <w:sz w:val="28"/>
                <w:szCs w:val="28"/>
                <w:highlight w:val="none"/>
                <w:u w:val="single"/>
                <w:lang w:val="en-US" w:eastAsia="zh-CN"/>
              </w:rPr>
              <w:t>新疆医科大学第六附属医院全自动生化分析仪、全自动化学发光免疫分析仪检验试剂采购项目（二次）（项目编号：SJX-2024-607-02）</w:t>
            </w:r>
            <w:r>
              <w:rPr>
                <w:rFonts w:hint="eastAsia" w:ascii="仿宋" w:hAnsi="仿宋" w:eastAsia="仿宋" w:cs="Arial"/>
                <w:color w:val="auto"/>
                <w:sz w:val="28"/>
                <w:szCs w:val="28"/>
                <w:highlight w:val="none"/>
                <w:lang w:val="en-US" w:eastAsia="zh-CN"/>
              </w:rPr>
              <w:t>招标文件，经我单位审核符合我单位提出的招标要求，同意对外发布。</w:t>
            </w:r>
          </w:p>
          <w:p w14:paraId="31ABA638">
            <w:pPr>
              <w:spacing w:line="360" w:lineRule="auto"/>
              <w:jc w:val="both"/>
              <w:rPr>
                <w:rFonts w:hint="eastAsia" w:ascii="仿宋" w:hAnsi="仿宋" w:eastAsia="仿宋" w:cs="Arial"/>
                <w:color w:val="auto"/>
                <w:sz w:val="28"/>
                <w:szCs w:val="28"/>
                <w:highlight w:val="none"/>
              </w:rPr>
            </w:pPr>
          </w:p>
          <w:p w14:paraId="0169D7A1">
            <w:pPr>
              <w:spacing w:line="360" w:lineRule="auto"/>
              <w:ind w:right="240"/>
              <w:jc w:val="both"/>
              <w:rPr>
                <w:rFonts w:hint="eastAsia" w:ascii="仿宋" w:hAnsi="仿宋" w:eastAsia="仿宋" w:cs="Arial"/>
                <w:color w:val="auto"/>
                <w:sz w:val="28"/>
                <w:szCs w:val="28"/>
                <w:highlight w:val="none"/>
              </w:rPr>
            </w:pPr>
          </w:p>
          <w:p w14:paraId="5FB74125">
            <w:pPr>
              <w:spacing w:line="360" w:lineRule="auto"/>
              <w:ind w:right="240"/>
              <w:jc w:val="both"/>
              <w:rPr>
                <w:rFonts w:hint="eastAsia" w:ascii="仿宋" w:hAnsi="仿宋" w:eastAsia="仿宋" w:cs="Arial"/>
                <w:color w:val="auto"/>
                <w:sz w:val="28"/>
                <w:szCs w:val="28"/>
                <w:highlight w:val="none"/>
              </w:rPr>
            </w:pPr>
          </w:p>
          <w:p w14:paraId="654DD88D">
            <w:pPr>
              <w:spacing w:line="360" w:lineRule="auto"/>
              <w:ind w:right="840"/>
              <w:jc w:val="both"/>
              <w:rPr>
                <w:rFonts w:ascii="仿宋" w:hAnsi="仿宋" w:eastAsia="仿宋" w:cs="Arial"/>
                <w:color w:val="auto"/>
                <w:sz w:val="28"/>
                <w:szCs w:val="28"/>
                <w:highlight w:val="none"/>
              </w:rPr>
            </w:pPr>
            <w:r>
              <w:rPr>
                <w:rFonts w:hint="eastAsia" w:ascii="仿宋" w:hAnsi="仿宋" w:eastAsia="仿宋" w:cs="Times New Roman"/>
                <w:color w:val="auto"/>
                <w:sz w:val="28"/>
                <w:szCs w:val="28"/>
                <w:highlight w:val="none"/>
              </w:rPr>
              <w:t xml:space="preserve">  </w:t>
            </w:r>
            <w:r>
              <w:rPr>
                <w:rFonts w:hint="eastAsia" w:ascii="仿宋" w:hAnsi="仿宋" w:eastAsia="仿宋" w:cs="Times New Roman"/>
                <w:color w:val="auto"/>
                <w:sz w:val="28"/>
                <w:szCs w:val="28"/>
                <w:highlight w:val="none"/>
                <w:lang w:val="en-US" w:eastAsia="zh-CN"/>
              </w:rPr>
              <w:t xml:space="preserve">                 采购人</w:t>
            </w:r>
            <w:r>
              <w:rPr>
                <w:rFonts w:hint="eastAsia" w:ascii="仿宋" w:hAnsi="仿宋" w:eastAsia="仿宋" w:cs="Arial"/>
                <w:color w:val="auto"/>
                <w:sz w:val="28"/>
                <w:szCs w:val="28"/>
                <w:highlight w:val="none"/>
              </w:rPr>
              <w:t>（盖章）</w:t>
            </w:r>
            <w:r>
              <w:rPr>
                <w:rFonts w:hint="eastAsia" w:ascii="仿宋" w:hAnsi="仿宋" w:eastAsia="仿宋" w:cs="Times New Roman"/>
                <w:color w:val="auto"/>
                <w:sz w:val="28"/>
                <w:szCs w:val="28"/>
                <w:highlight w:val="none"/>
                <w:lang w:val="en-US" w:eastAsia="zh-CN"/>
              </w:rPr>
              <w:t xml:space="preserve">：新疆医科大学第六附属医院  </w:t>
            </w:r>
          </w:p>
          <w:p w14:paraId="35B873E0">
            <w:pPr>
              <w:spacing w:line="360" w:lineRule="auto"/>
              <w:ind w:right="960"/>
              <w:jc w:val="both"/>
              <w:rPr>
                <w:rFonts w:hint="eastAsia" w:ascii="仿宋" w:hAnsi="仿宋" w:eastAsia="仿宋" w:cs="Times New Roman"/>
                <w:b/>
                <w:color w:val="auto"/>
                <w:sz w:val="40"/>
                <w:szCs w:val="32"/>
                <w:highlight w:val="none"/>
                <w:lang w:val="en-US" w:eastAsia="zh-CN"/>
              </w:rPr>
            </w:pPr>
            <w:r>
              <w:rPr>
                <w:rFonts w:hint="eastAsia" w:ascii="仿宋" w:hAnsi="仿宋" w:eastAsia="仿宋" w:cs="Arial"/>
                <w:color w:val="auto"/>
                <w:sz w:val="28"/>
                <w:szCs w:val="28"/>
                <w:highlight w:val="none"/>
              </w:rPr>
              <w:t xml:space="preserve">                                  </w:t>
            </w:r>
            <w:r>
              <w:rPr>
                <w:rFonts w:hint="eastAsia" w:ascii="仿宋" w:hAnsi="仿宋" w:eastAsia="仿宋" w:cs="Arial"/>
                <w:color w:val="auto"/>
                <w:sz w:val="28"/>
                <w:szCs w:val="28"/>
                <w:highlight w:val="none"/>
                <w:lang w:val="en-US" w:eastAsia="zh-CN"/>
              </w:rPr>
              <w:t xml:space="preserve">      2024 </w:t>
            </w:r>
            <w:r>
              <w:rPr>
                <w:rFonts w:hint="eastAsia" w:ascii="仿宋" w:hAnsi="仿宋" w:eastAsia="仿宋" w:cs="Arial"/>
                <w:color w:val="auto"/>
                <w:sz w:val="28"/>
                <w:szCs w:val="28"/>
                <w:highlight w:val="none"/>
              </w:rPr>
              <w:t>年</w:t>
            </w:r>
            <w:r>
              <w:rPr>
                <w:rFonts w:hint="eastAsia" w:ascii="仿宋" w:hAnsi="仿宋" w:eastAsia="仿宋" w:cs="Arial"/>
                <w:color w:val="auto"/>
                <w:sz w:val="28"/>
                <w:szCs w:val="28"/>
                <w:highlight w:val="none"/>
                <w:lang w:val="en-US" w:eastAsia="zh-CN"/>
              </w:rPr>
              <w:t>03</w:t>
            </w:r>
            <w:r>
              <w:rPr>
                <w:rFonts w:hint="eastAsia" w:ascii="仿宋" w:hAnsi="仿宋" w:eastAsia="仿宋" w:cs="Arial"/>
                <w:color w:val="auto"/>
                <w:sz w:val="28"/>
                <w:szCs w:val="28"/>
                <w:highlight w:val="none"/>
              </w:rPr>
              <w:t>月</w:t>
            </w:r>
            <w:r>
              <w:rPr>
                <w:rFonts w:hint="eastAsia" w:ascii="仿宋" w:hAnsi="仿宋" w:eastAsia="仿宋" w:cs="Arial"/>
                <w:color w:val="auto"/>
                <w:sz w:val="28"/>
                <w:szCs w:val="28"/>
                <w:highlight w:val="none"/>
                <w:lang w:val="en-US" w:eastAsia="zh-CN"/>
              </w:rPr>
              <w:t xml:space="preserve"> </w:t>
            </w:r>
          </w:p>
        </w:tc>
      </w:tr>
    </w:tbl>
    <w:p w14:paraId="22AC7CB8">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br w:type="page"/>
      </w:r>
    </w:p>
    <w:p w14:paraId="4CEFCB67">
      <w:pPr>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目  录</w:t>
      </w:r>
    </w:p>
    <w:sdt>
      <w:sdtPr>
        <w:rPr>
          <w:rFonts w:hint="eastAsia" w:ascii="仿宋" w:hAnsi="仿宋" w:eastAsia="仿宋" w:cs="仿宋"/>
          <w:color w:val="auto"/>
          <w:kern w:val="2"/>
          <w:sz w:val="21"/>
          <w:szCs w:val="24"/>
          <w:highlight w:val="none"/>
          <w:lang w:val="en-US" w:eastAsia="zh-CN" w:bidi="ar-SA"/>
        </w:rPr>
        <w:id w:val="147457632"/>
        <w15:color w:val="DBDBDB"/>
        <w:docPartObj>
          <w:docPartGallery w:val="Table of Contents"/>
          <w:docPartUnique/>
        </w:docPartObj>
      </w:sdtPr>
      <w:sdtEndPr>
        <w:rPr>
          <w:rFonts w:hint="eastAsia" w:ascii="仿宋" w:hAnsi="仿宋" w:eastAsia="仿宋" w:cs="仿宋"/>
          <w:b/>
          <w:color w:val="auto"/>
          <w:kern w:val="2"/>
          <w:sz w:val="21"/>
          <w:szCs w:val="32"/>
          <w:highlight w:val="none"/>
          <w:lang w:val="en-US" w:eastAsia="zh-CN" w:bidi="ar-SA"/>
        </w:rPr>
      </w:sdtEndPr>
      <w:sdtContent>
        <w:p w14:paraId="298CF5C4">
          <w:pPr>
            <w:spacing w:before="0" w:beforeLines="0" w:after="0" w:afterLines="0" w:line="240" w:lineRule="auto"/>
            <w:ind w:left="0" w:leftChars="0" w:right="0" w:rightChars="0" w:firstLine="0" w:firstLineChars="0"/>
            <w:jc w:val="center"/>
            <w:rPr>
              <w:rFonts w:hint="eastAsia" w:ascii="仿宋" w:hAnsi="仿宋" w:eastAsia="仿宋" w:cs="仿宋"/>
              <w:color w:val="auto"/>
              <w:highlight w:val="none"/>
            </w:rPr>
          </w:pPr>
        </w:p>
        <w:p w14:paraId="44CC16C4">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TOC \o "1-2" \h \u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_Toc29880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rPr>
            <w:t xml:space="preserve">第一章 </w:t>
          </w:r>
          <w:r>
            <w:rPr>
              <w:rFonts w:hint="eastAsia" w:ascii="仿宋" w:hAnsi="仿宋" w:eastAsia="仿宋" w:cs="仿宋"/>
              <w:color w:val="auto"/>
              <w:szCs w:val="32"/>
              <w:highlight w:val="none"/>
              <w:lang w:val="en-US" w:eastAsia="zh-CN"/>
            </w:rPr>
            <w:t>招标</w:t>
          </w:r>
          <w:r>
            <w:rPr>
              <w:rFonts w:hint="eastAsia" w:ascii="仿宋" w:hAnsi="仿宋" w:eastAsia="仿宋" w:cs="仿宋"/>
              <w:color w:val="auto"/>
              <w:szCs w:val="32"/>
              <w:highlight w:val="none"/>
            </w:rPr>
            <w:t>公告</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_Toc29880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E0E1460">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_Toc10162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一、项目基本情况</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_Toc10162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5FE222F">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_Toc3508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二、申请人的资格要求：</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_Toc3508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7AA8F9E6">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_Toc11219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三、获取招标文件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_Toc11219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7B236068">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_Toc14903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四、提交投标文件截止时间、开标时间和地点</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_Toc14903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302DAD1F">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_Toc2354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五、公告期限</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_Toc2354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4F2D7D05">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_Toc20599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六、其他补充事宜</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_Toc20599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02D2C0D4">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_Toc13816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七、对本次采购提出询问，请按以下方式联系</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_Toc13816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493D892B">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_Toc2997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rPr>
            <w:t>第二章 投标须知前附表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_Toc2997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5</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3F339065">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_Toc3890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rPr>
            <w:t>第三章 投标人须知</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_Toc3890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12</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60C7ABCA">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_Toc28753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rPr>
            <w:t>一、 说 明</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_Toc28753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12</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DBC1D7A">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_Toc23836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二、 招标文件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_Toc23836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18</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6315E695">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_Toc11635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三、 投标文件的编制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_Toc11635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20</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2887E08E">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_Toc25272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四、 投标文件的提交</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_Toc25272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24</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9F0F40B">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_Toc20670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五、 开标、资格审查及评标</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_Toc20670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24</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28CC5DA8">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_Toc6937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六、 确定中标</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_Toc6937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26</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7D484AB6">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_Toc1269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lang w:val="en-US" w:eastAsia="zh-CN"/>
            </w:rPr>
            <w:t>第四章 政府采购合同</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_Toc1269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31</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D079453">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_Toc6666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lang w:val="en-US" w:eastAsia="zh-CN"/>
            </w:rPr>
            <w:t>第五章 采购需求</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_Toc6666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48</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25109761">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_Toc6781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lang w:val="en-US" w:eastAsia="zh-CN"/>
            </w:rPr>
            <w:t>第六章 评标程序、评标方法和评标标准</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_Toc6781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60</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19120A88">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_Toc29440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1. 评标方法</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_Toc29440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60</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406DAA7">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_Toc20756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2. 评标原则</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_Toc20756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60</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3742C3BF">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_Toc24688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3. 资格审查</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_Toc24688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60</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2FA8F45">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_Toc21571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4. 符合性审查</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_Toc21571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62</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DB978C7">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_Toc30466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5. 投标文件有关事项的澄清或者说明</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_Toc30466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63</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113DFA96">
          <w:pPr>
            <w:pStyle w:val="18"/>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_Toc10319 </w:instrText>
          </w:r>
          <w:r>
            <w:rPr>
              <w:rFonts w:hint="eastAsia" w:ascii="仿宋" w:hAnsi="仿宋" w:eastAsia="仿宋" w:cs="仿宋"/>
              <w:color w:val="auto"/>
              <w:szCs w:val="32"/>
              <w:highlight w:val="none"/>
            </w:rPr>
            <w:fldChar w:fldCharType="separate"/>
          </w:r>
          <w:r>
            <w:rPr>
              <w:rFonts w:hint="eastAsia" w:ascii="仿宋" w:hAnsi="仿宋" w:eastAsia="仿宋" w:cs="仿宋"/>
              <w:bCs/>
              <w:color w:val="auto"/>
              <w:szCs w:val="24"/>
              <w:highlight w:val="none"/>
              <w:lang w:val="en-US" w:eastAsia="zh-CN"/>
            </w:rPr>
            <w:t>6. 详细评审</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_Toc10319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65</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0FFBE0C1">
          <w:pPr>
            <w:pStyle w:val="16"/>
            <w:tabs>
              <w:tab w:val="right" w:leader="dot" w:pos="8306"/>
            </w:tabs>
            <w:spacing w:line="360" w:lineRule="auto"/>
            <w:rPr>
              <w:rFonts w:hint="eastAsia" w:ascii="仿宋" w:hAnsi="仿宋" w:eastAsia="仿宋" w:cs="仿宋"/>
              <w:color w:val="auto"/>
              <w:highlight w:val="none"/>
            </w:rPr>
          </w:pPr>
          <w:r>
            <w:rPr>
              <w:rFonts w:hint="eastAsia" w:ascii="仿宋" w:hAnsi="仿宋" w:eastAsia="仿宋" w:cs="仿宋"/>
              <w:color w:val="auto"/>
              <w:szCs w:val="32"/>
              <w:highlight w:val="none"/>
            </w:rPr>
            <w:fldChar w:fldCharType="begin"/>
          </w:r>
          <w:r>
            <w:rPr>
              <w:rFonts w:hint="eastAsia" w:ascii="仿宋" w:hAnsi="仿宋" w:eastAsia="仿宋" w:cs="仿宋"/>
              <w:color w:val="auto"/>
              <w:szCs w:val="32"/>
              <w:highlight w:val="none"/>
            </w:rPr>
            <w:instrText xml:space="preserve"> HYPERLINK \l _Toc19259 </w:instrText>
          </w:r>
          <w:r>
            <w:rPr>
              <w:rFonts w:hint="eastAsia" w:ascii="仿宋" w:hAnsi="仿宋" w:eastAsia="仿宋" w:cs="仿宋"/>
              <w:color w:val="auto"/>
              <w:szCs w:val="32"/>
              <w:highlight w:val="none"/>
            </w:rPr>
            <w:fldChar w:fldCharType="separate"/>
          </w:r>
          <w:r>
            <w:rPr>
              <w:rFonts w:hint="eastAsia" w:ascii="仿宋" w:hAnsi="仿宋" w:eastAsia="仿宋" w:cs="仿宋"/>
              <w:color w:val="auto"/>
              <w:szCs w:val="32"/>
              <w:highlight w:val="none"/>
              <w:lang w:val="en-US" w:eastAsia="zh-CN"/>
            </w:rPr>
            <w:t>第七章 投标文件格式</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_Toc19259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69</w:t>
          </w:r>
          <w:r>
            <w:rPr>
              <w:rFonts w:hint="eastAsia" w:ascii="仿宋" w:hAnsi="仿宋" w:eastAsia="仿宋" w:cs="仿宋"/>
              <w:color w:val="auto"/>
              <w:highlight w:val="none"/>
            </w:rPr>
            <w:fldChar w:fldCharType="end"/>
          </w:r>
          <w:r>
            <w:rPr>
              <w:rFonts w:hint="eastAsia" w:ascii="仿宋" w:hAnsi="仿宋" w:eastAsia="仿宋" w:cs="仿宋"/>
              <w:color w:val="auto"/>
              <w:szCs w:val="32"/>
              <w:highlight w:val="none"/>
            </w:rPr>
            <w:fldChar w:fldCharType="end"/>
          </w:r>
        </w:p>
        <w:p w14:paraId="537BFF9F">
          <w:pPr>
            <w:pStyle w:val="18"/>
            <w:tabs>
              <w:tab w:val="right" w:leader="dot" w:pos="8306"/>
            </w:tabs>
            <w:rPr>
              <w:rFonts w:hint="eastAsia" w:ascii="仿宋" w:hAnsi="仿宋" w:eastAsia="仿宋" w:cs="仿宋"/>
              <w:color w:val="auto"/>
              <w:highlight w:val="none"/>
            </w:rPr>
          </w:pPr>
        </w:p>
        <w:p w14:paraId="50695FD9">
          <w:pPr>
            <w:jc w:val="both"/>
            <w:rPr>
              <w:rFonts w:hint="eastAsia" w:ascii="仿宋" w:hAnsi="仿宋" w:eastAsia="仿宋" w:cs="仿宋"/>
              <w:color w:val="auto"/>
              <w:sz w:val="32"/>
              <w:szCs w:val="32"/>
              <w:highlight w:val="none"/>
            </w:rPr>
          </w:pPr>
          <w:r>
            <w:rPr>
              <w:rFonts w:hint="eastAsia" w:ascii="仿宋" w:hAnsi="仿宋" w:eastAsia="仿宋" w:cs="仿宋"/>
              <w:color w:val="auto"/>
              <w:szCs w:val="32"/>
              <w:highlight w:val="none"/>
            </w:rPr>
            <w:fldChar w:fldCharType="end"/>
          </w:r>
        </w:p>
      </w:sdtContent>
    </w:sdt>
    <w:p w14:paraId="7983903A">
      <w:pPr>
        <w:pStyle w:val="3"/>
        <w:numPr>
          <w:ilvl w:val="0"/>
          <w:numId w:val="1"/>
        </w:numPr>
        <w:bidi w:val="0"/>
        <w:jc w:val="center"/>
        <w:rPr>
          <w:rFonts w:hint="eastAsia" w:ascii="仿宋" w:hAnsi="仿宋" w:eastAsia="仿宋" w:cs="仿宋"/>
          <w:color w:val="auto"/>
          <w:sz w:val="32"/>
          <w:szCs w:val="32"/>
          <w:highlight w:val="none"/>
        </w:rPr>
        <w:sectPr>
          <w:head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668F0FBE">
      <w:pPr>
        <w:pStyle w:val="3"/>
        <w:numPr>
          <w:ilvl w:val="0"/>
          <w:numId w:val="1"/>
        </w:numPr>
        <w:bidi w:val="0"/>
        <w:jc w:val="center"/>
        <w:rPr>
          <w:rFonts w:hint="eastAsia" w:ascii="仿宋" w:hAnsi="仿宋" w:eastAsia="仿宋" w:cs="仿宋"/>
          <w:color w:val="auto"/>
          <w:sz w:val="32"/>
          <w:szCs w:val="32"/>
          <w:highlight w:val="none"/>
        </w:rPr>
      </w:pPr>
      <w:bookmarkStart w:id="0" w:name="_Toc29880"/>
      <w:r>
        <w:rPr>
          <w:rFonts w:hint="eastAsia" w:ascii="仿宋" w:hAnsi="仿宋" w:eastAsia="仿宋" w:cs="仿宋"/>
          <w:color w:val="auto"/>
          <w:sz w:val="32"/>
          <w:szCs w:val="32"/>
          <w:highlight w:val="none"/>
          <w:lang w:val="en-US" w:eastAsia="zh-CN"/>
        </w:rPr>
        <w:t>招标</w:t>
      </w:r>
      <w:r>
        <w:rPr>
          <w:rFonts w:hint="eastAsia" w:ascii="仿宋" w:hAnsi="仿宋" w:eastAsia="仿宋" w:cs="仿宋"/>
          <w:color w:val="auto"/>
          <w:sz w:val="32"/>
          <w:szCs w:val="32"/>
          <w:highlight w:val="none"/>
        </w:rPr>
        <w:t>公告</w:t>
      </w:r>
      <w:bookmarkEnd w:id="0"/>
    </w:p>
    <w:p w14:paraId="60ED6EAD">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1" w:name="_Toc10162"/>
      <w:r>
        <w:rPr>
          <w:rFonts w:hint="eastAsia" w:ascii="仿宋" w:hAnsi="仿宋" w:eastAsia="仿宋" w:cs="仿宋"/>
          <w:b/>
          <w:bCs/>
          <w:color w:val="auto"/>
          <w:sz w:val="24"/>
          <w:szCs w:val="24"/>
          <w:highlight w:val="none"/>
        </w:rPr>
        <w:t>一、项目基本情况</w:t>
      </w:r>
      <w:bookmarkEnd w:id="1"/>
    </w:p>
    <w:p w14:paraId="3957535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项目编号：SJX-2024-</w:t>
      </w:r>
      <w:r>
        <w:rPr>
          <w:rFonts w:hint="eastAsia" w:ascii="仿宋" w:hAnsi="仿宋" w:eastAsia="仿宋" w:cs="仿宋"/>
          <w:color w:val="auto"/>
          <w:sz w:val="24"/>
          <w:szCs w:val="24"/>
          <w:highlight w:val="none"/>
          <w:lang w:val="en-US" w:eastAsia="zh-CN"/>
        </w:rPr>
        <w:t>607-02</w:t>
      </w:r>
    </w:p>
    <w:p w14:paraId="150E419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新疆医科大学第六附属医院全自动生化分析仪、全自动化学发光免疫分析仪检验试剂采购项目（二次）</w:t>
      </w:r>
    </w:p>
    <w:p w14:paraId="2873690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采购方式：公开招标</w:t>
      </w:r>
    </w:p>
    <w:p w14:paraId="101D892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700000.00</w:t>
      </w:r>
    </w:p>
    <w:p w14:paraId="552A161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最高限价（元）：</w:t>
      </w:r>
      <w:r>
        <w:rPr>
          <w:rFonts w:hint="eastAsia" w:ascii="仿宋" w:hAnsi="仿宋" w:eastAsia="仿宋" w:cs="仿宋"/>
          <w:color w:val="auto"/>
          <w:sz w:val="24"/>
          <w:szCs w:val="24"/>
          <w:highlight w:val="none"/>
          <w:lang w:val="en-US" w:eastAsia="zh-CN"/>
        </w:rPr>
        <w:t>详见第五章采购需求</w:t>
      </w:r>
    </w:p>
    <w:p w14:paraId="5C5C9FD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采购需求：</w:t>
      </w:r>
    </w:p>
    <w:p w14:paraId="34BDEBD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w:t>
      </w:r>
    </w:p>
    <w:p w14:paraId="15A18DCC">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标项名称:</w:t>
      </w:r>
      <w:r>
        <w:rPr>
          <w:rFonts w:hint="eastAsia" w:ascii="仿宋" w:hAnsi="仿宋" w:eastAsia="仿宋" w:cs="仿宋"/>
          <w:color w:val="auto"/>
          <w:sz w:val="24"/>
          <w:szCs w:val="24"/>
          <w:highlight w:val="none"/>
          <w:lang w:val="en-US" w:eastAsia="zh-CN"/>
        </w:rPr>
        <w:t>标项1：新疆医科大学第六附属医院全自动生化分析仪、全自动化学发光免疫分析仪检验试剂采购项目（二次）1包</w:t>
      </w:r>
    </w:p>
    <w:p w14:paraId="26BAA886">
      <w:pPr>
        <w:pStyle w:val="2"/>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b w:val="0"/>
          <w:bCs w:val="0"/>
          <w:lang w:val="en-US" w:eastAsia="zh-CN"/>
        </w:rPr>
      </w:pPr>
      <w:r>
        <w:rPr>
          <w:rFonts w:hint="eastAsia" w:ascii="仿宋" w:hAnsi="仿宋" w:eastAsia="仿宋" w:cs="仿宋"/>
          <w:color w:val="auto"/>
          <w:kern w:val="2"/>
          <w:sz w:val="24"/>
          <w:szCs w:val="24"/>
          <w:highlight w:val="none"/>
          <w:lang w:val="en-US" w:eastAsia="zh-CN" w:bidi="ar-SA"/>
        </w:rPr>
        <w:t>标项编号/包号：SJX-2024-607-02（01）</w:t>
      </w:r>
    </w:p>
    <w:p w14:paraId="2063D897">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val="en-US" w:eastAsia="zh-CN"/>
        </w:rPr>
        <w:t>1批</w:t>
      </w:r>
    </w:p>
    <w:p w14:paraId="6CA9577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500000.00</w:t>
      </w:r>
    </w:p>
    <w:p w14:paraId="4667000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简要规格描述或项目基本概况介绍、用途：全自动生化分析仪试剂耗材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具体内容详见第五章采购需求。</w:t>
      </w:r>
    </w:p>
    <w:p w14:paraId="2F20AB51">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p w14:paraId="2EFA561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p>
    <w:p w14:paraId="1ACD43A8">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标项名称:标项</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新疆医科大学第六附属医院全自动生化分析仪、全自动化学发光免疫分析仪检验试剂采购项目（二次）2包</w:t>
      </w:r>
    </w:p>
    <w:p w14:paraId="146F706A">
      <w:pPr>
        <w:pStyle w:val="2"/>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lang w:val="en-US" w:eastAsia="zh-CN"/>
        </w:rPr>
      </w:pPr>
      <w:r>
        <w:rPr>
          <w:rFonts w:hint="eastAsia" w:ascii="仿宋" w:hAnsi="仿宋" w:eastAsia="仿宋" w:cs="仿宋"/>
          <w:color w:val="auto"/>
          <w:kern w:val="2"/>
          <w:sz w:val="24"/>
          <w:szCs w:val="24"/>
          <w:highlight w:val="none"/>
          <w:lang w:val="en-US" w:eastAsia="zh-CN" w:bidi="ar-SA"/>
        </w:rPr>
        <w:t>标项编号/包号：SJX-2024-607-02（02）</w:t>
      </w:r>
    </w:p>
    <w:p w14:paraId="39794723">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val="en-US" w:eastAsia="zh-CN"/>
        </w:rPr>
        <w:t>1批</w:t>
      </w:r>
    </w:p>
    <w:p w14:paraId="5D58555B">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 xml:space="preserve"> 200000.00</w:t>
      </w:r>
    </w:p>
    <w:p w14:paraId="0E408C4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简要规格描述或项目基本概况介绍、用途：全自动化学发光免疫分析仪试剂耗材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具体内容详见第五章采购需求。</w:t>
      </w:r>
    </w:p>
    <w:p w14:paraId="0B661446">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p w14:paraId="7CFC278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p>
    <w:p w14:paraId="11E53C8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合同履约期限：</w:t>
      </w:r>
      <w:r>
        <w:rPr>
          <w:rFonts w:hint="eastAsia" w:ascii="仿宋" w:hAnsi="仿宋" w:eastAsia="仿宋" w:cs="仿宋"/>
          <w:color w:val="auto"/>
          <w:sz w:val="24"/>
          <w:szCs w:val="24"/>
          <w:highlight w:val="none"/>
          <w:lang w:val="en-US" w:eastAsia="zh-CN"/>
        </w:rPr>
        <w:t>供应期限1年，中标商承担试剂耗材所使用的设备的维护保养、性能验证及年度计量检定。</w:t>
      </w:r>
    </w:p>
    <w:p w14:paraId="65D66BE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本项目（否）接受联合体投标。</w:t>
      </w:r>
    </w:p>
    <w:p w14:paraId="483012FB">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2" w:name="_Toc3508"/>
      <w:r>
        <w:rPr>
          <w:rFonts w:hint="eastAsia" w:ascii="仿宋" w:hAnsi="仿宋" w:eastAsia="仿宋" w:cs="仿宋"/>
          <w:b/>
          <w:bCs/>
          <w:color w:val="auto"/>
          <w:sz w:val="24"/>
          <w:szCs w:val="24"/>
          <w:highlight w:val="none"/>
        </w:rPr>
        <w:t>二、申请人的资格要求：</w:t>
      </w:r>
      <w:bookmarkEnd w:id="2"/>
    </w:p>
    <w:p w14:paraId="1DA5CCD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04AA39E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2.落实政府采购政策需满足的资格要求：</w:t>
      </w:r>
      <w:r>
        <w:rPr>
          <w:rFonts w:hint="eastAsia" w:ascii="仿宋" w:hAnsi="仿宋" w:eastAsia="仿宋" w:cs="仿宋"/>
          <w:color w:val="auto"/>
          <w:sz w:val="24"/>
          <w:szCs w:val="24"/>
          <w:highlight w:val="none"/>
          <w:lang w:val="en-US" w:eastAsia="zh-CN"/>
        </w:rPr>
        <w:t>无（</w:t>
      </w:r>
      <w:r>
        <w:rPr>
          <w:rFonts w:hint="eastAsia" w:ascii="仿宋" w:hAnsi="仿宋" w:eastAsia="仿宋" w:cs="仿宋"/>
          <w:color w:val="auto"/>
          <w:sz w:val="24"/>
          <w:szCs w:val="24"/>
          <w:highlight w:val="none"/>
          <w:lang w:val="en-US"/>
        </w:rPr>
        <w:t>本项目为非专门面向中、小企业，小、微企业预留资金项目。落实政府采购政策内容详见供应商须知前附表</w:t>
      </w:r>
      <w:r>
        <w:rPr>
          <w:rFonts w:hint="eastAsia" w:ascii="仿宋" w:hAnsi="仿宋" w:eastAsia="仿宋" w:cs="仿宋"/>
          <w:color w:val="auto"/>
          <w:sz w:val="24"/>
          <w:szCs w:val="24"/>
          <w:highlight w:val="none"/>
          <w:lang w:val="en-US" w:eastAsia="zh-CN"/>
        </w:rPr>
        <w:t>，价格优惠详见第六章评审程序</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lang w:val="en-US" w:eastAsia="zh-CN"/>
        </w:rPr>
        <w:t>）</w:t>
      </w:r>
    </w:p>
    <w:p w14:paraId="1898D8C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3.本项目的特定资格要求：投标产品属于医疗器械的，投标人如为代理商，投标人应具有合法的医疗器械经营资格</w:t>
      </w:r>
      <w:r>
        <w:rPr>
          <w:rFonts w:hint="eastAsia" w:ascii="仿宋" w:hAnsi="仿宋" w:eastAsia="仿宋" w:cs="仿宋"/>
          <w:color w:val="auto"/>
          <w:sz w:val="24"/>
          <w:szCs w:val="24"/>
          <w:highlight w:val="none"/>
          <w:lang w:eastAsia="zh-CN"/>
        </w:rPr>
        <w:t>（所投产品属第二类医疗器械的应具有《医疗器械经营备案凭证》，属第三类医疗器械的应具有《医疗器械经营许可证》）</w:t>
      </w:r>
      <w:r>
        <w:rPr>
          <w:rFonts w:hint="eastAsia" w:ascii="仿宋" w:hAnsi="仿宋" w:eastAsia="仿宋" w:cs="仿宋"/>
          <w:color w:val="auto"/>
          <w:sz w:val="24"/>
          <w:szCs w:val="24"/>
          <w:highlight w:val="none"/>
        </w:rPr>
        <w:t>；投标人如为制造商，使用自身生产的产品投标时，投标人应具有合法的医疗器械生产资格</w:t>
      </w:r>
      <w:r>
        <w:rPr>
          <w:rFonts w:hint="eastAsia" w:ascii="仿宋" w:hAnsi="仿宋" w:eastAsia="仿宋" w:cs="仿宋"/>
          <w:color w:val="auto"/>
          <w:sz w:val="24"/>
          <w:szCs w:val="24"/>
          <w:highlight w:val="none"/>
          <w:lang w:eastAsia="zh-CN"/>
        </w:rPr>
        <w:t>（所投产品属第一类医疗器械的应具有《医疗器械生产备案凭证》，属第二类、第三类医疗器械的应具有《医疗器械生产许可证》）</w:t>
      </w:r>
      <w:r>
        <w:rPr>
          <w:rFonts w:hint="eastAsia" w:ascii="仿宋" w:hAnsi="仿宋" w:eastAsia="仿宋" w:cs="仿宋"/>
          <w:color w:val="auto"/>
          <w:sz w:val="24"/>
          <w:szCs w:val="24"/>
          <w:highlight w:val="none"/>
        </w:rPr>
        <w:t>。</w:t>
      </w:r>
    </w:p>
    <w:p w14:paraId="07C2FD01">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3" w:name="_Toc11219"/>
      <w:r>
        <w:rPr>
          <w:rFonts w:hint="eastAsia" w:ascii="仿宋" w:hAnsi="仿宋" w:eastAsia="仿宋" w:cs="仿宋"/>
          <w:b/>
          <w:bCs/>
          <w:color w:val="auto"/>
          <w:sz w:val="24"/>
          <w:szCs w:val="24"/>
          <w:highlight w:val="none"/>
        </w:rPr>
        <w:t>三、获取招标文件</w:t>
      </w:r>
      <w:bookmarkEnd w:id="3"/>
    </w:p>
    <w:p w14:paraId="3CDE804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rPr>
        <w:t>日至202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日，每天上午0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:00至1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:00，下午1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:00至</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（北京时间，法定节假日除外）</w:t>
      </w:r>
    </w:p>
    <w:p w14:paraId="42542F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地点：政采云平台（https://www.zcygov.cn/）</w:t>
      </w:r>
    </w:p>
    <w:p w14:paraId="6BA1AAB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方式：供应商登录政采云平台https://www.zcygov.cn/在线申请获取采购文件（进入“项目采购”应用，在获取采购文件菜单中选择项目，申请获取采购文件）本次招标不提供纸质版招标文件。</w:t>
      </w:r>
    </w:p>
    <w:p w14:paraId="0715BF1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售价（元）：0元</w:t>
      </w:r>
    </w:p>
    <w:p w14:paraId="1E2B27A2">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4" w:name="_Toc14903"/>
      <w:r>
        <w:rPr>
          <w:rFonts w:hint="eastAsia" w:ascii="仿宋" w:hAnsi="仿宋" w:eastAsia="仿宋" w:cs="仿宋"/>
          <w:b/>
          <w:bCs/>
          <w:color w:val="auto"/>
          <w:sz w:val="24"/>
          <w:szCs w:val="24"/>
          <w:highlight w:val="none"/>
        </w:rPr>
        <w:t>四、提交投标文件截止时间、开标时间和地点</w:t>
      </w:r>
      <w:bookmarkEnd w:id="4"/>
    </w:p>
    <w:p w14:paraId="55C2A96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提交投标文件截止时间：202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日 11:00（北京时间）</w:t>
      </w:r>
    </w:p>
    <w:p w14:paraId="18E497E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投标地点：政采云平台（https://www.zcygov.cn/），本项目采用不见面开标，加密的电子投标文件在投标截止时间前在政采云平台上传。</w:t>
      </w:r>
    </w:p>
    <w:p w14:paraId="1D3E434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 xml:space="preserve">25 </w:t>
      </w:r>
      <w:r>
        <w:rPr>
          <w:rFonts w:hint="eastAsia" w:ascii="仿宋" w:hAnsi="仿宋" w:eastAsia="仿宋" w:cs="仿宋"/>
          <w:color w:val="auto"/>
          <w:sz w:val="24"/>
          <w:szCs w:val="24"/>
          <w:highlight w:val="none"/>
        </w:rPr>
        <w:t>日 11:00（北京时间）</w:t>
      </w:r>
    </w:p>
    <w:p w14:paraId="443AC1E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开标地点：政采云平台（https://www.zcygov.cn/）不见面开标系统</w:t>
      </w:r>
    </w:p>
    <w:p w14:paraId="24372489">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5" w:name="_Toc2354"/>
      <w:r>
        <w:rPr>
          <w:rFonts w:hint="eastAsia" w:ascii="仿宋" w:hAnsi="仿宋" w:eastAsia="仿宋" w:cs="仿宋"/>
          <w:b/>
          <w:bCs/>
          <w:color w:val="auto"/>
          <w:sz w:val="24"/>
          <w:szCs w:val="24"/>
          <w:highlight w:val="none"/>
        </w:rPr>
        <w:t>五、公告期限</w:t>
      </w:r>
      <w:bookmarkEnd w:id="5"/>
    </w:p>
    <w:p w14:paraId="51E5D6C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2FE30663">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6" w:name="_Toc20599"/>
      <w:r>
        <w:rPr>
          <w:rFonts w:hint="eastAsia" w:ascii="仿宋" w:hAnsi="仿宋" w:eastAsia="仿宋" w:cs="仿宋"/>
          <w:b/>
          <w:bCs/>
          <w:color w:val="auto"/>
          <w:sz w:val="24"/>
          <w:szCs w:val="24"/>
          <w:highlight w:val="none"/>
        </w:rPr>
        <w:t>六、其他补充事宜</w:t>
      </w:r>
      <w:bookmarkEnd w:id="6"/>
    </w:p>
    <w:p w14:paraId="0A1A7B6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b/>
          <w:bCs/>
          <w:sz w:val="24"/>
          <w:highlight w:val="none"/>
          <w:lang w:val="en-US" w:eastAsia="zh-CN"/>
        </w:rPr>
        <w:t>本项目为单价采购，最终以实际发生量进行结算</w:t>
      </w:r>
      <w:r>
        <w:rPr>
          <w:rFonts w:hint="eastAsia" w:ascii="仿宋" w:hAnsi="仿宋" w:eastAsia="仿宋" w:cs="仿宋"/>
          <w:sz w:val="24"/>
          <w:highlight w:val="none"/>
        </w:rPr>
        <w:t>。</w:t>
      </w:r>
    </w:p>
    <w:p w14:paraId="3B37EFF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2、本项目试剂耗材报价以不高于最小单位限价为准，并且不得高于本地三级甲等医院的最低价（需提供承诺函加盖公章），投标人所报价格为含税、配送费用等的全包价。</w:t>
      </w:r>
    </w:p>
    <w:p w14:paraId="406B1E1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、关于本项目所有公告、公示在新疆政府采购网发布。</w:t>
      </w:r>
    </w:p>
    <w:p w14:paraId="163698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、请投标单位随时关注本项目的澄清、答疑、变更事项。</w:t>
      </w:r>
    </w:p>
    <w:p w14:paraId="476777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、本项目实行电子招投标，供应商须登录政采云平台申请获取招标文件，并通过政采云电子投标客户端制作响应文件，同时自行承担与投标有关的一切费用。</w:t>
      </w:r>
    </w:p>
    <w:p w14:paraId="2020C7F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、各供应商应在开标前确保成为</w:t>
      </w:r>
      <w:r>
        <w:rPr>
          <w:rFonts w:hint="eastAsia" w:ascii="仿宋" w:hAnsi="仿宋" w:eastAsia="仿宋" w:cs="仿宋"/>
          <w:b/>
          <w:bCs/>
          <w:color w:val="auto"/>
          <w:sz w:val="24"/>
          <w:szCs w:val="24"/>
          <w:highlight w:val="none"/>
        </w:rPr>
        <w:t>新疆政府采购网</w:t>
      </w:r>
      <w:r>
        <w:rPr>
          <w:rFonts w:hint="eastAsia" w:ascii="仿宋" w:hAnsi="仿宋" w:eastAsia="仿宋" w:cs="仿宋"/>
          <w:color w:val="auto"/>
          <w:sz w:val="24"/>
          <w:szCs w:val="24"/>
          <w:highlight w:val="none"/>
        </w:rPr>
        <w:t>正式注册入库供应商，并完成CA数字证书申领。因未注册入库、未办理CA数字证书等原因造成无法投标或投标失败等后果由供应商自行承担。</w:t>
      </w:r>
    </w:p>
    <w:p w14:paraId="22D93F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、有意向参与电子开评标的供应商，可访问新疆数字证书认证中心官方网站（https://www.xjca.com.cn/）或下载“新疆政务通”APP自行进行申领。如需咨询，请联系新疆CA服务热线0991-2819290。</w:t>
      </w:r>
    </w:p>
    <w:p w14:paraId="7D06CC3B">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7" w:name="_Toc13816"/>
      <w:r>
        <w:rPr>
          <w:rFonts w:hint="eastAsia" w:ascii="仿宋" w:hAnsi="仿宋" w:eastAsia="仿宋" w:cs="仿宋"/>
          <w:b/>
          <w:bCs/>
          <w:color w:val="auto"/>
          <w:sz w:val="24"/>
          <w:szCs w:val="24"/>
          <w:highlight w:val="none"/>
        </w:rPr>
        <w:t>七、对本次采购提出询问，请按以下方式联系</w:t>
      </w:r>
      <w:bookmarkEnd w:id="7"/>
    </w:p>
    <w:p w14:paraId="178F22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1.采购人信息</w:t>
      </w:r>
    </w:p>
    <w:p w14:paraId="73F819A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sz w:val="24"/>
          <w:szCs w:val="24"/>
          <w:highlight w:val="none"/>
        </w:rPr>
        <w:t>新疆医科大学第六附属医院</w:t>
      </w:r>
    </w:p>
    <w:p w14:paraId="64B7496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r>
        <w:rPr>
          <w:rFonts w:hint="eastAsia" w:ascii="仿宋" w:hAnsi="仿宋" w:eastAsia="仿宋" w:cs="仿宋"/>
          <w:sz w:val="24"/>
          <w:szCs w:val="24"/>
          <w:highlight w:val="none"/>
        </w:rPr>
        <w:t>乌鲁木齐市天山区五星南路39号</w:t>
      </w:r>
    </w:p>
    <w:p w14:paraId="402BAC0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w:t>
      </w:r>
      <w:r>
        <w:rPr>
          <w:rFonts w:hint="eastAsia" w:ascii="仿宋" w:hAnsi="仿宋" w:eastAsia="仿宋" w:cs="仿宋"/>
          <w:sz w:val="24"/>
          <w:szCs w:val="24"/>
          <w:highlight w:val="none"/>
        </w:rPr>
        <w:t>0991-2630237</w:t>
      </w:r>
    </w:p>
    <w:p w14:paraId="4555FEC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p>
    <w:p w14:paraId="7E5C9F7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称：新疆世纪星工程咨询有限公司</w:t>
      </w:r>
    </w:p>
    <w:p w14:paraId="0AEC1A2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址：乌鲁木齐经济技术开发区二期黄山街一品九点阳光德港大厦B座</w:t>
      </w:r>
      <w:r>
        <w:rPr>
          <w:rFonts w:hint="eastAsia" w:ascii="仿宋" w:hAnsi="仿宋" w:eastAsia="仿宋" w:cs="仿宋_GB2312"/>
          <w:sz w:val="24"/>
          <w:highlight w:val="none"/>
          <w:lang w:val="en-US" w:eastAsia="zh-CN"/>
        </w:rPr>
        <w:t>九源酒店</w:t>
      </w:r>
      <w:r>
        <w:rPr>
          <w:rFonts w:hint="eastAsia" w:ascii="仿宋" w:hAnsi="仿宋" w:eastAsia="仿宋" w:cs="仿宋_GB2312"/>
          <w:sz w:val="24"/>
          <w:highlight w:val="none"/>
        </w:rPr>
        <w:t>20楼</w:t>
      </w:r>
    </w:p>
    <w:p w14:paraId="1D902CB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联系方式：0991-3678303</w:t>
      </w:r>
    </w:p>
    <w:p w14:paraId="2061A1A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3.项目联系方式</w:t>
      </w:r>
    </w:p>
    <w:p w14:paraId="55FC4CBE">
      <w:pPr>
        <w:spacing w:line="50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项目联系人：</w:t>
      </w:r>
      <w:r>
        <w:rPr>
          <w:rFonts w:hint="eastAsia" w:ascii="仿宋" w:hAnsi="仿宋" w:eastAsia="仿宋" w:cs="仿宋_GB2312"/>
          <w:sz w:val="24"/>
          <w:highlight w:val="none"/>
        </w:rPr>
        <w:t>马莉、李梦媛、李航、杜萍</w:t>
      </w:r>
    </w:p>
    <w:p w14:paraId="5157DE0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话：0991-3678303</w:t>
      </w:r>
    </w:p>
    <w:p w14:paraId="39AE2C18">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3D15C9CF">
      <w:pPr>
        <w:pStyle w:val="3"/>
        <w:numPr>
          <w:ilvl w:val="0"/>
          <w:numId w:val="1"/>
        </w:numPr>
        <w:bidi w:val="0"/>
        <w:jc w:val="center"/>
        <w:rPr>
          <w:rFonts w:hint="eastAsia" w:ascii="仿宋" w:hAnsi="仿宋" w:eastAsia="仿宋" w:cs="仿宋"/>
          <w:color w:val="auto"/>
          <w:sz w:val="32"/>
          <w:szCs w:val="32"/>
          <w:highlight w:val="none"/>
        </w:rPr>
      </w:pPr>
      <w:bookmarkStart w:id="8" w:name="_Toc2997"/>
      <w:r>
        <w:rPr>
          <w:rFonts w:hint="eastAsia" w:ascii="仿宋" w:hAnsi="仿宋" w:eastAsia="仿宋" w:cs="仿宋"/>
          <w:color w:val="auto"/>
          <w:sz w:val="32"/>
          <w:szCs w:val="32"/>
          <w:highlight w:val="none"/>
        </w:rPr>
        <w:t>投标须知前附表</w:t>
      </w:r>
      <w:bookmarkEnd w:id="8"/>
    </w:p>
    <w:p w14:paraId="4C459B6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本表是本招标项目的具体资料，是对投标人须知的具体补充和修改，如有矛盾，均以本资料表为准。标记“☑”的选项意为适用于本项目，标记“□”的选项意为不适用于本项目。</w:t>
      </w:r>
    </w:p>
    <w:p w14:paraId="5E8592D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rPr>
      </w:pPr>
    </w:p>
    <w:tbl>
      <w:tblPr>
        <w:tblStyle w:val="23"/>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14:paraId="717C27B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9A05B2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lang w:val="en-US" w:eastAsia="zh-CN"/>
              </w:rPr>
              <w:t>条款号</w:t>
            </w:r>
          </w:p>
        </w:tc>
        <w:tc>
          <w:tcPr>
            <w:tcW w:w="6652" w:type="dxa"/>
            <w:tcBorders>
              <w:tl2br w:val="nil"/>
              <w:tr2bl w:val="nil"/>
            </w:tcBorders>
          </w:tcPr>
          <w:p w14:paraId="60B0199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lang w:val="en-US" w:eastAsia="zh-CN"/>
              </w:rPr>
              <w:t>内容</w:t>
            </w:r>
          </w:p>
        </w:tc>
      </w:tr>
      <w:tr w14:paraId="578C37E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A6A7CA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6652" w:type="dxa"/>
            <w:tcBorders>
              <w:tl2br w:val="nil"/>
              <w:tr2bl w:val="nil"/>
            </w:tcBorders>
            <w:vAlign w:val="center"/>
          </w:tcPr>
          <w:p w14:paraId="2670E6FC">
            <w:pPr>
              <w:spacing w:line="440" w:lineRule="exact"/>
              <w:rPr>
                <w:rFonts w:ascii="仿宋" w:hAnsi="仿宋" w:eastAsia="仿宋" w:cs="仿宋_GB2312"/>
                <w:sz w:val="24"/>
                <w:highlight w:val="none"/>
              </w:rPr>
            </w:pPr>
            <w:r>
              <w:rPr>
                <w:rFonts w:hint="eastAsia" w:ascii="仿宋" w:hAnsi="仿宋" w:eastAsia="仿宋" w:cs="仿宋_GB2312"/>
                <w:sz w:val="24"/>
                <w:highlight w:val="none"/>
              </w:rPr>
              <w:t>采购人：</w:t>
            </w:r>
            <w:r>
              <w:rPr>
                <w:rFonts w:hint="eastAsia" w:ascii="仿宋" w:hAnsi="仿宋" w:eastAsia="仿宋" w:cs="仿宋"/>
                <w:sz w:val="24"/>
                <w:szCs w:val="24"/>
                <w:highlight w:val="none"/>
              </w:rPr>
              <w:t>新疆医科大学第六附属医院</w:t>
            </w:r>
          </w:p>
          <w:p w14:paraId="4C8C83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ascii="仿宋" w:hAnsi="仿宋" w:eastAsia="仿宋" w:cs="仿宋_GB2312"/>
                <w:sz w:val="24"/>
                <w:highlight w:val="none"/>
              </w:rPr>
            </w:pPr>
            <w:r>
              <w:rPr>
                <w:rFonts w:hint="eastAsia" w:ascii="仿宋" w:hAnsi="仿宋" w:eastAsia="仿宋" w:cs="仿宋_GB2312"/>
                <w:sz w:val="24"/>
                <w:highlight w:val="none"/>
              </w:rPr>
              <w:t>地  址：</w:t>
            </w:r>
            <w:r>
              <w:rPr>
                <w:rFonts w:hint="eastAsia" w:ascii="仿宋" w:hAnsi="仿宋" w:eastAsia="仿宋" w:cs="仿宋"/>
                <w:sz w:val="24"/>
                <w:szCs w:val="24"/>
                <w:highlight w:val="none"/>
              </w:rPr>
              <w:t>乌鲁木齐市天山区五星南路39号</w:t>
            </w:r>
          </w:p>
          <w:p w14:paraId="7877B4B6">
            <w:pPr>
              <w:spacing w:line="440" w:lineRule="exact"/>
              <w:rPr>
                <w:rFonts w:ascii="仿宋" w:hAnsi="仿宋" w:eastAsia="仿宋" w:cs="仿宋_GB2312"/>
                <w:sz w:val="24"/>
                <w:highlight w:val="none"/>
              </w:rPr>
            </w:pPr>
            <w:r>
              <w:rPr>
                <w:rFonts w:hint="eastAsia" w:ascii="仿宋" w:hAnsi="仿宋" w:eastAsia="仿宋" w:cs="仿宋_GB2312"/>
                <w:sz w:val="24"/>
                <w:highlight w:val="none"/>
              </w:rPr>
              <w:t>联系人：</w:t>
            </w:r>
            <w:r>
              <w:rPr>
                <w:rFonts w:hint="eastAsia" w:ascii="仿宋" w:hAnsi="仿宋" w:eastAsia="仿宋" w:cs="仿宋_GB2312"/>
                <w:sz w:val="24"/>
                <w:highlight w:val="none"/>
                <w:lang w:val="en-US" w:eastAsia="zh-CN"/>
              </w:rPr>
              <w:t>王</w:t>
            </w:r>
            <w:r>
              <w:rPr>
                <w:rFonts w:hint="eastAsia" w:ascii="仿宋" w:hAnsi="仿宋" w:eastAsia="仿宋" w:cs="仿宋_GB2312"/>
                <w:sz w:val="24"/>
                <w:highlight w:val="none"/>
              </w:rPr>
              <w:t>老师</w:t>
            </w:r>
          </w:p>
          <w:p w14:paraId="2BB65BB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_GB2312"/>
                <w:sz w:val="24"/>
                <w:highlight w:val="none"/>
              </w:rPr>
              <w:t>联系方式：</w:t>
            </w:r>
            <w:r>
              <w:rPr>
                <w:rFonts w:hint="eastAsia" w:ascii="仿宋" w:hAnsi="仿宋" w:eastAsia="仿宋" w:cs="仿宋"/>
                <w:sz w:val="24"/>
                <w:szCs w:val="24"/>
                <w:highlight w:val="none"/>
              </w:rPr>
              <w:t>0991-2630237</w:t>
            </w:r>
          </w:p>
        </w:tc>
      </w:tr>
      <w:tr w14:paraId="33F9032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B18981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6652" w:type="dxa"/>
            <w:tcBorders>
              <w:tl2br w:val="nil"/>
              <w:tr2bl w:val="nil"/>
            </w:tcBorders>
            <w:vAlign w:val="center"/>
          </w:tcPr>
          <w:p w14:paraId="4019576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采购代理机构：新疆世纪星工程咨询有限公司 </w:t>
            </w:r>
          </w:p>
          <w:p w14:paraId="30C108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地址：乌鲁木齐经济技术开发区二期黄山街一品九点阳光德港大厦B座20楼 </w:t>
            </w:r>
          </w:p>
          <w:p w14:paraId="0D563D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业务联系人：</w:t>
            </w:r>
            <w:r>
              <w:rPr>
                <w:rFonts w:hint="eastAsia" w:ascii="仿宋" w:hAnsi="仿宋" w:eastAsia="仿宋" w:cs="仿宋_GB2312"/>
                <w:sz w:val="24"/>
                <w:highlight w:val="none"/>
              </w:rPr>
              <w:t>马莉、</w:t>
            </w:r>
            <w:r>
              <w:rPr>
                <w:rFonts w:hint="eastAsia" w:ascii="仿宋" w:hAnsi="仿宋" w:eastAsia="仿宋" w:cs="仿宋_GB2312"/>
                <w:sz w:val="24"/>
                <w:highlight w:val="none"/>
                <w:lang w:val="en-US" w:eastAsia="zh-CN"/>
              </w:rPr>
              <w:t>李梦媛</w:t>
            </w:r>
            <w:r>
              <w:rPr>
                <w:rFonts w:hint="eastAsia" w:ascii="仿宋" w:hAnsi="仿宋" w:eastAsia="仿宋" w:cs="仿宋"/>
                <w:color w:val="auto"/>
                <w:sz w:val="24"/>
                <w:szCs w:val="24"/>
                <w:highlight w:val="none"/>
                <w:vertAlign w:val="baseline"/>
              </w:rPr>
              <w:t xml:space="preserve">     </w:t>
            </w:r>
            <w:r>
              <w:rPr>
                <w:rFonts w:hint="eastAsia" w:ascii="仿宋" w:hAnsi="仿宋" w:eastAsia="仿宋" w:cs="仿宋"/>
                <w:color w:val="auto"/>
                <w:sz w:val="24"/>
                <w:szCs w:val="24"/>
                <w:highlight w:val="none"/>
                <w:vertAlign w:val="baseline"/>
                <w:lang w:val="en-US" w:eastAsia="zh-CN"/>
              </w:rPr>
              <w:t xml:space="preserve">  </w:t>
            </w:r>
            <w:r>
              <w:rPr>
                <w:rFonts w:hint="eastAsia" w:ascii="仿宋" w:hAnsi="仿宋" w:eastAsia="仿宋" w:cs="仿宋"/>
                <w:color w:val="auto"/>
                <w:sz w:val="24"/>
                <w:szCs w:val="24"/>
                <w:highlight w:val="none"/>
                <w:vertAlign w:val="baseline"/>
              </w:rPr>
              <w:t xml:space="preserve">电话：0991-3678303 </w:t>
            </w:r>
          </w:p>
          <w:p w14:paraId="238E755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电子邮箱：</w:t>
            </w:r>
            <w:r>
              <w:rPr>
                <w:rFonts w:hint="eastAsia" w:ascii="仿宋" w:hAnsi="仿宋" w:eastAsia="仿宋" w:cs="仿宋_GB2312"/>
                <w:sz w:val="24"/>
                <w:highlight w:val="none"/>
                <w:lang w:val="en-US" w:eastAsia="zh-CN"/>
              </w:rPr>
              <w:t>53534373</w:t>
            </w:r>
            <w:r>
              <w:rPr>
                <w:rFonts w:hint="eastAsia" w:ascii="仿宋" w:hAnsi="仿宋" w:eastAsia="仿宋" w:cs="仿宋_GB2312"/>
                <w:sz w:val="24"/>
                <w:highlight w:val="none"/>
              </w:rPr>
              <w:t>@qq.com</w:t>
            </w:r>
          </w:p>
        </w:tc>
      </w:tr>
      <w:tr w14:paraId="6B3DAAC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B08279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1.3.3</w:t>
            </w:r>
          </w:p>
        </w:tc>
        <w:tc>
          <w:tcPr>
            <w:tcW w:w="6652" w:type="dxa"/>
            <w:tcBorders>
              <w:tl2br w:val="nil"/>
              <w:tr2bl w:val="nil"/>
            </w:tcBorders>
            <w:vAlign w:val="center"/>
          </w:tcPr>
          <w:p w14:paraId="5CB01F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合格投标人的其他资格要求：</w:t>
            </w:r>
          </w:p>
          <w:p w14:paraId="152968C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投标产品属于医疗器械的，投标人如为代理商，投标人应具有合法的医疗器械经营资格（所投产品属第二类医疗器械的应具有《医疗器械经营备案凭证》，属第三类医疗器械的应具有《医疗器械经营许可证》）；投标人如为制造商，使用自身生产的产品投标时，投标人应具有合法的医疗器械生产资格（所投产品属第一类医疗器械的应具有《医疗器械生产备案凭证》，属第二类、第三类医疗器械的应具有《医疗器械生产许可证》）。</w:t>
            </w:r>
          </w:p>
        </w:tc>
      </w:tr>
      <w:tr w14:paraId="0628026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C0F2AC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6652" w:type="dxa"/>
            <w:tcBorders>
              <w:tl2br w:val="nil"/>
              <w:tr2bl w:val="nil"/>
            </w:tcBorders>
            <w:vAlign w:val="center"/>
          </w:tcPr>
          <w:p w14:paraId="69985B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是否允许采购进口产品：否</w:t>
            </w:r>
          </w:p>
        </w:tc>
      </w:tr>
      <w:tr w14:paraId="2E0D462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8B4207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1.5.1</w:t>
            </w:r>
          </w:p>
        </w:tc>
        <w:tc>
          <w:tcPr>
            <w:tcW w:w="6652" w:type="dxa"/>
            <w:tcBorders>
              <w:tl2br w:val="nil"/>
              <w:tr2bl w:val="nil"/>
            </w:tcBorders>
            <w:vAlign w:val="center"/>
          </w:tcPr>
          <w:p w14:paraId="414DAEA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rPr>
              <w:t>本项目采购标的对应的中小企业划分标准所属行业：</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
              <w:gridCol w:w="2704"/>
              <w:gridCol w:w="2804"/>
            </w:tblGrid>
            <w:tr w14:paraId="5B858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pct"/>
                  <w:vAlign w:val="center"/>
                </w:tcPr>
                <w:p w14:paraId="27B88945">
                  <w:pPr>
                    <w:pStyle w:val="21"/>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标项号</w:t>
                  </w:r>
                </w:p>
              </w:tc>
              <w:tc>
                <w:tcPr>
                  <w:tcW w:w="2104" w:type="pct"/>
                  <w:vAlign w:val="center"/>
                </w:tcPr>
                <w:p w14:paraId="37A61DB7">
                  <w:pPr>
                    <w:pStyle w:val="21"/>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标的名称</w:t>
                  </w:r>
                </w:p>
              </w:tc>
              <w:tc>
                <w:tcPr>
                  <w:tcW w:w="2181" w:type="pct"/>
                  <w:vAlign w:val="center"/>
                </w:tcPr>
                <w:p w14:paraId="30249D91">
                  <w:pPr>
                    <w:pStyle w:val="21"/>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中小企业划分标准所属行业</w:t>
                  </w:r>
                </w:p>
              </w:tc>
            </w:tr>
            <w:tr w14:paraId="45E88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714" w:type="pct"/>
                  <w:vAlign w:val="center"/>
                </w:tcPr>
                <w:p w14:paraId="16634BBD">
                  <w:pPr>
                    <w:pStyle w:val="21"/>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标项一、标项二</w:t>
                  </w:r>
                </w:p>
              </w:tc>
              <w:tc>
                <w:tcPr>
                  <w:tcW w:w="2104" w:type="pct"/>
                  <w:vAlign w:val="center"/>
                </w:tcPr>
                <w:p w14:paraId="110F41C4">
                  <w:pPr>
                    <w:pStyle w:val="21"/>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具体</w:t>
                  </w:r>
                  <w:r>
                    <w:rPr>
                      <w:rFonts w:ascii="仿宋" w:hAnsi="仿宋" w:eastAsia="仿宋" w:cs="仿宋"/>
                      <w:b/>
                      <w:highlight w:val="none"/>
                    </w:rPr>
                    <w:t>内容详见采购需求</w:t>
                  </w:r>
                  <w:r>
                    <w:rPr>
                      <w:rFonts w:hint="eastAsia" w:ascii="仿宋" w:hAnsi="仿宋" w:eastAsia="仿宋" w:cs="仿宋"/>
                      <w:b/>
                      <w:highlight w:val="none"/>
                      <w:lang w:eastAsia="zh-CN"/>
                    </w:rPr>
                    <w:t>，</w:t>
                  </w:r>
                  <w:r>
                    <w:rPr>
                      <w:rFonts w:hint="eastAsia" w:ascii="仿宋" w:hAnsi="仿宋" w:eastAsia="仿宋" w:cs="仿宋"/>
                      <w:b/>
                      <w:highlight w:val="none"/>
                      <w:lang w:val="en-US" w:eastAsia="zh-CN"/>
                    </w:rPr>
                    <w:t>投标人请按采购标的名称逐一填写中小企业声明函。</w:t>
                  </w:r>
                </w:p>
              </w:tc>
              <w:tc>
                <w:tcPr>
                  <w:tcW w:w="2181" w:type="pct"/>
                  <w:vAlign w:val="center"/>
                </w:tcPr>
                <w:p w14:paraId="7D3C79DE">
                  <w:pPr>
                    <w:pStyle w:val="21"/>
                    <w:spacing w:after="0" w:line="420" w:lineRule="exact"/>
                    <w:ind w:left="0" w:leftChars="0" w:firstLine="0" w:firstLineChars="0"/>
                    <w:jc w:val="center"/>
                    <w:rPr>
                      <w:rFonts w:hint="eastAsia" w:ascii="仿宋" w:hAnsi="仿宋" w:eastAsia="仿宋" w:cs="仿宋"/>
                      <w:b/>
                      <w:highlight w:val="none"/>
                      <w:lang w:eastAsia="zh-CN"/>
                    </w:rPr>
                  </w:pPr>
                  <w:r>
                    <w:rPr>
                      <w:rFonts w:hint="eastAsia" w:ascii="仿宋" w:hAnsi="仿宋" w:eastAsia="仿宋" w:cs="仿宋"/>
                      <w:b/>
                      <w:highlight w:val="none"/>
                      <w:lang w:val="en-US" w:eastAsia="zh-CN"/>
                    </w:rPr>
                    <w:t>工业</w:t>
                  </w:r>
                </w:p>
              </w:tc>
            </w:tr>
          </w:tbl>
          <w:p w14:paraId="248023F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p>
        </w:tc>
      </w:tr>
      <w:tr w14:paraId="1CECFF1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A97D6B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1.5.2</w:t>
            </w:r>
          </w:p>
        </w:tc>
        <w:tc>
          <w:tcPr>
            <w:tcW w:w="6652" w:type="dxa"/>
            <w:tcBorders>
              <w:tl2br w:val="nil"/>
              <w:tr2bl w:val="nil"/>
            </w:tcBorders>
            <w:vAlign w:val="center"/>
          </w:tcPr>
          <w:p w14:paraId="438E17C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☑本项目不专门面向中小企业预留采购份额。</w:t>
            </w:r>
          </w:p>
          <w:p w14:paraId="1A55EE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□本项目专门面向</w:t>
            </w:r>
            <w:r>
              <w:rPr>
                <w:rFonts w:hint="eastAsia" w:ascii="仿宋" w:hAnsi="仿宋" w:eastAsia="仿宋" w:cs="仿宋"/>
                <w:b/>
                <w:bCs/>
                <w:color w:val="auto"/>
                <w:sz w:val="24"/>
                <w:szCs w:val="24"/>
                <w:highlight w:val="none"/>
                <w:vertAlign w:val="baseline"/>
                <w:lang w:val="en-US" w:eastAsia="zh-CN"/>
              </w:rPr>
              <w:t>□中小□小微企业</w:t>
            </w:r>
            <w:r>
              <w:rPr>
                <w:rFonts w:hint="eastAsia" w:ascii="仿宋" w:hAnsi="仿宋" w:eastAsia="仿宋" w:cs="仿宋"/>
                <w:color w:val="auto"/>
                <w:sz w:val="24"/>
                <w:szCs w:val="24"/>
                <w:highlight w:val="none"/>
                <w:vertAlign w:val="baseline"/>
                <w:lang w:val="en-US" w:eastAsia="zh-CN"/>
              </w:rPr>
              <w:t xml:space="preserve"> 采购。即: 提供的货物全部由符合政策要求的□</w:t>
            </w:r>
            <w:r>
              <w:rPr>
                <w:rFonts w:hint="eastAsia" w:ascii="仿宋" w:hAnsi="仿宋" w:eastAsia="仿宋" w:cs="仿宋"/>
                <w:b/>
                <w:bCs/>
                <w:color w:val="auto"/>
                <w:sz w:val="24"/>
                <w:szCs w:val="24"/>
                <w:highlight w:val="none"/>
                <w:vertAlign w:val="baseline"/>
                <w:lang w:val="en-US" w:eastAsia="zh-CN"/>
              </w:rPr>
              <w:t>中小□小微</w:t>
            </w:r>
            <w:r>
              <w:rPr>
                <w:rFonts w:hint="eastAsia" w:ascii="仿宋" w:hAnsi="仿宋" w:eastAsia="仿宋" w:cs="仿宋"/>
                <w:color w:val="auto"/>
                <w:sz w:val="24"/>
                <w:szCs w:val="24"/>
                <w:highlight w:val="none"/>
                <w:vertAlign w:val="baseline"/>
                <w:lang w:val="en-US" w:eastAsia="zh-CN"/>
              </w:rPr>
              <w:t>企业制造、服务全部由符合政策要求的</w:t>
            </w:r>
            <w:r>
              <w:rPr>
                <w:rFonts w:hint="eastAsia" w:ascii="仿宋" w:hAnsi="仿宋" w:eastAsia="仿宋" w:cs="仿宋"/>
                <w:b/>
                <w:bCs/>
                <w:color w:val="auto"/>
                <w:sz w:val="24"/>
                <w:szCs w:val="24"/>
                <w:highlight w:val="none"/>
                <w:vertAlign w:val="baseline"/>
                <w:lang w:val="en-US" w:eastAsia="zh-CN"/>
              </w:rPr>
              <w:t>□中小□小微</w:t>
            </w:r>
            <w:r>
              <w:rPr>
                <w:rFonts w:hint="eastAsia" w:ascii="仿宋" w:hAnsi="仿宋" w:eastAsia="仿宋" w:cs="仿宋"/>
                <w:color w:val="auto"/>
                <w:sz w:val="24"/>
                <w:szCs w:val="24"/>
                <w:highlight w:val="none"/>
                <w:vertAlign w:val="baseline"/>
                <w:lang w:val="en-US" w:eastAsia="zh-CN"/>
              </w:rPr>
              <w:t>企业承接。</w:t>
            </w:r>
          </w:p>
          <w:p w14:paraId="5D27281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□本项目预留部分采购项目预算专门面向中小企业采购。对于预留份额，提供的货物由符合政策要求的中小企业制造、服务(或工程) 由符合政策要求的中小企业承接。预留份额通过以下措施进行:</w:t>
            </w:r>
            <w:r>
              <w:rPr>
                <w:rFonts w:hint="eastAsia" w:ascii="仿宋" w:hAnsi="仿宋" w:eastAsia="仿宋" w:cs="仿宋"/>
                <w:b/>
                <w:bCs/>
                <w:color w:val="auto"/>
                <w:sz w:val="24"/>
                <w:szCs w:val="24"/>
                <w:highlight w:val="none"/>
                <w:u w:val="single"/>
                <w:vertAlign w:val="baseline"/>
                <w:lang w:val="en-US" w:eastAsia="zh-CN"/>
              </w:rPr>
              <w:t>要求获得采购合同的投标人将本采购包金额的至少   %分包给一家或者多家中小企业，这其中预留给小微企业的比例至少   %，须提供《拟分包情况说明》，监狱和戒毒企业、残疾人福利性单位视同小型、微型企业（格式详见招标文件）。</w:t>
            </w:r>
          </w:p>
        </w:tc>
      </w:tr>
      <w:tr w14:paraId="66884B8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5DC9F3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1.11</w:t>
            </w:r>
          </w:p>
        </w:tc>
        <w:tc>
          <w:tcPr>
            <w:tcW w:w="6652" w:type="dxa"/>
            <w:tcBorders>
              <w:tl2br w:val="nil"/>
              <w:tr2bl w:val="nil"/>
            </w:tcBorders>
            <w:vAlign w:val="center"/>
          </w:tcPr>
          <w:p w14:paraId="65F55EE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是否允许联合体投标：否</w:t>
            </w:r>
          </w:p>
          <w:p w14:paraId="286AA38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联合体的其他资格要求：无</w:t>
            </w:r>
          </w:p>
        </w:tc>
      </w:tr>
      <w:tr w14:paraId="06839D6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753425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w:t>
            </w:r>
          </w:p>
        </w:tc>
        <w:tc>
          <w:tcPr>
            <w:tcW w:w="6652" w:type="dxa"/>
            <w:tcBorders>
              <w:tl2br w:val="nil"/>
              <w:tr2bl w:val="nil"/>
            </w:tcBorders>
            <w:vAlign w:val="center"/>
          </w:tcPr>
          <w:p w14:paraId="47E73C4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项目预算金额：</w:t>
            </w:r>
            <w:r>
              <w:rPr>
                <w:rFonts w:hint="eastAsia" w:ascii="仿宋" w:hAnsi="仿宋" w:eastAsia="仿宋" w:cs="仿宋"/>
                <w:color w:val="auto"/>
                <w:sz w:val="24"/>
                <w:szCs w:val="24"/>
                <w:highlight w:val="none"/>
                <w:lang w:val="en-US" w:eastAsia="zh-CN"/>
              </w:rPr>
              <w:t>700000</w:t>
            </w:r>
            <w:r>
              <w:rPr>
                <w:rFonts w:hint="eastAsia" w:ascii="仿宋" w:hAnsi="仿宋" w:eastAsia="仿宋" w:cs="仿宋"/>
                <w:color w:val="auto"/>
                <w:sz w:val="24"/>
                <w:szCs w:val="24"/>
                <w:highlight w:val="none"/>
                <w:vertAlign w:val="baseline"/>
                <w:lang w:val="en-US" w:eastAsia="zh-CN"/>
              </w:rPr>
              <w:t>元</w:t>
            </w:r>
          </w:p>
          <w:p w14:paraId="64274641">
            <w:pPr>
              <w:spacing w:line="500" w:lineRule="exact"/>
              <w:rPr>
                <w:rFonts w:hint="eastAsia" w:ascii="仿宋" w:hAnsi="仿宋" w:eastAsia="仿宋" w:cs="仿宋"/>
                <w:color w:val="auto"/>
                <w:sz w:val="24"/>
                <w:szCs w:val="24"/>
                <w:highlight w:val="none"/>
                <w:vertAlign w:val="baseline"/>
                <w:lang w:val="en-US" w:eastAsia="zh-CN"/>
              </w:rPr>
            </w:pPr>
            <w:r>
              <w:rPr>
                <w:rFonts w:ascii="仿宋" w:hAnsi="仿宋" w:eastAsia="仿宋" w:cs="仿宋"/>
                <w:sz w:val="24"/>
                <w:highlight w:val="none"/>
              </w:rPr>
              <w:t>注：</w:t>
            </w:r>
            <w:r>
              <w:rPr>
                <w:rFonts w:hint="eastAsia" w:ascii="仿宋" w:hAnsi="仿宋" w:eastAsia="仿宋" w:cs="仿宋"/>
                <w:sz w:val="24"/>
                <w:highlight w:val="none"/>
              </w:rPr>
              <w:t>1</w:t>
            </w:r>
            <w:r>
              <w:rPr>
                <w:rFonts w:ascii="仿宋" w:hAnsi="仿宋" w:eastAsia="仿宋" w:cs="仿宋"/>
                <w:sz w:val="24"/>
                <w:highlight w:val="none"/>
              </w:rPr>
              <w:t>.其中标项一</w:t>
            </w:r>
            <w:r>
              <w:rPr>
                <w:rFonts w:hint="eastAsia" w:ascii="仿宋" w:hAnsi="仿宋" w:eastAsia="仿宋" w:cs="仿宋"/>
                <w:sz w:val="24"/>
                <w:highlight w:val="none"/>
              </w:rPr>
              <w:t>预算金额：</w:t>
            </w:r>
            <w:r>
              <w:rPr>
                <w:rFonts w:hint="eastAsia" w:ascii="仿宋" w:hAnsi="仿宋" w:eastAsia="仿宋" w:cs="仿宋"/>
                <w:sz w:val="24"/>
                <w:highlight w:val="none"/>
                <w:lang w:val="en-US" w:eastAsia="zh-CN"/>
              </w:rPr>
              <w:t>500000</w:t>
            </w:r>
            <w:r>
              <w:rPr>
                <w:rFonts w:hint="eastAsia" w:ascii="仿宋" w:hAnsi="仿宋" w:eastAsia="仿宋" w:cs="仿宋"/>
                <w:sz w:val="24"/>
                <w:highlight w:val="none"/>
              </w:rPr>
              <w:t>元；</w:t>
            </w:r>
            <w:r>
              <w:rPr>
                <w:rFonts w:ascii="仿宋" w:hAnsi="仿宋" w:eastAsia="仿宋" w:cs="仿宋"/>
                <w:sz w:val="24"/>
                <w:highlight w:val="none"/>
              </w:rPr>
              <w:t>标项</w:t>
            </w:r>
            <w:r>
              <w:rPr>
                <w:rFonts w:hint="eastAsia" w:ascii="仿宋" w:hAnsi="仿宋" w:eastAsia="仿宋" w:cs="仿宋"/>
                <w:sz w:val="24"/>
                <w:highlight w:val="none"/>
                <w:lang w:val="en-US" w:eastAsia="zh-CN"/>
              </w:rPr>
              <w:t>二</w:t>
            </w:r>
            <w:r>
              <w:rPr>
                <w:rFonts w:hint="eastAsia" w:ascii="仿宋" w:hAnsi="仿宋" w:eastAsia="仿宋" w:cs="仿宋"/>
                <w:sz w:val="24"/>
                <w:highlight w:val="none"/>
              </w:rPr>
              <w:t>预算金额：</w:t>
            </w:r>
            <w:r>
              <w:rPr>
                <w:rFonts w:hint="eastAsia" w:ascii="仿宋" w:hAnsi="仿宋" w:eastAsia="仿宋" w:cs="仿宋"/>
                <w:sz w:val="24"/>
                <w:highlight w:val="none"/>
                <w:lang w:val="en-US" w:eastAsia="zh-CN"/>
              </w:rPr>
              <w:t>200000</w:t>
            </w:r>
            <w:r>
              <w:rPr>
                <w:rFonts w:hint="eastAsia" w:ascii="仿宋" w:hAnsi="仿宋" w:eastAsia="仿宋" w:cs="仿宋"/>
                <w:sz w:val="24"/>
                <w:highlight w:val="none"/>
              </w:rPr>
              <w:t>元；</w:t>
            </w:r>
          </w:p>
          <w:p w14:paraId="6A9EA21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rPr>
            </w:pPr>
            <w:r>
              <w:rPr>
                <w:rFonts w:hint="eastAsia" w:ascii="仿宋" w:hAnsi="仿宋" w:eastAsia="仿宋" w:cs="仿宋"/>
                <w:color w:val="auto"/>
                <w:sz w:val="24"/>
                <w:szCs w:val="24"/>
                <w:highlight w:val="none"/>
                <w:vertAlign w:val="baseline"/>
                <w:lang w:val="en-US" w:eastAsia="zh-CN"/>
              </w:rPr>
              <w:t>最高限价：标项一、标项二详见本项目采购需求，超过任意一项品目最高限制单价的，将按无效投标处理。</w:t>
            </w:r>
          </w:p>
        </w:tc>
      </w:tr>
      <w:tr w14:paraId="5547DC6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BCC127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5.4</w:t>
            </w:r>
          </w:p>
        </w:tc>
        <w:tc>
          <w:tcPr>
            <w:tcW w:w="6652" w:type="dxa"/>
            <w:tcBorders>
              <w:tl2br w:val="nil"/>
              <w:tr2bl w:val="nil"/>
            </w:tcBorders>
            <w:vAlign w:val="center"/>
          </w:tcPr>
          <w:p w14:paraId="67C85C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是否组织现场考察或者召开答疑会：</w:t>
            </w:r>
            <w:r>
              <w:rPr>
                <w:rFonts w:hint="eastAsia" w:ascii="仿宋" w:hAnsi="仿宋" w:eastAsia="仿宋" w:cs="仿宋"/>
                <w:color w:val="auto"/>
                <w:sz w:val="24"/>
                <w:szCs w:val="24"/>
                <w:highlight w:val="none"/>
                <w:vertAlign w:val="baseline"/>
                <w:lang w:val="en-US" w:eastAsia="zh-CN"/>
              </w:rPr>
              <w:t>是</w:t>
            </w:r>
            <w:r>
              <w:rPr>
                <w:rFonts w:hint="eastAsia" w:ascii="仿宋" w:hAnsi="仿宋" w:eastAsia="仿宋" w:cs="仿宋"/>
                <w:color w:val="auto"/>
                <w:sz w:val="24"/>
                <w:szCs w:val="24"/>
                <w:highlight w:val="none"/>
                <w:vertAlign w:val="baseline"/>
              </w:rPr>
              <w:t xml:space="preserve"> </w:t>
            </w:r>
          </w:p>
          <w:p w14:paraId="70293A8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vertAlign w:val="baseline"/>
              </w:rPr>
              <w:t>组织现场考察或者召开答疑会相关要求：</w:t>
            </w:r>
            <w:r>
              <w:rPr>
                <w:rFonts w:hint="eastAsia" w:ascii="仿宋" w:hAnsi="仿宋" w:eastAsia="仿宋" w:cs="仿宋"/>
                <w:color w:val="auto"/>
                <w:sz w:val="24"/>
                <w:szCs w:val="24"/>
                <w:highlight w:val="none"/>
                <w:vertAlign w:val="baseline"/>
                <w:lang w:val="en-US" w:eastAsia="zh-CN"/>
              </w:rPr>
              <w:t>/</w:t>
            </w:r>
          </w:p>
        </w:tc>
      </w:tr>
      <w:tr w14:paraId="583E96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D8ECF8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5.7 </w:t>
            </w:r>
          </w:p>
        </w:tc>
        <w:tc>
          <w:tcPr>
            <w:tcW w:w="6652" w:type="dxa"/>
            <w:tcBorders>
              <w:tl2br w:val="nil"/>
              <w:tr2bl w:val="nil"/>
            </w:tcBorders>
            <w:vAlign w:val="center"/>
          </w:tcPr>
          <w:p w14:paraId="0E8866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是否需要提供样品：否 </w:t>
            </w:r>
          </w:p>
          <w:p w14:paraId="51DCC08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rPr>
              <w:t>提供样品要求包括：</w:t>
            </w:r>
            <w:r>
              <w:rPr>
                <w:rFonts w:hint="eastAsia" w:ascii="仿宋" w:hAnsi="仿宋" w:eastAsia="仿宋" w:cs="仿宋"/>
                <w:color w:val="auto"/>
                <w:sz w:val="24"/>
                <w:szCs w:val="24"/>
                <w:highlight w:val="none"/>
                <w:vertAlign w:val="baseline"/>
                <w:lang w:val="en-US" w:eastAsia="zh-CN"/>
              </w:rPr>
              <w:t>/</w:t>
            </w:r>
          </w:p>
        </w:tc>
      </w:tr>
      <w:tr w14:paraId="2948215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C3E592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7.1 </w:t>
            </w:r>
          </w:p>
        </w:tc>
        <w:tc>
          <w:tcPr>
            <w:tcW w:w="6652" w:type="dxa"/>
            <w:tcBorders>
              <w:tl2br w:val="nil"/>
              <w:tr2bl w:val="nil"/>
            </w:tcBorders>
            <w:vAlign w:val="center"/>
          </w:tcPr>
          <w:p w14:paraId="21C898F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如投标人对多个包进行投标，可以中标</w:t>
            </w:r>
            <w:r>
              <w:rPr>
                <w:rFonts w:hint="eastAsia" w:ascii="仿宋" w:hAnsi="仿宋" w:eastAsia="仿宋" w:cs="仿宋"/>
                <w:b/>
                <w:bCs/>
                <w:color w:val="auto"/>
                <w:sz w:val="24"/>
                <w:szCs w:val="24"/>
                <w:highlight w:val="none"/>
                <w:u w:val="single"/>
                <w:vertAlign w:val="baseline"/>
              </w:rPr>
              <w:t>多</w:t>
            </w:r>
            <w:r>
              <w:rPr>
                <w:rFonts w:hint="eastAsia" w:ascii="仿宋" w:hAnsi="仿宋" w:eastAsia="仿宋" w:cs="仿宋"/>
                <w:color w:val="auto"/>
                <w:sz w:val="24"/>
                <w:szCs w:val="24"/>
                <w:highlight w:val="none"/>
                <w:vertAlign w:val="baseline"/>
              </w:rPr>
              <w:t>包（</w:t>
            </w:r>
            <w:r>
              <w:rPr>
                <w:rFonts w:hint="eastAsia" w:ascii="仿宋" w:hAnsi="仿宋" w:eastAsia="仿宋" w:cs="仿宋"/>
                <w:color w:val="auto"/>
                <w:sz w:val="24"/>
                <w:szCs w:val="24"/>
                <w:highlight w:val="none"/>
                <w:vertAlign w:val="baseline"/>
                <w:lang w:val="en-US" w:eastAsia="zh-CN"/>
              </w:rPr>
              <w:t>兼投可以兼中</w:t>
            </w:r>
            <w:r>
              <w:rPr>
                <w:rFonts w:hint="eastAsia" w:ascii="仿宋" w:hAnsi="仿宋" w:eastAsia="仿宋" w:cs="仿宋"/>
                <w:color w:val="auto"/>
                <w:sz w:val="24"/>
                <w:szCs w:val="24"/>
                <w:highlight w:val="none"/>
                <w:vertAlign w:val="baseline"/>
              </w:rPr>
              <w:t>）</w:t>
            </w:r>
          </w:p>
        </w:tc>
      </w:tr>
      <w:tr w14:paraId="015D54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45D04A8">
            <w:pPr>
              <w:spacing w:line="500" w:lineRule="exact"/>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sz w:val="24"/>
                <w:highlight w:val="none"/>
              </w:rPr>
              <w:t>8</w:t>
            </w:r>
          </w:p>
        </w:tc>
        <w:tc>
          <w:tcPr>
            <w:tcW w:w="6652" w:type="dxa"/>
            <w:tcBorders>
              <w:tl2br w:val="nil"/>
              <w:tr2bl w:val="nil"/>
            </w:tcBorders>
            <w:vAlign w:val="center"/>
          </w:tcPr>
          <w:p w14:paraId="16727DA4">
            <w:pPr>
              <w:pStyle w:val="49"/>
              <w:keepNext w:val="0"/>
              <w:keepLines w:val="0"/>
              <w:pageBreakBefore w:val="0"/>
              <w:widowControl w:val="0"/>
              <w:kinsoku/>
              <w:wordWrap/>
              <w:overflowPunct/>
              <w:topLinePunct w:val="0"/>
              <w:autoSpaceDE/>
              <w:autoSpaceDN/>
              <w:bidi w:val="0"/>
              <w:adjustRightInd/>
              <w:snapToGrid/>
              <w:spacing w:line="500" w:lineRule="exact"/>
              <w:textAlignment w:val="auto"/>
              <w:rPr>
                <w:rFonts w:ascii="仿宋" w:hAnsi="仿宋" w:eastAsia="仿宋"/>
                <w:spacing w:val="-5"/>
                <w:sz w:val="24"/>
                <w:szCs w:val="24"/>
                <w:highlight w:val="none"/>
                <w:lang w:eastAsia="zh-CN"/>
              </w:rPr>
            </w:pPr>
            <w:r>
              <w:rPr>
                <w:rFonts w:hint="eastAsia" w:ascii="仿宋" w:hAnsi="仿宋" w:eastAsia="仿宋"/>
                <w:spacing w:val="-2"/>
                <w:sz w:val="24"/>
                <w:szCs w:val="24"/>
                <w:highlight w:val="none"/>
                <w:lang w:eastAsia="zh-CN"/>
              </w:rPr>
              <w:t>低于成本价不正当</w:t>
            </w:r>
            <w:r>
              <w:rPr>
                <w:rFonts w:hint="eastAsia" w:ascii="仿宋" w:hAnsi="仿宋" w:eastAsia="仿宋"/>
                <w:spacing w:val="-3"/>
                <w:sz w:val="24"/>
                <w:szCs w:val="24"/>
                <w:highlight w:val="none"/>
                <w:lang w:eastAsia="zh-CN"/>
              </w:rPr>
              <w:t>竞争预防</w:t>
            </w:r>
            <w:r>
              <w:rPr>
                <w:rFonts w:hint="eastAsia" w:ascii="仿宋" w:hAnsi="仿宋" w:eastAsia="仿宋"/>
                <w:spacing w:val="-5"/>
                <w:sz w:val="24"/>
                <w:szCs w:val="24"/>
                <w:highlight w:val="none"/>
                <w:lang w:eastAsia="zh-CN"/>
              </w:rPr>
              <w:t>措施：</w:t>
            </w:r>
          </w:p>
          <w:p w14:paraId="0E0B8E67">
            <w:pPr>
              <w:pStyle w:val="49"/>
              <w:keepNext w:val="0"/>
              <w:keepLines w:val="0"/>
              <w:pageBreakBefore w:val="0"/>
              <w:widowControl w:val="0"/>
              <w:kinsoku/>
              <w:wordWrap/>
              <w:overflowPunct/>
              <w:topLinePunct w:val="0"/>
              <w:autoSpaceDE/>
              <w:autoSpaceDN/>
              <w:bidi w:val="0"/>
              <w:adjustRightInd/>
              <w:snapToGrid/>
              <w:spacing w:line="500" w:lineRule="exact"/>
              <w:textAlignment w:val="auto"/>
              <w:rPr>
                <w:rFonts w:ascii="仿宋" w:hAnsi="仿宋" w:eastAsia="仿宋"/>
                <w:spacing w:val="-1"/>
                <w:sz w:val="24"/>
                <w:szCs w:val="24"/>
                <w:highlight w:val="none"/>
                <w:lang w:eastAsia="zh-CN"/>
              </w:rPr>
            </w:pPr>
            <w:r>
              <w:rPr>
                <w:rFonts w:hint="eastAsia" w:ascii="仿宋" w:hAnsi="仿宋" w:eastAsia="仿宋"/>
                <w:spacing w:val="-5"/>
                <w:sz w:val="24"/>
                <w:szCs w:val="24"/>
                <w:highlight w:val="none"/>
                <w:lang w:eastAsia="zh-CN"/>
              </w:rPr>
              <w:t>1.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不能证明其报价</w:t>
            </w:r>
            <w:r>
              <w:rPr>
                <w:rFonts w:hint="eastAsia" w:ascii="仿宋" w:hAnsi="仿宋" w:eastAsia="仿宋"/>
                <w:spacing w:val="-1"/>
                <w:sz w:val="24"/>
                <w:szCs w:val="24"/>
                <w:highlight w:val="none"/>
                <w:lang w:eastAsia="zh-CN"/>
              </w:rPr>
              <w:t>合理性的，评标委员会应当将其作为无效投标处理。</w:t>
            </w:r>
          </w:p>
          <w:p w14:paraId="4393F246">
            <w:pPr>
              <w:pStyle w:val="49"/>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spacing w:val="-5"/>
                <w:sz w:val="24"/>
                <w:szCs w:val="24"/>
                <w:highlight w:val="none"/>
                <w:lang w:eastAsia="zh-CN"/>
              </w:rPr>
              <w:t>2.供应商书面说明应当签字确认或者加盖公章，否则无效。书面说明的签字确认，供应商为法人的，由其法定代表人或者代理人签字确认；供应商提供书面说明后，评标委员会应当结合采购项目采购需求、专业实际情况、供应商财务状况报告、与其他供应</w:t>
            </w:r>
            <w:r>
              <w:rPr>
                <w:rFonts w:hint="eastAsia" w:ascii="仿宋" w:hAnsi="仿宋" w:eastAsia="仿宋"/>
                <w:spacing w:val="-1"/>
                <w:sz w:val="24"/>
                <w:szCs w:val="24"/>
                <w:highlight w:val="none"/>
                <w:lang w:eastAsia="zh-CN"/>
              </w:rPr>
              <w:t>商比较情况等就供应商书面说明进行审查评价。</w:t>
            </w:r>
          </w:p>
        </w:tc>
      </w:tr>
      <w:tr w14:paraId="0C1EB1E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EFF95D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6652" w:type="dxa"/>
            <w:tcBorders>
              <w:tl2br w:val="nil"/>
              <w:tr2bl w:val="nil"/>
            </w:tcBorders>
            <w:vAlign w:val="center"/>
          </w:tcPr>
          <w:p w14:paraId="40E07ED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保证金形式：支票、汇票、本票、网上银行支付或者金融机构、担保机构出具的保函等</w:t>
            </w:r>
            <w:r>
              <w:rPr>
                <w:rFonts w:hint="eastAsia" w:ascii="仿宋" w:hAnsi="仿宋" w:eastAsia="仿宋" w:cs="仿宋"/>
                <w:color w:val="auto"/>
                <w:sz w:val="24"/>
                <w:szCs w:val="24"/>
                <w:highlight w:val="none"/>
                <w:vertAlign w:val="baseline"/>
                <w:lang w:val="en-US" w:eastAsia="zh-CN"/>
              </w:rPr>
              <w:t>政府采购法律法规中要求的</w:t>
            </w:r>
            <w:r>
              <w:rPr>
                <w:rFonts w:hint="eastAsia" w:ascii="仿宋" w:hAnsi="仿宋" w:eastAsia="仿宋" w:cs="仿宋"/>
                <w:color w:val="auto"/>
                <w:sz w:val="24"/>
                <w:szCs w:val="24"/>
                <w:highlight w:val="none"/>
                <w:vertAlign w:val="baseline"/>
              </w:rPr>
              <w:t>非现金形式</w:t>
            </w:r>
          </w:p>
          <w:p w14:paraId="341D040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保证金数额：</w:t>
            </w:r>
          </w:p>
          <w:p w14:paraId="1E960C5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标项一：9990</w:t>
            </w:r>
            <w:r>
              <w:rPr>
                <w:rFonts w:hint="eastAsia" w:ascii="仿宋" w:hAnsi="仿宋" w:eastAsia="仿宋" w:cs="仿宋"/>
                <w:color w:val="auto"/>
                <w:sz w:val="24"/>
                <w:szCs w:val="24"/>
                <w:highlight w:val="none"/>
                <w:vertAlign w:val="baseline"/>
              </w:rPr>
              <w:t>元</w:t>
            </w: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color w:val="auto"/>
                <w:sz w:val="24"/>
                <w:szCs w:val="24"/>
                <w:highlight w:val="none"/>
                <w:vertAlign w:val="baseline"/>
              </w:rPr>
              <w:t xml:space="preserve"> </w:t>
            </w:r>
          </w:p>
          <w:p w14:paraId="013CCC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标项二：3990</w:t>
            </w:r>
            <w:r>
              <w:rPr>
                <w:rFonts w:hint="eastAsia" w:ascii="仿宋" w:hAnsi="仿宋" w:eastAsia="仿宋" w:cs="仿宋"/>
                <w:color w:val="auto"/>
                <w:sz w:val="24"/>
                <w:szCs w:val="24"/>
                <w:highlight w:val="none"/>
                <w:vertAlign w:val="baseline"/>
              </w:rPr>
              <w:t>元</w:t>
            </w:r>
            <w:r>
              <w:rPr>
                <w:rFonts w:hint="eastAsia" w:ascii="仿宋" w:hAnsi="仿宋" w:eastAsia="仿宋" w:cs="仿宋"/>
                <w:color w:val="auto"/>
                <w:sz w:val="24"/>
                <w:szCs w:val="24"/>
                <w:highlight w:val="none"/>
                <w:vertAlign w:val="baseline"/>
                <w:lang w:val="en-US" w:eastAsia="zh-CN"/>
              </w:rPr>
              <w:t>;</w:t>
            </w:r>
          </w:p>
          <w:p w14:paraId="4CCEFF7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如采用网上银行方式，采购代理机构账号信息如下：</w:t>
            </w:r>
          </w:p>
          <w:p w14:paraId="43E4249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保证金收款人：新疆世纪星工程咨询有限公司</w:t>
            </w:r>
          </w:p>
          <w:p w14:paraId="6E51C1A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保证金收款账号：512090100100073085</w:t>
            </w:r>
          </w:p>
          <w:p w14:paraId="0C3C9C6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保证收款银行及行号: 兴业银行乌鲁木齐分行营业部309881002010</w:t>
            </w:r>
          </w:p>
          <w:p w14:paraId="6534601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投标保证金到账（保函提交）截止时间同投标截止时间。</w:t>
            </w:r>
          </w:p>
          <w:p w14:paraId="0051E87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以支票、汇票、本票、网上银行支付等形式提交投标保证金的，应在投标截止时间前到账；</w:t>
            </w:r>
          </w:p>
          <w:p w14:paraId="6E3C9D1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以金融机构、担保机构出具的纸质保函形式提交投标保证金的（除政采云平台金融服务中心办理的电子保函外），应在投标截止时间前将原件提交至采购代理机构，未提交原件的将按无效投标（响应）处理。</w:t>
            </w:r>
          </w:p>
          <w:p w14:paraId="069A6BB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2603FE0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由于到账时间晚于投标截止时间的，或者票据错误、印鉴不清等原因导致不能到账的，其投标无效。</w:t>
            </w:r>
          </w:p>
          <w:p w14:paraId="289647F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val="0"/>
                <w:bCs w:val="0"/>
                <w:color w:val="auto"/>
                <w:sz w:val="24"/>
                <w:szCs w:val="24"/>
                <w:highlight w:val="none"/>
                <w:vertAlign w:val="baseline"/>
                <w:lang w:val="en-US" w:eastAsia="zh-CN"/>
              </w:rPr>
              <w:t>投标保证金（投标电子保函）有效期与投标有效期一致。</w:t>
            </w:r>
          </w:p>
        </w:tc>
      </w:tr>
      <w:tr w14:paraId="0057EB7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1E87E4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11.1</w:t>
            </w:r>
          </w:p>
        </w:tc>
        <w:tc>
          <w:tcPr>
            <w:tcW w:w="6652" w:type="dxa"/>
            <w:tcBorders>
              <w:tl2br w:val="nil"/>
              <w:tr2bl w:val="nil"/>
            </w:tcBorders>
            <w:vAlign w:val="center"/>
          </w:tcPr>
          <w:p w14:paraId="5BA352F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val="0"/>
                <w:bCs w:val="0"/>
                <w:color w:val="auto"/>
                <w:sz w:val="24"/>
                <w:szCs w:val="24"/>
                <w:highlight w:val="none"/>
                <w:vertAlign w:val="baseline"/>
              </w:rPr>
              <w:t>投标有效期：90 日历日</w:t>
            </w:r>
          </w:p>
        </w:tc>
      </w:tr>
      <w:tr w14:paraId="10F70D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86EE10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13.1</w:t>
            </w:r>
          </w:p>
        </w:tc>
        <w:tc>
          <w:tcPr>
            <w:tcW w:w="6652" w:type="dxa"/>
            <w:tcBorders>
              <w:tl2br w:val="nil"/>
              <w:tr2bl w:val="nil"/>
            </w:tcBorders>
            <w:vAlign w:val="center"/>
          </w:tcPr>
          <w:p w14:paraId="2957877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投标截止时间：2025 年04月25</w:t>
            </w:r>
            <w:bookmarkStart w:id="117" w:name="_GoBack"/>
            <w:bookmarkEnd w:id="117"/>
            <w:r>
              <w:rPr>
                <w:rFonts w:hint="eastAsia" w:ascii="仿宋" w:hAnsi="仿宋" w:eastAsia="仿宋" w:cs="仿宋"/>
                <w:b w:val="0"/>
                <w:bCs w:val="0"/>
                <w:color w:val="auto"/>
                <w:sz w:val="24"/>
                <w:szCs w:val="24"/>
                <w:highlight w:val="none"/>
                <w:vertAlign w:val="baseline"/>
                <w:lang w:val="en-US" w:eastAsia="zh-CN"/>
              </w:rPr>
              <w:t>日 11:00（北京时间）</w:t>
            </w:r>
          </w:p>
        </w:tc>
      </w:tr>
      <w:tr w14:paraId="4D32557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DB62F4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14.1</w:t>
            </w:r>
          </w:p>
        </w:tc>
        <w:tc>
          <w:tcPr>
            <w:tcW w:w="6652" w:type="dxa"/>
            <w:tcBorders>
              <w:tl2br w:val="nil"/>
              <w:tr2bl w:val="nil"/>
            </w:tcBorders>
            <w:vAlign w:val="center"/>
          </w:tcPr>
          <w:p w14:paraId="59DC750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开标时间：同投标截止时间 </w:t>
            </w:r>
          </w:p>
          <w:p w14:paraId="573B800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开标地点：政采云平台（https://www.zcygov.cn/）不见面开标系统</w:t>
            </w:r>
          </w:p>
        </w:tc>
      </w:tr>
      <w:tr w14:paraId="06D75B9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7" w:hRule="atLeast"/>
        </w:trPr>
        <w:tc>
          <w:tcPr>
            <w:tcW w:w="1870" w:type="dxa"/>
            <w:tcBorders>
              <w:bottom w:val="single" w:color="auto" w:sz="4" w:space="0"/>
              <w:tl2br w:val="nil"/>
              <w:tr2bl w:val="nil"/>
            </w:tcBorders>
            <w:vAlign w:val="center"/>
          </w:tcPr>
          <w:p w14:paraId="121409B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18.1</w:t>
            </w:r>
          </w:p>
        </w:tc>
        <w:tc>
          <w:tcPr>
            <w:tcW w:w="6652" w:type="dxa"/>
            <w:tcBorders>
              <w:bottom w:val="single" w:color="auto" w:sz="4" w:space="0"/>
              <w:tl2br w:val="nil"/>
              <w:tr2bl w:val="nil"/>
            </w:tcBorders>
            <w:vAlign w:val="center"/>
          </w:tcPr>
          <w:p w14:paraId="28FB5CC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采购人是否委托评标委员会直接确定中标人：否 </w:t>
            </w:r>
          </w:p>
        </w:tc>
      </w:tr>
      <w:tr w14:paraId="1DB2E63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5" w:hRule="atLeast"/>
        </w:trPr>
        <w:tc>
          <w:tcPr>
            <w:tcW w:w="1870" w:type="dxa"/>
            <w:tcBorders>
              <w:top w:val="single" w:color="auto" w:sz="4" w:space="0"/>
              <w:tl2br w:val="nil"/>
              <w:tr2bl w:val="nil"/>
            </w:tcBorders>
            <w:vAlign w:val="center"/>
          </w:tcPr>
          <w:p w14:paraId="74D4B43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21.5</w:t>
            </w:r>
          </w:p>
        </w:tc>
        <w:tc>
          <w:tcPr>
            <w:tcW w:w="6652" w:type="dxa"/>
            <w:tcBorders>
              <w:top w:val="single" w:color="auto" w:sz="4" w:space="0"/>
              <w:tl2br w:val="nil"/>
              <w:tr2bl w:val="nil"/>
            </w:tcBorders>
            <w:vAlign w:val="center"/>
          </w:tcPr>
          <w:p w14:paraId="045AE73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本项目是否允许分包：</w:t>
            </w:r>
          </w:p>
          <w:p w14:paraId="4E0ADEB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☑不允许</w:t>
            </w:r>
          </w:p>
          <w:p w14:paraId="1220EC6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□允许，具体要求：</w:t>
            </w:r>
          </w:p>
          <w:p w14:paraId="20D4455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（1）可以分包履行的具体内容：</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p w14:paraId="6EA40ED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（2）允许分包的金额或者比例：</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p w14:paraId="79C46FD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（3）其他要求：</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tc>
      </w:tr>
      <w:tr w14:paraId="230CFA0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7BBA9F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22.1</w:t>
            </w:r>
          </w:p>
        </w:tc>
        <w:tc>
          <w:tcPr>
            <w:tcW w:w="6652" w:type="dxa"/>
            <w:tcBorders>
              <w:tl2br w:val="nil"/>
              <w:tr2bl w:val="nil"/>
            </w:tcBorders>
            <w:vAlign w:val="center"/>
          </w:tcPr>
          <w:p w14:paraId="27079E6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提交履约保证金的时间：/ </w:t>
            </w:r>
          </w:p>
          <w:p w14:paraId="2D7F94B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履约保证金金额：/ </w:t>
            </w:r>
          </w:p>
          <w:p w14:paraId="370B44A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履约保证金形式：/</w:t>
            </w:r>
          </w:p>
        </w:tc>
      </w:tr>
      <w:tr w14:paraId="4518449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254" w:hRule="atLeast"/>
        </w:trPr>
        <w:tc>
          <w:tcPr>
            <w:tcW w:w="1870" w:type="dxa"/>
            <w:tcBorders>
              <w:bottom w:val="single" w:color="auto" w:sz="4" w:space="0"/>
              <w:tl2br w:val="nil"/>
              <w:tr2bl w:val="nil"/>
            </w:tcBorders>
            <w:vAlign w:val="center"/>
          </w:tcPr>
          <w:p w14:paraId="1BE868D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23.1</w:t>
            </w:r>
          </w:p>
        </w:tc>
        <w:tc>
          <w:tcPr>
            <w:tcW w:w="6652" w:type="dxa"/>
            <w:tcBorders>
              <w:bottom w:val="single" w:color="auto" w:sz="4" w:space="0"/>
              <w:tl2br w:val="nil"/>
              <w:tr2bl w:val="nil"/>
            </w:tcBorders>
            <w:vAlign w:val="center"/>
          </w:tcPr>
          <w:p w14:paraId="5193E87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是否由中标人缴纳招标代理费：是 </w:t>
            </w:r>
          </w:p>
          <w:p w14:paraId="0FB4C66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招标代理费：</w:t>
            </w:r>
            <w:r>
              <w:rPr>
                <w:rFonts w:hint="eastAsia" w:ascii="仿宋" w:hAnsi="仿宋" w:eastAsia="仿宋" w:cs="仿宋"/>
                <w:sz w:val="24"/>
                <w:highlight w:val="none"/>
              </w:rPr>
              <w:t>参照原国家计委计价格【2002】1980 号文下浮</w:t>
            </w:r>
            <w:r>
              <w:rPr>
                <w:rFonts w:hint="eastAsia" w:ascii="仿宋" w:hAnsi="仿宋" w:eastAsia="仿宋" w:cs="仿宋"/>
                <w:sz w:val="24"/>
                <w:highlight w:val="none"/>
                <w:u w:val="single"/>
              </w:rPr>
              <w:t xml:space="preserve"> 50 </w:t>
            </w:r>
            <w:r>
              <w:rPr>
                <w:rFonts w:hint="eastAsia" w:ascii="仿宋" w:hAnsi="仿宋" w:eastAsia="仿宋" w:cs="仿宋"/>
                <w:sz w:val="24"/>
                <w:highlight w:val="none"/>
              </w:rPr>
              <w:t>%的计算方法收取。</w:t>
            </w:r>
            <w:r>
              <w:rPr>
                <w:rFonts w:hint="eastAsia" w:ascii="仿宋" w:hAnsi="仿宋" w:eastAsia="仿宋" w:cs="仿宋"/>
                <w:b w:val="0"/>
                <w:bCs w:val="0"/>
                <w:color w:val="auto"/>
                <w:sz w:val="24"/>
                <w:szCs w:val="24"/>
                <w:highlight w:val="none"/>
                <w:vertAlign w:val="baseline"/>
                <w:lang w:val="en-US" w:eastAsia="zh-CN"/>
              </w:rPr>
              <w:t xml:space="preserve">  </w:t>
            </w:r>
          </w:p>
          <w:p w14:paraId="1F5665A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支付形式：支票、电汇等形式 </w:t>
            </w:r>
          </w:p>
          <w:p w14:paraId="4A4FED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支付时间：在中标人领取中标通知书时，由中标人向采购代理机构一次性支付全部招标代理服务费</w:t>
            </w:r>
          </w:p>
        </w:tc>
      </w:tr>
      <w:tr w14:paraId="5EB8D0B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9" w:hRule="atLeast"/>
        </w:trPr>
        <w:tc>
          <w:tcPr>
            <w:tcW w:w="1870" w:type="dxa"/>
            <w:tcBorders>
              <w:top w:val="single" w:color="auto" w:sz="4" w:space="0"/>
              <w:tl2br w:val="nil"/>
              <w:tr2bl w:val="nil"/>
            </w:tcBorders>
            <w:vAlign w:val="center"/>
          </w:tcPr>
          <w:p w14:paraId="0DD7D9A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24</w:t>
            </w:r>
          </w:p>
        </w:tc>
        <w:tc>
          <w:tcPr>
            <w:tcW w:w="6652" w:type="dxa"/>
            <w:tcBorders>
              <w:top w:val="single" w:color="auto" w:sz="4" w:space="0"/>
              <w:tl2br w:val="nil"/>
              <w:tr2bl w:val="nil"/>
            </w:tcBorders>
            <w:vAlign w:val="center"/>
          </w:tcPr>
          <w:p w14:paraId="703F14A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接收询问和质疑的联系方式：</w:t>
            </w:r>
          </w:p>
          <w:p w14:paraId="3D61359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1、询问</w:t>
            </w:r>
          </w:p>
          <w:p w14:paraId="4DA74A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联系部门、联系电话、通讯地址：见第一章《招标公告》中的采购代理机构信息和项目联系方式。</w:t>
            </w:r>
          </w:p>
          <w:p w14:paraId="142A26F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2、质疑</w:t>
            </w:r>
          </w:p>
          <w:p w14:paraId="4FE4212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联系部门：新疆世纪星工程咨询有限公司招标部</w:t>
            </w:r>
          </w:p>
          <w:p w14:paraId="17B224E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联系人、联系电话：</w:t>
            </w:r>
            <w:r>
              <w:rPr>
                <w:rFonts w:hint="eastAsia" w:ascii="仿宋" w:hAnsi="仿宋" w:eastAsia="仿宋" w:cs="仿宋_GB2312"/>
                <w:sz w:val="24"/>
                <w:highlight w:val="none"/>
                <w:lang w:val="en-US" w:eastAsia="zh-CN"/>
              </w:rPr>
              <w:t xml:space="preserve">马莉、李梦媛  </w:t>
            </w:r>
            <w:r>
              <w:rPr>
                <w:rFonts w:hint="eastAsia" w:ascii="仿宋" w:hAnsi="仿宋" w:eastAsia="仿宋" w:cs="仿宋_GB2312"/>
                <w:sz w:val="24"/>
                <w:highlight w:val="none"/>
              </w:rPr>
              <w:t>0991-3678303</w:t>
            </w:r>
          </w:p>
          <w:p w14:paraId="45555CE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通讯地址：乌鲁木齐经济技术开发区二期黄山街一品九点阳光德港大厦B座20楼</w:t>
            </w:r>
          </w:p>
          <w:p w14:paraId="21AAD4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其他要求：质疑书、授权委托书及报名成功截图PDF扫描件发送至代理机构邮箱，并且将以上资料原件邮寄或送至代理机构。</w:t>
            </w:r>
          </w:p>
          <w:p w14:paraId="16A113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3、针对同一采购程序环节的质疑次数： </w:t>
            </w:r>
          </w:p>
          <w:p w14:paraId="0082AEB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sym w:font="Wingdings 2" w:char="0052"/>
            </w:r>
            <w:r>
              <w:rPr>
                <w:rFonts w:hint="eastAsia" w:ascii="仿宋" w:hAnsi="仿宋" w:eastAsia="仿宋" w:cs="仿宋"/>
                <w:b w:val="0"/>
                <w:bCs w:val="0"/>
                <w:color w:val="auto"/>
                <w:sz w:val="24"/>
                <w:szCs w:val="24"/>
                <w:highlight w:val="none"/>
                <w:vertAlign w:val="baseline"/>
                <w:lang w:val="en-US" w:eastAsia="zh-CN"/>
              </w:rPr>
              <w:t xml:space="preserve">一次性提出 </w:t>
            </w:r>
          </w:p>
          <w:p w14:paraId="161A4D7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□多次提出</w:t>
            </w:r>
          </w:p>
          <w:p w14:paraId="2007B66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highlight w:val="none"/>
                <w:lang w:val="en-US" w:eastAsia="zh-CN"/>
              </w:rPr>
            </w:pPr>
            <w:r>
              <w:rPr>
                <w:rFonts w:hint="eastAsia" w:ascii="仿宋" w:hAnsi="仿宋" w:eastAsia="仿宋" w:cs="仿宋"/>
                <w:b w:val="0"/>
                <w:bCs w:val="0"/>
                <w:color w:val="auto"/>
                <w:sz w:val="24"/>
                <w:szCs w:val="24"/>
                <w:highlight w:val="none"/>
                <w:vertAlign w:val="baseline"/>
                <w:lang w:val="en-US" w:eastAsia="zh-CN"/>
              </w:rPr>
              <w:t>注：供应商在法定质疑期内一次性提出针对同一采购程序环节的质疑，本项目不接受供应商多次/反复质疑。</w:t>
            </w:r>
          </w:p>
        </w:tc>
      </w:tr>
      <w:tr w14:paraId="6B80462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20DDE00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适用于本投标人须知的额外增加的变动：</w:t>
            </w:r>
          </w:p>
        </w:tc>
      </w:tr>
      <w:tr w14:paraId="7ECC17C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14:paraId="1BEEEC0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14:paraId="7473394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核心产品：</w:t>
            </w:r>
          </w:p>
          <w:p w14:paraId="0EE621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□本项目</w:t>
            </w:r>
            <w:r>
              <w:rPr>
                <w:rFonts w:hint="eastAsia" w:ascii="仿宋" w:hAnsi="仿宋" w:eastAsia="仿宋" w:cs="仿宋"/>
                <w:b w:val="0"/>
                <w:bCs w:val="0"/>
                <w:color w:val="auto"/>
                <w:sz w:val="24"/>
                <w:szCs w:val="24"/>
                <w:highlight w:val="none"/>
                <w:u w:val="single"/>
                <w:vertAlign w:val="baseline"/>
                <w:lang w:val="en-US" w:eastAsia="zh-CN"/>
              </w:rPr>
              <w:t xml:space="preserve"> / </w:t>
            </w:r>
            <w:r>
              <w:rPr>
                <w:rFonts w:hint="eastAsia" w:ascii="仿宋" w:hAnsi="仿宋" w:eastAsia="仿宋" w:cs="仿宋"/>
                <w:b w:val="0"/>
                <w:bCs w:val="0"/>
                <w:color w:val="auto"/>
                <w:sz w:val="24"/>
                <w:szCs w:val="24"/>
                <w:highlight w:val="none"/>
                <w:vertAlign w:val="baseline"/>
                <w:lang w:val="en-US" w:eastAsia="zh-CN"/>
              </w:rPr>
              <w:t>为单一产品采购项目。</w:t>
            </w:r>
          </w:p>
          <w:p w14:paraId="3C8DECD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☑本项目</w:t>
            </w:r>
            <w:r>
              <w:rPr>
                <w:rFonts w:hint="eastAsia" w:ascii="仿宋" w:hAnsi="仿宋" w:eastAsia="仿宋" w:cs="仿宋"/>
                <w:b w:val="0"/>
                <w:bCs w:val="0"/>
                <w:color w:val="auto"/>
                <w:sz w:val="24"/>
                <w:szCs w:val="24"/>
                <w:highlight w:val="none"/>
                <w:u w:val="none"/>
                <w:vertAlign w:val="baseline"/>
                <w:lang w:val="en-US" w:eastAsia="zh-CN"/>
              </w:rPr>
              <w:t>标项1</w:t>
            </w:r>
            <w:r>
              <w:rPr>
                <w:rFonts w:hint="eastAsia" w:ascii="仿宋" w:hAnsi="仿宋" w:eastAsia="仿宋" w:cs="仿宋"/>
                <w:b w:val="0"/>
                <w:bCs w:val="0"/>
                <w:color w:val="auto"/>
                <w:sz w:val="24"/>
                <w:szCs w:val="24"/>
                <w:highlight w:val="none"/>
                <w:vertAlign w:val="baseline"/>
                <w:lang w:val="en-US" w:eastAsia="zh-CN"/>
              </w:rPr>
              <w:t>为非单一产品采购项目，核心产品为：/。</w:t>
            </w:r>
          </w:p>
          <w:p w14:paraId="2B9631C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标项2为非单一产品采购项目，核心产品为：/。</w:t>
            </w:r>
          </w:p>
          <w:p w14:paraId="3CCC8B5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lang w:val="en-US" w:eastAsia="zh-CN"/>
              </w:rPr>
            </w:pPr>
            <w:r>
              <w:rPr>
                <w:rFonts w:hint="eastAsia" w:ascii="仿宋" w:hAnsi="仿宋" w:eastAsia="仿宋" w:cs="仿宋"/>
                <w:b/>
                <w:bCs/>
                <w:color w:val="auto"/>
                <w:sz w:val="24"/>
                <w:szCs w:val="24"/>
                <w:highlight w:val="none"/>
                <w:vertAlign w:val="baseline"/>
                <w:lang w:val="en-US" w:eastAsia="zh-CN"/>
              </w:rPr>
              <w:t>注：若不单独标明核心产品则所有产品均被视为核心产品</w:t>
            </w:r>
          </w:p>
        </w:tc>
      </w:tr>
      <w:tr w14:paraId="762F78F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11B3B8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14:paraId="5FC7E62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评标方法：综合评分法</w:t>
            </w:r>
          </w:p>
        </w:tc>
      </w:tr>
      <w:tr w14:paraId="3D57C9E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5316932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p>
        </w:tc>
        <w:tc>
          <w:tcPr>
            <w:tcW w:w="6652" w:type="dxa"/>
            <w:tcBorders>
              <w:top w:val="single" w:color="auto" w:sz="4" w:space="0"/>
              <w:tl2br w:val="nil"/>
              <w:tr2bl w:val="nil"/>
            </w:tcBorders>
            <w:vAlign w:val="center"/>
          </w:tcPr>
          <w:p w14:paraId="30B3F68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项目属性：货物</w:t>
            </w:r>
          </w:p>
        </w:tc>
      </w:tr>
      <w:tr w14:paraId="1DE394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8522" w:type="dxa"/>
            <w:gridSpan w:val="2"/>
            <w:tcBorders>
              <w:top w:val="single" w:color="auto" w:sz="4" w:space="0"/>
              <w:bottom w:val="single" w:color="auto" w:sz="4" w:space="0"/>
              <w:tl2br w:val="nil"/>
              <w:tr2bl w:val="nil"/>
            </w:tcBorders>
            <w:vAlign w:val="center"/>
          </w:tcPr>
          <w:p w14:paraId="5340CE5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适用于本投标人须知的额外增加的变动：</w:t>
            </w:r>
          </w:p>
          <w:p w14:paraId="1CB767C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b/>
                <w:bCs/>
                <w:sz w:val="24"/>
                <w:highlight w:val="none"/>
                <w:lang w:val="en-US" w:eastAsia="zh-CN"/>
              </w:rPr>
              <w:t>本项目为单价采购，最终以实际发生量进行结算</w:t>
            </w:r>
            <w:r>
              <w:rPr>
                <w:rFonts w:hint="eastAsia" w:ascii="仿宋" w:hAnsi="仿宋" w:eastAsia="仿宋" w:cs="仿宋"/>
                <w:sz w:val="24"/>
                <w:highlight w:val="none"/>
              </w:rPr>
              <w:t>。</w:t>
            </w:r>
          </w:p>
          <w:p w14:paraId="3E9FE50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2、本项目试剂耗材报价以不高于最小单位限价为准，并且不得高于本地三级甲等医院的最低价（需提供承诺函加盖公章），投标人所报价格为含税、配送费用等的全包价。</w:t>
            </w:r>
          </w:p>
          <w:p w14:paraId="5FB42FF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3、关于本项目所有公告、公示在新疆政府采购网发布。</w:t>
            </w:r>
          </w:p>
          <w:p w14:paraId="17B37CC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4、请投标单位随时关注本项目的澄清、答疑、变更事项。</w:t>
            </w:r>
          </w:p>
          <w:p w14:paraId="239D86E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5、本项目实行电子招投标，供应商须登录政采云平台申请获取招标文件，并通过政采云电子投标客户端制作响应文件，同时自行承担与投标有关的一切费用。</w:t>
            </w:r>
          </w:p>
          <w:p w14:paraId="3C64797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6、各供应商应在开标前确保成为新疆维吾尔自治区政府采购网正式注册入库供应商，并完成CA数字证书申领。因未注册入库、未办理CA数字证书等原因造成无法投标或投标失败等后果由供应商自行承担。</w:t>
            </w:r>
          </w:p>
          <w:p w14:paraId="5064794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7、有意向参与新疆区域电子开评标的供应商，可访问新疆数字证书认证中心官方网站（https://www.xjca.com.cn/）或下载“新疆政务通”APP自行进行申领。如需咨询，请联系新疆CA服务热线0991-2819290。</w:t>
            </w:r>
          </w:p>
          <w:p w14:paraId="166995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8、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62E97D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9、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67C2E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10、供应商在开标前须提前配置好电脑浏览器（建议使用360浏览器或谷歌浏览器），开标时请使用制作加密电子响应文件的CA锁进行解密及报价确认。</w:t>
            </w:r>
            <w:r>
              <w:rPr>
                <w:rFonts w:hint="eastAsia" w:ascii="仿宋" w:hAnsi="仿宋" w:eastAsia="仿宋" w:cs="仿宋"/>
                <w:b/>
                <w:bCs/>
                <w:color w:val="auto"/>
                <w:sz w:val="24"/>
                <w:szCs w:val="24"/>
                <w:highlight w:val="none"/>
                <w:vertAlign w:val="baseline"/>
                <w:lang w:val="en-US" w:eastAsia="zh-CN"/>
              </w:rPr>
              <w:t>本项目投标文件解密时间定为30分钟，如投标人因自身原因导致在规定的时间无法正常解密，视为开标后撤销其投标文件，投标保证金招标人有权不予退还。</w:t>
            </w:r>
          </w:p>
        </w:tc>
      </w:tr>
    </w:tbl>
    <w:p w14:paraId="35DD2CF1">
      <w:pP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1CE5BF33">
      <w:pPr>
        <w:pStyle w:val="3"/>
        <w:numPr>
          <w:ilvl w:val="0"/>
          <w:numId w:val="1"/>
        </w:numPr>
        <w:bidi w:val="0"/>
        <w:jc w:val="center"/>
        <w:rPr>
          <w:rFonts w:hint="eastAsia" w:ascii="仿宋" w:hAnsi="仿宋" w:eastAsia="仿宋" w:cs="仿宋"/>
          <w:color w:val="auto"/>
          <w:sz w:val="32"/>
          <w:szCs w:val="32"/>
          <w:highlight w:val="none"/>
        </w:rPr>
      </w:pPr>
      <w:bookmarkStart w:id="9" w:name="_Toc3890"/>
      <w:r>
        <w:rPr>
          <w:rFonts w:hint="eastAsia" w:ascii="仿宋" w:hAnsi="仿宋" w:eastAsia="仿宋" w:cs="仿宋"/>
          <w:color w:val="auto"/>
          <w:sz w:val="32"/>
          <w:szCs w:val="32"/>
          <w:highlight w:val="none"/>
        </w:rPr>
        <w:t>投标人须知</w:t>
      </w:r>
      <w:bookmarkEnd w:id="9"/>
    </w:p>
    <w:p w14:paraId="3CB0B5E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p>
    <w:p w14:paraId="05A49AB0">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color w:val="auto"/>
          <w:sz w:val="24"/>
          <w:szCs w:val="24"/>
          <w:highlight w:val="none"/>
        </w:rPr>
      </w:pPr>
      <w:bookmarkStart w:id="10" w:name="_Toc28753"/>
      <w:r>
        <w:rPr>
          <w:rFonts w:hint="eastAsia" w:ascii="仿宋" w:hAnsi="仿宋" w:eastAsia="仿宋" w:cs="仿宋"/>
          <w:b/>
          <w:bCs/>
          <w:color w:val="auto"/>
          <w:sz w:val="24"/>
          <w:szCs w:val="24"/>
          <w:highlight w:val="none"/>
        </w:rPr>
        <w:t>说 明</w:t>
      </w:r>
      <w:bookmarkEnd w:id="10"/>
    </w:p>
    <w:p w14:paraId="3AB66FCC">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采购人、采购代理机构及投标人</w:t>
      </w:r>
    </w:p>
    <w:p w14:paraId="08BD0342">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采购人：是指依法进行政府采购的国家机关、事业单位、团体组织。</w:t>
      </w:r>
    </w:p>
    <w:p w14:paraId="54056B22">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采购代理机构：本次招标的采购代理机构为新疆世纪星工程咨询有限公司。</w:t>
      </w:r>
    </w:p>
    <w:p w14:paraId="6474C3D1">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投标人：是指向采购人提供货物、工程或者服务的法人、其他组织或者自然人。</w:t>
      </w:r>
    </w:p>
    <w:p w14:paraId="697D981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投标人须满足以下条件：</w:t>
      </w:r>
    </w:p>
    <w:p w14:paraId="5861E177">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具备《中华人民共和国政府采购法》第二十二条关于投标人条件的规定，遵守国家、本项目采购人本级和上级财政部门政府采购的有关规定。</w:t>
      </w:r>
    </w:p>
    <w:p w14:paraId="7CB5CE7D">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以招标文件规定的方式获得了本项目的招标文件。</w:t>
      </w:r>
    </w:p>
    <w:p w14:paraId="24D3B8DA">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符合</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中规定的其他资格要求。</w:t>
      </w:r>
    </w:p>
    <w:p w14:paraId="6307C60B">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如经财政主管部门批准可以采购进口产品，将在投标须知前附表中写明。但投标人应保证所投产品可履行合法报通关手续进入中国关境内。若</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中未写明允许采购进口产品，如投标人所投产品为进口产品，其投标将作为</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 xml:space="preserve">被拒绝。 </w:t>
      </w:r>
    </w:p>
    <w:p w14:paraId="2C9509B4">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中小企业、监狱企业及残疾人福利性单位。</w:t>
      </w:r>
    </w:p>
    <w:p w14:paraId="032AAA29">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采购标的对应的中小企业划分标准所属行业见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159EDB41">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若投标须知前附表中写明专门面向中小或小微企业采购的，如投标人所提供的货物为非中小或小微企业制造，或提供的服务、工程为非中小或小微企业承接，其投标将被认定为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。若投标须知前附表中写明本项目预留部分采购项目预算专门面向中小企业采购的，本项目面向中小企业采购预留份额、措施及比例见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，未达到上述比例的投标将被认定为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。承接企业如为监狱企业或残疾人福利性单位的，视同为小型、微型企业。</w:t>
      </w:r>
    </w:p>
    <w:p w14:paraId="4ADD219A">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5DBC081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投标人提供的货物、工程或者服务符合下列情形的，享受中小企业扶持政策：</w:t>
      </w:r>
    </w:p>
    <w:p w14:paraId="68EB330A">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在货物采购项目中，货物由中小企业制造，即货物由中小企业生产且使用该中小企业商号或者注册商标；</w:t>
      </w:r>
    </w:p>
    <w:p w14:paraId="5BB6E39F">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在工程采购项目中，工程由中小企业承建，即工程施工单位为中小企业；</w:t>
      </w:r>
    </w:p>
    <w:p w14:paraId="03C6F978">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在服务采购项目中，服务由中小企业承接，即提供服务的人员为中小企业依照《中华人民共和国劳动合同法》订立劳动合同的从业人员。 </w:t>
      </w:r>
    </w:p>
    <w:p w14:paraId="42ED5C95">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在货物采购项目中，投标人提供的货物既有中小企业制造货物，也有大型企业制造货物的，不享受中小企业扶持政策。 </w:t>
      </w:r>
    </w:p>
    <w:p w14:paraId="6C89A47B">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以联合体形式参加政府采购活动，联合体各方均为中小企业的，联合体视同中小企业。其中，联合体各方均为小微企业的，联合体视同小微企业。</w:t>
      </w:r>
    </w:p>
    <w:p w14:paraId="385F5197">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0BE3F8A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享受政府采购支持政策的残疾人福利性单位根据《关于促进残疾人就业政府采购政策的通知》（财库〔2017〕141号）应当同时满足以下条件： </w:t>
      </w:r>
    </w:p>
    <w:p w14:paraId="6EB2F64D">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安置的残疾人占本单位在职职工人数的比例不低于25%（含25%），并且安置的残疾人人数不少于10人（含10人）； </w:t>
      </w:r>
    </w:p>
    <w:p w14:paraId="45C312AF">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依法与安置的每位残疾人签订了一年以上（含一年）的劳动合同或服务协议；</w:t>
      </w:r>
    </w:p>
    <w:p w14:paraId="38DCB8D1">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为安置的每位残疾人按月足额缴纳了基本养老保险、基本医疗保险、失业保险、工伤保险和生育保险等社会保险费；</w:t>
      </w:r>
    </w:p>
    <w:p w14:paraId="1762E334">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通过银行等金融机构向安置的每位残疾人，按月支付了不低于单位所在区县适用的经省级人民政府批准的月最低工资标准的工资；</w:t>
      </w:r>
    </w:p>
    <w:p w14:paraId="2CF0C5A6">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提供本单位制造的货物、承担的工程或者服务，或者提供其他残疾人福利性单位制造的货物（不包括使用非残疾人福利性单位注册商标的货物）。</w:t>
      </w:r>
    </w:p>
    <w:p w14:paraId="49F9AA61">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87326FA">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享受中小企业扶持政策获得政府采购合同的，小微企业不得将合同分包给大中型企业，中型企业不得将合同分包给大型企业。</w:t>
      </w:r>
    </w:p>
    <w:p w14:paraId="494B4A91">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政府采购节能产品、环境标志产品</w:t>
      </w:r>
    </w:p>
    <w:p w14:paraId="0563DE3E">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78193FD8">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2688E868">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如本项目采购产品属于实施政府强制采购品目清单范围的节能产品，则投标人所报产品必须获得国家确定的认证机构出具的、处于有效期之内的节能产品认证证书，否则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75C6ACB8">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14:paraId="513BD769">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支持乡村产业振兴管理</w:t>
      </w:r>
    </w:p>
    <w:p w14:paraId="67292EE9">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6C572184">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正版软件</w:t>
      </w:r>
    </w:p>
    <w:p w14:paraId="1369119E">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6EE718B1">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04EAAFA7">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供应商信用记录</w:t>
      </w:r>
    </w:p>
    <w:p w14:paraId="037DA86E">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10572C0F">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采购需求标准</w:t>
      </w:r>
    </w:p>
    <w:p w14:paraId="5764D652">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商品包装、快递包装政府采购需求标准（试行）</w:t>
      </w:r>
    </w:p>
    <w:p w14:paraId="0A9CC7A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072D68DF">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绿色数据中心政府采购需求标准（试行）</w:t>
      </w:r>
    </w:p>
    <w:p w14:paraId="402DB2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为加快数据中心绿色转型，根据财政部生态环境部工业和信息化部关于印发《绿色数据中心政府采购需求标准（试行）》的通知（财库〔2023〕7 号），本项目如涉及绿色数据中心，则具体要求见第五章《采购需求》。</w:t>
      </w:r>
    </w:p>
    <w:p w14:paraId="3CB80CB7">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其他采购需求标准</w:t>
      </w:r>
    </w:p>
    <w:p w14:paraId="2CE75C5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6273C773">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中允许联合体投标，对联合体规定如下：</w:t>
      </w:r>
    </w:p>
    <w:p w14:paraId="1967A27B">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两个以上投标人可以组成一个投标联合体，以一个投标人的身份投标。  </w:t>
      </w:r>
    </w:p>
    <w:p w14:paraId="281D2375">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联合体各方均应符合《中华人民共和国政府采购法》第二十二条规定的条件，遵守国家、本项目采购人本级和上级财政部门政府采购的有关规定。</w:t>
      </w:r>
    </w:p>
    <w:p w14:paraId="575ED26B">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采购人根据采购项目对投标人的特殊要求，联合体中至少应当有一方符合相关规定。</w:t>
      </w:r>
    </w:p>
    <w:p w14:paraId="0B43ADCF">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联合体各方应签订共同投标协议，明确约定联合体各方承担的工作和相应的责任，并将共同投标协议连同投标文件一并提交采购人或采购代理机构。</w:t>
      </w:r>
    </w:p>
    <w:p w14:paraId="27AFFCCC">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14:paraId="6D05E58B">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联合体中有同类资质的投标人按照联合体分工承担相同工作的，按照资质等级较低的投标人确定资质等级。</w:t>
      </w:r>
    </w:p>
    <w:p w14:paraId="4BCB13C4">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对联合体投标的其他资格要求见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27734471">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单位负责人为同一人或者存在直接控股、管理关系的不同投标人，其投标将被认定为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560203A7">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为本项目提供整体设计、规范编制或者项目管理、监理、检测等服务的投标人，其投标将被认定为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41EB57C8">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 资金来源 </w:t>
      </w:r>
    </w:p>
    <w:p w14:paraId="77E5B5A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本项目的采购人已获得足以支付本次招标后所签订的合同项下的资金（包括财政性资金和本项目采购中无法与财政性资金分割的非财政性资金）。 </w:t>
      </w:r>
    </w:p>
    <w:p w14:paraId="604382C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项目预算金额和最高限价见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5B32EDEC">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投标人报价超过招标文件规定的预算金额或者最高限价的，其投标将被认定为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7EF23F2B">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投标费用</w:t>
      </w:r>
    </w:p>
    <w:p w14:paraId="7D5401EF">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投标人应自行承担所有与准备和参加投标有关的费用，无论投标的结果如何，采购人或采购代理机构在任何情况下均无承担这些费用的义务和责任。</w:t>
      </w:r>
    </w:p>
    <w:p w14:paraId="74E3CD5C">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适用法律</w:t>
      </w:r>
    </w:p>
    <w:p w14:paraId="2D8996DF">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14:paraId="34984F9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20157EFD">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Chars="0"/>
        <w:jc w:val="center"/>
        <w:textAlignment w:val="auto"/>
        <w:outlineLvl w:val="1"/>
        <w:rPr>
          <w:rFonts w:hint="eastAsia" w:ascii="仿宋" w:hAnsi="仿宋" w:eastAsia="仿宋" w:cs="仿宋"/>
          <w:b/>
          <w:bCs/>
          <w:color w:val="auto"/>
          <w:sz w:val="24"/>
          <w:szCs w:val="24"/>
          <w:highlight w:val="none"/>
          <w:lang w:val="en-US" w:eastAsia="zh-CN"/>
        </w:rPr>
      </w:pPr>
      <w:bookmarkStart w:id="11" w:name="_Toc23836"/>
      <w:r>
        <w:rPr>
          <w:rFonts w:hint="eastAsia" w:ascii="仿宋" w:hAnsi="仿宋" w:eastAsia="仿宋" w:cs="仿宋"/>
          <w:b/>
          <w:bCs/>
          <w:color w:val="auto"/>
          <w:sz w:val="24"/>
          <w:szCs w:val="24"/>
          <w:highlight w:val="none"/>
          <w:lang w:val="en-US" w:eastAsia="zh-CN"/>
        </w:rPr>
        <w:t>招标文件</w:t>
      </w:r>
      <w:bookmarkEnd w:id="11"/>
    </w:p>
    <w:p w14:paraId="5DE84D70">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招标文件构成</w:t>
      </w:r>
    </w:p>
    <w:p w14:paraId="041522E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招标文件包括以下部分：</w:t>
      </w:r>
    </w:p>
    <w:p w14:paraId="764C1965">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第一章 招标公告（投标邀请） </w:t>
      </w:r>
    </w:p>
    <w:p w14:paraId="2104A321">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第二章 投标须知前附表 </w:t>
      </w:r>
    </w:p>
    <w:p w14:paraId="15A256B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第三章 投标人须知</w:t>
      </w:r>
    </w:p>
    <w:p w14:paraId="292AB2F4">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第四章 政府采购合同 </w:t>
      </w:r>
    </w:p>
    <w:p w14:paraId="10B785B3">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第五章 采购需求 </w:t>
      </w:r>
    </w:p>
    <w:p w14:paraId="76319701">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第六章 评标程序、评标方法和评标标准</w:t>
      </w:r>
    </w:p>
    <w:p w14:paraId="76E6529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第七章 投标文件格式 </w:t>
      </w:r>
    </w:p>
    <w:p w14:paraId="5FA2B8D9">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投标人应认真阅读招标文件的全部内容。投标人应按照招标文件要求提交投标文件并保证所提供的全部资料的真实性，并对招标文件做出实质性响应，否则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A8411B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招标文件中有不一致的，有澄清的部分以最终的澄清更正内容为准；未澄清的，以投标须知前附表为准；</w:t>
      </w:r>
      <w:r>
        <w:rPr>
          <w:rFonts w:hint="eastAsia" w:ascii="仿宋" w:hAnsi="仿宋" w:eastAsia="仿宋" w:cs="仿宋"/>
          <w:b w:val="0"/>
          <w:bCs w:val="0"/>
          <w:color w:val="auto"/>
          <w:sz w:val="24"/>
          <w:szCs w:val="24"/>
          <w:highlight w:val="none"/>
          <w:u w:val="none"/>
          <w:lang w:val="en-US" w:eastAsia="zh-CN"/>
        </w:rPr>
        <w:t>投标须知前附表</w:t>
      </w:r>
      <w:r>
        <w:rPr>
          <w:rFonts w:hint="eastAsia" w:ascii="仿宋" w:hAnsi="仿宋" w:eastAsia="仿宋" w:cs="仿宋"/>
          <w:b w:val="0"/>
          <w:bCs w:val="0"/>
          <w:color w:val="auto"/>
          <w:sz w:val="24"/>
          <w:szCs w:val="24"/>
          <w:highlight w:val="none"/>
          <w:lang w:val="en-US" w:eastAsia="zh-CN"/>
        </w:rPr>
        <w:t>不涉及的内容，以编排在后的最后描述为准。</w:t>
      </w:r>
    </w:p>
    <w:p w14:paraId="1C6BD3F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现场考察或者答疑会及相关事项见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4DF8343E">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采购人在踏勘现场中介绍的资料和数据等，只是为了使投标人能够利用招标人现有的资料。招标人对投标人由此而作出的推论、解释和结论概不负责。</w:t>
      </w:r>
    </w:p>
    <w:p w14:paraId="4AEDB5C0">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投标人自行承担踏勘现场发生的责任、风险和自身费用。</w:t>
      </w:r>
    </w:p>
    <w:p w14:paraId="3B801180">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原则上采购人、采购代理机构不要求投标人提供样品。除仅凭书面方式不能准确描述采购需求，或者需要对样品进行主观判断以确认是否满足采购需求等特殊情况除外。如需提供样品，对样品相关要求见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，对样品的评审方法及评审标准见招标文件第六章《评标程序、评标方法和评标标准》。</w:t>
      </w:r>
    </w:p>
    <w:p w14:paraId="1E2AA2D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招标文件规定投标人提交样品的，样品属于投标文件的组成部分。样品的生产、运输、安装、保全等一切费用由投标人自理。</w:t>
      </w:r>
    </w:p>
    <w:p w14:paraId="44DCB49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5F7CD286">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对招标文件的澄清或修改</w:t>
      </w:r>
    </w:p>
    <w:p w14:paraId="25D2575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14:paraId="1DF6946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14:paraId="77EFC14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14:paraId="27B3A659">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为了保证对招标文件的澄清和修改满足法律的时限要求，任何要求对招标文件进行澄清的投标人，均应在投标截止期十五日前，以书面形式将澄清要求通知采购人或采购代理机构。</w:t>
      </w:r>
    </w:p>
    <w:p w14:paraId="081CDEF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如更正公告有重新发布电子招标文件的，投标人应登录电子招投标平台下载最新发布的电子招标文件制作投标文件。</w:t>
      </w:r>
    </w:p>
    <w:p w14:paraId="68ECEC3F">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投标人在规定的时间内未对招标文件提出疑问、质疑或要求澄清的，将视其为无异议。对招标文件中描述有歧义或前后不一致的地方，评标委员会有权进行评判，但对同一条款的评判应适用于每个投标人。</w:t>
      </w:r>
    </w:p>
    <w:p w14:paraId="537467F1">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6A10BB0C">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2" w:name="_Toc11635"/>
      <w:r>
        <w:rPr>
          <w:rFonts w:hint="eastAsia" w:ascii="仿宋" w:hAnsi="仿宋" w:eastAsia="仿宋" w:cs="仿宋"/>
          <w:b/>
          <w:bCs/>
          <w:color w:val="auto"/>
          <w:sz w:val="24"/>
          <w:szCs w:val="24"/>
          <w:highlight w:val="none"/>
          <w:lang w:val="en-US" w:eastAsia="zh-CN"/>
        </w:rPr>
        <w:t>投标文件的编制</w:t>
      </w:r>
      <w:bookmarkEnd w:id="12"/>
    </w:p>
    <w:p w14:paraId="64F25048">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lang w:val="en-US" w:eastAsia="zh-CN"/>
        </w:rPr>
        <w:t>投标范围、投标文件中计量单位的使用及投标语言</w:t>
      </w:r>
    </w:p>
    <w:p w14:paraId="75FDE600">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投标人可对招标文件中一个或几个分包进行投标，除非在</w:t>
      </w:r>
      <w:r>
        <w:rPr>
          <w:rFonts w:hint="eastAsia" w:ascii="仿宋" w:hAnsi="仿宋" w:eastAsia="仿宋" w:cs="仿宋"/>
          <w:b w:val="0"/>
          <w:bCs w:val="0"/>
          <w:color w:val="auto"/>
          <w:sz w:val="24"/>
          <w:szCs w:val="24"/>
          <w:highlight w:val="none"/>
          <w:u w:val="single"/>
          <w:lang w:val="en-US" w:eastAsia="zh-CN"/>
        </w:rPr>
        <w:t>投标须知前附表中另有规定</w:t>
      </w:r>
      <w:r>
        <w:rPr>
          <w:rFonts w:hint="eastAsia" w:ascii="仿宋" w:hAnsi="仿宋" w:eastAsia="仿宋" w:cs="仿宋"/>
          <w:b w:val="0"/>
          <w:bCs w:val="0"/>
          <w:color w:val="auto"/>
          <w:sz w:val="24"/>
          <w:szCs w:val="24"/>
          <w:highlight w:val="none"/>
          <w:lang w:val="en-US" w:eastAsia="zh-CN"/>
        </w:rPr>
        <w:t xml:space="preserve">。 </w:t>
      </w:r>
    </w:p>
    <w:p w14:paraId="0812904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投标人应当对所投采购包对应第五章《采购需求》所列的全部内容进行投标，不得将一个采购包中的内容拆分投标，其该包投标将被认定为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4F5F85A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无论招标文件中是否要求，投标人所投货物或服务均应符合国家强制性标准。</w:t>
      </w:r>
    </w:p>
    <w:p w14:paraId="5BFA986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除招标文件有特殊要求外，本项目投标所使用的计量单位，应采用中华人民共和国法定计量单位。</w:t>
      </w:r>
    </w:p>
    <w:p w14:paraId="0178A69A">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14:paraId="085B94F9">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投标文件构成</w:t>
      </w:r>
    </w:p>
    <w:p w14:paraId="64FC655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投标人应当按照招标文件的要求编制投标文件。投标文件应由资格证明文件、报价文件、商务和技术文件四部分构成。投标文件的部分格式要求，见第七章《投标文件格式》。</w:t>
      </w:r>
    </w:p>
    <w:p w14:paraId="481DDD2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第五章《采购需求》及第六章《评标程序、评标方法和评标标准》中涉及的证明文件。</w:t>
      </w:r>
    </w:p>
    <w:p w14:paraId="1F2AC99C">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照第五章《采购需求》，说明所提供货物或服务已对第五章《采购需求》做出了响应，或申明与第五章《采购需求》的偏差和例外。如第五章《采购需求》中要求提供证明文件的，投标人应当按具体要求提供证明文件。</w:t>
      </w:r>
    </w:p>
    <w:p w14:paraId="354E08C2">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投标人认为应附的其他材料。</w:t>
      </w:r>
    </w:p>
    <w:p w14:paraId="667F855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上述文件应按照招标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1FA90716">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投标报价</w:t>
      </w:r>
    </w:p>
    <w:p w14:paraId="611C499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所有投标均以人民币报价。</w:t>
      </w:r>
    </w:p>
    <w:p w14:paraId="3EFE811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Pr>
          <w:rFonts w:hint="eastAsia" w:ascii="仿宋" w:hAnsi="仿宋" w:eastAsia="仿宋" w:cs="仿宋"/>
          <w:b/>
          <w:bCs/>
          <w:color w:val="auto"/>
          <w:sz w:val="24"/>
          <w:szCs w:val="24"/>
          <w:highlight w:val="none"/>
          <w:lang w:val="en-US" w:eastAsia="zh-CN"/>
        </w:rPr>
        <w:t>投标被拒绝</w:t>
      </w:r>
      <w:r>
        <w:rPr>
          <w:rFonts w:hint="eastAsia" w:ascii="仿宋" w:hAnsi="仿宋" w:eastAsia="仿宋" w:cs="仿宋"/>
          <w:b w:val="0"/>
          <w:bCs w:val="0"/>
          <w:color w:val="auto"/>
          <w:sz w:val="24"/>
          <w:szCs w:val="24"/>
          <w:highlight w:val="none"/>
          <w:lang w:val="en-US" w:eastAsia="zh-CN"/>
        </w:rPr>
        <w:t>。</w:t>
      </w:r>
    </w:p>
    <w:p w14:paraId="5C53010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投标人所报的各分项投标单价在合同履行过程中是固定不变的，不得以任何理由予以变更。任何包含价格调整要求的投标或有选择性或可调整的报价（招标文件另有规定的除外），其投标将被认定为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64CB009A">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14:paraId="74E5DF4A">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投标保证金</w:t>
      </w:r>
    </w:p>
    <w:p w14:paraId="2A8D5E49">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中规定的金额及要求交纳投标保证金，并作为其投标的一部分。</w:t>
      </w:r>
    </w:p>
    <w:p w14:paraId="55E9C70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交纳保证金的形式除</w:t>
      </w:r>
      <w:r>
        <w:rPr>
          <w:rFonts w:hint="eastAsia" w:ascii="仿宋" w:hAnsi="仿宋" w:eastAsia="仿宋" w:cs="仿宋"/>
          <w:b w:val="0"/>
          <w:bCs w:val="0"/>
          <w:color w:val="auto"/>
          <w:sz w:val="24"/>
          <w:szCs w:val="24"/>
          <w:highlight w:val="none"/>
          <w:u w:val="single"/>
          <w:lang w:val="en-US" w:eastAsia="zh-CN"/>
        </w:rPr>
        <w:t>供应商须知前附表</w:t>
      </w:r>
      <w:r>
        <w:rPr>
          <w:rFonts w:hint="eastAsia" w:ascii="仿宋" w:hAnsi="仿宋" w:eastAsia="仿宋" w:cs="仿宋"/>
          <w:b w:val="0"/>
          <w:bCs w:val="0"/>
          <w:color w:val="auto"/>
          <w:sz w:val="24"/>
          <w:szCs w:val="24"/>
          <w:highlight w:val="none"/>
          <w:lang w:val="en-US" w:eastAsia="zh-CN"/>
        </w:rPr>
        <w:t>中另有约定外，可采用的形式：政府采购法律法规接受的支票、汇票、本票、网上银行支付或者金融机构、担保机构出具的保函等非现金形式。</w:t>
      </w:r>
    </w:p>
    <w:p w14:paraId="288EEC0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5FE1F2A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如采用金融机构、专业担保机构开具的投标担保函、投标保证保险函等形式提交投标保证金的，投标担保函或投标保证保险函须开具给采购人（保险受益人须为采购人），否则其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。电子保函与纸质保函具有同样效力。</w:t>
      </w:r>
    </w:p>
    <w:p w14:paraId="75E3627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投标保证金（保函）有效期同投标有效期。</w:t>
      </w:r>
    </w:p>
    <w:p w14:paraId="5563489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联合体投标的，可以由联合体中的一方或者共同提交投标保证金，以一方名义提交投标保证金的，对联合体各方均具有约束力。</w:t>
      </w:r>
    </w:p>
    <w:p w14:paraId="67000A0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14:paraId="3B9FC392">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投标人在投标截止时间前撤回已提交的投标文件的，自收到投标人书面撤回通知之日起 5 个工作日内退还已收取的投标保证金。 </w:t>
      </w:r>
    </w:p>
    <w:p w14:paraId="63E2B30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中标人的投标保证金，自采购合同签订之日起 5 个工作日内退还中标人。 </w:t>
      </w:r>
    </w:p>
    <w:p w14:paraId="601D261C">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未中标投标人的投标保证金，自中标通知书发出之日起 5 个工作日内退还未中标人。</w:t>
      </w:r>
    </w:p>
    <w:p w14:paraId="59AFE29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终止采购活动的项目已经收取投标保证金的，自终止采购活动后 5 个工作日内退还已收取的投标保证金。</w:t>
      </w:r>
    </w:p>
    <w:p w14:paraId="2AF3986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有下列情形之一的，采购人或采购代理机构可以不予退还投标保证金：</w:t>
      </w:r>
    </w:p>
    <w:p w14:paraId="1F2C285F">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在投标有效期内，投标人撤回投标的； </w:t>
      </w:r>
    </w:p>
    <w:p w14:paraId="157423F3">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中标人不按本招标文件的规定与采购人签订合同的； </w:t>
      </w:r>
    </w:p>
    <w:p w14:paraId="334C65D0">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中标人不按本招标文件的规定提交履约保证金的； </w:t>
      </w:r>
    </w:p>
    <w:p w14:paraId="023D3340">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中标人不按本招标文件的规定缴纳中标服务费的； </w:t>
      </w:r>
    </w:p>
    <w:p w14:paraId="2726BC68">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存在的串通投标情形的； </w:t>
      </w:r>
    </w:p>
    <w:p w14:paraId="4E22374B">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存在向采购人、代理机构或评标专家行贿事实的； </w:t>
      </w:r>
    </w:p>
    <w:p w14:paraId="008BFB72">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法律、法规规定的其它情况。 </w:t>
      </w:r>
    </w:p>
    <w:p w14:paraId="043422D2">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投标有效期</w:t>
      </w:r>
    </w:p>
    <w:p w14:paraId="1BFF0D3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投标文件应在</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中规定的投标有效期内保持有效，投标有效期少于招标文件规定期限的，其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4F8B934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14:paraId="41E0BDDB">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投标文件的制作</w:t>
      </w:r>
    </w:p>
    <w:p w14:paraId="5051406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14:paraId="7960E5D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投标人应使用电子招投标平台提供的投标客户端编制、标记、加密投标文件，成功加密后将生成指定格式的电子投标文件和电子备用投标文件</w:t>
      </w:r>
    </w:p>
    <w:p w14:paraId="6C50217C">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如有对多个采购包投标的，要对每个采购包独立制作电子投标文件。</w:t>
      </w:r>
    </w:p>
    <w:p w14:paraId="5D70529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投标人须对招标文件的对应要求给予唯一的实质性响应，否则将视为</w:t>
      </w:r>
      <w:r>
        <w:rPr>
          <w:rFonts w:hint="eastAsia" w:ascii="仿宋" w:hAnsi="仿宋" w:eastAsia="仿宋" w:cs="仿宋"/>
          <w:b/>
          <w:bCs/>
          <w:color w:val="auto"/>
          <w:sz w:val="24"/>
          <w:szCs w:val="24"/>
          <w:highlight w:val="none"/>
          <w:lang w:val="en-US" w:eastAsia="zh-CN"/>
        </w:rPr>
        <w:t>不响应</w:t>
      </w:r>
      <w:r>
        <w:rPr>
          <w:rFonts w:hint="eastAsia" w:ascii="仿宋" w:hAnsi="仿宋" w:eastAsia="仿宋" w:cs="仿宋"/>
          <w:b w:val="0"/>
          <w:bCs w:val="0"/>
          <w:color w:val="auto"/>
          <w:sz w:val="24"/>
          <w:szCs w:val="24"/>
          <w:highlight w:val="none"/>
          <w:lang w:val="en-US" w:eastAsia="zh-CN"/>
        </w:rPr>
        <w:t>。</w:t>
      </w:r>
    </w:p>
    <w:p w14:paraId="31CDF0B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招标文件中，凡标有“※”的地方均为实质性响应条款，投标人若有一项带“※”的条款未响应或不满足，将按无效投标处理。</w:t>
      </w:r>
    </w:p>
    <w:p w14:paraId="7C006DF0">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14:paraId="7FB4AF0F">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1301C413">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3" w:name="_Toc25272"/>
      <w:r>
        <w:rPr>
          <w:rFonts w:hint="eastAsia" w:ascii="仿宋" w:hAnsi="仿宋" w:eastAsia="仿宋" w:cs="仿宋"/>
          <w:b/>
          <w:bCs/>
          <w:color w:val="auto"/>
          <w:sz w:val="24"/>
          <w:szCs w:val="24"/>
          <w:highlight w:val="none"/>
          <w:lang w:val="en-US" w:eastAsia="zh-CN"/>
        </w:rPr>
        <w:t>投标文件的提交</w:t>
      </w:r>
      <w:bookmarkEnd w:id="13"/>
    </w:p>
    <w:p w14:paraId="02A85CE3">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投标文件的提交</w:t>
      </w:r>
    </w:p>
    <w:p w14:paraId="41EB83D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投标人应在</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14:paraId="5C451A22">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代理机构对因不可抗力事件造成的投标文件的损坏、丢失的，不承担责任。</w:t>
      </w:r>
    </w:p>
    <w:p w14:paraId="7A7CE78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出现下述情形之一，属于未成功提交投标文件，按无效</w:t>
      </w:r>
      <w:r>
        <w:rPr>
          <w:rFonts w:hint="eastAsia" w:ascii="仿宋" w:hAnsi="仿宋" w:eastAsia="仿宋" w:cs="仿宋"/>
          <w:b/>
          <w:bCs/>
          <w:color w:val="auto"/>
          <w:sz w:val="24"/>
          <w:szCs w:val="24"/>
          <w:highlight w:val="none"/>
          <w:lang w:val="en-US" w:eastAsia="zh-CN"/>
        </w:rPr>
        <w:t>投标处理</w:t>
      </w:r>
      <w:r>
        <w:rPr>
          <w:rFonts w:hint="eastAsia" w:ascii="仿宋" w:hAnsi="仿宋" w:eastAsia="仿宋" w:cs="仿宋"/>
          <w:b w:val="0"/>
          <w:bCs w:val="0"/>
          <w:color w:val="auto"/>
          <w:sz w:val="24"/>
          <w:szCs w:val="24"/>
          <w:highlight w:val="none"/>
          <w:lang w:val="en-US" w:eastAsia="zh-CN"/>
        </w:rPr>
        <w:t>：</w:t>
      </w:r>
    </w:p>
    <w:p w14:paraId="417B1C94">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至提交投标文件截止时，投标文件未完整上传的。 </w:t>
      </w:r>
    </w:p>
    <w:p w14:paraId="68F9CD70">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投标文件未按投标格式中注明需签字盖章的要求进行签名（含电子签名）和加盖电子印章，或签名（含电子签名）或电子印章不完整的。</w:t>
      </w:r>
    </w:p>
    <w:p w14:paraId="0633632E">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投标文件损坏或格式不正确的。</w:t>
      </w:r>
    </w:p>
    <w:p w14:paraId="658F44E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投标文件的修改、撤回与撤销</w:t>
      </w:r>
    </w:p>
    <w:p w14:paraId="4F9A7918">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42122935">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在提交投标文件截止时间后，投标人不得补充、修改和更换投标文件。</w:t>
      </w:r>
      <w:r>
        <w:rPr>
          <w:rFonts w:hint="eastAsia" w:ascii="仿宋" w:hAnsi="仿宋" w:eastAsia="仿宋" w:cs="仿宋"/>
          <w:b/>
          <w:bCs/>
          <w:color w:val="auto"/>
          <w:sz w:val="24"/>
          <w:szCs w:val="24"/>
          <w:highlight w:val="none"/>
          <w:lang w:val="en-US" w:eastAsia="zh-CN"/>
        </w:rPr>
        <w:t xml:space="preserve"> </w:t>
      </w:r>
    </w:p>
    <w:p w14:paraId="648391B4">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7860E06D">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4" w:name="_Toc20670"/>
      <w:r>
        <w:rPr>
          <w:rFonts w:hint="eastAsia" w:ascii="仿宋" w:hAnsi="仿宋" w:eastAsia="仿宋" w:cs="仿宋"/>
          <w:b/>
          <w:bCs/>
          <w:color w:val="auto"/>
          <w:sz w:val="24"/>
          <w:szCs w:val="24"/>
          <w:highlight w:val="none"/>
          <w:lang w:val="en-US" w:eastAsia="zh-CN"/>
        </w:rPr>
        <w:t>开标、资格审查及评标</w:t>
      </w:r>
      <w:bookmarkEnd w:id="14"/>
    </w:p>
    <w:p w14:paraId="2760C99F">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开标</w:t>
      </w:r>
    </w:p>
    <w:p w14:paraId="06BAADF4">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采购人和采购代理机构将按</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14:paraId="0FD4880C">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采用远程电子开标的：</w:t>
      </w:r>
    </w:p>
    <w:p w14:paraId="1A4BFE24">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法定代表人或其授权代表应当按照本招标公告载明的时间和模式等要求参加开标。在投标截止时间前30分钟，应当登录开标大厅进行签到，并且填写授权代表的姓名与手机号码。若因签到时填写的授权代表信息有误而导致的不良后果，由供应商自行承担。</w:t>
      </w:r>
    </w:p>
    <w:p w14:paraId="22874DE4">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14:paraId="5CDF1404">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hint="eastAsia" w:ascii="仿宋" w:hAnsi="仿宋" w:eastAsia="仿宋" w:cs="仿宋"/>
          <w:b/>
          <w:bCs/>
          <w:color w:val="auto"/>
          <w:sz w:val="24"/>
          <w:szCs w:val="24"/>
          <w:highlight w:val="none"/>
          <w:lang w:val="en-US" w:eastAsia="zh-CN"/>
        </w:rPr>
        <w:t>投标处理</w:t>
      </w:r>
      <w:r>
        <w:rPr>
          <w:rFonts w:hint="eastAsia" w:ascii="仿宋" w:hAnsi="仿宋" w:eastAsia="仿宋" w:cs="仿宋"/>
          <w:b w:val="0"/>
          <w:bCs w:val="0"/>
          <w:color w:val="auto"/>
          <w:sz w:val="24"/>
          <w:szCs w:val="24"/>
          <w:highlight w:val="none"/>
          <w:lang w:val="en-US" w:eastAsia="zh-CN"/>
        </w:rPr>
        <w:t>。</w:t>
      </w:r>
    </w:p>
    <w:p w14:paraId="78EBF44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投标人代表对开标过程和开标记录有疑义，以及认为采购人、采购代理机构相关工作人员有需要回避的情形的，应当场提出询问或者回避申请。投标人未参加开标的，视同认可开标结果。</w:t>
      </w:r>
    </w:p>
    <w:p w14:paraId="1F17F1CE">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投标截止时间后，投标人不足3家的，不得开标。同时，本次采购活动结束。</w:t>
      </w:r>
    </w:p>
    <w:p w14:paraId="6279AF1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开标时出现下列情况的，视为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处理：</w:t>
      </w:r>
    </w:p>
    <w:p w14:paraId="634D880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因投标人自身原因，未在规定时间内完成电子投标文件解密的；</w:t>
      </w:r>
    </w:p>
    <w:p w14:paraId="7DE130E2">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14:paraId="72ECF38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采购人或采购代理机构将对开标过程进行记录，由参加开标的各投标人代表和相关工作人员签字确认。</w:t>
      </w:r>
    </w:p>
    <w:p w14:paraId="06C43F49">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资格审查</w:t>
      </w:r>
    </w:p>
    <w:p w14:paraId="77A86D46">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14:paraId="258EF02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资格审查要求详见第六章《评标程序、评标方法和评标标准》。</w:t>
      </w:r>
    </w:p>
    <w:p w14:paraId="041DBBF5">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采购人或采购代理机构将按</w:t>
      </w:r>
      <w:r>
        <w:rPr>
          <w:rFonts w:hint="eastAsia" w:ascii="仿宋" w:hAnsi="仿宋" w:eastAsia="仿宋" w:cs="仿宋"/>
          <w:b w:val="0"/>
          <w:bCs w:val="0"/>
          <w:color w:val="auto"/>
          <w:sz w:val="24"/>
          <w:szCs w:val="24"/>
          <w:highlight w:val="none"/>
          <w:u w:val="none"/>
          <w:lang w:val="en-US" w:eastAsia="zh-CN"/>
        </w:rPr>
        <w:t>第六章《评标程序、评标方法和评标标准》</w:t>
      </w:r>
      <w:r>
        <w:rPr>
          <w:rFonts w:hint="eastAsia" w:ascii="仿宋" w:hAnsi="仿宋" w:eastAsia="仿宋" w:cs="仿宋"/>
          <w:b w:val="0"/>
          <w:bCs w:val="0"/>
          <w:color w:val="auto"/>
          <w:sz w:val="24"/>
          <w:szCs w:val="24"/>
          <w:highlight w:val="none"/>
          <w:lang w:val="en-US" w:eastAsia="zh-CN"/>
        </w:rPr>
        <w:t>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14:paraId="0F524885">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评标委员会</w:t>
      </w:r>
    </w:p>
    <w:p w14:paraId="063C1BA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评标委员会根据政府采购有关规定和本次招标采购项目的特点进行组建，并负责具体评标事务，独立履行职责。 </w:t>
      </w:r>
    </w:p>
    <w:p w14:paraId="2933E2AC">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2D38BBD4">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评标程序、评标方法和评标标准</w:t>
      </w:r>
    </w:p>
    <w:p w14:paraId="7563AFCF">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详见第六章《评标程序、评标方法和评标标准》</w:t>
      </w:r>
    </w:p>
    <w:p w14:paraId="1DDEEB9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30C724B2">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5" w:name="_Toc6937"/>
      <w:r>
        <w:rPr>
          <w:rFonts w:hint="eastAsia" w:ascii="仿宋" w:hAnsi="仿宋" w:eastAsia="仿宋" w:cs="仿宋"/>
          <w:b/>
          <w:bCs/>
          <w:color w:val="auto"/>
          <w:sz w:val="24"/>
          <w:szCs w:val="24"/>
          <w:highlight w:val="none"/>
          <w:lang w:val="en-US" w:eastAsia="zh-CN"/>
        </w:rPr>
        <w:t>确定中标</w:t>
      </w:r>
      <w:bookmarkEnd w:id="15"/>
    </w:p>
    <w:p w14:paraId="64FBD686">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确定中标人</w:t>
      </w:r>
    </w:p>
    <w:p w14:paraId="41574E0A">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C7624DB">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中标公告与中标通知书</w:t>
      </w:r>
    </w:p>
    <w:p w14:paraId="2225309D">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采购人或采购代理机构自中标人确定之日起 2 个工作日内，在招标公告发布媒体发布中标结果，同时向中标人发出中标通知书，中标公告期限为 1 个工作日。</w:t>
      </w:r>
    </w:p>
    <w:p w14:paraId="37E527B5">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中标通知书对采购人和中标供应商均具有法律效力。中标通知书发出后，中标供应商放弃中标项目的，应当依法承担法律责任。</w:t>
      </w:r>
    </w:p>
    <w:p w14:paraId="4B95F0B8">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废标</w:t>
      </w:r>
    </w:p>
    <w:p w14:paraId="65353CF2">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在招标采购中，出现下列情形之一的，应予废标：</w:t>
      </w:r>
    </w:p>
    <w:p w14:paraId="0CC0D90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符合专业条件的供应商或者对招标文件作实质响应的供应商不足三家的；</w:t>
      </w:r>
    </w:p>
    <w:p w14:paraId="5ED8155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出现影响采购公正的违法、违规行为的；</w:t>
      </w:r>
    </w:p>
    <w:p w14:paraId="066C2EA6">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投标人的报价均超过了采购预算，采购人不能支付的；</w:t>
      </w:r>
    </w:p>
    <w:p w14:paraId="240F45B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因重大变故，采购任务取消的；</w:t>
      </w:r>
    </w:p>
    <w:p w14:paraId="56142D35">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4"/>
          <w:szCs w:val="24"/>
          <w:highlight w:val="none"/>
          <w:lang w:val="en-US" w:eastAsia="zh-CN"/>
        </w:rPr>
        <w:t>法律、法规规定的其他情形。</w:t>
      </w:r>
    </w:p>
    <w:p w14:paraId="620BD5FF">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废标后，采购人将废标理由通知所有投标人。</w:t>
      </w:r>
    </w:p>
    <w:p w14:paraId="0C667F1D">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签订合同</w:t>
      </w:r>
    </w:p>
    <w:p w14:paraId="76C359D5">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中标人、采购人应当自中标通知书发出之日起 30 日内，按照招标文件和中标人投标文件的规定签订书面合同。所签订的合同不得对招标文件确定的事项和中标人投标文件作实质性修改。 </w:t>
      </w:r>
    </w:p>
    <w:p w14:paraId="50F9CED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中标人拒绝与采购人签订合同的，采购人可以按照评标报告推荐的中标候选人名单排序，确定下一候选人为中标人，也可以重新开展政府采购活动。</w:t>
      </w:r>
    </w:p>
    <w:p w14:paraId="2D60021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联合体中标的，联合体各方应当共同与采购人签订合同，就中标项目向采购人承担连带责任。 </w:t>
      </w:r>
    </w:p>
    <w:p w14:paraId="3A0984DC">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。中标人就采购项目和分包项目向采购人负责，分包供应商就分包项目承担责任。</w:t>
      </w:r>
    </w:p>
    <w:p w14:paraId="4920EAF0">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履约保证金</w:t>
      </w:r>
    </w:p>
    <w:p w14:paraId="762545B6">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中标人应按照</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规定的金额、形式和时间向采购人缴纳履约保证金。</w:t>
      </w:r>
    </w:p>
    <w:p w14:paraId="56D6095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经采购人同意，中标人也可以自愿采用其他履约保证金的提供方式。</w:t>
      </w:r>
    </w:p>
    <w:p w14:paraId="15CD84DD">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如果中标人没有按照上述条款规定缴纳履约保证金，将视为放弃中标资格，中标人的投标保证金将被没收。在此情况下，采购人可确定下一候选人为中标人，也可以重新开展政府采购活动。</w:t>
      </w:r>
    </w:p>
    <w:p w14:paraId="3CFBD5D0">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代理服务费</w:t>
      </w:r>
    </w:p>
    <w:p w14:paraId="4AE1733C">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收费对象、收费标准及缴纳时间见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 xml:space="preserve">。由中标人支付的，中标人须一次性向采购代理机构缴纳代理费，投标报价应包含代理费用。 </w:t>
      </w:r>
    </w:p>
    <w:p w14:paraId="0C675C48">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询问与质疑</w:t>
      </w:r>
    </w:p>
    <w:p w14:paraId="74CD834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询问</w:t>
      </w:r>
    </w:p>
    <w:p w14:paraId="2AC2B69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中“采购人、采购代理机构的名称、地址和联系方式”。</w:t>
      </w:r>
    </w:p>
    <w:p w14:paraId="063433EA">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质疑</w:t>
      </w:r>
    </w:p>
    <w:p w14:paraId="7C863ED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14:paraId="45652FF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供应商应知其权益受到损害之日是指：</w:t>
      </w:r>
    </w:p>
    <w:p w14:paraId="096F88B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（1）对招标文件提出质疑的，为获取招标文件之日或者招标文件获取期限届满之日；</w:t>
      </w:r>
    </w:p>
    <w:p w14:paraId="53BDD73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（2）对采购过程提出质疑的，为各采购程序环节结束之日；</w:t>
      </w:r>
    </w:p>
    <w:p w14:paraId="1EA5BF6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（3）对中标结果提出质疑的，为中标结果公告期限届满之日。 </w:t>
      </w:r>
    </w:p>
    <w:p w14:paraId="5B3F16B5">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29C6532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质疑函须使用财政部制定的范本文件。投标人为自然人的，应当由本人签字；投标人为法人或者其他组织的，应当由法定代表人、主要负责人，或者其授权代表签字或者盖章，并加盖公章。</w:t>
      </w:r>
    </w:p>
    <w:p w14:paraId="1D11F1A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质疑函应当包括下列内容： </w:t>
      </w:r>
    </w:p>
    <w:p w14:paraId="3DF70A6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（1）投标人名称、地址、邮编、联系人及联系电话； </w:t>
      </w:r>
    </w:p>
    <w:p w14:paraId="4C27AE0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（2）质疑项目的名称、编号； </w:t>
      </w:r>
    </w:p>
    <w:p w14:paraId="48FD1C6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（3）具体、明确的质疑事项和与质疑事项相关的请求； </w:t>
      </w:r>
    </w:p>
    <w:p w14:paraId="70547B4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（4）事实依据； </w:t>
      </w:r>
    </w:p>
    <w:p w14:paraId="0F78552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（5）必要的法律依据； </w:t>
      </w:r>
    </w:p>
    <w:p w14:paraId="568857D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（6）提出质疑的日期。</w:t>
      </w:r>
    </w:p>
    <w:p w14:paraId="712D5D58">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41076CC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2F49D9BA">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其他</w:t>
      </w:r>
    </w:p>
    <w:p w14:paraId="330285F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14:paraId="24AEF74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7FE59E8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适用于本投标人须知的额外增加的变动详见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2178701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33E3FCC6">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br w:type="page"/>
      </w:r>
    </w:p>
    <w:p w14:paraId="6E7EAB39">
      <w:pPr>
        <w:pStyle w:val="3"/>
        <w:numPr>
          <w:ilvl w:val="0"/>
          <w:numId w:val="1"/>
        </w:numPr>
        <w:bidi w:val="0"/>
        <w:jc w:val="center"/>
        <w:rPr>
          <w:rFonts w:hint="eastAsia" w:ascii="仿宋" w:hAnsi="仿宋" w:eastAsia="仿宋" w:cs="仿宋"/>
          <w:color w:val="auto"/>
          <w:sz w:val="32"/>
          <w:szCs w:val="32"/>
          <w:highlight w:val="none"/>
          <w:lang w:val="en-US" w:eastAsia="zh-CN"/>
        </w:rPr>
      </w:pPr>
      <w:bookmarkStart w:id="16" w:name="_Toc1269"/>
      <w:r>
        <w:rPr>
          <w:rFonts w:hint="eastAsia" w:ascii="仿宋" w:hAnsi="仿宋" w:eastAsia="仿宋" w:cs="仿宋"/>
          <w:color w:val="auto"/>
          <w:sz w:val="32"/>
          <w:szCs w:val="32"/>
          <w:highlight w:val="none"/>
          <w:lang w:val="en-US" w:eastAsia="zh-CN"/>
        </w:rPr>
        <w:t>政府采购合同</w:t>
      </w:r>
      <w:bookmarkEnd w:id="16"/>
    </w:p>
    <w:p w14:paraId="33A08A10">
      <w:pPr>
        <w:spacing w:line="360" w:lineRule="auto"/>
        <w:jc w:val="center"/>
        <w:rPr>
          <w:rFonts w:ascii="仿宋" w:hAnsi="仿宋" w:eastAsia="仿宋" w:cs="仿宋"/>
          <w:b/>
          <w:bCs/>
          <w:sz w:val="24"/>
          <w:highlight w:val="none"/>
        </w:rPr>
      </w:pP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bCs/>
          <w:sz w:val="28"/>
          <w:szCs w:val="28"/>
          <w:highlight w:val="none"/>
        </w:rPr>
        <w:t>（此合同仅供参考，最终以双方实际签订为准）</w:t>
      </w:r>
    </w:p>
    <w:p w14:paraId="06448669">
      <w:pPr>
        <w:pStyle w:val="10"/>
        <w:jc w:val="center"/>
        <w:rPr>
          <w:rFonts w:ascii="仿宋" w:hAnsi="仿宋" w:eastAsia="仿宋" w:cs="仿宋"/>
          <w:b/>
          <w:bCs/>
          <w:spacing w:val="-20"/>
          <w:kern w:val="44"/>
          <w:sz w:val="48"/>
          <w:szCs w:val="48"/>
          <w:highlight w:val="none"/>
        </w:rPr>
      </w:pPr>
      <w:r>
        <w:rPr>
          <w:rFonts w:hint="eastAsia" w:ascii="仿宋" w:hAnsi="仿宋" w:eastAsia="仿宋" w:cs="仿宋"/>
          <w:b/>
          <w:bCs/>
          <w:spacing w:val="-20"/>
          <w:kern w:val="44"/>
          <w:sz w:val="48"/>
          <w:szCs w:val="48"/>
          <w:highlight w:val="none"/>
        </w:rPr>
        <w:t>政府采购货物买卖合同</w:t>
      </w:r>
    </w:p>
    <w:p w14:paraId="4AF22415">
      <w:pPr>
        <w:pStyle w:val="10"/>
        <w:jc w:val="center"/>
        <w:rPr>
          <w:rFonts w:ascii="仿宋" w:hAnsi="仿宋" w:eastAsia="仿宋" w:cs="仿宋"/>
          <w:b/>
          <w:bCs/>
          <w:spacing w:val="-20"/>
          <w:kern w:val="44"/>
          <w:sz w:val="48"/>
          <w:szCs w:val="48"/>
          <w:highlight w:val="none"/>
        </w:rPr>
      </w:pPr>
      <w:r>
        <w:rPr>
          <w:rFonts w:hint="eastAsia" w:ascii="仿宋" w:hAnsi="仿宋" w:eastAsia="仿宋" w:cs="仿宋"/>
          <w:b/>
          <w:bCs/>
          <w:spacing w:val="-20"/>
          <w:kern w:val="44"/>
          <w:sz w:val="48"/>
          <w:szCs w:val="48"/>
          <w:highlight w:val="none"/>
        </w:rPr>
        <w:t>（试行）</w:t>
      </w:r>
    </w:p>
    <w:p w14:paraId="3AA9B591">
      <w:pPr>
        <w:rPr>
          <w:rFonts w:ascii="仿宋" w:hAnsi="仿宋" w:eastAsia="仿宋" w:cs="仿宋"/>
          <w:b/>
          <w:bCs/>
          <w:spacing w:val="-20"/>
          <w:kern w:val="44"/>
          <w:sz w:val="40"/>
          <w:szCs w:val="40"/>
          <w:highlight w:val="none"/>
        </w:rPr>
      </w:pPr>
    </w:p>
    <w:p w14:paraId="1967AF54">
      <w:pPr>
        <w:rPr>
          <w:rFonts w:ascii="仿宋" w:hAnsi="仿宋" w:eastAsia="仿宋" w:cs="仿宋"/>
          <w:b/>
          <w:bCs/>
          <w:spacing w:val="-20"/>
          <w:kern w:val="44"/>
          <w:sz w:val="40"/>
          <w:szCs w:val="40"/>
          <w:highlight w:val="none"/>
        </w:rPr>
      </w:pPr>
    </w:p>
    <w:p w14:paraId="2B4ABC85">
      <w:pPr>
        <w:rPr>
          <w:rFonts w:ascii="仿宋" w:hAnsi="仿宋" w:eastAsia="仿宋" w:cs="仿宋"/>
          <w:b/>
          <w:bCs/>
          <w:spacing w:val="-20"/>
          <w:kern w:val="44"/>
          <w:sz w:val="40"/>
          <w:szCs w:val="40"/>
          <w:highlight w:val="none"/>
        </w:rPr>
      </w:pPr>
    </w:p>
    <w:p w14:paraId="2C7B9F76">
      <w:pPr>
        <w:spacing w:line="360" w:lineRule="auto"/>
        <w:ind w:left="420" w:leftChars="200"/>
        <w:rPr>
          <w:rFonts w:ascii="仿宋" w:hAnsi="仿宋" w:eastAsia="仿宋" w:cs="仿宋"/>
          <w:sz w:val="32"/>
          <w:szCs w:val="32"/>
          <w:highlight w:val="none"/>
        </w:rPr>
      </w:pPr>
      <w:r>
        <w:rPr>
          <w:rFonts w:hint="eastAsia" w:ascii="仿宋" w:hAnsi="仿宋" w:eastAsia="仿宋" w:cs="仿宋"/>
          <w:kern w:val="0"/>
          <w:sz w:val="32"/>
          <w:szCs w:val="32"/>
          <w:highlight w:val="none"/>
        </w:rPr>
        <w:t>项目名称：</w:t>
      </w:r>
      <w:r>
        <w:rPr>
          <w:rFonts w:hint="eastAsia" w:ascii="仿宋" w:hAnsi="仿宋" w:eastAsia="仿宋" w:cs="仿宋"/>
          <w:sz w:val="32"/>
          <w:szCs w:val="32"/>
          <w:highlight w:val="none"/>
          <w:u w:val="single"/>
        </w:rPr>
        <w:t xml:space="preserve">                             </w:t>
      </w:r>
    </w:p>
    <w:p w14:paraId="461A365F">
      <w:pPr>
        <w:spacing w:line="360" w:lineRule="auto"/>
        <w:ind w:left="420" w:leftChars="200"/>
        <w:rPr>
          <w:rFonts w:ascii="仿宋" w:hAnsi="仿宋" w:eastAsia="仿宋" w:cs="仿宋"/>
          <w:sz w:val="32"/>
          <w:szCs w:val="32"/>
          <w:highlight w:val="none"/>
          <w:u w:val="single"/>
        </w:rPr>
      </w:pPr>
      <w:r>
        <w:rPr>
          <w:rFonts w:hint="eastAsia" w:ascii="仿宋" w:hAnsi="仿宋" w:eastAsia="仿宋" w:cs="仿宋"/>
          <w:sz w:val="32"/>
          <w:szCs w:val="32"/>
          <w:highlight w:val="none"/>
        </w:rPr>
        <w:t>合同编号：</w:t>
      </w:r>
      <w:r>
        <w:rPr>
          <w:rFonts w:hint="eastAsia" w:ascii="仿宋" w:hAnsi="仿宋" w:eastAsia="仿宋" w:cs="仿宋"/>
          <w:sz w:val="32"/>
          <w:szCs w:val="32"/>
          <w:highlight w:val="none"/>
          <w:u w:val="single"/>
        </w:rPr>
        <w:t xml:space="preserve">                             </w:t>
      </w:r>
    </w:p>
    <w:p w14:paraId="5DF96277">
      <w:pPr>
        <w:spacing w:line="360" w:lineRule="auto"/>
        <w:ind w:left="420" w:leftChars="200"/>
        <w:rPr>
          <w:rFonts w:ascii="仿宋" w:hAnsi="仿宋" w:eastAsia="仿宋" w:cs="仿宋"/>
          <w:sz w:val="32"/>
          <w:szCs w:val="32"/>
          <w:highlight w:val="none"/>
        </w:rPr>
      </w:pPr>
      <w:r>
        <w:rPr>
          <w:rFonts w:hint="eastAsia" w:ascii="仿宋" w:hAnsi="仿宋" w:eastAsia="仿宋" w:cs="仿宋"/>
          <w:sz w:val="32"/>
          <w:szCs w:val="32"/>
          <w:highlight w:val="none"/>
        </w:rPr>
        <w:t>甲    方：</w:t>
      </w:r>
      <w:r>
        <w:rPr>
          <w:rFonts w:hint="eastAsia" w:ascii="仿宋" w:hAnsi="仿宋" w:eastAsia="仿宋" w:cs="仿宋"/>
          <w:sz w:val="32"/>
          <w:szCs w:val="32"/>
          <w:highlight w:val="none"/>
          <w:u w:val="single"/>
        </w:rPr>
        <w:t xml:space="preserve">                             </w:t>
      </w:r>
    </w:p>
    <w:p w14:paraId="73F7DDA9">
      <w:pPr>
        <w:spacing w:line="360" w:lineRule="auto"/>
        <w:ind w:left="420" w:leftChars="200"/>
        <w:rPr>
          <w:rFonts w:ascii="仿宋" w:hAnsi="仿宋" w:eastAsia="仿宋" w:cs="仿宋"/>
          <w:sz w:val="32"/>
          <w:szCs w:val="32"/>
          <w:highlight w:val="none"/>
          <w:u w:val="single"/>
        </w:rPr>
      </w:pPr>
      <w:r>
        <w:rPr>
          <w:rFonts w:hint="eastAsia" w:ascii="仿宋" w:hAnsi="仿宋" w:eastAsia="仿宋" w:cs="仿宋"/>
          <w:sz w:val="32"/>
          <w:szCs w:val="32"/>
          <w:highlight w:val="none"/>
        </w:rPr>
        <w:t>乙    方：</w:t>
      </w:r>
      <w:r>
        <w:rPr>
          <w:rFonts w:hint="eastAsia" w:ascii="仿宋" w:hAnsi="仿宋" w:eastAsia="仿宋" w:cs="仿宋"/>
          <w:sz w:val="32"/>
          <w:szCs w:val="32"/>
          <w:highlight w:val="none"/>
          <w:u w:val="single"/>
        </w:rPr>
        <w:t xml:space="preserve">                             </w:t>
      </w:r>
    </w:p>
    <w:p w14:paraId="68B717CF">
      <w:pPr>
        <w:spacing w:line="360" w:lineRule="auto"/>
        <w:ind w:left="420" w:leftChars="200"/>
        <w:rPr>
          <w:rFonts w:ascii="仿宋" w:hAnsi="仿宋" w:eastAsia="仿宋" w:cs="仿宋"/>
          <w:sz w:val="32"/>
          <w:szCs w:val="32"/>
          <w:highlight w:val="none"/>
        </w:rPr>
      </w:pPr>
      <w:r>
        <w:rPr>
          <w:rFonts w:hint="eastAsia" w:ascii="仿宋" w:hAnsi="仿宋" w:eastAsia="仿宋" w:cs="仿宋"/>
          <w:sz w:val="32"/>
          <w:szCs w:val="32"/>
          <w:highlight w:val="none"/>
        </w:rPr>
        <w:t>签订时间：</w:t>
      </w:r>
      <w:r>
        <w:rPr>
          <w:rFonts w:hint="eastAsia" w:ascii="仿宋" w:hAnsi="仿宋" w:eastAsia="仿宋" w:cs="仿宋"/>
          <w:sz w:val="32"/>
          <w:szCs w:val="32"/>
          <w:highlight w:val="none"/>
          <w:u w:val="single"/>
        </w:rPr>
        <w:t xml:space="preserve">                             </w:t>
      </w:r>
    </w:p>
    <w:p w14:paraId="1C020980">
      <w:pPr>
        <w:rPr>
          <w:rFonts w:ascii="仿宋" w:hAnsi="仿宋" w:eastAsia="仿宋" w:cs="仿宋"/>
          <w:highlight w:val="none"/>
        </w:rPr>
      </w:pPr>
    </w:p>
    <w:p w14:paraId="0540E1AC">
      <w:pPr>
        <w:rPr>
          <w:rFonts w:ascii="仿宋" w:hAnsi="仿宋" w:eastAsia="仿宋" w:cs="仿宋"/>
          <w:sz w:val="44"/>
          <w:szCs w:val="44"/>
          <w:highlight w:val="none"/>
        </w:rPr>
      </w:pPr>
      <w:r>
        <w:rPr>
          <w:rFonts w:hint="eastAsia" w:ascii="仿宋" w:hAnsi="仿宋" w:eastAsia="仿宋" w:cs="仿宋"/>
          <w:sz w:val="44"/>
          <w:szCs w:val="44"/>
          <w:highlight w:val="none"/>
        </w:rPr>
        <w:br w:type="page"/>
      </w:r>
    </w:p>
    <w:p w14:paraId="173265EF">
      <w:pPr>
        <w:jc w:val="center"/>
        <w:rPr>
          <w:rFonts w:ascii="仿宋" w:hAnsi="仿宋" w:eastAsia="仿宋" w:cs="仿宋"/>
          <w:sz w:val="44"/>
          <w:szCs w:val="44"/>
          <w:highlight w:val="none"/>
        </w:rPr>
      </w:pPr>
      <w:r>
        <w:rPr>
          <w:rFonts w:hint="eastAsia" w:ascii="仿宋" w:hAnsi="仿宋" w:eastAsia="仿宋" w:cs="仿宋"/>
          <w:sz w:val="44"/>
          <w:szCs w:val="44"/>
          <w:highlight w:val="none"/>
        </w:rPr>
        <w:t>使 用 说 明</w:t>
      </w:r>
    </w:p>
    <w:p w14:paraId="4C544ABE">
      <w:pPr>
        <w:ind w:firstLine="640" w:firstLineChars="200"/>
        <w:rPr>
          <w:rFonts w:ascii="仿宋" w:hAnsi="仿宋" w:eastAsia="仿宋" w:cs="仿宋"/>
          <w:sz w:val="32"/>
          <w:szCs w:val="32"/>
          <w:highlight w:val="none"/>
        </w:rPr>
      </w:pPr>
    </w:p>
    <w:p w14:paraId="5EBC04F8">
      <w:pPr>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1.本合同标准文本适用于购买现成货物的采购项目，不包括需要供应商定制开发、创新研发的货物采购项目。</w:t>
      </w:r>
    </w:p>
    <w:p w14:paraId="29C81C18">
      <w:pPr>
        <w:rPr>
          <w:rFonts w:ascii="仿宋" w:hAnsi="仿宋" w:eastAsia="仿宋" w:cs="仿宋"/>
          <w:sz w:val="44"/>
          <w:szCs w:val="44"/>
          <w:highlight w:val="none"/>
        </w:rPr>
      </w:pPr>
      <w:r>
        <w:rPr>
          <w:rFonts w:hint="eastAsia" w:ascii="仿宋" w:hAnsi="仿宋" w:eastAsia="仿宋" w:cs="仿宋"/>
          <w:sz w:val="44"/>
          <w:szCs w:val="44"/>
          <w:highlight w:val="none"/>
        </w:rPr>
        <w:t xml:space="preserve">   </w:t>
      </w:r>
      <w:r>
        <w:rPr>
          <w:rFonts w:hint="eastAsia" w:ascii="仿宋" w:hAnsi="仿宋" w:eastAsia="仿宋" w:cs="仿宋"/>
          <w:sz w:val="32"/>
          <w:szCs w:val="32"/>
          <w:highlight w:val="none"/>
        </w:rPr>
        <w:t>2.本合同标准文本为政府采购货物买卖合同编制提供参考，可以结合采购项目具体情况，对文本作必要的调整修订后使用。</w:t>
      </w:r>
    </w:p>
    <w:p w14:paraId="4DD71F74">
      <w:pPr>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3.本合同标准文本各条款中，如涉及填写多家供应商、制造商，多种采购标的、分包主要内容等信息的，可根据采购项目具体情况添加信息项。</w:t>
      </w:r>
    </w:p>
    <w:p w14:paraId="52BA4CEB">
      <w:pPr>
        <w:ind w:firstLine="880" w:firstLineChars="200"/>
        <w:rPr>
          <w:rFonts w:ascii="仿宋" w:hAnsi="仿宋" w:eastAsia="仿宋" w:cs="仿宋"/>
          <w:sz w:val="44"/>
          <w:szCs w:val="44"/>
          <w:highlight w:val="none"/>
        </w:rPr>
        <w:sectPr>
          <w:headerReference r:id="rId4" w:type="default"/>
          <w:footerReference r:id="rId5" w:type="default"/>
          <w:pgSz w:w="11906" w:h="16838"/>
          <w:pgMar w:top="1440" w:right="1800" w:bottom="1440" w:left="1800" w:header="851" w:footer="992" w:gutter="0"/>
          <w:pgNumType w:fmt="decimal" w:start="1"/>
          <w:cols w:space="425" w:num="1"/>
          <w:docGrid w:type="lines" w:linePitch="312" w:charSpace="0"/>
        </w:sectPr>
      </w:pPr>
    </w:p>
    <w:p w14:paraId="6A32228C">
      <w:pPr>
        <w:pStyle w:val="4"/>
        <w:adjustRightInd w:val="0"/>
        <w:snapToGrid w:val="0"/>
        <w:spacing w:line="400" w:lineRule="exact"/>
        <w:jc w:val="center"/>
        <w:rPr>
          <w:rFonts w:hint="default" w:ascii="仿宋" w:hAnsi="仿宋" w:eastAsia="仿宋" w:cs="仿宋"/>
          <w:b w:val="0"/>
          <w:bCs w:val="0"/>
          <w:sz w:val="28"/>
          <w:szCs w:val="28"/>
          <w:highlight w:val="none"/>
        </w:rPr>
      </w:pPr>
      <w:bookmarkStart w:id="17" w:name="_Toc22209"/>
      <w:r>
        <w:rPr>
          <w:rFonts w:ascii="仿宋" w:hAnsi="仿宋" w:eastAsia="仿宋" w:cs="仿宋"/>
          <w:b w:val="0"/>
          <w:bCs w:val="0"/>
          <w:sz w:val="28"/>
          <w:szCs w:val="28"/>
          <w:highlight w:val="none"/>
        </w:rPr>
        <w:t>第一节 政府采购合同协议书</w:t>
      </w:r>
      <w:bookmarkEnd w:id="17"/>
    </w:p>
    <w:p w14:paraId="5210A10C">
      <w:p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甲方（全称）：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（采购人、受采购人委托签订合同的单位或采购文件约定的合同甲方）</w:t>
      </w:r>
    </w:p>
    <w:p w14:paraId="77298E2E">
      <w:p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乙方1（全称）：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（供应商）</w:t>
      </w:r>
    </w:p>
    <w:p w14:paraId="2E66738F">
      <w:p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乙方2（全称）：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（联合体成员供应商或其他合同主体）（如有）</w:t>
      </w:r>
    </w:p>
    <w:p w14:paraId="1296D410">
      <w:pPr>
        <w:adjustRightInd w:val="0"/>
        <w:snapToGrid w:val="0"/>
        <w:spacing w:line="400" w:lineRule="exact"/>
        <w:rPr>
          <w:rFonts w:ascii="仿宋" w:hAnsi="仿宋" w:eastAsia="仿宋" w:cs="仿宋"/>
          <w:highlight w:val="none"/>
        </w:rPr>
      </w:pPr>
      <w:r>
        <w:rPr>
          <w:rFonts w:hint="eastAsia" w:ascii="仿宋" w:hAnsi="仿宋" w:eastAsia="仿宋" w:cs="仿宋"/>
          <w:highlight w:val="none"/>
        </w:rPr>
        <w:t>乙方</w:t>
      </w:r>
      <w:r>
        <w:rPr>
          <w:rFonts w:hint="eastAsia" w:ascii="仿宋" w:hAnsi="仿宋" w:eastAsia="仿宋" w:cs="仿宋"/>
          <w:szCs w:val="21"/>
          <w:highlight w:val="none"/>
        </w:rPr>
        <w:t>3</w:t>
      </w:r>
      <w:r>
        <w:rPr>
          <w:rFonts w:hint="eastAsia" w:ascii="仿宋" w:hAnsi="仿宋" w:eastAsia="仿宋" w:cs="仿宋"/>
          <w:highlight w:val="none"/>
        </w:rPr>
        <w:t>（全称）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（联合体成员供应商或其他合同主体）（如有）</w:t>
      </w:r>
    </w:p>
    <w:p w14:paraId="15D57FE5">
      <w:pPr>
        <w:pStyle w:val="11"/>
        <w:adjustRightInd w:val="0"/>
        <w:snapToGrid w:val="0"/>
        <w:spacing w:line="400" w:lineRule="exact"/>
        <w:ind w:left="0" w:firstLine="420" w:firstLineChars="200"/>
        <w:rPr>
          <w:rFonts w:ascii="仿宋" w:hAnsi="仿宋" w:eastAsia="仿宋" w:cs="仿宋"/>
          <w:szCs w:val="21"/>
          <w:highlight w:val="none"/>
        </w:rPr>
      </w:pPr>
      <w:r>
        <w:rPr>
          <w:rFonts w:hint="eastAsia" w:ascii="仿宋" w:hAnsi="仿宋" w:eastAsia="仿宋" w:cs="仿宋"/>
          <w:szCs w:val="21"/>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426E2D26">
      <w:pPr>
        <w:numPr>
          <w:ilvl w:val="0"/>
          <w:numId w:val="9"/>
        </w:numPr>
        <w:adjustRightInd w:val="0"/>
        <w:snapToGrid w:val="0"/>
        <w:spacing w:line="400" w:lineRule="exact"/>
        <w:ind w:firstLine="422" w:firstLineChars="200"/>
        <w:rPr>
          <w:rFonts w:ascii="仿宋" w:hAnsi="仿宋" w:eastAsia="仿宋" w:cs="仿宋"/>
          <w:b/>
          <w:szCs w:val="21"/>
          <w:highlight w:val="none"/>
        </w:rPr>
      </w:pPr>
      <w:r>
        <w:rPr>
          <w:rFonts w:hint="eastAsia" w:ascii="仿宋" w:hAnsi="仿宋" w:eastAsia="仿宋" w:cs="仿宋"/>
          <w:b/>
          <w:szCs w:val="21"/>
          <w:highlight w:val="none"/>
        </w:rPr>
        <w:t>项目信息</w:t>
      </w:r>
    </w:p>
    <w:p w14:paraId="655F4FE6">
      <w:pPr>
        <w:pStyle w:val="11"/>
        <w:numPr>
          <w:ilvl w:val="0"/>
          <w:numId w:val="10"/>
        </w:numPr>
        <w:adjustRightInd w:val="0"/>
        <w:snapToGrid w:val="0"/>
        <w:spacing w:line="400" w:lineRule="exact"/>
        <w:ind w:left="0" w:firstLine="420" w:firstLineChars="200"/>
        <w:rPr>
          <w:rFonts w:ascii="仿宋" w:hAnsi="仿宋" w:eastAsia="仿宋" w:cs="仿宋"/>
          <w:szCs w:val="21"/>
          <w:highlight w:val="none"/>
          <w:u w:val="single"/>
        </w:rPr>
      </w:pPr>
      <w:r>
        <w:rPr>
          <w:rFonts w:hint="eastAsia" w:ascii="仿宋" w:hAnsi="仿宋" w:eastAsia="仿宋" w:cs="仿宋"/>
          <w:szCs w:val="21"/>
          <w:highlight w:val="none"/>
        </w:rPr>
        <w:t>采购项目名称：</w:t>
      </w:r>
      <w:r>
        <w:rPr>
          <w:rFonts w:hint="eastAsia" w:ascii="仿宋" w:hAnsi="仿宋" w:eastAsia="仿宋" w:cs="仿宋"/>
          <w:szCs w:val="21"/>
          <w:highlight w:val="none"/>
          <w:u w:val="single"/>
        </w:rPr>
        <w:t xml:space="preserve">                                          </w:t>
      </w:r>
    </w:p>
    <w:p w14:paraId="7552B19A">
      <w:pPr>
        <w:pStyle w:val="11"/>
        <w:numPr>
          <w:ilvl w:val="255"/>
          <w:numId w:val="0"/>
        </w:numPr>
        <w:tabs>
          <w:tab w:val="left" w:pos="999"/>
        </w:tabs>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采购项目编号：</w:t>
      </w:r>
      <w:r>
        <w:rPr>
          <w:rFonts w:hint="eastAsia" w:ascii="仿宋" w:hAnsi="仿宋" w:eastAsia="仿宋" w:cs="仿宋"/>
          <w:szCs w:val="21"/>
          <w:highlight w:val="none"/>
          <w:u w:val="single"/>
        </w:rPr>
        <w:t xml:space="preserve">                                          </w:t>
      </w:r>
    </w:p>
    <w:p w14:paraId="38814564">
      <w:pPr>
        <w:pStyle w:val="11"/>
        <w:adjustRightInd w:val="0"/>
        <w:snapToGrid w:val="0"/>
        <w:spacing w:line="400" w:lineRule="exact"/>
        <w:ind w:left="0" w:firstLine="420" w:firstLineChars="200"/>
        <w:rPr>
          <w:rFonts w:ascii="仿宋" w:hAnsi="仿宋" w:eastAsia="仿宋" w:cs="仿宋"/>
          <w:szCs w:val="21"/>
          <w:highlight w:val="none"/>
        </w:rPr>
      </w:pPr>
      <w:r>
        <w:rPr>
          <w:rFonts w:hint="eastAsia" w:ascii="仿宋" w:hAnsi="仿宋" w:eastAsia="仿宋" w:cs="仿宋"/>
          <w:szCs w:val="21"/>
          <w:highlight w:val="none"/>
        </w:rPr>
        <w:t>（2）采购计划编号：</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w:t>
      </w:r>
    </w:p>
    <w:p w14:paraId="1D80860E">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（3）项目内容：</w:t>
      </w:r>
    </w:p>
    <w:p w14:paraId="5B233A16">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 xml:space="preserve">     采购标的及数量（台/套</w:t>
      </w:r>
      <w:r>
        <w:rPr>
          <w:rFonts w:hint="eastAsia" w:ascii="仿宋" w:hAnsi="仿宋" w:eastAsia="仿宋" w:cs="仿宋"/>
          <w:szCs w:val="21"/>
          <w:highlight w:val="none"/>
          <w:lang w:val="en"/>
        </w:rPr>
        <w:t>/个/架/组等</w:t>
      </w:r>
      <w:r>
        <w:rPr>
          <w:rFonts w:hint="eastAsia" w:ascii="仿宋" w:hAnsi="仿宋" w:eastAsia="仿宋" w:cs="仿宋"/>
          <w:szCs w:val="21"/>
          <w:highlight w:val="none"/>
        </w:rPr>
        <w:t>）：</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w:t>
      </w:r>
    </w:p>
    <w:p w14:paraId="1FDFA6C5">
      <w:pPr>
        <w:numPr>
          <w:ilvl w:val="255"/>
          <w:numId w:val="0"/>
        </w:numPr>
        <w:adjustRightInd w:val="0"/>
        <w:snapToGrid w:val="0"/>
        <w:spacing w:line="400" w:lineRule="exact"/>
        <w:ind w:firstLine="420" w:firstLineChars="200"/>
        <w:rPr>
          <w:rFonts w:ascii="仿宋" w:hAnsi="仿宋" w:eastAsia="仿宋" w:cs="仿宋"/>
          <w:szCs w:val="21"/>
          <w:highlight w:val="none"/>
          <w:lang w:val="en"/>
        </w:rPr>
      </w:pPr>
      <w:r>
        <w:rPr>
          <w:rFonts w:hint="eastAsia" w:ascii="仿宋" w:hAnsi="仿宋" w:eastAsia="仿宋" w:cs="仿宋"/>
          <w:szCs w:val="21"/>
          <w:highlight w:val="none"/>
        </w:rPr>
        <w:t xml:space="preserve">     品牌：</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lang w:val="en"/>
        </w:rPr>
        <w:t xml:space="preserve">     </w:t>
      </w:r>
      <w:r>
        <w:rPr>
          <w:rFonts w:hint="eastAsia" w:ascii="仿宋" w:hAnsi="仿宋" w:eastAsia="仿宋" w:cs="仿宋"/>
          <w:szCs w:val="21"/>
          <w:highlight w:val="none"/>
        </w:rPr>
        <w:t>规格型号：</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
        </w:rPr>
        <w:t xml:space="preserve">   </w:t>
      </w:r>
    </w:p>
    <w:p w14:paraId="23480CE3">
      <w:pPr>
        <w:adjustRightInd w:val="0"/>
        <w:snapToGrid w:val="0"/>
        <w:spacing w:line="400" w:lineRule="exact"/>
        <w:ind w:firstLine="945" w:firstLineChars="450"/>
        <w:rPr>
          <w:rFonts w:ascii="仿宋" w:hAnsi="仿宋" w:eastAsia="仿宋" w:cs="仿宋"/>
          <w:szCs w:val="21"/>
          <w:highlight w:val="none"/>
          <w:u w:val="single"/>
        </w:rPr>
      </w:pPr>
      <w:r>
        <w:rPr>
          <w:rFonts w:hint="eastAsia" w:ascii="仿宋" w:hAnsi="仿宋" w:eastAsia="仿宋" w:cs="仿宋"/>
          <w:szCs w:val="21"/>
          <w:highlight w:val="none"/>
        </w:rPr>
        <w:t>采购标的的技术要求、商务要求具体见附件。</w:t>
      </w:r>
    </w:p>
    <w:p w14:paraId="22ED2F83">
      <w:pPr>
        <w:numPr>
          <w:ilvl w:val="255"/>
          <w:numId w:val="0"/>
        </w:numPr>
        <w:adjustRightInd w:val="0"/>
        <w:snapToGrid w:val="0"/>
        <w:spacing w:line="400" w:lineRule="exact"/>
        <w:ind w:firstLine="945" w:firstLineChars="450"/>
        <w:rPr>
          <w:rFonts w:ascii="仿宋" w:hAnsi="仿宋" w:eastAsia="仿宋" w:cs="仿宋"/>
          <w:szCs w:val="21"/>
          <w:highlight w:val="none"/>
        </w:rPr>
      </w:pPr>
      <w:r>
        <w:rPr>
          <w:rFonts w:hint="eastAsia" w:ascii="仿宋" w:hAnsi="仿宋" w:eastAsia="仿宋" w:cs="仿宋"/>
          <w:szCs w:val="21"/>
          <w:highlight w:val="none"/>
        </w:rPr>
        <w:t>①涉及信息类产品，请填写该产品关键部件的品牌、型号：</w:t>
      </w:r>
    </w:p>
    <w:p w14:paraId="7E68554D">
      <w:pPr>
        <w:numPr>
          <w:ilvl w:val="255"/>
          <w:numId w:val="0"/>
        </w:numPr>
        <w:adjustRightInd w:val="0"/>
        <w:snapToGrid w:val="0"/>
        <w:spacing w:line="400" w:lineRule="exact"/>
        <w:ind w:firstLine="420" w:firstLineChars="200"/>
        <w:rPr>
          <w:rFonts w:ascii="仿宋" w:hAnsi="仿宋" w:eastAsia="仿宋" w:cs="仿宋"/>
          <w:kern w:val="0"/>
          <w:szCs w:val="21"/>
          <w:highlight w:val="none"/>
          <w:u w:val="single"/>
        </w:rPr>
      </w:pPr>
      <w:r>
        <w:rPr>
          <w:rFonts w:hint="eastAsia" w:ascii="仿宋" w:hAnsi="仿宋" w:eastAsia="仿宋" w:cs="仿宋"/>
          <w:szCs w:val="21"/>
          <w:highlight w:val="none"/>
        </w:rPr>
        <w:t xml:space="preserve">     标的名称：</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u w:val="single"/>
          <w:lang w:val="en"/>
        </w:rPr>
        <w:t xml:space="preserve">               </w:t>
      </w:r>
      <w:r>
        <w:rPr>
          <w:rFonts w:hint="eastAsia" w:ascii="仿宋" w:hAnsi="仿宋" w:eastAsia="仿宋" w:cs="仿宋"/>
          <w:kern w:val="0"/>
          <w:szCs w:val="21"/>
          <w:highlight w:val="none"/>
          <w:u w:val="single"/>
        </w:rPr>
        <w:t xml:space="preserve">    </w:t>
      </w:r>
    </w:p>
    <w:p w14:paraId="32825C42">
      <w:pPr>
        <w:numPr>
          <w:ilvl w:val="255"/>
          <w:numId w:val="0"/>
        </w:num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 xml:space="preserve">     关键部件：</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 xml:space="preserve"> </w:t>
      </w:r>
      <w:r>
        <w:rPr>
          <w:rFonts w:hint="eastAsia" w:ascii="仿宋" w:hAnsi="仿宋" w:eastAsia="仿宋" w:cs="仿宋"/>
          <w:szCs w:val="21"/>
          <w:highlight w:val="none"/>
        </w:rPr>
        <w:t>品牌：</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型号：</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w:t>
      </w:r>
    </w:p>
    <w:p w14:paraId="55F9A661">
      <w:pPr>
        <w:pStyle w:val="50"/>
        <w:ind w:firstLine="420"/>
        <w:rPr>
          <w:rFonts w:ascii="仿宋" w:hAnsi="仿宋" w:eastAsia="仿宋" w:cs="仿宋"/>
          <w:sz w:val="21"/>
          <w:highlight w:val="none"/>
        </w:rPr>
      </w:pPr>
      <w:r>
        <w:rPr>
          <w:rFonts w:hint="eastAsia" w:ascii="仿宋" w:hAnsi="仿宋" w:eastAsia="仿宋" w:cs="仿宋"/>
          <w:sz w:val="21"/>
          <w:highlight w:val="none"/>
        </w:rPr>
        <w:t xml:space="preserve">     </w:t>
      </w:r>
      <w:r>
        <w:rPr>
          <w:rFonts w:hint="eastAsia" w:ascii="仿宋" w:hAnsi="仿宋" w:eastAsia="仿宋" w:cs="仿宋"/>
          <w:kern w:val="2"/>
          <w:sz w:val="21"/>
          <w:highlight w:val="none"/>
        </w:rPr>
        <w:t>关键部件</w:t>
      </w:r>
      <w:r>
        <w:rPr>
          <w:rFonts w:hint="eastAsia" w:ascii="仿宋" w:hAnsi="仿宋" w:eastAsia="仿宋" w:cs="仿宋"/>
          <w:sz w:val="21"/>
          <w:highlight w:val="none"/>
        </w:rPr>
        <w:t>：</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品牌：</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型号：</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w:t>
      </w:r>
    </w:p>
    <w:p w14:paraId="18E3E5AC">
      <w:pPr>
        <w:pStyle w:val="50"/>
        <w:ind w:firstLine="420"/>
        <w:rPr>
          <w:rFonts w:ascii="仿宋" w:hAnsi="仿宋" w:eastAsia="仿宋" w:cs="仿宋"/>
          <w:sz w:val="21"/>
          <w:highlight w:val="none"/>
        </w:rPr>
      </w:pPr>
      <w:r>
        <w:rPr>
          <w:rFonts w:hint="eastAsia" w:ascii="仿宋" w:hAnsi="仿宋" w:eastAsia="仿宋" w:cs="仿宋"/>
          <w:sz w:val="21"/>
          <w:highlight w:val="none"/>
        </w:rPr>
        <w:t xml:space="preserve">     关键部件：</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品牌：</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型号：</w:t>
      </w:r>
      <w:r>
        <w:rPr>
          <w:rFonts w:hint="eastAsia" w:ascii="仿宋" w:hAnsi="仿宋" w:eastAsia="仿宋" w:cs="仿宋"/>
          <w:sz w:val="21"/>
          <w:highlight w:val="none"/>
          <w:u w:val="single"/>
        </w:rPr>
        <w:t xml:space="preserve">       </w:t>
      </w:r>
    </w:p>
    <w:p w14:paraId="67602A57">
      <w:pPr>
        <w:pStyle w:val="50"/>
        <w:numPr>
          <w:ilvl w:val="255"/>
          <w:numId w:val="0"/>
        </w:numPr>
        <w:snapToGrid w:val="0"/>
        <w:rPr>
          <w:rFonts w:ascii="仿宋" w:hAnsi="仿宋" w:eastAsia="仿宋" w:cs="仿宋"/>
          <w:sz w:val="21"/>
          <w:highlight w:val="none"/>
        </w:rPr>
      </w:pPr>
      <w:r>
        <w:rPr>
          <w:rFonts w:hint="eastAsia" w:ascii="仿宋" w:hAnsi="仿宋" w:eastAsia="仿宋" w:cs="仿宋"/>
          <w:sz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51965246">
      <w:pPr>
        <w:pStyle w:val="50"/>
        <w:numPr>
          <w:ilvl w:val="255"/>
          <w:numId w:val="0"/>
        </w:numPr>
        <w:snapToGrid w:val="0"/>
        <w:rPr>
          <w:rFonts w:ascii="仿宋" w:hAnsi="仿宋" w:eastAsia="仿宋" w:cs="仿宋"/>
          <w:sz w:val="21"/>
          <w:highlight w:val="none"/>
        </w:rPr>
      </w:pPr>
      <w:r>
        <w:rPr>
          <w:rFonts w:hint="eastAsia" w:ascii="仿宋" w:hAnsi="仿宋" w:eastAsia="仿宋" w:cs="仿宋"/>
          <w:sz w:val="21"/>
          <w:highlight w:val="none"/>
        </w:rPr>
        <w:t xml:space="preserve">         ②涉及车辆采购，请填写是否属于新能源汽车：</w:t>
      </w:r>
    </w:p>
    <w:p w14:paraId="080C4FC7">
      <w:pPr>
        <w:pStyle w:val="50"/>
        <w:numPr>
          <w:ilvl w:val="255"/>
          <w:numId w:val="0"/>
        </w:numPr>
        <w:snapToGrid w:val="0"/>
        <w:rPr>
          <w:rFonts w:ascii="仿宋" w:hAnsi="仿宋" w:eastAsia="仿宋" w:cs="仿宋"/>
          <w:sz w:val="21"/>
          <w:highlight w:val="none"/>
        </w:rPr>
      </w:pPr>
      <w:r>
        <w:rPr>
          <w:rFonts w:hint="eastAsia" w:ascii="仿宋" w:hAnsi="仿宋" w:eastAsia="仿宋" w:cs="仿宋"/>
          <w:sz w:val="21"/>
          <w:highlight w:val="none"/>
        </w:rPr>
        <w:t xml:space="preserve">         </w:t>
      </w:r>
      <w:r>
        <w:rPr>
          <w:rFonts w:hint="eastAsia" w:ascii="仿宋" w:hAnsi="仿宋" w:eastAsia="仿宋" w:cs="仿宋"/>
          <w:sz w:val="21"/>
          <w:highlight w:val="none"/>
        </w:rPr>
        <w:sym w:font="Wingdings" w:char="00A8"/>
      </w:r>
      <w:r>
        <w:rPr>
          <w:rFonts w:hint="eastAsia" w:ascii="仿宋" w:hAnsi="仿宋" w:eastAsia="仿宋" w:cs="仿宋"/>
          <w:sz w:val="21"/>
          <w:highlight w:val="none"/>
        </w:rPr>
        <w:t>是，《政府采购品目分类目录》底级品目名称：</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数量：</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金额：</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w:t>
      </w:r>
    </w:p>
    <w:p w14:paraId="2DD4C7C1">
      <w:pPr>
        <w:pStyle w:val="50"/>
        <w:numPr>
          <w:ilvl w:val="255"/>
          <w:numId w:val="0"/>
        </w:numPr>
        <w:snapToGrid w:val="0"/>
        <w:rPr>
          <w:rFonts w:ascii="仿宋" w:hAnsi="仿宋" w:eastAsia="仿宋" w:cs="仿宋"/>
          <w:sz w:val="21"/>
          <w:highlight w:val="none"/>
        </w:rPr>
      </w:pPr>
      <w:r>
        <w:rPr>
          <w:rFonts w:hint="eastAsia" w:ascii="仿宋" w:hAnsi="仿宋" w:eastAsia="仿宋" w:cs="仿宋"/>
          <w:sz w:val="21"/>
          <w:highlight w:val="none"/>
        </w:rPr>
        <w:t xml:space="preserve">         </w:t>
      </w:r>
      <w:r>
        <w:rPr>
          <w:rFonts w:hint="eastAsia" w:ascii="仿宋" w:hAnsi="仿宋" w:eastAsia="仿宋" w:cs="仿宋"/>
          <w:sz w:val="21"/>
          <w:highlight w:val="none"/>
        </w:rPr>
        <w:sym w:font="Wingdings" w:char="00A8"/>
      </w:r>
      <w:r>
        <w:rPr>
          <w:rFonts w:hint="eastAsia" w:ascii="仿宋" w:hAnsi="仿宋" w:eastAsia="仿宋" w:cs="仿宋"/>
          <w:sz w:val="21"/>
          <w:highlight w:val="none"/>
        </w:rPr>
        <w:t>否</w:t>
      </w:r>
    </w:p>
    <w:p w14:paraId="468ECCE3">
      <w:pPr>
        <w:pStyle w:val="50"/>
        <w:numPr>
          <w:ilvl w:val="255"/>
          <w:numId w:val="0"/>
        </w:numPr>
        <w:snapToGrid w:val="0"/>
        <w:rPr>
          <w:rFonts w:ascii="仿宋" w:hAnsi="仿宋" w:eastAsia="仿宋" w:cs="仿宋"/>
          <w:sz w:val="21"/>
          <w:highlight w:val="none"/>
        </w:rPr>
      </w:pPr>
      <w:r>
        <w:rPr>
          <w:rFonts w:hint="eastAsia" w:ascii="仿宋" w:hAnsi="仿宋" w:eastAsia="仿宋" w:cs="仿宋"/>
          <w:sz w:val="21"/>
          <w:highlight w:val="none"/>
        </w:rPr>
        <w:t xml:space="preserve">    （</w:t>
      </w:r>
      <w:r>
        <w:rPr>
          <w:rFonts w:hint="eastAsia" w:ascii="仿宋" w:hAnsi="仿宋" w:eastAsia="仿宋" w:cs="仿宋"/>
          <w:sz w:val="21"/>
          <w:highlight w:val="none"/>
          <w:lang w:val="en"/>
        </w:rPr>
        <w:t>4</w:t>
      </w:r>
      <w:r>
        <w:rPr>
          <w:rFonts w:hint="eastAsia" w:ascii="仿宋" w:hAnsi="仿宋" w:eastAsia="仿宋" w:cs="仿宋"/>
          <w:sz w:val="21"/>
          <w:highlight w:val="none"/>
        </w:rPr>
        <w:t>）政府采购组织形式：</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政府集中采购  </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部门集中采购  </w:t>
      </w:r>
      <w:r>
        <w:rPr>
          <w:rFonts w:hint="eastAsia" w:ascii="仿宋" w:hAnsi="仿宋" w:eastAsia="仿宋" w:cs="仿宋"/>
          <w:sz w:val="21"/>
          <w:highlight w:val="none"/>
        </w:rPr>
        <w:sym w:font="Wingdings" w:char="00A8"/>
      </w:r>
      <w:r>
        <w:rPr>
          <w:rFonts w:hint="eastAsia" w:ascii="仿宋" w:hAnsi="仿宋" w:eastAsia="仿宋" w:cs="仿宋"/>
          <w:sz w:val="21"/>
          <w:highlight w:val="none"/>
        </w:rPr>
        <w:t>分散采购</w:t>
      </w:r>
    </w:p>
    <w:p w14:paraId="2A30998E">
      <w:pPr>
        <w:pStyle w:val="50"/>
        <w:numPr>
          <w:ilvl w:val="255"/>
          <w:numId w:val="0"/>
        </w:numPr>
        <w:snapToGrid w:val="0"/>
        <w:ind w:firstLine="420"/>
        <w:rPr>
          <w:rFonts w:ascii="仿宋" w:hAnsi="仿宋" w:eastAsia="仿宋" w:cs="仿宋"/>
          <w:sz w:val="21"/>
          <w:highlight w:val="none"/>
        </w:rPr>
      </w:pPr>
      <w:r>
        <w:rPr>
          <w:rFonts w:hint="eastAsia" w:ascii="仿宋" w:hAnsi="仿宋" w:eastAsia="仿宋" w:cs="仿宋"/>
          <w:sz w:val="21"/>
          <w:highlight w:val="none"/>
        </w:rPr>
        <w:t>（</w:t>
      </w:r>
      <w:r>
        <w:rPr>
          <w:rFonts w:hint="eastAsia" w:ascii="仿宋" w:hAnsi="仿宋" w:eastAsia="仿宋" w:cs="仿宋"/>
          <w:sz w:val="21"/>
          <w:highlight w:val="none"/>
          <w:lang w:val="en"/>
        </w:rPr>
        <w:t>5</w:t>
      </w:r>
      <w:r>
        <w:rPr>
          <w:rFonts w:hint="eastAsia" w:ascii="仿宋" w:hAnsi="仿宋" w:eastAsia="仿宋" w:cs="仿宋"/>
          <w:sz w:val="21"/>
          <w:highlight w:val="none"/>
        </w:rPr>
        <w:t>）政府采购方式：</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公开招标 </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邀请招标 </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竞争性谈判 </w:t>
      </w:r>
      <w:r>
        <w:rPr>
          <w:rFonts w:hint="eastAsia" w:ascii="仿宋" w:hAnsi="仿宋" w:eastAsia="仿宋" w:cs="仿宋"/>
          <w:sz w:val="21"/>
          <w:highlight w:val="none"/>
        </w:rPr>
        <w:sym w:font="Wingdings" w:char="00A8"/>
      </w:r>
      <w:r>
        <w:rPr>
          <w:rFonts w:hint="eastAsia" w:ascii="仿宋" w:hAnsi="仿宋" w:eastAsia="仿宋" w:cs="仿宋"/>
          <w:sz w:val="21"/>
          <w:highlight w:val="none"/>
        </w:rPr>
        <w:t>竞争性磋商</w:t>
      </w:r>
    </w:p>
    <w:p w14:paraId="2877CE2A">
      <w:pPr>
        <w:pStyle w:val="50"/>
        <w:numPr>
          <w:ilvl w:val="255"/>
          <w:numId w:val="0"/>
        </w:numPr>
        <w:snapToGrid w:val="0"/>
        <w:ind w:firstLine="420"/>
        <w:rPr>
          <w:rFonts w:ascii="仿宋" w:hAnsi="仿宋" w:eastAsia="仿宋" w:cs="仿宋"/>
          <w:sz w:val="21"/>
          <w:highlight w:val="none"/>
          <w:u w:val="single"/>
        </w:rPr>
      </w:pPr>
      <w:r>
        <w:rPr>
          <w:rFonts w:hint="eastAsia" w:ascii="仿宋" w:hAnsi="仿宋" w:eastAsia="仿宋" w:cs="仿宋"/>
          <w:highlight w:val="none"/>
        </w:rPr>
        <w:t xml:space="preserve">                  </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询价 </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单一来源 </w:t>
      </w:r>
      <w:r>
        <w:rPr>
          <w:rFonts w:hint="eastAsia" w:ascii="仿宋" w:hAnsi="仿宋" w:eastAsia="仿宋" w:cs="仿宋"/>
          <w:sz w:val="21"/>
          <w:highlight w:val="none"/>
        </w:rPr>
        <w:sym w:font="Wingdings" w:char="00A8"/>
      </w:r>
      <w:r>
        <w:rPr>
          <w:rFonts w:hint="eastAsia" w:ascii="仿宋" w:hAnsi="仿宋" w:eastAsia="仿宋" w:cs="仿宋"/>
          <w:sz w:val="21"/>
          <w:highlight w:val="none"/>
        </w:rPr>
        <w:t xml:space="preserve">框架协议 </w:t>
      </w:r>
      <w:r>
        <w:rPr>
          <w:rFonts w:hint="eastAsia" w:ascii="仿宋" w:hAnsi="仿宋" w:eastAsia="仿宋" w:cs="仿宋"/>
          <w:sz w:val="21"/>
          <w:highlight w:val="none"/>
        </w:rPr>
        <w:sym w:font="Wingdings" w:char="00A8"/>
      </w:r>
      <w:r>
        <w:rPr>
          <w:rFonts w:hint="eastAsia" w:ascii="仿宋" w:hAnsi="仿宋" w:eastAsia="仿宋" w:cs="仿宋"/>
          <w:sz w:val="21"/>
          <w:highlight w:val="none"/>
        </w:rPr>
        <w:t>其他：</w:t>
      </w:r>
      <w:r>
        <w:rPr>
          <w:rFonts w:hint="eastAsia" w:ascii="仿宋" w:hAnsi="仿宋" w:eastAsia="仿宋" w:cs="仿宋"/>
          <w:sz w:val="21"/>
          <w:highlight w:val="none"/>
          <w:u w:val="single"/>
        </w:rPr>
        <w:t xml:space="preserve">          </w:t>
      </w:r>
    </w:p>
    <w:p w14:paraId="0021FFEB">
      <w:pPr>
        <w:pStyle w:val="50"/>
        <w:numPr>
          <w:ilvl w:val="255"/>
          <w:numId w:val="0"/>
        </w:numPr>
        <w:snapToGrid w:val="0"/>
        <w:ind w:firstLine="420"/>
        <w:rPr>
          <w:rFonts w:ascii="仿宋" w:hAnsi="仿宋" w:eastAsia="仿宋" w:cs="仿宋"/>
          <w:sz w:val="21"/>
          <w:highlight w:val="none"/>
        </w:rPr>
      </w:pPr>
      <w:r>
        <w:rPr>
          <w:rFonts w:hint="eastAsia" w:ascii="仿宋" w:hAnsi="仿宋" w:eastAsia="仿宋" w:cs="仿宋"/>
          <w:sz w:val="21"/>
          <w:highlight w:val="none"/>
        </w:rPr>
        <w:t>（注：在框架协议采购的第二阶段，可选择使用该合同文本）</w:t>
      </w:r>
    </w:p>
    <w:p w14:paraId="03F14FC5">
      <w:pPr>
        <w:pStyle w:val="50"/>
        <w:numPr>
          <w:ilvl w:val="255"/>
          <w:numId w:val="0"/>
        </w:numPr>
        <w:snapToGrid w:val="0"/>
        <w:ind w:firstLine="220" w:firstLineChars="100"/>
        <w:rPr>
          <w:rFonts w:ascii="仿宋" w:hAnsi="仿宋" w:eastAsia="仿宋" w:cs="仿宋"/>
          <w:kern w:val="2"/>
          <w:sz w:val="21"/>
          <w:highlight w:val="none"/>
        </w:rPr>
      </w:pPr>
      <w:r>
        <w:rPr>
          <w:rFonts w:hint="eastAsia" w:ascii="仿宋" w:hAnsi="仿宋" w:eastAsia="仿宋" w:cs="仿宋"/>
          <w:highlight w:val="none"/>
        </w:rPr>
        <w:t xml:space="preserve"> （</w:t>
      </w:r>
      <w:r>
        <w:rPr>
          <w:rFonts w:hint="eastAsia" w:ascii="仿宋" w:hAnsi="仿宋" w:eastAsia="仿宋" w:cs="仿宋"/>
          <w:highlight w:val="none"/>
          <w:lang w:val="en"/>
        </w:rPr>
        <w:t>6</w:t>
      </w:r>
      <w:r>
        <w:rPr>
          <w:rFonts w:hint="eastAsia" w:ascii="仿宋" w:hAnsi="仿宋" w:eastAsia="仿宋" w:cs="仿宋"/>
          <w:highlight w:val="none"/>
        </w:rPr>
        <w:t>）</w:t>
      </w:r>
      <w:r>
        <w:rPr>
          <w:rFonts w:hint="eastAsia" w:ascii="仿宋" w:hAnsi="仿宋" w:eastAsia="仿宋" w:cs="仿宋"/>
          <w:kern w:val="2"/>
          <w:sz w:val="21"/>
          <w:highlight w:val="none"/>
        </w:rPr>
        <w:t>中标（成交）采购标的制造商是否为中小企业：</w:t>
      </w:r>
      <w:r>
        <w:rPr>
          <w:rFonts w:hint="eastAsia" w:ascii="仿宋" w:hAnsi="仿宋" w:eastAsia="仿宋" w:cs="仿宋"/>
          <w:kern w:val="2"/>
          <w:sz w:val="21"/>
          <w:highlight w:val="none"/>
        </w:rPr>
        <w:sym w:font="Wingdings" w:char="00A8"/>
      </w:r>
      <w:r>
        <w:rPr>
          <w:rFonts w:hint="eastAsia" w:ascii="仿宋" w:hAnsi="仿宋" w:eastAsia="仿宋" w:cs="仿宋"/>
          <w:kern w:val="2"/>
          <w:sz w:val="21"/>
          <w:highlight w:val="none"/>
        </w:rPr>
        <w:t xml:space="preserve">是      </w:t>
      </w:r>
      <w:r>
        <w:rPr>
          <w:rFonts w:hint="eastAsia" w:ascii="仿宋" w:hAnsi="仿宋" w:eastAsia="仿宋" w:cs="仿宋"/>
          <w:kern w:val="2"/>
          <w:sz w:val="21"/>
          <w:highlight w:val="none"/>
        </w:rPr>
        <w:sym w:font="Wingdings" w:char="00A8"/>
      </w:r>
      <w:r>
        <w:rPr>
          <w:rFonts w:hint="eastAsia" w:ascii="仿宋" w:hAnsi="仿宋" w:eastAsia="仿宋" w:cs="仿宋"/>
          <w:kern w:val="2"/>
          <w:sz w:val="21"/>
          <w:highlight w:val="none"/>
        </w:rPr>
        <w:t>否</w:t>
      </w:r>
    </w:p>
    <w:p w14:paraId="0596EF8E">
      <w:pPr>
        <w:numPr>
          <w:ilvl w:val="255"/>
          <w:numId w:val="0"/>
        </w:numPr>
        <w:adjustRightInd w:val="0"/>
        <w:snapToGrid w:val="0"/>
        <w:spacing w:line="400" w:lineRule="exact"/>
        <w:rPr>
          <w:rFonts w:ascii="仿宋" w:hAnsi="仿宋" w:eastAsia="仿宋" w:cs="仿宋"/>
          <w:iCs/>
          <w:szCs w:val="21"/>
          <w:highlight w:val="none"/>
        </w:rPr>
      </w:pPr>
      <w:r>
        <w:rPr>
          <w:rFonts w:hint="eastAsia" w:ascii="仿宋" w:hAnsi="仿宋" w:eastAsia="仿宋" w:cs="仿宋"/>
          <w:szCs w:val="21"/>
          <w:highlight w:val="none"/>
        </w:rPr>
        <w:t xml:space="preserve">         本合同是否为专门面向中小企业的采购合同（中小企业预留合同）：</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309D5CD6">
      <w:pPr>
        <w:numPr>
          <w:ilvl w:val="255"/>
          <w:numId w:val="0"/>
        </w:numPr>
        <w:adjustRightInd w:val="0"/>
        <w:snapToGrid w:val="0"/>
        <w:spacing w:line="400" w:lineRule="exact"/>
        <w:rPr>
          <w:rFonts w:ascii="仿宋" w:hAnsi="仿宋" w:eastAsia="仿宋" w:cs="仿宋"/>
          <w:iCs/>
          <w:szCs w:val="21"/>
          <w:highlight w:val="none"/>
        </w:rPr>
      </w:pPr>
      <w:r>
        <w:rPr>
          <w:rFonts w:hint="eastAsia" w:ascii="仿宋" w:hAnsi="仿宋" w:eastAsia="仿宋" w:cs="仿宋"/>
          <w:highlight w:val="none"/>
        </w:rPr>
        <w:t xml:space="preserve">         若本项目不专门面向中小企业采购，是否给予小微企业评审优惠：</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08CC082B">
      <w:pPr>
        <w:numPr>
          <w:ilvl w:val="255"/>
          <w:numId w:val="0"/>
        </w:numPr>
        <w:adjustRightInd w:val="0"/>
        <w:snapToGrid w:val="0"/>
        <w:spacing w:line="400" w:lineRule="exact"/>
        <w:rPr>
          <w:rFonts w:ascii="仿宋" w:hAnsi="仿宋" w:eastAsia="仿宋" w:cs="仿宋"/>
          <w:iCs/>
          <w:szCs w:val="21"/>
          <w:highlight w:val="none"/>
        </w:rPr>
      </w:pPr>
      <w:r>
        <w:rPr>
          <w:rFonts w:hint="eastAsia" w:ascii="仿宋" w:hAnsi="仿宋" w:eastAsia="仿宋" w:cs="仿宋"/>
          <w:highlight w:val="none"/>
        </w:rPr>
        <w:t xml:space="preserve">         中标（成交）采购标的制造商是否为残疾人福利性单位：</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2FF5B6F9">
      <w:pPr>
        <w:snapToGrid w:val="0"/>
        <w:spacing w:line="400" w:lineRule="exact"/>
        <w:rPr>
          <w:rFonts w:ascii="仿宋" w:hAnsi="仿宋" w:eastAsia="仿宋" w:cs="仿宋"/>
          <w:highlight w:val="none"/>
        </w:rPr>
      </w:pPr>
      <w:r>
        <w:rPr>
          <w:rFonts w:hint="eastAsia" w:ascii="仿宋" w:hAnsi="仿宋" w:eastAsia="仿宋" w:cs="仿宋"/>
          <w:highlight w:val="none"/>
        </w:rPr>
        <w:t xml:space="preserve">         中标（成交）采购标的制造商是否为监狱企业：</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2DBBC11C">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w:t>
      </w:r>
      <w:r>
        <w:rPr>
          <w:rFonts w:hint="eastAsia" w:ascii="仿宋" w:hAnsi="仿宋" w:eastAsia="仿宋" w:cs="仿宋"/>
          <w:szCs w:val="21"/>
          <w:highlight w:val="none"/>
          <w:lang w:val="en"/>
        </w:rPr>
        <w:t>7</w:t>
      </w:r>
      <w:r>
        <w:rPr>
          <w:rFonts w:hint="eastAsia" w:ascii="仿宋" w:hAnsi="仿宋" w:eastAsia="仿宋" w:cs="仿宋"/>
          <w:szCs w:val="21"/>
          <w:highlight w:val="none"/>
        </w:rPr>
        <w:t>）合同是否分包：</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1E94977E">
      <w:pPr>
        <w:adjustRightInd w:val="0"/>
        <w:snapToGrid w:val="0"/>
        <w:spacing w:line="400" w:lineRule="exact"/>
        <w:ind w:firstLine="840" w:firstLineChars="400"/>
        <w:rPr>
          <w:rFonts w:ascii="仿宋" w:hAnsi="仿宋" w:eastAsia="仿宋" w:cs="仿宋"/>
          <w:szCs w:val="21"/>
          <w:highlight w:val="none"/>
          <w:u w:val="single"/>
        </w:rPr>
      </w:pPr>
      <w:r>
        <w:rPr>
          <w:rFonts w:hint="eastAsia" w:ascii="仿宋" w:hAnsi="仿宋" w:eastAsia="仿宋" w:cs="仿宋"/>
          <w:szCs w:val="21"/>
          <w:highlight w:val="none"/>
        </w:rPr>
        <w:t xml:space="preserve"> 分包主要内容：</w:t>
      </w:r>
      <w:r>
        <w:rPr>
          <w:rFonts w:hint="eastAsia" w:ascii="仿宋" w:hAnsi="仿宋" w:eastAsia="仿宋" w:cs="仿宋"/>
          <w:szCs w:val="21"/>
          <w:highlight w:val="none"/>
          <w:u w:val="single"/>
        </w:rPr>
        <w:t xml:space="preserve">                                            </w:t>
      </w:r>
    </w:p>
    <w:p w14:paraId="4286B2D3">
      <w:pPr>
        <w:adjustRightInd w:val="0"/>
        <w:snapToGrid w:val="0"/>
        <w:spacing w:line="400" w:lineRule="exact"/>
        <w:ind w:firstLine="840" w:firstLineChars="400"/>
        <w:rPr>
          <w:rFonts w:ascii="仿宋" w:hAnsi="仿宋" w:eastAsia="仿宋" w:cs="仿宋"/>
          <w:szCs w:val="21"/>
          <w:highlight w:val="none"/>
        </w:rPr>
      </w:pPr>
      <w:r>
        <w:rPr>
          <w:rFonts w:hint="eastAsia" w:ascii="仿宋" w:hAnsi="仿宋" w:eastAsia="仿宋" w:cs="仿宋"/>
          <w:szCs w:val="21"/>
          <w:highlight w:val="none"/>
        </w:rPr>
        <w:t xml:space="preserve"> 分包供应商/制造商名称（如供应商和制造商不同，请分别填写）：</w:t>
      </w:r>
    </w:p>
    <w:p w14:paraId="383BBA60">
      <w:pPr>
        <w:adjustRightInd w:val="0"/>
        <w:snapToGrid w:val="0"/>
        <w:spacing w:line="400" w:lineRule="exact"/>
        <w:ind w:firstLine="840" w:firstLineChars="400"/>
        <w:rPr>
          <w:rFonts w:ascii="仿宋" w:hAnsi="仿宋" w:eastAsia="仿宋" w:cs="仿宋"/>
          <w:szCs w:val="21"/>
          <w:highlight w:val="none"/>
          <w:u w:val="singl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p>
    <w:p w14:paraId="234D79E1">
      <w:pPr>
        <w:adjustRightInd w:val="0"/>
        <w:snapToGrid w:val="0"/>
        <w:spacing w:line="400" w:lineRule="exact"/>
        <w:ind w:firstLine="840" w:firstLineChars="400"/>
        <w:rPr>
          <w:rFonts w:ascii="仿宋" w:hAnsi="仿宋" w:eastAsia="仿宋" w:cs="仿宋"/>
          <w:szCs w:val="21"/>
          <w:highlight w:val="none"/>
        </w:rPr>
      </w:pPr>
      <w:r>
        <w:rPr>
          <w:rFonts w:hint="eastAsia" w:ascii="仿宋" w:hAnsi="仿宋" w:eastAsia="仿宋" w:cs="仿宋"/>
          <w:szCs w:val="21"/>
          <w:highlight w:val="none"/>
        </w:rPr>
        <w:t xml:space="preserve"> 分包供应商/制造商类型（如果供应商和制造商不同，只填写制造商类型）：</w:t>
      </w:r>
    </w:p>
    <w:p w14:paraId="504BDAB8">
      <w:pPr>
        <w:adjustRightInd w:val="0"/>
        <w:snapToGrid w:val="0"/>
        <w:spacing w:line="400" w:lineRule="exact"/>
        <w:ind w:firstLine="840" w:firstLineChars="400"/>
        <w:rPr>
          <w:rFonts w:ascii="仿宋" w:hAnsi="仿宋" w:eastAsia="仿宋" w:cs="仿宋"/>
          <w:iCs/>
          <w:szCs w:val="21"/>
          <w:highlight w:val="none"/>
        </w:rPr>
      </w:pPr>
      <w:r>
        <w:rPr>
          <w:rFonts w:hint="eastAsia" w:ascii="仿宋" w:hAnsi="仿宋" w:eastAsia="仿宋" w:cs="仿宋"/>
          <w:iCs/>
          <w:szCs w:val="21"/>
          <w:highlight w:val="none"/>
        </w:rPr>
        <w:t xml:space="preserve">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大型企业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中型企业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小微型企业  </w:t>
      </w:r>
    </w:p>
    <w:p w14:paraId="0F3784A7">
      <w:pPr>
        <w:adjustRightInd w:val="0"/>
        <w:snapToGrid w:val="0"/>
        <w:spacing w:line="400" w:lineRule="exact"/>
        <w:ind w:firstLine="840" w:firstLineChars="400"/>
        <w:rPr>
          <w:rFonts w:ascii="仿宋" w:hAnsi="仿宋" w:eastAsia="仿宋" w:cs="仿宋"/>
          <w:highlight w:val="none"/>
        </w:rPr>
      </w:pPr>
      <w:r>
        <w:rPr>
          <w:rFonts w:hint="eastAsia" w:ascii="仿宋" w:hAnsi="仿宋" w:eastAsia="仿宋" w:cs="仿宋"/>
          <w:iCs/>
          <w:szCs w:val="21"/>
          <w:highlight w:val="none"/>
        </w:rPr>
        <w:t xml:space="preserve">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残疾人福利性单位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监狱企业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其他</w:t>
      </w:r>
    </w:p>
    <w:p w14:paraId="2AAF31A8">
      <w:pPr>
        <w:numPr>
          <w:ilvl w:val="255"/>
          <w:numId w:val="0"/>
        </w:numPr>
        <w:adjustRightInd w:val="0"/>
        <w:snapToGrid w:val="0"/>
        <w:spacing w:line="400" w:lineRule="exact"/>
        <w:rPr>
          <w:rFonts w:ascii="仿宋" w:hAnsi="仿宋" w:eastAsia="仿宋" w:cs="仿宋"/>
          <w:iCs/>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lang w:val="en"/>
        </w:rPr>
        <w:t>8</w:t>
      </w:r>
      <w:r>
        <w:rPr>
          <w:rFonts w:hint="eastAsia" w:ascii="仿宋" w:hAnsi="仿宋" w:eastAsia="仿宋" w:cs="仿宋"/>
          <w:szCs w:val="21"/>
          <w:highlight w:val="none"/>
        </w:rPr>
        <w:t>）中标（成交）供应商是否为外商投资企业：</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73A18953">
      <w:pPr>
        <w:pStyle w:val="50"/>
        <w:tabs>
          <w:tab w:val="left" w:pos="1340"/>
        </w:tabs>
        <w:ind w:firstLine="420"/>
        <w:rPr>
          <w:rFonts w:ascii="仿宋" w:hAnsi="仿宋" w:eastAsia="仿宋" w:cs="仿宋"/>
          <w:sz w:val="21"/>
          <w:highlight w:val="none"/>
          <w:u w:val="single"/>
        </w:rPr>
      </w:pPr>
      <w:r>
        <w:rPr>
          <w:rFonts w:hint="eastAsia" w:ascii="仿宋" w:hAnsi="仿宋" w:eastAsia="仿宋" w:cs="仿宋"/>
          <w:sz w:val="21"/>
          <w:highlight w:val="none"/>
        </w:rPr>
        <w:t xml:space="preserve">     外商投资企业类型：</w:t>
      </w:r>
      <w:r>
        <w:rPr>
          <w:rFonts w:hint="eastAsia" w:ascii="仿宋" w:hAnsi="仿宋" w:eastAsia="仿宋" w:cs="仿宋"/>
          <w:iCs/>
          <w:sz w:val="21"/>
          <w:highlight w:val="none"/>
        </w:rPr>
        <w:sym w:font="Wingdings" w:char="00A8"/>
      </w:r>
      <w:r>
        <w:rPr>
          <w:rFonts w:hint="eastAsia" w:ascii="仿宋" w:hAnsi="仿宋" w:eastAsia="仿宋" w:cs="仿宋"/>
          <w:sz w:val="21"/>
          <w:highlight w:val="none"/>
        </w:rPr>
        <w:t xml:space="preserve">全部由外国投资者投资  </w:t>
      </w:r>
      <w:r>
        <w:rPr>
          <w:rFonts w:hint="eastAsia" w:ascii="仿宋" w:hAnsi="仿宋" w:eastAsia="仿宋" w:cs="仿宋"/>
          <w:iCs/>
          <w:sz w:val="21"/>
          <w:highlight w:val="none"/>
        </w:rPr>
        <w:sym w:font="Wingdings" w:char="00A8"/>
      </w:r>
      <w:r>
        <w:rPr>
          <w:rFonts w:hint="eastAsia" w:ascii="仿宋" w:hAnsi="仿宋" w:eastAsia="仿宋" w:cs="仿宋"/>
          <w:iCs/>
          <w:sz w:val="21"/>
          <w:highlight w:val="none"/>
        </w:rPr>
        <w:t>部分由外国投资者投资</w:t>
      </w:r>
    </w:p>
    <w:p w14:paraId="2725D377">
      <w:pPr>
        <w:numPr>
          <w:ilvl w:val="255"/>
          <w:numId w:val="0"/>
        </w:num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w:t>
      </w:r>
      <w:r>
        <w:rPr>
          <w:rFonts w:hint="eastAsia" w:ascii="仿宋" w:hAnsi="仿宋" w:eastAsia="仿宋" w:cs="仿宋"/>
          <w:szCs w:val="21"/>
          <w:highlight w:val="none"/>
          <w:lang w:val="en"/>
        </w:rPr>
        <w:t>9</w:t>
      </w:r>
      <w:r>
        <w:rPr>
          <w:rFonts w:hint="eastAsia" w:ascii="仿宋" w:hAnsi="仿宋" w:eastAsia="仿宋" w:cs="仿宋"/>
          <w:szCs w:val="21"/>
          <w:highlight w:val="none"/>
        </w:rPr>
        <w:t>）是否涉及进口产品：</w:t>
      </w:r>
    </w:p>
    <w:p w14:paraId="59E8B869">
      <w:pPr>
        <w:numPr>
          <w:ilvl w:val="255"/>
          <w:numId w:val="0"/>
        </w:numPr>
        <w:adjustRightInd w:val="0"/>
        <w:snapToGrid w:val="0"/>
        <w:spacing w:line="400" w:lineRule="exact"/>
        <w:ind w:firstLine="840" w:firstLineChars="400"/>
        <w:rPr>
          <w:rFonts w:ascii="仿宋" w:hAnsi="仿宋" w:eastAsia="仿宋" w:cs="仿宋"/>
          <w:szCs w:val="21"/>
          <w:highlight w:val="none"/>
          <w:u w:val="single"/>
        </w:rPr>
      </w:pPr>
      <w:r>
        <w:rPr>
          <w:rFonts w:hint="eastAsia" w:ascii="仿宋" w:hAnsi="仿宋" w:eastAsia="仿宋" w:cs="仿宋"/>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是，《政府采购品目分类目录》底级品目名称：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金额：</w:t>
      </w:r>
      <w:r>
        <w:rPr>
          <w:rFonts w:hint="eastAsia" w:ascii="仿宋" w:hAnsi="仿宋" w:eastAsia="仿宋" w:cs="仿宋"/>
          <w:szCs w:val="21"/>
          <w:highlight w:val="none"/>
          <w:u w:val="single"/>
        </w:rPr>
        <w:t xml:space="preserve">        </w:t>
      </w:r>
    </w:p>
    <w:p w14:paraId="65A27FAF">
      <w:pPr>
        <w:numPr>
          <w:ilvl w:val="255"/>
          <w:numId w:val="0"/>
        </w:numPr>
        <w:adjustRightInd w:val="0"/>
        <w:snapToGrid w:val="0"/>
        <w:spacing w:line="400" w:lineRule="exact"/>
        <w:ind w:firstLine="840" w:firstLineChars="400"/>
        <w:rPr>
          <w:rFonts w:ascii="仿宋" w:hAnsi="仿宋" w:eastAsia="仿宋" w:cs="仿宋"/>
          <w:szCs w:val="21"/>
          <w:highlight w:val="none"/>
        </w:rPr>
      </w:pPr>
      <w:r>
        <w:rPr>
          <w:rFonts w:hint="eastAsia" w:ascii="仿宋" w:hAnsi="仿宋" w:eastAsia="仿宋" w:cs="仿宋"/>
          <w:szCs w:val="21"/>
          <w:highlight w:val="none"/>
        </w:rPr>
        <w:t xml:space="preserve">        国别：</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品牌：</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规格型号：</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w:t>
      </w:r>
    </w:p>
    <w:p w14:paraId="7187150F">
      <w:pPr>
        <w:adjustRightInd w:val="0"/>
        <w:snapToGrid w:val="0"/>
        <w:spacing w:line="400" w:lineRule="exact"/>
        <w:ind w:firstLine="840" w:firstLineChars="400"/>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否</w:t>
      </w:r>
    </w:p>
    <w:p w14:paraId="5872B465">
      <w:pPr>
        <w:numPr>
          <w:ilvl w:val="255"/>
          <w:numId w:val="0"/>
        </w:numPr>
        <w:tabs>
          <w:tab w:val="left" w:pos="740"/>
        </w:tabs>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（1</w:t>
      </w:r>
      <w:r>
        <w:rPr>
          <w:rFonts w:hint="eastAsia" w:ascii="仿宋" w:hAnsi="仿宋" w:eastAsia="仿宋" w:cs="仿宋"/>
          <w:szCs w:val="21"/>
          <w:highlight w:val="none"/>
          <w:lang w:val="en"/>
        </w:rPr>
        <w:t>0</w:t>
      </w:r>
      <w:r>
        <w:rPr>
          <w:rFonts w:hint="eastAsia" w:ascii="仿宋" w:hAnsi="仿宋" w:eastAsia="仿宋" w:cs="仿宋"/>
          <w:szCs w:val="21"/>
          <w:highlight w:val="none"/>
        </w:rPr>
        <w:t>）是否涉及节能产品：</w:t>
      </w:r>
    </w:p>
    <w:p w14:paraId="5FCF6B75">
      <w:pPr>
        <w:numPr>
          <w:ilvl w:val="255"/>
          <w:numId w:val="0"/>
        </w:numPr>
        <w:tabs>
          <w:tab w:val="left" w:pos="740"/>
        </w:tabs>
        <w:adjustRightInd w:val="0"/>
        <w:snapToGrid w:val="0"/>
        <w:spacing w:line="400" w:lineRule="exact"/>
        <w:rPr>
          <w:rFonts w:ascii="仿宋" w:hAnsi="仿宋" w:eastAsia="仿宋" w:cs="仿宋"/>
          <w:iCs/>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是，《节能产品政府采购品目清单》的底级品目名称：</w:t>
      </w:r>
      <w:r>
        <w:rPr>
          <w:rFonts w:hint="eastAsia" w:ascii="仿宋" w:hAnsi="仿宋" w:eastAsia="仿宋" w:cs="仿宋"/>
          <w:szCs w:val="21"/>
          <w:highlight w:val="none"/>
          <w:u w:val="single"/>
        </w:rPr>
        <w:t xml:space="preserve">         </w:t>
      </w:r>
      <w:r>
        <w:rPr>
          <w:rFonts w:hint="eastAsia" w:ascii="仿宋" w:hAnsi="仿宋" w:eastAsia="仿宋" w:cs="仿宋"/>
          <w:iCs/>
          <w:szCs w:val="21"/>
          <w:highlight w:val="none"/>
        </w:rPr>
        <w:t xml:space="preserve">     </w:t>
      </w:r>
    </w:p>
    <w:p w14:paraId="34BB45D2">
      <w:pPr>
        <w:numPr>
          <w:ilvl w:val="255"/>
          <w:numId w:val="0"/>
        </w:numPr>
        <w:tabs>
          <w:tab w:val="left" w:pos="740"/>
        </w:tabs>
        <w:adjustRightInd w:val="0"/>
        <w:snapToGrid w:val="0"/>
        <w:spacing w:line="400" w:lineRule="exact"/>
        <w:rPr>
          <w:rFonts w:ascii="仿宋" w:hAnsi="仿宋" w:eastAsia="仿宋" w:cs="仿宋"/>
          <w:iCs/>
          <w:szCs w:val="21"/>
          <w:highlight w:val="none"/>
        </w:rPr>
      </w:pPr>
      <w:r>
        <w:rPr>
          <w:rFonts w:hint="eastAsia" w:ascii="仿宋" w:hAnsi="仿宋" w:eastAsia="仿宋" w:cs="仿宋"/>
          <w:iCs/>
          <w:szCs w:val="21"/>
          <w:highlight w:val="none"/>
        </w:rPr>
        <w:t xml:space="preserve">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强制采购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优先采购    </w:t>
      </w:r>
    </w:p>
    <w:p w14:paraId="3D2CBDB2">
      <w:pPr>
        <w:numPr>
          <w:ilvl w:val="255"/>
          <w:numId w:val="0"/>
        </w:numPr>
        <w:tabs>
          <w:tab w:val="left" w:pos="740"/>
        </w:tabs>
        <w:adjustRightInd w:val="0"/>
        <w:snapToGrid w:val="0"/>
        <w:spacing w:line="400" w:lineRule="exact"/>
        <w:rPr>
          <w:rFonts w:ascii="仿宋" w:hAnsi="仿宋" w:eastAsia="仿宋" w:cs="仿宋"/>
          <w:szCs w:val="21"/>
          <w:highlight w:val="none"/>
        </w:rPr>
      </w:pPr>
      <w:r>
        <w:rPr>
          <w:rFonts w:hint="eastAsia" w:ascii="仿宋" w:hAnsi="仿宋" w:eastAsia="仿宋" w:cs="仿宋"/>
          <w:iCs/>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否</w:t>
      </w:r>
    </w:p>
    <w:p w14:paraId="37A93CFE">
      <w:pPr>
        <w:numPr>
          <w:ilvl w:val="255"/>
          <w:numId w:val="0"/>
        </w:numPr>
        <w:tabs>
          <w:tab w:val="left" w:pos="740"/>
        </w:tabs>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是否涉及环境标志产品：</w:t>
      </w:r>
    </w:p>
    <w:p w14:paraId="6049A54A">
      <w:pPr>
        <w:numPr>
          <w:ilvl w:val="255"/>
          <w:numId w:val="0"/>
        </w:numPr>
        <w:tabs>
          <w:tab w:val="left" w:pos="740"/>
        </w:tabs>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是，《环境标志产品政府采购品目清单》的底级品目名称：</w:t>
      </w:r>
      <w:r>
        <w:rPr>
          <w:rFonts w:hint="eastAsia" w:ascii="仿宋" w:hAnsi="仿宋" w:eastAsia="仿宋" w:cs="仿宋"/>
          <w:szCs w:val="21"/>
          <w:highlight w:val="none"/>
          <w:u w:val="single"/>
        </w:rPr>
        <w:t xml:space="preserve">         </w:t>
      </w:r>
      <w:r>
        <w:rPr>
          <w:rFonts w:hint="eastAsia" w:ascii="仿宋" w:hAnsi="仿宋" w:eastAsia="仿宋" w:cs="仿宋"/>
          <w:iCs/>
          <w:szCs w:val="21"/>
          <w:highlight w:val="none"/>
        </w:rPr>
        <w:t xml:space="preserve"> </w:t>
      </w:r>
    </w:p>
    <w:p w14:paraId="29A9ABFB">
      <w:pPr>
        <w:numPr>
          <w:ilvl w:val="255"/>
          <w:numId w:val="0"/>
        </w:numPr>
        <w:tabs>
          <w:tab w:val="left" w:pos="740"/>
        </w:tabs>
        <w:adjustRightInd w:val="0"/>
        <w:snapToGrid w:val="0"/>
        <w:spacing w:line="400" w:lineRule="exact"/>
        <w:rPr>
          <w:rFonts w:ascii="仿宋" w:hAnsi="仿宋" w:eastAsia="仿宋" w:cs="仿宋"/>
          <w:iCs/>
          <w:szCs w:val="21"/>
          <w:highlight w:val="none"/>
        </w:rPr>
      </w:pPr>
      <w:r>
        <w:rPr>
          <w:rFonts w:hint="eastAsia" w:ascii="仿宋" w:hAnsi="仿宋" w:eastAsia="仿宋" w:cs="仿宋"/>
          <w:iCs/>
          <w:szCs w:val="21"/>
          <w:highlight w:val="none"/>
        </w:rPr>
        <w:t xml:space="preserve">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强制采购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优先采购    </w:t>
      </w:r>
    </w:p>
    <w:p w14:paraId="53854ED3">
      <w:pPr>
        <w:numPr>
          <w:ilvl w:val="255"/>
          <w:numId w:val="0"/>
        </w:numPr>
        <w:tabs>
          <w:tab w:val="left" w:pos="740"/>
        </w:tabs>
        <w:adjustRightInd w:val="0"/>
        <w:snapToGrid w:val="0"/>
        <w:spacing w:line="400" w:lineRule="exact"/>
        <w:rPr>
          <w:rFonts w:ascii="仿宋" w:hAnsi="仿宋" w:eastAsia="仿宋" w:cs="仿宋"/>
          <w:szCs w:val="21"/>
          <w:highlight w:val="none"/>
        </w:rPr>
      </w:pPr>
      <w:r>
        <w:rPr>
          <w:rFonts w:hint="eastAsia" w:ascii="仿宋" w:hAnsi="仿宋" w:eastAsia="仿宋" w:cs="仿宋"/>
          <w:iCs/>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否</w:t>
      </w:r>
    </w:p>
    <w:p w14:paraId="02EE156E">
      <w:pPr>
        <w:pStyle w:val="50"/>
        <w:numPr>
          <w:ilvl w:val="255"/>
          <w:numId w:val="0"/>
        </w:numPr>
        <w:snapToGrid w:val="0"/>
        <w:rPr>
          <w:rFonts w:ascii="仿宋" w:hAnsi="仿宋" w:eastAsia="仿宋" w:cs="仿宋"/>
          <w:kern w:val="2"/>
          <w:sz w:val="21"/>
          <w:highlight w:val="none"/>
        </w:rPr>
      </w:pPr>
      <w:r>
        <w:rPr>
          <w:rFonts w:hint="eastAsia" w:ascii="仿宋" w:hAnsi="仿宋" w:eastAsia="仿宋" w:cs="仿宋"/>
          <w:sz w:val="21"/>
          <w:highlight w:val="none"/>
        </w:rPr>
        <w:t xml:space="preserve">          </w:t>
      </w:r>
      <w:r>
        <w:rPr>
          <w:rFonts w:hint="eastAsia" w:ascii="仿宋" w:hAnsi="仿宋" w:eastAsia="仿宋" w:cs="仿宋"/>
          <w:kern w:val="2"/>
          <w:sz w:val="21"/>
          <w:highlight w:val="none"/>
        </w:rPr>
        <w:t xml:space="preserve">是否涉及绿色产品： </w:t>
      </w:r>
    </w:p>
    <w:p w14:paraId="2FA32D08">
      <w:pPr>
        <w:pStyle w:val="50"/>
        <w:ind w:firstLine="420" w:firstLineChars="0"/>
        <w:rPr>
          <w:rFonts w:ascii="仿宋" w:hAnsi="仿宋" w:eastAsia="仿宋" w:cs="仿宋"/>
          <w:highlight w:val="none"/>
          <w:u w:val="single"/>
        </w:rPr>
      </w:pPr>
      <w:r>
        <w:rPr>
          <w:rFonts w:hint="eastAsia" w:ascii="仿宋" w:hAnsi="仿宋" w:eastAsia="仿宋" w:cs="仿宋"/>
          <w:kern w:val="2"/>
          <w:sz w:val="21"/>
          <w:highlight w:val="none"/>
        </w:rPr>
        <w:t xml:space="preserve">     </w:t>
      </w:r>
      <w:r>
        <w:rPr>
          <w:rFonts w:hint="eastAsia" w:ascii="仿宋" w:hAnsi="仿宋" w:eastAsia="仿宋" w:cs="仿宋"/>
          <w:kern w:val="2"/>
          <w:sz w:val="21"/>
          <w:highlight w:val="none"/>
        </w:rPr>
        <w:sym w:font="Wingdings" w:char="00A8"/>
      </w:r>
      <w:r>
        <w:rPr>
          <w:rFonts w:hint="eastAsia" w:ascii="仿宋" w:hAnsi="仿宋" w:eastAsia="仿宋" w:cs="仿宋"/>
          <w:kern w:val="2"/>
          <w:sz w:val="21"/>
          <w:highlight w:val="none"/>
        </w:rPr>
        <w:t>是，绿色产品政府采购相关政策确定的底级品目名称：</w:t>
      </w:r>
      <w:r>
        <w:rPr>
          <w:rFonts w:hint="eastAsia" w:ascii="仿宋" w:hAnsi="仿宋" w:eastAsia="仿宋" w:cs="仿宋"/>
          <w:highlight w:val="none"/>
          <w:u w:val="single"/>
        </w:rPr>
        <w:t xml:space="preserve">         </w:t>
      </w:r>
    </w:p>
    <w:p w14:paraId="7A818862">
      <w:pPr>
        <w:numPr>
          <w:ilvl w:val="255"/>
          <w:numId w:val="0"/>
        </w:numPr>
        <w:tabs>
          <w:tab w:val="left" w:pos="740"/>
        </w:tabs>
        <w:adjustRightInd w:val="0"/>
        <w:snapToGrid w:val="0"/>
        <w:spacing w:line="400" w:lineRule="exact"/>
        <w:rPr>
          <w:rFonts w:ascii="仿宋" w:hAnsi="仿宋" w:eastAsia="仿宋" w:cs="仿宋"/>
          <w:iCs/>
          <w:szCs w:val="21"/>
          <w:highlight w:val="none"/>
        </w:rPr>
      </w:pPr>
      <w:r>
        <w:rPr>
          <w:rFonts w:hint="eastAsia" w:ascii="仿宋" w:hAnsi="仿宋" w:eastAsia="仿宋" w:cs="仿宋"/>
          <w:iCs/>
          <w:szCs w:val="21"/>
          <w:highlight w:val="none"/>
        </w:rPr>
        <w:t xml:space="preserve">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强制采购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优先采购    </w:t>
      </w:r>
    </w:p>
    <w:p w14:paraId="5AB13809">
      <w:pPr>
        <w:pStyle w:val="50"/>
        <w:ind w:firstLine="420" w:firstLineChars="0"/>
        <w:rPr>
          <w:rFonts w:ascii="仿宋" w:hAnsi="仿宋" w:eastAsia="仿宋" w:cs="仿宋"/>
          <w:sz w:val="21"/>
          <w:highlight w:val="none"/>
        </w:rPr>
      </w:pPr>
      <w:r>
        <w:rPr>
          <w:rFonts w:hint="eastAsia" w:ascii="仿宋" w:hAnsi="仿宋" w:eastAsia="仿宋" w:cs="仿宋"/>
          <w:kern w:val="2"/>
          <w:sz w:val="21"/>
          <w:highlight w:val="none"/>
        </w:rPr>
        <w:t xml:space="preserve">     </w:t>
      </w:r>
      <w:r>
        <w:rPr>
          <w:rFonts w:hint="eastAsia" w:ascii="仿宋" w:hAnsi="仿宋" w:eastAsia="仿宋" w:cs="仿宋"/>
          <w:kern w:val="2"/>
          <w:sz w:val="21"/>
          <w:highlight w:val="none"/>
        </w:rPr>
        <w:sym w:font="Wingdings" w:char="00A8"/>
      </w:r>
      <w:r>
        <w:rPr>
          <w:rFonts w:hint="eastAsia" w:ascii="仿宋" w:hAnsi="仿宋" w:eastAsia="仿宋" w:cs="仿宋"/>
          <w:kern w:val="2"/>
          <w:sz w:val="21"/>
          <w:highlight w:val="none"/>
        </w:rPr>
        <w:t>否</w:t>
      </w:r>
    </w:p>
    <w:p w14:paraId="10C0E22D">
      <w:pPr>
        <w:numPr>
          <w:ilvl w:val="255"/>
          <w:numId w:val="0"/>
        </w:num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（1</w:t>
      </w:r>
      <w:r>
        <w:rPr>
          <w:rFonts w:hint="eastAsia" w:ascii="仿宋" w:hAnsi="仿宋" w:eastAsia="仿宋" w:cs="仿宋"/>
          <w:szCs w:val="21"/>
          <w:highlight w:val="none"/>
          <w:lang w:val="en"/>
        </w:rPr>
        <w:t>1</w:t>
      </w:r>
      <w:r>
        <w:rPr>
          <w:rFonts w:hint="eastAsia" w:ascii="仿宋" w:hAnsi="仿宋" w:eastAsia="仿宋" w:cs="仿宋"/>
          <w:szCs w:val="21"/>
          <w:highlight w:val="none"/>
        </w:rPr>
        <w:t>）涉及商品包装和快递包装的，是否参考《商品包装政府采购需求标准（试行）》、《快递包装政府采购需求标准（试行）》明确产品及相关快递服务的具体包装要求：</w:t>
      </w:r>
    </w:p>
    <w:p w14:paraId="6A8B67D4">
      <w:pPr>
        <w:numPr>
          <w:ilvl w:val="255"/>
          <w:numId w:val="0"/>
        </w:numPr>
        <w:adjustRightInd w:val="0"/>
        <w:snapToGrid w:val="0"/>
        <w:spacing w:line="400" w:lineRule="exact"/>
        <w:ind w:firstLine="840" w:firstLineChars="400"/>
        <w:rPr>
          <w:rFonts w:ascii="仿宋" w:hAnsi="仿宋" w:eastAsia="仿宋" w:cs="仿宋"/>
          <w:szCs w:val="21"/>
          <w:highlight w:val="none"/>
        </w:rPr>
      </w:pPr>
      <w:r>
        <w:rPr>
          <w:rFonts w:hint="eastAsia" w:ascii="仿宋" w:hAnsi="仿宋" w:eastAsia="仿宋" w:cs="仿宋"/>
          <w:szCs w:val="21"/>
          <w:highlight w:val="none"/>
        </w:rPr>
        <w:sym w:font="Wingdings" w:char="00A8"/>
      </w:r>
      <w:r>
        <w:rPr>
          <w:rFonts w:hint="eastAsia" w:ascii="仿宋" w:hAnsi="仿宋" w:eastAsia="仿宋" w:cs="仿宋"/>
          <w:szCs w:val="21"/>
          <w:highlight w:val="none"/>
        </w:rPr>
        <w:t xml:space="preserve">是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 xml:space="preserve">否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不涉及</w:t>
      </w:r>
    </w:p>
    <w:p w14:paraId="113CB195">
      <w:pPr>
        <w:numPr>
          <w:ilvl w:val="0"/>
          <w:numId w:val="9"/>
        </w:numPr>
        <w:adjustRightInd w:val="0"/>
        <w:snapToGrid w:val="0"/>
        <w:spacing w:line="400" w:lineRule="exact"/>
        <w:ind w:firstLine="422" w:firstLineChars="200"/>
        <w:rPr>
          <w:rFonts w:ascii="仿宋" w:hAnsi="仿宋" w:eastAsia="仿宋" w:cs="仿宋"/>
          <w:b/>
          <w:szCs w:val="21"/>
          <w:highlight w:val="none"/>
        </w:rPr>
      </w:pPr>
      <w:r>
        <w:rPr>
          <w:rFonts w:hint="eastAsia" w:ascii="仿宋" w:hAnsi="仿宋" w:eastAsia="仿宋" w:cs="仿宋"/>
          <w:b/>
          <w:szCs w:val="21"/>
          <w:highlight w:val="none"/>
        </w:rPr>
        <w:t>合同金额</w:t>
      </w:r>
    </w:p>
    <w:p w14:paraId="0823D007">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（1）合同金额小写：</w:t>
      </w:r>
      <w:r>
        <w:rPr>
          <w:rFonts w:hint="eastAsia" w:ascii="仿宋" w:hAnsi="仿宋" w:eastAsia="仿宋" w:cs="仿宋"/>
          <w:szCs w:val="21"/>
          <w:highlight w:val="none"/>
          <w:u w:val="single"/>
        </w:rPr>
        <w:t xml:space="preserve">                           </w:t>
      </w:r>
    </w:p>
    <w:p w14:paraId="4EF6062C">
      <w:pPr>
        <w:adjustRightInd w:val="0"/>
        <w:snapToGrid w:val="0"/>
        <w:spacing w:line="400" w:lineRule="exact"/>
        <w:rPr>
          <w:rFonts w:ascii="仿宋" w:hAnsi="仿宋" w:eastAsia="仿宋" w:cs="仿宋"/>
          <w:szCs w:val="21"/>
          <w:highlight w:val="none"/>
          <w:u w:val="single"/>
        </w:rPr>
      </w:pPr>
      <w:r>
        <w:rPr>
          <w:rFonts w:hint="eastAsia" w:ascii="仿宋" w:hAnsi="仿宋" w:eastAsia="仿宋" w:cs="仿宋"/>
          <w:szCs w:val="21"/>
          <w:highlight w:val="none"/>
        </w:rPr>
        <w:t xml:space="preserve">                 大写：</w:t>
      </w:r>
      <w:r>
        <w:rPr>
          <w:rFonts w:hint="eastAsia" w:ascii="仿宋" w:hAnsi="仿宋" w:eastAsia="仿宋" w:cs="仿宋"/>
          <w:szCs w:val="21"/>
          <w:highlight w:val="none"/>
          <w:u w:val="single"/>
        </w:rPr>
        <w:t xml:space="preserve">                           </w:t>
      </w:r>
    </w:p>
    <w:p w14:paraId="4B758360">
      <w:p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分包金额（如有）小写：</w:t>
      </w:r>
      <w:r>
        <w:rPr>
          <w:rFonts w:hint="eastAsia" w:ascii="仿宋" w:hAnsi="仿宋" w:eastAsia="仿宋" w:cs="仿宋"/>
          <w:szCs w:val="21"/>
          <w:highlight w:val="none"/>
          <w:u w:val="single"/>
        </w:rPr>
        <w:t xml:space="preserve">                   </w:t>
      </w:r>
    </w:p>
    <w:p w14:paraId="18F43C78">
      <w:pPr>
        <w:adjustRightInd w:val="0"/>
        <w:snapToGrid w:val="0"/>
        <w:spacing w:line="400" w:lineRule="exact"/>
        <w:rPr>
          <w:rFonts w:ascii="仿宋" w:hAnsi="仿宋" w:eastAsia="仿宋" w:cs="仿宋"/>
          <w:szCs w:val="21"/>
          <w:highlight w:val="none"/>
          <w:u w:val="single"/>
        </w:rPr>
      </w:pPr>
      <w:r>
        <w:rPr>
          <w:rFonts w:hint="eastAsia" w:ascii="仿宋" w:hAnsi="仿宋" w:eastAsia="仿宋" w:cs="仿宋"/>
          <w:szCs w:val="21"/>
          <w:highlight w:val="none"/>
        </w:rPr>
        <w:t xml:space="preserve">                     大写：</w:t>
      </w:r>
      <w:r>
        <w:rPr>
          <w:rFonts w:hint="eastAsia" w:ascii="仿宋" w:hAnsi="仿宋" w:eastAsia="仿宋" w:cs="仿宋"/>
          <w:szCs w:val="21"/>
          <w:highlight w:val="none"/>
          <w:u w:val="single"/>
        </w:rPr>
        <w:t xml:space="preserve">                       </w:t>
      </w:r>
    </w:p>
    <w:p w14:paraId="3F11EBD3">
      <w:p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（注：固定单价合同应填写单价和最高限价）</w:t>
      </w:r>
    </w:p>
    <w:p w14:paraId="2CC2087A">
      <w:pPr>
        <w:numPr>
          <w:ilvl w:val="255"/>
          <w:numId w:val="0"/>
        </w:numPr>
        <w:adjustRightInd w:val="0"/>
        <w:snapToGrid w:val="0"/>
        <w:spacing w:line="400" w:lineRule="exact"/>
        <w:rPr>
          <w:rFonts w:ascii="仿宋" w:hAnsi="仿宋" w:eastAsia="仿宋" w:cs="仿宋"/>
          <w:szCs w:val="21"/>
          <w:highlight w:val="none"/>
        </w:rPr>
      </w:pPr>
      <w:r>
        <w:rPr>
          <w:rFonts w:hint="eastAsia" w:ascii="仿宋" w:hAnsi="仿宋" w:eastAsia="仿宋" w:cs="仿宋"/>
          <w:szCs w:val="21"/>
          <w:highlight w:val="none"/>
        </w:rPr>
        <w:t xml:space="preserve">    （2）合同定价方式（采用组合定价方式的，可以勾选多项）：</w:t>
      </w:r>
    </w:p>
    <w:p w14:paraId="32333475">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iCs/>
          <w:szCs w:val="21"/>
          <w:highlight w:val="none"/>
        </w:rPr>
        <w:t xml:space="preserve">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固定总价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固定单价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固定费率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成本补偿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绩效激励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其他</w:t>
      </w:r>
      <w:r>
        <w:rPr>
          <w:rFonts w:hint="eastAsia" w:ascii="仿宋" w:hAnsi="仿宋" w:eastAsia="仿宋" w:cs="仿宋"/>
          <w:szCs w:val="21"/>
          <w:highlight w:val="none"/>
          <w:u w:val="single"/>
        </w:rPr>
        <w:t xml:space="preserve">       </w:t>
      </w:r>
    </w:p>
    <w:p w14:paraId="19DB981E">
      <w:pPr>
        <w:pStyle w:val="51"/>
        <w:spacing w:line="400" w:lineRule="exact"/>
        <w:rPr>
          <w:rFonts w:ascii="仿宋" w:hAnsi="仿宋" w:eastAsia="仿宋" w:cs="仿宋"/>
          <w:highlight w:val="none"/>
        </w:rPr>
      </w:pPr>
      <w:r>
        <w:rPr>
          <w:rFonts w:hint="eastAsia" w:ascii="仿宋" w:hAnsi="仿宋" w:eastAsia="仿宋" w:cs="仿宋"/>
          <w:highlight w:val="none"/>
        </w:rPr>
        <w:t>（3）付款方式（按项目实际勾选填写）：</w:t>
      </w:r>
    </w:p>
    <w:p w14:paraId="28F4BD93">
      <w:pPr>
        <w:adjustRightInd w:val="0"/>
        <w:snapToGrid w:val="0"/>
        <w:spacing w:line="400" w:lineRule="exact"/>
        <w:ind w:firstLine="630" w:firstLineChars="300"/>
        <w:rPr>
          <w:rFonts w:ascii="仿宋" w:hAnsi="仿宋" w:eastAsia="仿宋" w:cs="仿宋"/>
          <w:szCs w:val="21"/>
          <w:highlight w:val="none"/>
          <w:u w:val="single"/>
        </w:rPr>
      </w:pPr>
      <w:r>
        <w:rPr>
          <w:rFonts w:hint="eastAsia" w:ascii="仿宋" w:hAnsi="仿宋" w:eastAsia="仿宋" w:cs="仿宋"/>
          <w:szCs w:val="21"/>
          <w:highlight w:val="none"/>
        </w:rPr>
        <w:sym w:font="Wingdings" w:char="00A8"/>
      </w:r>
      <w:r>
        <w:rPr>
          <w:rFonts w:hint="eastAsia" w:ascii="仿宋" w:hAnsi="仿宋" w:eastAsia="仿宋" w:cs="仿宋"/>
          <w:szCs w:val="21"/>
          <w:highlight w:val="none"/>
        </w:rPr>
        <w:t>全额付款：</w:t>
      </w:r>
      <w:r>
        <w:rPr>
          <w:rFonts w:hint="eastAsia" w:ascii="仿宋" w:hAnsi="仿宋" w:eastAsia="仿宋" w:cs="仿宋"/>
          <w:szCs w:val="21"/>
          <w:highlight w:val="none"/>
          <w:u w:val="single"/>
        </w:rPr>
        <w:t xml:space="preserve">     （应明确一次性支付合同款项的条件）                    </w:t>
      </w:r>
    </w:p>
    <w:p w14:paraId="2B0D72EB">
      <w:pPr>
        <w:snapToGrid w:val="0"/>
        <w:spacing w:line="400" w:lineRule="exact"/>
        <w:ind w:firstLine="630" w:firstLineChars="300"/>
        <w:rPr>
          <w:rFonts w:ascii="仿宋" w:hAnsi="仿宋" w:eastAsia="仿宋" w:cs="仿宋"/>
          <w:highlight w:val="none"/>
        </w:rPr>
      </w:pPr>
      <w:r>
        <w:rPr>
          <w:rFonts w:hint="eastAsia" w:ascii="仿宋" w:hAnsi="仿宋" w:eastAsia="仿宋" w:cs="仿宋"/>
          <w:szCs w:val="21"/>
          <w:highlight w:val="none"/>
        </w:rPr>
        <w:sym w:font="Wingdings" w:char="00A8"/>
      </w:r>
      <w:r>
        <w:rPr>
          <w:rFonts w:hint="eastAsia" w:ascii="仿宋" w:hAnsi="仿宋" w:eastAsia="仿宋" w:cs="仿宋"/>
          <w:szCs w:val="21"/>
          <w:highlight w:val="none"/>
        </w:rPr>
        <w:t>分期付款：</w:t>
      </w:r>
      <w:r>
        <w:rPr>
          <w:rFonts w:hint="eastAsia" w:ascii="仿宋" w:hAnsi="仿宋" w:eastAsia="仿宋" w:cs="仿宋"/>
          <w:szCs w:val="21"/>
          <w:highlight w:val="none"/>
          <w:u w:val="single"/>
        </w:rPr>
        <w:t xml:space="preserve">  （应明确分期支付合同款项的各期比例和支付条件，各期支付条件应与分期履约验收情况挂钩） </w:t>
      </w:r>
      <w:r>
        <w:rPr>
          <w:rFonts w:hint="eastAsia" w:ascii="仿宋" w:hAnsi="仿宋" w:eastAsia="仿宋" w:cs="仿宋"/>
          <w:szCs w:val="21"/>
          <w:highlight w:val="none"/>
        </w:rPr>
        <w:t>，其中涉及预付款的：</w:t>
      </w:r>
      <w:r>
        <w:rPr>
          <w:rFonts w:hint="eastAsia" w:ascii="仿宋" w:hAnsi="仿宋" w:eastAsia="仿宋" w:cs="仿宋"/>
          <w:szCs w:val="21"/>
          <w:highlight w:val="none"/>
          <w:u w:val="single"/>
        </w:rPr>
        <w:t xml:space="preserve"> （应明确预付款的支付比例和支付条件） </w:t>
      </w:r>
    </w:p>
    <w:p w14:paraId="39C6E4C1">
      <w:pPr>
        <w:adjustRightInd w:val="0"/>
        <w:snapToGrid w:val="0"/>
        <w:spacing w:line="400" w:lineRule="exact"/>
        <w:ind w:firstLine="630" w:firstLineChars="300"/>
        <w:rPr>
          <w:rFonts w:ascii="仿宋" w:hAnsi="仿宋" w:eastAsia="仿宋" w:cs="仿宋"/>
          <w:szCs w:val="21"/>
          <w:highlight w:val="none"/>
          <w:u w:val="single"/>
        </w:rPr>
      </w:pPr>
      <w:r>
        <w:rPr>
          <w:rFonts w:hint="eastAsia" w:ascii="仿宋" w:hAnsi="仿宋" w:eastAsia="仿宋" w:cs="仿宋"/>
          <w:szCs w:val="21"/>
          <w:highlight w:val="none"/>
        </w:rPr>
        <w:sym w:font="Wingdings" w:char="00A8"/>
      </w:r>
      <w:r>
        <w:rPr>
          <w:rFonts w:hint="eastAsia" w:ascii="仿宋" w:hAnsi="仿宋" w:eastAsia="仿宋" w:cs="仿宋"/>
          <w:szCs w:val="21"/>
          <w:highlight w:val="none"/>
        </w:rPr>
        <w:t>成本补偿：</w:t>
      </w:r>
      <w:r>
        <w:rPr>
          <w:rFonts w:hint="eastAsia" w:ascii="仿宋" w:hAnsi="仿宋" w:eastAsia="仿宋" w:cs="仿宋"/>
          <w:szCs w:val="21"/>
          <w:highlight w:val="none"/>
          <w:u w:val="single"/>
        </w:rPr>
        <w:t xml:space="preserve">      （应明确按照成本补偿方式的支付方式和支付条件）   </w:t>
      </w:r>
    </w:p>
    <w:p w14:paraId="7F62D49E">
      <w:pPr>
        <w:adjustRightInd w:val="0"/>
        <w:snapToGrid w:val="0"/>
        <w:spacing w:line="400" w:lineRule="exact"/>
        <w:ind w:firstLine="630" w:firstLineChars="300"/>
        <w:rPr>
          <w:rFonts w:ascii="仿宋" w:hAnsi="仿宋" w:eastAsia="仿宋" w:cs="仿宋"/>
          <w:szCs w:val="21"/>
          <w:highlight w:val="none"/>
        </w:rPr>
      </w:pPr>
      <w:r>
        <w:rPr>
          <w:rFonts w:hint="eastAsia" w:ascii="仿宋" w:hAnsi="仿宋" w:eastAsia="仿宋" w:cs="仿宋"/>
          <w:szCs w:val="21"/>
          <w:highlight w:val="none"/>
        </w:rPr>
        <w:sym w:font="Wingdings" w:char="00A8"/>
      </w:r>
      <w:r>
        <w:rPr>
          <w:rFonts w:hint="eastAsia" w:ascii="仿宋" w:hAnsi="仿宋" w:eastAsia="仿宋" w:cs="仿宋"/>
          <w:szCs w:val="21"/>
          <w:highlight w:val="none"/>
        </w:rPr>
        <w:t>绩效激励：</w:t>
      </w:r>
      <w:r>
        <w:rPr>
          <w:rFonts w:hint="eastAsia" w:ascii="仿宋" w:hAnsi="仿宋" w:eastAsia="仿宋" w:cs="仿宋"/>
          <w:szCs w:val="21"/>
          <w:highlight w:val="none"/>
          <w:u w:val="single"/>
        </w:rPr>
        <w:t xml:space="preserve">      （应明确按照绩效激励方式的支付方式和支付条件）   </w:t>
      </w:r>
    </w:p>
    <w:p w14:paraId="069055A1">
      <w:pPr>
        <w:numPr>
          <w:ilvl w:val="0"/>
          <w:numId w:val="9"/>
        </w:numPr>
        <w:adjustRightInd w:val="0"/>
        <w:snapToGrid w:val="0"/>
        <w:spacing w:line="400" w:lineRule="exact"/>
        <w:ind w:firstLine="422" w:firstLineChars="200"/>
        <w:rPr>
          <w:rFonts w:ascii="仿宋" w:hAnsi="仿宋" w:eastAsia="仿宋" w:cs="仿宋"/>
          <w:b/>
          <w:szCs w:val="21"/>
          <w:highlight w:val="none"/>
          <w:u w:val="single"/>
        </w:rPr>
      </w:pPr>
      <w:r>
        <w:rPr>
          <w:rFonts w:hint="eastAsia" w:ascii="仿宋" w:hAnsi="仿宋" w:eastAsia="仿宋" w:cs="仿宋"/>
          <w:b/>
          <w:szCs w:val="21"/>
          <w:highlight w:val="none"/>
        </w:rPr>
        <w:t>合同履行</w:t>
      </w:r>
    </w:p>
    <w:p w14:paraId="67D34D40">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（1）起始日期：</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日，完成日期：</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p>
    <w:p w14:paraId="5B270065">
      <w:pPr>
        <w:adjustRightInd w:val="0"/>
        <w:snapToGrid w:val="0"/>
        <w:spacing w:line="400" w:lineRule="exact"/>
        <w:ind w:firstLine="420" w:firstLineChars="200"/>
        <w:rPr>
          <w:rFonts w:ascii="仿宋" w:hAnsi="仿宋" w:eastAsia="仿宋" w:cs="仿宋"/>
          <w:szCs w:val="21"/>
          <w:highlight w:val="none"/>
          <w:u w:val="single"/>
        </w:rPr>
      </w:pPr>
      <w:r>
        <w:rPr>
          <w:rFonts w:hint="eastAsia" w:ascii="仿宋" w:hAnsi="仿宋" w:eastAsia="仿宋" w:cs="仿宋"/>
          <w:szCs w:val="21"/>
          <w:highlight w:val="none"/>
        </w:rPr>
        <w:t>（2）履约地点</w:t>
      </w:r>
      <w:r>
        <w:rPr>
          <w:rFonts w:hint="eastAsia" w:ascii="仿宋" w:hAnsi="仿宋" w:eastAsia="仿宋" w:cs="仿宋"/>
          <w:bCs/>
          <w:szCs w:val="21"/>
          <w:highlight w:val="none"/>
        </w:rPr>
        <w:t>：</w:t>
      </w:r>
      <w:r>
        <w:rPr>
          <w:rFonts w:hint="eastAsia" w:ascii="仿宋" w:hAnsi="仿宋" w:eastAsia="仿宋" w:cs="仿宋"/>
          <w:szCs w:val="21"/>
          <w:highlight w:val="none"/>
          <w:u w:val="single"/>
        </w:rPr>
        <w:t xml:space="preserve">                             </w:t>
      </w:r>
    </w:p>
    <w:p w14:paraId="76CABB7D">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bCs/>
          <w:szCs w:val="21"/>
          <w:highlight w:val="none"/>
        </w:rPr>
        <w:t>（3）履约担保：</w:t>
      </w:r>
      <w:r>
        <w:rPr>
          <w:rFonts w:hint="eastAsia" w:ascii="仿宋" w:hAnsi="仿宋" w:eastAsia="仿宋" w:cs="仿宋"/>
          <w:highlight w:val="none"/>
        </w:rPr>
        <w:t>是否收取履约保证金：</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 xml:space="preserve">是    </w:t>
      </w:r>
      <w:r>
        <w:rPr>
          <w:rFonts w:hint="eastAsia" w:ascii="仿宋" w:hAnsi="仿宋" w:eastAsia="仿宋" w:cs="仿宋"/>
          <w:szCs w:val="21"/>
          <w:highlight w:val="none"/>
        </w:rPr>
        <w:sym w:font="Wingdings" w:char="00A8"/>
      </w:r>
      <w:r>
        <w:rPr>
          <w:rFonts w:hint="eastAsia" w:ascii="仿宋" w:hAnsi="仿宋" w:eastAsia="仿宋" w:cs="仿宋"/>
          <w:szCs w:val="21"/>
          <w:highlight w:val="none"/>
        </w:rPr>
        <w:t>否</w:t>
      </w:r>
    </w:p>
    <w:p w14:paraId="1324E658">
      <w:pPr>
        <w:pStyle w:val="50"/>
        <w:rPr>
          <w:rFonts w:ascii="仿宋" w:hAnsi="仿宋" w:eastAsia="仿宋" w:cs="仿宋"/>
          <w:sz w:val="21"/>
          <w:highlight w:val="none"/>
        </w:rPr>
      </w:pPr>
      <w:r>
        <w:rPr>
          <w:rFonts w:hint="eastAsia" w:ascii="仿宋" w:hAnsi="仿宋" w:eastAsia="仿宋" w:cs="仿宋"/>
          <w:bCs/>
          <w:highlight w:val="none"/>
        </w:rPr>
        <w:t xml:space="preserve">  </w:t>
      </w:r>
      <w:r>
        <w:rPr>
          <w:rFonts w:hint="eastAsia" w:ascii="仿宋" w:hAnsi="仿宋" w:eastAsia="仿宋" w:cs="仿宋"/>
          <w:sz w:val="21"/>
          <w:highlight w:val="none"/>
        </w:rPr>
        <w:t xml:space="preserve">  收取履约保证金形式：</w:t>
      </w:r>
      <w:r>
        <w:rPr>
          <w:rFonts w:hint="eastAsia" w:ascii="仿宋" w:hAnsi="仿宋" w:eastAsia="仿宋" w:cs="仿宋"/>
          <w:bCs/>
          <w:sz w:val="21"/>
          <w:highlight w:val="none"/>
          <w:u w:val="single"/>
        </w:rPr>
        <w:t xml:space="preserve">                            </w:t>
      </w:r>
    </w:p>
    <w:p w14:paraId="55BD7C94">
      <w:pPr>
        <w:pStyle w:val="50"/>
        <w:ind w:firstLine="420"/>
        <w:rPr>
          <w:rFonts w:ascii="仿宋" w:hAnsi="仿宋" w:eastAsia="仿宋" w:cs="仿宋"/>
          <w:sz w:val="21"/>
          <w:highlight w:val="none"/>
        </w:rPr>
      </w:pPr>
      <w:r>
        <w:rPr>
          <w:rFonts w:hint="eastAsia" w:ascii="仿宋" w:hAnsi="仿宋" w:eastAsia="仿宋" w:cs="仿宋"/>
          <w:sz w:val="21"/>
          <w:highlight w:val="none"/>
        </w:rPr>
        <w:t xml:space="preserve">    收取履约保证金金额：</w:t>
      </w:r>
      <w:r>
        <w:rPr>
          <w:rFonts w:hint="eastAsia" w:ascii="仿宋" w:hAnsi="仿宋" w:eastAsia="仿宋" w:cs="仿宋"/>
          <w:bCs/>
          <w:sz w:val="21"/>
          <w:highlight w:val="none"/>
          <w:u w:val="single"/>
        </w:rPr>
        <w:t xml:space="preserve">                            </w:t>
      </w:r>
    </w:p>
    <w:p w14:paraId="2CB7925D">
      <w:pPr>
        <w:snapToGrid w:val="0"/>
        <w:spacing w:line="400" w:lineRule="exact"/>
        <w:ind w:firstLine="420" w:firstLineChars="200"/>
        <w:rPr>
          <w:rFonts w:ascii="仿宋" w:hAnsi="仿宋" w:eastAsia="仿宋" w:cs="仿宋"/>
          <w:highlight w:val="none"/>
        </w:rPr>
      </w:pPr>
      <w:r>
        <w:rPr>
          <w:rFonts w:hint="eastAsia" w:ascii="仿宋" w:hAnsi="仿宋" w:eastAsia="仿宋" w:cs="仿宋"/>
          <w:bCs/>
          <w:szCs w:val="21"/>
          <w:highlight w:val="none"/>
        </w:rPr>
        <w:t xml:space="preserve">    履约担保期限：</w:t>
      </w:r>
      <w:r>
        <w:rPr>
          <w:rFonts w:hint="eastAsia" w:ascii="仿宋" w:hAnsi="仿宋" w:eastAsia="仿宋" w:cs="仿宋"/>
          <w:bCs/>
          <w:szCs w:val="21"/>
          <w:highlight w:val="none"/>
          <w:u w:val="single"/>
        </w:rPr>
        <w:t xml:space="preserve">                                  </w:t>
      </w:r>
    </w:p>
    <w:p w14:paraId="43761A6F">
      <w:pPr>
        <w:adjustRightInd w:val="0"/>
        <w:snapToGrid w:val="0"/>
        <w:spacing w:line="400" w:lineRule="exact"/>
        <w:ind w:firstLine="420" w:firstLineChars="200"/>
        <w:rPr>
          <w:rFonts w:ascii="仿宋" w:hAnsi="仿宋" w:eastAsia="仿宋" w:cs="仿宋"/>
          <w:bCs/>
          <w:szCs w:val="21"/>
          <w:highlight w:val="none"/>
        </w:rPr>
      </w:pPr>
      <w:r>
        <w:rPr>
          <w:rFonts w:hint="eastAsia" w:ascii="仿宋" w:hAnsi="仿宋" w:eastAsia="仿宋" w:cs="仿宋"/>
          <w:bCs/>
          <w:szCs w:val="21"/>
          <w:highlight w:val="none"/>
        </w:rPr>
        <w:t>（4）分期履行要求：</w:t>
      </w:r>
      <w:r>
        <w:rPr>
          <w:rFonts w:hint="eastAsia" w:ascii="仿宋" w:hAnsi="仿宋" w:eastAsia="仿宋" w:cs="仿宋"/>
          <w:bCs/>
          <w:szCs w:val="21"/>
          <w:highlight w:val="none"/>
          <w:u w:val="single"/>
        </w:rPr>
        <w:t xml:space="preserve">                                                        </w:t>
      </w:r>
    </w:p>
    <w:p w14:paraId="0868FB59">
      <w:pPr>
        <w:adjustRightInd w:val="0"/>
        <w:snapToGrid w:val="0"/>
        <w:spacing w:line="400" w:lineRule="exact"/>
        <w:ind w:firstLine="420" w:firstLineChars="200"/>
        <w:rPr>
          <w:rFonts w:ascii="仿宋" w:hAnsi="仿宋" w:eastAsia="仿宋" w:cs="仿宋"/>
          <w:szCs w:val="21"/>
          <w:highlight w:val="none"/>
          <w:u w:val="single"/>
        </w:rPr>
      </w:pPr>
      <w:r>
        <w:rPr>
          <w:rFonts w:hint="eastAsia" w:ascii="仿宋" w:hAnsi="仿宋" w:eastAsia="仿宋" w:cs="仿宋"/>
          <w:bCs/>
          <w:szCs w:val="21"/>
          <w:highlight w:val="none"/>
        </w:rPr>
        <w:t>（5）风险处置措施和替代方案：</w:t>
      </w:r>
      <w:r>
        <w:rPr>
          <w:rFonts w:hint="eastAsia" w:ascii="仿宋" w:hAnsi="仿宋" w:eastAsia="仿宋" w:cs="仿宋"/>
          <w:color w:val="0000FF"/>
          <w:szCs w:val="21"/>
          <w:highlight w:val="none"/>
          <w:u w:val="single"/>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szCs w:val="21"/>
          <w:highlight w:val="none"/>
          <w:u w:val="single"/>
        </w:rPr>
        <w:t xml:space="preserve">                                                </w:t>
      </w:r>
    </w:p>
    <w:p w14:paraId="4A2FE577">
      <w:pPr>
        <w:numPr>
          <w:ilvl w:val="0"/>
          <w:numId w:val="9"/>
        </w:numPr>
        <w:adjustRightInd w:val="0"/>
        <w:snapToGrid w:val="0"/>
        <w:spacing w:line="400" w:lineRule="exact"/>
        <w:ind w:firstLine="422" w:firstLineChars="200"/>
        <w:rPr>
          <w:rFonts w:ascii="仿宋" w:hAnsi="仿宋" w:eastAsia="仿宋" w:cs="仿宋"/>
          <w:b/>
          <w:szCs w:val="21"/>
          <w:highlight w:val="none"/>
        </w:rPr>
      </w:pPr>
      <w:r>
        <w:rPr>
          <w:rFonts w:hint="eastAsia" w:ascii="仿宋" w:hAnsi="仿宋" w:eastAsia="仿宋" w:cs="仿宋"/>
          <w:b/>
          <w:szCs w:val="21"/>
          <w:highlight w:val="none"/>
        </w:rPr>
        <w:t>合同验收</w:t>
      </w:r>
    </w:p>
    <w:p w14:paraId="5E561CE9">
      <w:pPr>
        <w:numPr>
          <w:ilvl w:val="0"/>
          <w:numId w:val="11"/>
        </w:numPr>
        <w:adjustRightInd w:val="0"/>
        <w:snapToGrid w:val="0"/>
        <w:spacing w:line="400" w:lineRule="exact"/>
        <w:ind w:firstLine="420" w:firstLineChars="200"/>
        <w:rPr>
          <w:rFonts w:ascii="仿宋" w:hAnsi="仿宋" w:eastAsia="仿宋" w:cs="仿宋"/>
          <w:bCs/>
          <w:szCs w:val="21"/>
          <w:highlight w:val="none"/>
        </w:rPr>
      </w:pPr>
      <w:r>
        <w:rPr>
          <w:rFonts w:hint="eastAsia" w:ascii="仿宋" w:hAnsi="仿宋" w:eastAsia="仿宋" w:cs="仿宋"/>
          <w:bCs/>
          <w:szCs w:val="21"/>
          <w:highlight w:val="none"/>
        </w:rPr>
        <w:t>验收组织方式：</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 xml:space="preserve">自行组织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委托第三方组织</w:t>
      </w:r>
    </w:p>
    <w:p w14:paraId="4DEF11AB">
      <w:pPr>
        <w:adjustRightInd w:val="0"/>
        <w:snapToGrid w:val="0"/>
        <w:spacing w:line="400" w:lineRule="exact"/>
        <w:rPr>
          <w:rFonts w:ascii="仿宋" w:hAnsi="仿宋" w:eastAsia="仿宋" w:cs="仿宋"/>
          <w:bCs/>
          <w:szCs w:val="21"/>
          <w:highlight w:val="none"/>
        </w:rPr>
      </w:pPr>
      <w:r>
        <w:rPr>
          <w:rFonts w:hint="eastAsia" w:ascii="仿宋" w:hAnsi="仿宋" w:eastAsia="仿宋" w:cs="仿宋"/>
          <w:bCs/>
          <w:szCs w:val="21"/>
          <w:highlight w:val="none"/>
        </w:rPr>
        <w:t xml:space="preserve">         验收主体：</w:t>
      </w:r>
      <w:r>
        <w:rPr>
          <w:rFonts w:hint="eastAsia" w:ascii="仿宋" w:hAnsi="仿宋" w:eastAsia="仿宋" w:cs="仿宋"/>
          <w:bCs/>
          <w:szCs w:val="21"/>
          <w:highlight w:val="none"/>
          <w:u w:val="single"/>
        </w:rPr>
        <w:t xml:space="preserve">                  </w:t>
      </w:r>
    </w:p>
    <w:p w14:paraId="33F5C969">
      <w:pPr>
        <w:adjustRightInd w:val="0"/>
        <w:snapToGrid w:val="0"/>
        <w:spacing w:line="400" w:lineRule="exact"/>
        <w:rPr>
          <w:rFonts w:ascii="仿宋" w:hAnsi="仿宋" w:eastAsia="仿宋" w:cs="仿宋"/>
          <w:bCs/>
          <w:szCs w:val="21"/>
          <w:highlight w:val="none"/>
        </w:rPr>
      </w:pPr>
      <w:r>
        <w:rPr>
          <w:rFonts w:hint="eastAsia" w:ascii="仿宋" w:hAnsi="仿宋" w:eastAsia="仿宋" w:cs="仿宋"/>
          <w:bCs/>
          <w:szCs w:val="21"/>
          <w:highlight w:val="none"/>
        </w:rPr>
        <w:t xml:space="preserve">        是否邀请本项目的其他供应商参加验收：</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 xml:space="preserve">是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否</w:t>
      </w:r>
    </w:p>
    <w:p w14:paraId="1F6E05E0">
      <w:pPr>
        <w:adjustRightInd w:val="0"/>
        <w:snapToGrid w:val="0"/>
        <w:spacing w:line="400" w:lineRule="exact"/>
        <w:ind w:firstLine="840" w:firstLineChars="400"/>
        <w:rPr>
          <w:rFonts w:ascii="仿宋" w:hAnsi="仿宋" w:eastAsia="仿宋" w:cs="仿宋"/>
          <w:bCs/>
          <w:szCs w:val="21"/>
          <w:highlight w:val="none"/>
        </w:rPr>
      </w:pPr>
      <w:r>
        <w:rPr>
          <w:rFonts w:hint="eastAsia" w:ascii="仿宋" w:hAnsi="仿宋" w:eastAsia="仿宋" w:cs="仿宋"/>
          <w:bCs/>
          <w:szCs w:val="21"/>
          <w:highlight w:val="none"/>
        </w:rPr>
        <w:t>是否邀请专家参加验收：</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 xml:space="preserve">是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否</w:t>
      </w:r>
    </w:p>
    <w:p w14:paraId="71041DBF">
      <w:pPr>
        <w:adjustRightInd w:val="0"/>
        <w:snapToGrid w:val="0"/>
        <w:spacing w:line="400" w:lineRule="exact"/>
        <w:ind w:firstLine="840" w:firstLineChars="400"/>
        <w:rPr>
          <w:rFonts w:ascii="仿宋" w:hAnsi="仿宋" w:eastAsia="仿宋" w:cs="仿宋"/>
          <w:bCs/>
          <w:szCs w:val="21"/>
          <w:highlight w:val="none"/>
        </w:rPr>
      </w:pPr>
      <w:r>
        <w:rPr>
          <w:rFonts w:hint="eastAsia" w:ascii="仿宋" w:hAnsi="仿宋" w:eastAsia="仿宋" w:cs="仿宋"/>
          <w:bCs/>
          <w:szCs w:val="21"/>
          <w:highlight w:val="none"/>
        </w:rPr>
        <w:t>是否邀请服务对象参加验收：</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 xml:space="preserve">是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否</w:t>
      </w:r>
    </w:p>
    <w:p w14:paraId="55B0B877">
      <w:pPr>
        <w:adjustRightInd w:val="0"/>
        <w:snapToGrid w:val="0"/>
        <w:spacing w:line="400" w:lineRule="exact"/>
        <w:ind w:firstLine="840" w:firstLineChars="400"/>
        <w:rPr>
          <w:rFonts w:ascii="仿宋" w:hAnsi="仿宋" w:eastAsia="仿宋" w:cs="仿宋"/>
          <w:bCs/>
          <w:szCs w:val="21"/>
          <w:highlight w:val="none"/>
        </w:rPr>
      </w:pPr>
      <w:r>
        <w:rPr>
          <w:rFonts w:hint="eastAsia" w:ascii="仿宋" w:hAnsi="仿宋" w:eastAsia="仿宋" w:cs="仿宋"/>
          <w:bCs/>
          <w:szCs w:val="21"/>
          <w:highlight w:val="none"/>
        </w:rPr>
        <w:t>是否邀请第三方检测机构参加验收：</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 xml:space="preserve">是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否</w:t>
      </w:r>
    </w:p>
    <w:p w14:paraId="38F9F1F8">
      <w:pPr>
        <w:adjustRightInd w:val="0"/>
        <w:snapToGrid w:val="0"/>
        <w:spacing w:line="400" w:lineRule="exact"/>
        <w:ind w:firstLine="840" w:firstLineChars="400"/>
        <w:rPr>
          <w:rFonts w:ascii="仿宋" w:hAnsi="仿宋" w:eastAsia="仿宋" w:cs="仿宋"/>
          <w:bCs/>
          <w:szCs w:val="21"/>
          <w:highlight w:val="none"/>
        </w:rPr>
      </w:pPr>
      <w:r>
        <w:rPr>
          <w:rFonts w:hint="eastAsia" w:ascii="仿宋" w:hAnsi="仿宋" w:eastAsia="仿宋" w:cs="仿宋"/>
          <w:bCs/>
          <w:szCs w:val="21"/>
          <w:highlight w:val="none"/>
        </w:rPr>
        <w:t>是否进行抽查检测：</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是，抽查比例：</w:t>
      </w:r>
      <w:r>
        <w:rPr>
          <w:rFonts w:hint="eastAsia" w:ascii="仿宋" w:hAnsi="仿宋" w:eastAsia="仿宋" w:cs="仿宋"/>
          <w:bCs/>
          <w:szCs w:val="21"/>
          <w:highlight w:val="none"/>
          <w:u w:val="single"/>
        </w:rPr>
        <w:t xml:space="preserve">        </w:t>
      </w:r>
      <w:r>
        <w:rPr>
          <w:rFonts w:hint="eastAsia" w:ascii="仿宋" w:hAnsi="仿宋" w:eastAsia="仿宋" w:cs="仿宋"/>
          <w:bCs/>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否</w:t>
      </w:r>
    </w:p>
    <w:p w14:paraId="19348EFE">
      <w:pPr>
        <w:adjustRightInd w:val="0"/>
        <w:snapToGrid w:val="0"/>
        <w:spacing w:line="400" w:lineRule="exact"/>
        <w:ind w:firstLine="840" w:firstLineChars="400"/>
        <w:rPr>
          <w:rFonts w:ascii="仿宋" w:hAnsi="仿宋" w:eastAsia="仿宋" w:cs="仿宋"/>
          <w:bCs/>
          <w:szCs w:val="21"/>
          <w:highlight w:val="none"/>
          <w:u w:val="single"/>
        </w:rPr>
      </w:pPr>
      <w:r>
        <w:rPr>
          <w:rFonts w:hint="eastAsia" w:ascii="仿宋" w:hAnsi="仿宋" w:eastAsia="仿宋" w:cs="仿宋"/>
          <w:bCs/>
          <w:szCs w:val="21"/>
          <w:highlight w:val="none"/>
        </w:rPr>
        <w:t>是否存在破坏性检测：</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是，</w:t>
      </w:r>
      <w:r>
        <w:rPr>
          <w:rFonts w:hint="eastAsia" w:ascii="仿宋" w:hAnsi="仿宋" w:eastAsia="仿宋" w:cs="仿宋"/>
          <w:bCs/>
          <w:szCs w:val="21"/>
          <w:highlight w:val="none"/>
          <w:u w:val="single"/>
        </w:rPr>
        <w:t>（应明确对被破坏的检测产品的处理方式）</w:t>
      </w:r>
    </w:p>
    <w:p w14:paraId="10010B13">
      <w:pPr>
        <w:adjustRightInd w:val="0"/>
        <w:snapToGrid w:val="0"/>
        <w:spacing w:line="400" w:lineRule="exact"/>
        <w:ind w:firstLine="840" w:firstLineChars="400"/>
        <w:rPr>
          <w:rFonts w:ascii="仿宋" w:hAnsi="仿宋" w:eastAsia="仿宋" w:cs="仿宋"/>
          <w:bCs/>
          <w:szCs w:val="21"/>
          <w:highlight w:val="none"/>
        </w:rPr>
      </w:pPr>
      <w:r>
        <w:rPr>
          <w:rFonts w:hint="eastAsia" w:ascii="仿宋" w:hAnsi="仿宋" w:eastAsia="仿宋" w:cs="仿宋"/>
          <w:bCs/>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否</w:t>
      </w:r>
    </w:p>
    <w:p w14:paraId="304C9D93">
      <w:pPr>
        <w:adjustRightInd w:val="0"/>
        <w:snapToGrid w:val="0"/>
        <w:spacing w:line="400" w:lineRule="exact"/>
        <w:ind w:firstLine="840" w:firstLineChars="400"/>
        <w:rPr>
          <w:rFonts w:ascii="仿宋" w:hAnsi="仿宋" w:eastAsia="仿宋" w:cs="仿宋"/>
          <w:bCs/>
          <w:szCs w:val="21"/>
          <w:highlight w:val="none"/>
          <w:u w:val="single"/>
        </w:rPr>
      </w:pPr>
      <w:r>
        <w:rPr>
          <w:rFonts w:hint="eastAsia" w:ascii="仿宋" w:hAnsi="仿宋" w:eastAsia="仿宋" w:cs="仿宋"/>
          <w:bCs/>
          <w:szCs w:val="21"/>
          <w:highlight w:val="none"/>
        </w:rPr>
        <w:t>验收组织的其他事项：</w:t>
      </w:r>
      <w:r>
        <w:rPr>
          <w:rFonts w:hint="eastAsia" w:ascii="仿宋" w:hAnsi="仿宋" w:eastAsia="仿宋" w:cs="仿宋"/>
          <w:bCs/>
          <w:szCs w:val="21"/>
          <w:highlight w:val="none"/>
          <w:u w:val="single"/>
        </w:rPr>
        <w:t xml:space="preserve">                </w:t>
      </w:r>
    </w:p>
    <w:p w14:paraId="26B4E205">
      <w:pPr>
        <w:adjustRightInd w:val="0"/>
        <w:snapToGrid w:val="0"/>
        <w:spacing w:line="400" w:lineRule="exact"/>
        <w:ind w:firstLine="420" w:firstLineChars="200"/>
        <w:rPr>
          <w:rFonts w:ascii="仿宋" w:hAnsi="仿宋" w:eastAsia="仿宋" w:cs="仿宋"/>
          <w:bCs/>
          <w:szCs w:val="21"/>
          <w:highlight w:val="none"/>
          <w:u w:val="single"/>
        </w:rPr>
      </w:pPr>
      <w:r>
        <w:rPr>
          <w:rFonts w:hint="eastAsia" w:ascii="仿宋" w:hAnsi="仿宋" w:eastAsia="仿宋" w:cs="仿宋"/>
          <w:bCs/>
          <w:szCs w:val="21"/>
          <w:highlight w:val="none"/>
        </w:rPr>
        <w:t>（2）履约验收时间：</w:t>
      </w:r>
      <w:r>
        <w:rPr>
          <w:rFonts w:hint="eastAsia" w:ascii="仿宋" w:hAnsi="仿宋" w:eastAsia="仿宋" w:cs="仿宋"/>
          <w:bCs/>
          <w:szCs w:val="21"/>
          <w:highlight w:val="none"/>
          <w:u w:val="single"/>
        </w:rPr>
        <w:t xml:space="preserve">（计划于何时验收/供应商提出验收申请之日起   日内组织验收） </w:t>
      </w:r>
    </w:p>
    <w:p w14:paraId="47F09334">
      <w:pPr>
        <w:adjustRightInd w:val="0"/>
        <w:snapToGrid w:val="0"/>
        <w:spacing w:line="400" w:lineRule="exact"/>
        <w:ind w:firstLine="420" w:firstLineChars="200"/>
        <w:rPr>
          <w:rFonts w:ascii="仿宋" w:hAnsi="仿宋" w:eastAsia="仿宋" w:cs="仿宋"/>
          <w:bCs/>
          <w:szCs w:val="21"/>
          <w:highlight w:val="none"/>
        </w:rPr>
      </w:pPr>
      <w:r>
        <w:rPr>
          <w:rFonts w:hint="eastAsia" w:ascii="仿宋" w:hAnsi="仿宋" w:eastAsia="仿宋" w:cs="仿宋"/>
          <w:bCs/>
          <w:szCs w:val="21"/>
          <w:highlight w:val="none"/>
        </w:rPr>
        <w:t>（3）履约验收方式：</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 xml:space="preserve">一次性验收         </w:t>
      </w:r>
    </w:p>
    <w:p w14:paraId="227F4734">
      <w:pPr>
        <w:adjustRightInd w:val="0"/>
        <w:snapToGrid w:val="0"/>
        <w:spacing w:line="400" w:lineRule="exact"/>
        <w:rPr>
          <w:rFonts w:ascii="仿宋" w:hAnsi="仿宋" w:eastAsia="仿宋" w:cs="仿宋"/>
          <w:bCs/>
          <w:szCs w:val="21"/>
          <w:highlight w:val="none"/>
        </w:rPr>
      </w:pPr>
      <w:r>
        <w:rPr>
          <w:rFonts w:hint="eastAsia" w:ascii="仿宋" w:hAnsi="仿宋" w:eastAsia="仿宋" w:cs="仿宋"/>
          <w:bCs/>
          <w:szCs w:val="21"/>
          <w:highlight w:val="none"/>
        </w:rPr>
        <w:t xml:space="preserve">                       </w:t>
      </w:r>
      <w:r>
        <w:rPr>
          <w:rFonts w:hint="eastAsia" w:ascii="仿宋" w:hAnsi="仿宋" w:eastAsia="仿宋" w:cs="仿宋"/>
          <w:szCs w:val="21"/>
          <w:highlight w:val="none"/>
        </w:rPr>
        <w:sym w:font="Wingdings" w:char="00A8"/>
      </w:r>
      <w:r>
        <w:rPr>
          <w:rFonts w:hint="eastAsia" w:ascii="仿宋" w:hAnsi="仿宋" w:eastAsia="仿宋" w:cs="仿宋"/>
          <w:bCs/>
          <w:szCs w:val="21"/>
          <w:highlight w:val="none"/>
        </w:rPr>
        <w:t>分期/分项验收：</w:t>
      </w:r>
      <w:r>
        <w:rPr>
          <w:rFonts w:hint="eastAsia" w:ascii="仿宋" w:hAnsi="仿宋" w:eastAsia="仿宋" w:cs="仿宋"/>
          <w:bCs/>
          <w:szCs w:val="21"/>
          <w:highlight w:val="none"/>
          <w:u w:val="single"/>
        </w:rPr>
        <w:t xml:space="preserve"> （应明确分期</w:t>
      </w:r>
      <w:r>
        <w:rPr>
          <w:rFonts w:hint="eastAsia" w:ascii="仿宋" w:hAnsi="仿宋" w:eastAsia="仿宋" w:cs="仿宋"/>
          <w:bCs/>
          <w:szCs w:val="21"/>
          <w:highlight w:val="none"/>
          <w:u w:val="single"/>
          <w:lang w:val="en"/>
        </w:rPr>
        <w:t>/分项验收的工作安排</w:t>
      </w:r>
      <w:r>
        <w:rPr>
          <w:rFonts w:hint="eastAsia" w:ascii="仿宋" w:hAnsi="仿宋" w:eastAsia="仿宋" w:cs="仿宋"/>
          <w:bCs/>
          <w:szCs w:val="21"/>
          <w:highlight w:val="none"/>
          <w:u w:val="single"/>
        </w:rPr>
        <w:t xml:space="preserve">）  </w:t>
      </w:r>
    </w:p>
    <w:p w14:paraId="39C462FA">
      <w:pPr>
        <w:adjustRightInd w:val="0"/>
        <w:snapToGrid w:val="0"/>
        <w:spacing w:line="400" w:lineRule="exact"/>
        <w:ind w:firstLine="420" w:firstLineChars="200"/>
        <w:rPr>
          <w:rFonts w:ascii="仿宋" w:hAnsi="仿宋" w:eastAsia="仿宋" w:cs="仿宋"/>
          <w:bCs/>
          <w:szCs w:val="21"/>
          <w:highlight w:val="none"/>
        </w:rPr>
      </w:pPr>
      <w:r>
        <w:rPr>
          <w:rFonts w:hint="eastAsia" w:ascii="仿宋" w:hAnsi="仿宋" w:eastAsia="仿宋" w:cs="仿宋"/>
          <w:bCs/>
          <w:szCs w:val="21"/>
          <w:highlight w:val="none"/>
        </w:rPr>
        <w:t>（4）履约验收程序：</w:t>
      </w:r>
      <w:r>
        <w:rPr>
          <w:rFonts w:hint="eastAsia" w:ascii="仿宋" w:hAnsi="仿宋" w:eastAsia="仿宋" w:cs="仿宋"/>
          <w:bCs/>
          <w:szCs w:val="21"/>
          <w:highlight w:val="none"/>
          <w:u w:val="single"/>
        </w:rPr>
        <w:t xml:space="preserve">                                         </w:t>
      </w:r>
    </w:p>
    <w:p w14:paraId="251B3045">
      <w:pPr>
        <w:adjustRightInd w:val="0"/>
        <w:snapToGrid w:val="0"/>
        <w:spacing w:line="400" w:lineRule="exact"/>
        <w:ind w:firstLine="420" w:firstLineChars="200"/>
        <w:rPr>
          <w:rFonts w:ascii="仿宋" w:hAnsi="仿宋" w:eastAsia="仿宋" w:cs="仿宋"/>
          <w:bCs/>
          <w:szCs w:val="21"/>
          <w:highlight w:val="none"/>
          <w:u w:val="single"/>
        </w:rPr>
      </w:pPr>
      <w:r>
        <w:rPr>
          <w:rFonts w:hint="eastAsia" w:ascii="仿宋" w:hAnsi="仿宋" w:eastAsia="仿宋" w:cs="仿宋"/>
          <w:bCs/>
          <w:szCs w:val="21"/>
          <w:highlight w:val="none"/>
        </w:rPr>
        <w:t>（5）履约验收的内容：</w:t>
      </w:r>
      <w:r>
        <w:rPr>
          <w:rFonts w:hint="eastAsia" w:ascii="仿宋" w:hAnsi="仿宋" w:eastAsia="仿宋" w:cs="仿宋"/>
          <w:bCs/>
          <w:szCs w:val="21"/>
          <w:highlight w:val="none"/>
          <w:u w:val="single"/>
        </w:rPr>
        <w:t xml:space="preserve"> （应当包括每一项技术和商务要求的履约情况，特别是落实政府采购扶持中小企业，支持绿色发展和乡村振兴等政策情况）                                      </w:t>
      </w:r>
    </w:p>
    <w:p w14:paraId="75DA420F">
      <w:pPr>
        <w:adjustRightInd w:val="0"/>
        <w:snapToGrid w:val="0"/>
        <w:spacing w:line="400" w:lineRule="exact"/>
        <w:ind w:firstLine="420" w:firstLineChars="200"/>
        <w:rPr>
          <w:rFonts w:ascii="仿宋" w:hAnsi="仿宋" w:eastAsia="仿宋" w:cs="仿宋"/>
          <w:bCs/>
          <w:szCs w:val="21"/>
          <w:highlight w:val="none"/>
          <w:u w:val="single"/>
        </w:rPr>
      </w:pPr>
      <w:r>
        <w:rPr>
          <w:rFonts w:hint="eastAsia" w:ascii="仿宋" w:hAnsi="仿宋" w:eastAsia="仿宋" w:cs="仿宋"/>
          <w:bCs/>
          <w:szCs w:val="21"/>
          <w:highlight w:val="none"/>
        </w:rPr>
        <w:t>（6）履约验收标准：</w:t>
      </w:r>
      <w:r>
        <w:rPr>
          <w:rFonts w:hint="eastAsia" w:ascii="仿宋" w:hAnsi="仿宋" w:eastAsia="仿宋" w:cs="仿宋"/>
          <w:bCs/>
          <w:szCs w:val="21"/>
          <w:highlight w:val="none"/>
          <w:u w:val="single"/>
        </w:rPr>
        <w:t xml:space="preserve">                                         </w:t>
      </w:r>
    </w:p>
    <w:p w14:paraId="4A5D1314">
      <w:pPr>
        <w:pStyle w:val="50"/>
        <w:ind w:firstLine="420"/>
        <w:rPr>
          <w:rFonts w:ascii="仿宋" w:hAnsi="仿宋" w:eastAsia="仿宋" w:cs="仿宋"/>
          <w:sz w:val="21"/>
          <w:highlight w:val="none"/>
        </w:rPr>
      </w:pPr>
      <w:r>
        <w:rPr>
          <w:rFonts w:hint="eastAsia" w:ascii="仿宋" w:hAnsi="仿宋" w:eastAsia="仿宋" w:cs="仿宋"/>
          <w:bCs/>
          <w:sz w:val="21"/>
          <w:highlight w:val="none"/>
        </w:rPr>
        <w:t>（7）是否以采购活动中供应商提供的样品作为参考：</w:t>
      </w:r>
      <w:r>
        <w:rPr>
          <w:rFonts w:hint="eastAsia" w:ascii="仿宋" w:hAnsi="仿宋" w:eastAsia="仿宋" w:cs="仿宋"/>
          <w:sz w:val="21"/>
          <w:highlight w:val="none"/>
        </w:rPr>
        <w:sym w:font="Wingdings" w:char="00A8"/>
      </w:r>
      <w:r>
        <w:rPr>
          <w:rFonts w:hint="eastAsia" w:ascii="仿宋" w:hAnsi="仿宋" w:eastAsia="仿宋" w:cs="仿宋"/>
          <w:bCs/>
          <w:sz w:val="21"/>
          <w:highlight w:val="none"/>
        </w:rPr>
        <w:t xml:space="preserve">是  </w:t>
      </w:r>
      <w:r>
        <w:rPr>
          <w:rFonts w:hint="eastAsia" w:ascii="仿宋" w:hAnsi="仿宋" w:eastAsia="仿宋" w:cs="仿宋"/>
          <w:sz w:val="21"/>
          <w:highlight w:val="none"/>
        </w:rPr>
        <w:sym w:font="Wingdings" w:char="00A8"/>
      </w:r>
      <w:r>
        <w:rPr>
          <w:rFonts w:hint="eastAsia" w:ascii="仿宋" w:hAnsi="仿宋" w:eastAsia="仿宋" w:cs="仿宋"/>
          <w:bCs/>
          <w:sz w:val="21"/>
          <w:highlight w:val="none"/>
        </w:rPr>
        <w:t>否</w:t>
      </w:r>
    </w:p>
    <w:p w14:paraId="3E32541B">
      <w:pPr>
        <w:adjustRightInd w:val="0"/>
        <w:snapToGrid w:val="0"/>
        <w:spacing w:line="400" w:lineRule="exact"/>
        <w:ind w:firstLine="420" w:firstLineChars="200"/>
        <w:rPr>
          <w:rFonts w:ascii="仿宋" w:hAnsi="仿宋" w:eastAsia="仿宋" w:cs="仿宋"/>
          <w:bCs/>
          <w:szCs w:val="21"/>
          <w:highlight w:val="none"/>
          <w:u w:val="single"/>
        </w:rPr>
      </w:pPr>
      <w:r>
        <w:rPr>
          <w:rFonts w:hint="eastAsia" w:ascii="仿宋" w:hAnsi="仿宋" w:eastAsia="仿宋" w:cs="仿宋"/>
          <w:bCs/>
          <w:szCs w:val="21"/>
          <w:highlight w:val="none"/>
        </w:rPr>
        <w:t>（8）履约验收其他事项：</w:t>
      </w:r>
      <w:r>
        <w:rPr>
          <w:rFonts w:hint="eastAsia" w:ascii="仿宋" w:hAnsi="仿宋" w:eastAsia="仿宋" w:cs="仿宋"/>
          <w:bCs/>
          <w:szCs w:val="21"/>
          <w:highlight w:val="none"/>
          <w:u w:val="single"/>
        </w:rPr>
        <w:t xml:space="preserve">      （产权过户登记等）          </w:t>
      </w:r>
    </w:p>
    <w:p w14:paraId="1ABDD7CB">
      <w:pPr>
        <w:numPr>
          <w:ilvl w:val="0"/>
          <w:numId w:val="9"/>
        </w:numPr>
        <w:adjustRightInd w:val="0"/>
        <w:snapToGrid w:val="0"/>
        <w:spacing w:line="400" w:lineRule="exact"/>
        <w:ind w:firstLine="422" w:firstLineChars="200"/>
        <w:rPr>
          <w:rFonts w:ascii="仿宋" w:hAnsi="仿宋" w:eastAsia="仿宋" w:cs="仿宋"/>
          <w:b/>
          <w:szCs w:val="21"/>
          <w:highlight w:val="none"/>
        </w:rPr>
      </w:pPr>
      <w:r>
        <w:rPr>
          <w:rFonts w:hint="eastAsia" w:ascii="仿宋" w:hAnsi="仿宋" w:eastAsia="仿宋" w:cs="仿宋"/>
          <w:b/>
          <w:szCs w:val="21"/>
          <w:highlight w:val="none"/>
        </w:rPr>
        <w:t>组成合同的文件</w:t>
      </w:r>
    </w:p>
    <w:p w14:paraId="6E0421DF">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本协议书与下列文件一起构成合同文件，如下述文件之间有任何抵触、矛盾或歧义，应按以下顺序解释：</w:t>
      </w:r>
    </w:p>
    <w:p w14:paraId="478313E5">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（1）政府采购合同协议书及其变更、补充协议</w:t>
      </w:r>
    </w:p>
    <w:p w14:paraId="333349CD">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（2）政府采购合同专用条款</w:t>
      </w:r>
    </w:p>
    <w:p w14:paraId="548A9194">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（3）政府采购合同通用条款</w:t>
      </w:r>
    </w:p>
    <w:p w14:paraId="40DA8322">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（4）中标（成交）通知书</w:t>
      </w:r>
    </w:p>
    <w:p w14:paraId="47EEB910">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（5）投标（响应）文件</w:t>
      </w:r>
    </w:p>
    <w:p w14:paraId="3F10B8E0">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（6）采购文件</w:t>
      </w:r>
    </w:p>
    <w:p w14:paraId="05A8AA7C">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（7）有关技术文件，图纸</w:t>
      </w:r>
    </w:p>
    <w:p w14:paraId="2DD82028">
      <w:pPr>
        <w:pStyle w:val="50"/>
        <w:ind w:firstLine="420"/>
        <w:rPr>
          <w:rFonts w:ascii="仿宋" w:hAnsi="仿宋" w:eastAsia="仿宋" w:cs="仿宋"/>
          <w:kern w:val="2"/>
          <w:sz w:val="21"/>
          <w:highlight w:val="none"/>
        </w:rPr>
      </w:pPr>
      <w:r>
        <w:rPr>
          <w:rFonts w:hint="eastAsia" w:ascii="仿宋" w:hAnsi="仿宋" w:eastAsia="仿宋" w:cs="仿宋"/>
          <w:sz w:val="21"/>
          <w:highlight w:val="none"/>
        </w:rPr>
        <w:t>（8）</w:t>
      </w:r>
      <w:r>
        <w:rPr>
          <w:rFonts w:hint="eastAsia" w:ascii="仿宋" w:hAnsi="仿宋" w:eastAsia="仿宋" w:cs="仿宋"/>
          <w:color w:val="000000" w:themeColor="text1"/>
          <w:kern w:val="2"/>
          <w:sz w:val="21"/>
          <w:highlight w:val="none"/>
          <w14:textFill>
            <w14:solidFill>
              <w14:schemeClr w14:val="tx1"/>
            </w14:solidFill>
          </w14:textFill>
        </w:rPr>
        <w:t>国家法律、行政法规和规章制度规定或合同约定的作为合同组成部分的其他文件</w:t>
      </w:r>
    </w:p>
    <w:p w14:paraId="751B55A7">
      <w:pPr>
        <w:numPr>
          <w:ilvl w:val="0"/>
          <w:numId w:val="9"/>
        </w:numPr>
        <w:adjustRightInd w:val="0"/>
        <w:snapToGrid w:val="0"/>
        <w:spacing w:line="400" w:lineRule="exact"/>
        <w:ind w:firstLine="422" w:firstLineChars="200"/>
        <w:rPr>
          <w:rFonts w:ascii="仿宋" w:hAnsi="仿宋" w:eastAsia="仿宋" w:cs="仿宋"/>
          <w:b/>
          <w:szCs w:val="21"/>
          <w:highlight w:val="none"/>
        </w:rPr>
      </w:pPr>
      <w:r>
        <w:rPr>
          <w:rFonts w:hint="eastAsia" w:ascii="仿宋" w:hAnsi="仿宋" w:eastAsia="仿宋" w:cs="仿宋"/>
          <w:b/>
          <w:szCs w:val="21"/>
          <w:highlight w:val="none"/>
        </w:rPr>
        <w:t>合同生效</w:t>
      </w:r>
    </w:p>
    <w:p w14:paraId="796BC10D">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本合同自</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生效。</w:t>
      </w:r>
    </w:p>
    <w:p w14:paraId="5CC51243">
      <w:pPr>
        <w:numPr>
          <w:ilvl w:val="0"/>
          <w:numId w:val="9"/>
        </w:numPr>
        <w:adjustRightInd w:val="0"/>
        <w:snapToGrid w:val="0"/>
        <w:spacing w:line="400" w:lineRule="exact"/>
        <w:ind w:firstLine="422" w:firstLineChars="200"/>
        <w:rPr>
          <w:rFonts w:ascii="仿宋" w:hAnsi="仿宋" w:eastAsia="仿宋" w:cs="仿宋"/>
          <w:b/>
          <w:szCs w:val="21"/>
          <w:highlight w:val="none"/>
        </w:rPr>
      </w:pPr>
      <w:r>
        <w:rPr>
          <w:rFonts w:hint="eastAsia" w:ascii="仿宋" w:hAnsi="仿宋" w:eastAsia="仿宋" w:cs="仿宋"/>
          <w:b/>
          <w:szCs w:val="21"/>
          <w:highlight w:val="none"/>
        </w:rPr>
        <w:t>合同份数</w:t>
      </w:r>
    </w:p>
    <w:p w14:paraId="66193034">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本合同一式</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份，甲方执</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份，乙方执</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份，均具有同等法律效力。</w:t>
      </w:r>
    </w:p>
    <w:p w14:paraId="14150EC8">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合同订立时间：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p>
    <w:p w14:paraId="00BD0162">
      <w:pPr>
        <w:adjustRightInd w:val="0"/>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合同订立地点：</w:t>
      </w:r>
      <w:r>
        <w:rPr>
          <w:rFonts w:hint="eastAsia" w:ascii="仿宋" w:hAnsi="仿宋" w:eastAsia="仿宋" w:cs="仿宋"/>
          <w:szCs w:val="21"/>
          <w:highlight w:val="none"/>
          <w:u w:val="single"/>
        </w:rPr>
        <w:t xml:space="preserve">                           </w:t>
      </w:r>
    </w:p>
    <w:p w14:paraId="62C03739">
      <w:pPr>
        <w:adjustRightInd w:val="0"/>
        <w:snapToGrid w:val="0"/>
        <w:spacing w:line="400" w:lineRule="exact"/>
        <w:ind w:firstLine="420" w:firstLineChars="200"/>
        <w:rPr>
          <w:rFonts w:ascii="仿宋" w:hAnsi="仿宋" w:eastAsia="仿宋" w:cs="仿宋"/>
          <w:highlight w:val="none"/>
        </w:rPr>
      </w:pPr>
      <w:r>
        <w:rPr>
          <w:rFonts w:hint="eastAsia" w:ascii="仿宋" w:hAnsi="仿宋" w:eastAsia="仿宋" w:cs="仿宋"/>
          <w:szCs w:val="21"/>
          <w:highlight w:val="none"/>
        </w:rPr>
        <w:t>附件：具体标的及其技术要求和商务要求、联合协议、分包意向协议等。</w:t>
      </w:r>
    </w:p>
    <w:p w14:paraId="39E7AE5E">
      <w:pPr>
        <w:pStyle w:val="51"/>
        <w:spacing w:line="400" w:lineRule="exact"/>
        <w:rPr>
          <w:rFonts w:ascii="仿宋" w:hAnsi="仿宋" w:eastAsia="仿宋" w:cs="仿宋"/>
          <w:highlight w:val="none"/>
        </w:rPr>
      </w:pPr>
    </w:p>
    <w:p w14:paraId="6E05558D">
      <w:pPr>
        <w:pStyle w:val="4"/>
        <w:spacing w:line="400" w:lineRule="exact"/>
        <w:rPr>
          <w:rFonts w:hint="default" w:ascii="仿宋" w:hAnsi="仿宋" w:eastAsia="仿宋" w:cs="仿宋"/>
          <w:b w:val="0"/>
          <w:bCs w:val="0"/>
          <w:sz w:val="21"/>
          <w:szCs w:val="21"/>
          <w:highlight w:val="none"/>
        </w:rPr>
      </w:pPr>
      <w:r>
        <w:rPr>
          <w:rFonts w:ascii="仿宋" w:hAnsi="仿宋" w:eastAsia="仿宋" w:cs="仿宋"/>
          <w:highlight w:val="none"/>
          <w:lang w:val="en"/>
        </w:rPr>
        <w:t xml:space="preserve">   </w:t>
      </w:r>
    </w:p>
    <w:p w14:paraId="161F5510">
      <w:pPr>
        <w:rPr>
          <w:rFonts w:ascii="仿宋" w:hAnsi="仿宋" w:eastAsia="仿宋" w:cs="仿宋"/>
          <w:highlight w:val="none"/>
        </w:rPr>
      </w:pPr>
      <w:r>
        <w:rPr>
          <w:rFonts w:hint="eastAsia" w:ascii="仿宋" w:hAnsi="仿宋" w:eastAsia="仿宋" w:cs="仿宋"/>
          <w:highlight w:val="none"/>
        </w:rPr>
        <w:br w:type="page"/>
      </w:r>
    </w:p>
    <w:p w14:paraId="3CE69500">
      <w:pPr>
        <w:pStyle w:val="51"/>
        <w:rPr>
          <w:rFonts w:ascii="仿宋" w:hAnsi="仿宋" w:eastAsia="仿宋" w:cs="仿宋"/>
          <w:highlight w:val="none"/>
        </w:rPr>
      </w:pPr>
    </w:p>
    <w:tbl>
      <w:tblPr>
        <w:tblStyle w:val="2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1"/>
        <w:gridCol w:w="2412"/>
        <w:gridCol w:w="1979"/>
        <w:gridCol w:w="2116"/>
      </w:tblGrid>
      <w:tr w14:paraId="1F1AB8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395D4327">
            <w:pPr>
              <w:adjustRightInd w:val="0"/>
              <w:snapToGrid w:val="0"/>
              <w:spacing w:line="300" w:lineRule="exact"/>
              <w:jc w:val="center"/>
              <w:rPr>
                <w:rFonts w:ascii="仿宋" w:hAnsi="仿宋" w:eastAsia="仿宋" w:cs="仿宋"/>
                <w:highlight w:val="none"/>
              </w:rPr>
            </w:pPr>
            <w:r>
              <w:rPr>
                <w:rFonts w:hint="eastAsia" w:ascii="仿宋" w:hAnsi="仿宋" w:eastAsia="仿宋" w:cs="仿宋"/>
                <w:szCs w:val="21"/>
                <w:highlight w:val="none"/>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08AE5B33">
            <w:pPr>
              <w:adjustRightInd w:val="0"/>
              <w:snapToGrid w:val="0"/>
              <w:spacing w:line="300" w:lineRule="exact"/>
              <w:jc w:val="center"/>
              <w:rPr>
                <w:rFonts w:ascii="仿宋" w:hAnsi="仿宋" w:eastAsia="仿宋" w:cs="仿宋"/>
                <w:highlight w:val="none"/>
              </w:rPr>
            </w:pPr>
            <w:r>
              <w:rPr>
                <w:rFonts w:hint="eastAsia" w:ascii="仿宋" w:hAnsi="仿宋" w:eastAsia="仿宋" w:cs="仿宋"/>
                <w:szCs w:val="21"/>
                <w:highlight w:val="none"/>
              </w:rPr>
              <w:t>乙方（供应商）</w:t>
            </w:r>
          </w:p>
        </w:tc>
      </w:tr>
      <w:tr w14:paraId="28A095B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6F49D660">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5F4F09A1">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34A92E5">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单位名称（公章或合同章）</w:t>
            </w:r>
          </w:p>
        </w:tc>
        <w:tc>
          <w:tcPr>
            <w:tcW w:w="1259" w:type="pct"/>
            <w:tcBorders>
              <w:top w:val="single" w:color="auto" w:sz="2" w:space="0"/>
              <w:left w:val="single" w:color="auto" w:sz="2" w:space="0"/>
              <w:bottom w:val="single" w:color="auto" w:sz="2" w:space="0"/>
            </w:tcBorders>
            <w:vAlign w:val="center"/>
          </w:tcPr>
          <w:p w14:paraId="551C8653">
            <w:pPr>
              <w:adjustRightInd w:val="0"/>
              <w:snapToGrid w:val="0"/>
              <w:spacing w:line="300" w:lineRule="exact"/>
              <w:jc w:val="center"/>
              <w:rPr>
                <w:rFonts w:ascii="仿宋" w:hAnsi="仿宋" w:eastAsia="仿宋" w:cs="仿宋"/>
                <w:spacing w:val="20"/>
                <w:szCs w:val="21"/>
                <w:highlight w:val="none"/>
              </w:rPr>
            </w:pPr>
          </w:p>
        </w:tc>
      </w:tr>
      <w:tr w14:paraId="77156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6F3E62F">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法定代表人</w:t>
            </w:r>
          </w:p>
          <w:p w14:paraId="05C34A50">
            <w:pPr>
              <w:adjustRightInd w:val="0"/>
              <w:snapToGrid w:val="0"/>
              <w:spacing w:line="300" w:lineRule="exact"/>
              <w:ind w:firstLine="100" w:firstLineChars="48"/>
              <w:jc w:val="center"/>
              <w:rPr>
                <w:rFonts w:ascii="仿宋" w:hAnsi="仿宋" w:eastAsia="仿宋" w:cs="仿宋"/>
                <w:szCs w:val="21"/>
                <w:highlight w:val="none"/>
              </w:rPr>
            </w:pPr>
            <w:r>
              <w:rPr>
                <w:rFonts w:hint="eastAsia" w:ascii="仿宋" w:hAnsi="仿宋" w:eastAsia="仿宋" w:cs="仿宋"/>
                <w:szCs w:val="21"/>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10148060">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right w:val="single" w:color="auto" w:sz="2" w:space="0"/>
            </w:tcBorders>
            <w:vAlign w:val="center"/>
          </w:tcPr>
          <w:p w14:paraId="493478BF">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法定代表人</w:t>
            </w:r>
          </w:p>
          <w:p w14:paraId="69BDC6C2">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14CCA847">
            <w:pPr>
              <w:adjustRightInd w:val="0"/>
              <w:snapToGrid w:val="0"/>
              <w:spacing w:line="300" w:lineRule="exact"/>
              <w:jc w:val="center"/>
              <w:rPr>
                <w:rFonts w:ascii="仿宋" w:hAnsi="仿宋" w:eastAsia="仿宋" w:cs="仿宋"/>
                <w:szCs w:val="21"/>
                <w:highlight w:val="none"/>
              </w:rPr>
            </w:pPr>
          </w:p>
        </w:tc>
      </w:tr>
      <w:tr w14:paraId="137EDD9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303675A5">
            <w:pPr>
              <w:adjustRightInd w:val="0"/>
              <w:snapToGrid w:val="0"/>
              <w:spacing w:line="300" w:lineRule="exact"/>
              <w:jc w:val="center"/>
              <w:rPr>
                <w:rFonts w:ascii="仿宋" w:hAnsi="仿宋" w:eastAsia="仿宋" w:cs="仿宋"/>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1770725F">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E6CE528">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拥有者性别</w:t>
            </w:r>
          </w:p>
        </w:tc>
        <w:tc>
          <w:tcPr>
            <w:tcW w:w="1259" w:type="pct"/>
            <w:tcBorders>
              <w:top w:val="single" w:color="auto" w:sz="2" w:space="0"/>
              <w:left w:val="single" w:color="auto" w:sz="2" w:space="0"/>
              <w:bottom w:val="single" w:color="auto" w:sz="2" w:space="0"/>
            </w:tcBorders>
            <w:vAlign w:val="center"/>
          </w:tcPr>
          <w:p w14:paraId="0F69DB8A">
            <w:pPr>
              <w:adjustRightInd w:val="0"/>
              <w:snapToGrid w:val="0"/>
              <w:spacing w:line="300" w:lineRule="exact"/>
              <w:jc w:val="center"/>
              <w:rPr>
                <w:rFonts w:ascii="仿宋" w:hAnsi="仿宋" w:eastAsia="仿宋" w:cs="仿宋"/>
                <w:spacing w:val="20"/>
                <w:szCs w:val="21"/>
                <w:highlight w:val="none"/>
              </w:rPr>
            </w:pPr>
          </w:p>
        </w:tc>
      </w:tr>
      <w:tr w14:paraId="6BF3DF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488AFB4">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178DDBBC">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8BBA32A">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住  所</w:t>
            </w:r>
          </w:p>
        </w:tc>
        <w:tc>
          <w:tcPr>
            <w:tcW w:w="1259" w:type="pct"/>
            <w:tcBorders>
              <w:top w:val="single" w:color="auto" w:sz="2" w:space="0"/>
              <w:left w:val="single" w:color="auto" w:sz="2" w:space="0"/>
              <w:bottom w:val="single" w:color="auto" w:sz="2" w:space="0"/>
            </w:tcBorders>
            <w:vAlign w:val="center"/>
          </w:tcPr>
          <w:p w14:paraId="0D0104BD">
            <w:pPr>
              <w:adjustRightInd w:val="0"/>
              <w:snapToGrid w:val="0"/>
              <w:spacing w:line="300" w:lineRule="exact"/>
              <w:jc w:val="center"/>
              <w:rPr>
                <w:rFonts w:ascii="仿宋" w:hAnsi="仿宋" w:eastAsia="仿宋" w:cs="仿宋"/>
                <w:spacing w:val="20"/>
                <w:szCs w:val="21"/>
                <w:highlight w:val="none"/>
              </w:rPr>
            </w:pPr>
          </w:p>
        </w:tc>
      </w:tr>
      <w:tr w14:paraId="12A594B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2B45E59">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5AFAEB7">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54627B0">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联 系 人</w:t>
            </w:r>
          </w:p>
        </w:tc>
        <w:tc>
          <w:tcPr>
            <w:tcW w:w="1259" w:type="pct"/>
            <w:tcBorders>
              <w:top w:val="single" w:color="auto" w:sz="2" w:space="0"/>
              <w:left w:val="single" w:color="auto" w:sz="2" w:space="0"/>
              <w:bottom w:val="single" w:color="auto" w:sz="2" w:space="0"/>
            </w:tcBorders>
            <w:vAlign w:val="center"/>
          </w:tcPr>
          <w:p w14:paraId="75DD120F">
            <w:pPr>
              <w:adjustRightInd w:val="0"/>
              <w:snapToGrid w:val="0"/>
              <w:spacing w:line="300" w:lineRule="exact"/>
              <w:jc w:val="center"/>
              <w:rPr>
                <w:rFonts w:ascii="仿宋" w:hAnsi="仿宋" w:eastAsia="仿宋" w:cs="仿宋"/>
                <w:spacing w:val="20"/>
                <w:szCs w:val="21"/>
                <w:highlight w:val="none"/>
              </w:rPr>
            </w:pPr>
          </w:p>
        </w:tc>
      </w:tr>
      <w:tr w14:paraId="634AA9D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E006E4B">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48D50464">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A5425C0">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730831F1">
            <w:pPr>
              <w:adjustRightInd w:val="0"/>
              <w:snapToGrid w:val="0"/>
              <w:spacing w:line="300" w:lineRule="exact"/>
              <w:jc w:val="center"/>
              <w:rPr>
                <w:rFonts w:ascii="仿宋" w:hAnsi="仿宋" w:eastAsia="仿宋" w:cs="仿宋"/>
                <w:spacing w:val="20"/>
                <w:szCs w:val="21"/>
                <w:highlight w:val="none"/>
              </w:rPr>
            </w:pPr>
          </w:p>
        </w:tc>
      </w:tr>
      <w:tr w14:paraId="0F668C8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B4E38BB">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0ADD6DC7">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5A37821">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通信地址</w:t>
            </w:r>
          </w:p>
        </w:tc>
        <w:tc>
          <w:tcPr>
            <w:tcW w:w="1259" w:type="pct"/>
            <w:tcBorders>
              <w:top w:val="single" w:color="auto" w:sz="2" w:space="0"/>
              <w:left w:val="single" w:color="auto" w:sz="2" w:space="0"/>
              <w:bottom w:val="single" w:color="auto" w:sz="2" w:space="0"/>
            </w:tcBorders>
            <w:vAlign w:val="center"/>
          </w:tcPr>
          <w:p w14:paraId="0ED1466C">
            <w:pPr>
              <w:adjustRightInd w:val="0"/>
              <w:snapToGrid w:val="0"/>
              <w:spacing w:line="300" w:lineRule="exact"/>
              <w:jc w:val="center"/>
              <w:rPr>
                <w:rFonts w:ascii="仿宋" w:hAnsi="仿宋" w:eastAsia="仿宋" w:cs="仿宋"/>
                <w:spacing w:val="20"/>
                <w:szCs w:val="21"/>
                <w:highlight w:val="none"/>
              </w:rPr>
            </w:pPr>
          </w:p>
        </w:tc>
      </w:tr>
      <w:tr w14:paraId="0B23834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23B2846">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5D6F58F7">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5783ACD">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31D36AF8">
            <w:pPr>
              <w:adjustRightInd w:val="0"/>
              <w:snapToGrid w:val="0"/>
              <w:spacing w:line="300" w:lineRule="exact"/>
              <w:jc w:val="center"/>
              <w:rPr>
                <w:rFonts w:ascii="仿宋" w:hAnsi="仿宋" w:eastAsia="仿宋" w:cs="仿宋"/>
                <w:spacing w:val="20"/>
                <w:szCs w:val="21"/>
                <w:highlight w:val="none"/>
              </w:rPr>
            </w:pPr>
          </w:p>
        </w:tc>
      </w:tr>
      <w:tr w14:paraId="332A2B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6CCC2DE">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6592B598">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31AE148">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37B2DC21">
            <w:pPr>
              <w:adjustRightInd w:val="0"/>
              <w:snapToGrid w:val="0"/>
              <w:spacing w:line="300" w:lineRule="exact"/>
              <w:jc w:val="center"/>
              <w:rPr>
                <w:rFonts w:ascii="仿宋" w:hAnsi="仿宋" w:eastAsia="仿宋" w:cs="仿宋"/>
                <w:spacing w:val="20"/>
                <w:szCs w:val="21"/>
                <w:highlight w:val="none"/>
              </w:rPr>
            </w:pPr>
          </w:p>
        </w:tc>
      </w:tr>
      <w:tr w14:paraId="06A2EF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3AA17AD">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1EE28465">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6BEA3A1">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75230CFF">
            <w:pPr>
              <w:adjustRightInd w:val="0"/>
              <w:snapToGrid w:val="0"/>
              <w:spacing w:line="300" w:lineRule="exact"/>
              <w:jc w:val="center"/>
              <w:rPr>
                <w:rFonts w:ascii="仿宋" w:hAnsi="仿宋" w:eastAsia="仿宋" w:cs="仿宋"/>
                <w:spacing w:val="20"/>
                <w:szCs w:val="21"/>
                <w:highlight w:val="none"/>
              </w:rPr>
            </w:pPr>
          </w:p>
        </w:tc>
      </w:tr>
      <w:tr w14:paraId="1CAEE4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DBC2DB0">
            <w:pPr>
              <w:adjustRightInd w:val="0"/>
              <w:snapToGrid w:val="0"/>
              <w:spacing w:line="300" w:lineRule="exact"/>
              <w:jc w:val="center"/>
              <w:rPr>
                <w:rFonts w:ascii="仿宋" w:hAnsi="仿宋" w:eastAsia="仿宋"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AD30CBE">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1AAD1CD">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4A92A9CA">
            <w:pPr>
              <w:adjustRightInd w:val="0"/>
              <w:snapToGrid w:val="0"/>
              <w:spacing w:line="300" w:lineRule="exact"/>
              <w:jc w:val="center"/>
              <w:rPr>
                <w:rFonts w:ascii="仿宋" w:hAnsi="仿宋" w:eastAsia="仿宋" w:cs="仿宋"/>
                <w:spacing w:val="20"/>
                <w:szCs w:val="21"/>
                <w:highlight w:val="none"/>
              </w:rPr>
            </w:pPr>
          </w:p>
        </w:tc>
      </w:tr>
      <w:tr w14:paraId="41490A3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7DDE0EE">
            <w:pPr>
              <w:adjustRightInd w:val="0"/>
              <w:snapToGrid w:val="0"/>
              <w:spacing w:line="300" w:lineRule="exact"/>
              <w:jc w:val="center"/>
              <w:rPr>
                <w:rFonts w:ascii="仿宋" w:hAnsi="仿宋" w:eastAsia="仿宋"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6841A16">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7012E15">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5AE16F06">
            <w:pPr>
              <w:adjustRightInd w:val="0"/>
              <w:snapToGrid w:val="0"/>
              <w:spacing w:line="300" w:lineRule="exact"/>
              <w:jc w:val="center"/>
              <w:rPr>
                <w:rFonts w:ascii="仿宋" w:hAnsi="仿宋" w:eastAsia="仿宋" w:cs="仿宋"/>
                <w:spacing w:val="20"/>
                <w:szCs w:val="21"/>
                <w:highlight w:val="none"/>
              </w:rPr>
            </w:pPr>
          </w:p>
        </w:tc>
      </w:tr>
      <w:tr w14:paraId="18312D4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CDFA57E">
            <w:pPr>
              <w:adjustRightInd w:val="0"/>
              <w:snapToGrid w:val="0"/>
              <w:spacing w:line="300" w:lineRule="exact"/>
              <w:jc w:val="center"/>
              <w:rPr>
                <w:rFonts w:ascii="仿宋" w:hAnsi="仿宋" w:eastAsia="仿宋" w:cs="仿宋"/>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A1C6B18">
            <w:pPr>
              <w:adjustRightInd w:val="0"/>
              <w:snapToGrid w:val="0"/>
              <w:spacing w:line="300" w:lineRule="exact"/>
              <w:jc w:val="center"/>
              <w:rPr>
                <w:rFonts w:ascii="仿宋" w:hAnsi="仿宋" w:eastAsia="仿宋" w:cs="仿宋"/>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7B07D69">
            <w:pPr>
              <w:adjustRightInd w:val="0"/>
              <w:snapToGrid w:val="0"/>
              <w:spacing w:line="300" w:lineRule="exact"/>
              <w:jc w:val="center"/>
              <w:rPr>
                <w:rFonts w:ascii="仿宋" w:hAnsi="仿宋" w:eastAsia="仿宋" w:cs="仿宋"/>
                <w:szCs w:val="21"/>
                <w:highlight w:val="none"/>
              </w:rPr>
            </w:pPr>
            <w:r>
              <w:rPr>
                <w:rFonts w:hint="eastAsia" w:ascii="仿宋" w:hAnsi="仿宋" w:eastAsia="仿宋" w:cs="仿宋"/>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70A10EF8">
            <w:pPr>
              <w:adjustRightInd w:val="0"/>
              <w:snapToGrid w:val="0"/>
              <w:spacing w:line="300" w:lineRule="exact"/>
              <w:jc w:val="center"/>
              <w:rPr>
                <w:rFonts w:ascii="仿宋" w:hAnsi="仿宋" w:eastAsia="仿宋" w:cs="仿宋"/>
                <w:spacing w:val="20"/>
                <w:szCs w:val="21"/>
                <w:highlight w:val="none"/>
              </w:rPr>
            </w:pPr>
          </w:p>
        </w:tc>
      </w:tr>
      <w:tr w14:paraId="6E2628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63B57CE">
            <w:pPr>
              <w:pStyle w:val="11"/>
              <w:adjustRightInd w:val="0"/>
              <w:snapToGrid w:val="0"/>
              <w:spacing w:before="156" w:beforeLines="50" w:line="360" w:lineRule="auto"/>
              <w:ind w:left="0"/>
              <w:jc w:val="left"/>
              <w:rPr>
                <w:rFonts w:ascii="仿宋" w:hAnsi="仿宋" w:eastAsia="仿宋" w:cs="仿宋"/>
                <w:spacing w:val="20"/>
                <w:szCs w:val="21"/>
                <w:highlight w:val="none"/>
              </w:rPr>
            </w:pPr>
            <w:r>
              <w:rPr>
                <w:rFonts w:hint="eastAsia" w:ascii="仿宋" w:hAnsi="仿宋" w:eastAsia="仿宋" w:cs="仿宋"/>
                <w:szCs w:val="21"/>
                <w:highlight w:val="none"/>
              </w:rPr>
              <w:t>注：涉及联合体或其他合同主体的信息应按上表格式加列。</w:t>
            </w:r>
          </w:p>
        </w:tc>
      </w:tr>
    </w:tbl>
    <w:p w14:paraId="1BCA7C80">
      <w:pPr>
        <w:pStyle w:val="4"/>
        <w:adjustRightInd w:val="0"/>
        <w:snapToGrid w:val="0"/>
        <w:spacing w:before="156" w:beforeLines="50"/>
        <w:jc w:val="center"/>
        <w:rPr>
          <w:rFonts w:hint="default" w:ascii="仿宋" w:hAnsi="仿宋" w:eastAsia="仿宋" w:cs="仿宋"/>
          <w:sz w:val="28"/>
          <w:szCs w:val="28"/>
          <w:highlight w:val="none"/>
        </w:rPr>
      </w:pPr>
      <w:r>
        <w:rPr>
          <w:rFonts w:ascii="仿宋" w:hAnsi="仿宋" w:eastAsia="仿宋" w:cs="仿宋"/>
          <w:sz w:val="21"/>
          <w:szCs w:val="21"/>
          <w:highlight w:val="none"/>
          <w:u w:val="single"/>
        </w:rPr>
        <w:br w:type="page"/>
      </w:r>
      <w:bookmarkStart w:id="18" w:name="_Toc27624"/>
      <w:r>
        <w:rPr>
          <w:rFonts w:ascii="仿宋" w:hAnsi="仿宋" w:eastAsia="仿宋" w:cs="仿宋"/>
          <w:b w:val="0"/>
          <w:bCs w:val="0"/>
          <w:sz w:val="28"/>
          <w:szCs w:val="28"/>
          <w:highlight w:val="none"/>
        </w:rPr>
        <w:t>第二节 政府采购合同通用条款</w:t>
      </w:r>
      <w:bookmarkEnd w:id="18"/>
    </w:p>
    <w:p w14:paraId="0ABAF837">
      <w:pPr>
        <w:tabs>
          <w:tab w:val="left" w:pos="8820"/>
          <w:tab w:val="left" w:pos="9345"/>
          <w:tab w:val="left" w:pos="9765"/>
        </w:tabs>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sz w:val="24"/>
          <w:highlight w:val="none"/>
        </w:rPr>
        <w:t xml:space="preserve">1. </w:t>
      </w:r>
      <w:r>
        <w:rPr>
          <w:rFonts w:hint="eastAsia" w:ascii="仿宋" w:hAnsi="仿宋" w:eastAsia="仿宋" w:cs="仿宋"/>
          <w:b/>
          <w:bCs/>
          <w:sz w:val="24"/>
          <w:highlight w:val="none"/>
        </w:rPr>
        <w:t>定义</w:t>
      </w:r>
    </w:p>
    <w:p w14:paraId="3F28ECB8">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1.1合同当事人</w:t>
      </w:r>
    </w:p>
    <w:p w14:paraId="35822A17">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（1）采购人（以下称甲方）是指使用财政性资金，通过政府采购方式向供应商购买货物及其相关服务的国家机关、事业单位、团体组织。</w:t>
      </w:r>
    </w:p>
    <w:p w14:paraId="6A6D862D">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（2）供应商（以下称乙方）是指参加政府采购活动并且中标（成交），向采购人提供合同约定的货物及其相关服务的法人、非法人组织或者自然人。</w:t>
      </w:r>
    </w:p>
    <w:p w14:paraId="49DF8139">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（3）其他合同主体是指除采购人和供应商以外，</w:t>
      </w:r>
      <w:r>
        <w:rPr>
          <w:rFonts w:hint="eastAsia" w:ascii="仿宋" w:hAnsi="仿宋" w:eastAsia="仿宋" w:cs="仿宋"/>
          <w:bCs/>
          <w:color w:val="000000" w:themeColor="text1"/>
          <w:szCs w:val="21"/>
          <w:highlight w:val="none"/>
          <w14:textFill>
            <w14:solidFill>
              <w14:schemeClr w14:val="tx1"/>
            </w14:solidFill>
          </w14:textFill>
        </w:rPr>
        <w:t>依法参与合同缔结或履行，享有权利、承担义务的合同当事人</w:t>
      </w:r>
      <w:r>
        <w:rPr>
          <w:rFonts w:hint="eastAsia" w:ascii="仿宋" w:hAnsi="仿宋" w:eastAsia="仿宋" w:cs="仿宋"/>
          <w:szCs w:val="21"/>
          <w:highlight w:val="none"/>
        </w:rPr>
        <w:t>。</w:t>
      </w:r>
    </w:p>
    <w:p w14:paraId="117E644E">
      <w:pPr>
        <w:tabs>
          <w:tab w:val="left" w:pos="570"/>
          <w:tab w:val="left" w:pos="9240"/>
          <w:tab w:val="left" w:pos="9555"/>
        </w:tabs>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1.2本合同下列术语应解释为：</w:t>
      </w:r>
    </w:p>
    <w:p w14:paraId="7A9244D7">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（1）“合同”系指</w:t>
      </w:r>
      <w:r>
        <w:rPr>
          <w:rFonts w:hint="eastAsia" w:ascii="仿宋" w:hAnsi="仿宋" w:eastAsia="仿宋" w:cs="仿宋"/>
          <w:bCs/>
          <w:color w:val="000000" w:themeColor="text1"/>
          <w:szCs w:val="21"/>
          <w:highlight w:val="none"/>
          <w14:textFill>
            <w14:solidFill>
              <w14:schemeClr w14:val="tx1"/>
            </w14:solidFill>
          </w14:textFill>
        </w:rPr>
        <w:t>合同当事人意思表示达成一致的任何协议，包括签署的</w:t>
      </w:r>
      <w:r>
        <w:rPr>
          <w:rFonts w:hint="eastAsia" w:ascii="仿宋" w:hAnsi="仿宋" w:eastAsia="仿宋" w:cs="仿宋"/>
          <w:szCs w:val="21"/>
          <w:highlight w:val="none"/>
        </w:rPr>
        <w:t>政府采购合同协议书及其变更、补充协议，政府采购合同专用条款，政府采购合同通用条款，中标（成交）通知书，投标（响应）文件，采购文件，有关技术文件和图纸，以及</w:t>
      </w:r>
      <w:r>
        <w:rPr>
          <w:rFonts w:hint="eastAsia" w:ascii="仿宋" w:hAnsi="仿宋" w:eastAsia="仿宋" w:cs="仿宋"/>
          <w:color w:val="000000" w:themeColor="text1"/>
          <w:szCs w:val="21"/>
          <w:highlight w:val="none"/>
          <w14:textFill>
            <w14:solidFill>
              <w14:schemeClr w14:val="tx1"/>
            </w14:solidFill>
          </w14:textFill>
        </w:rPr>
        <w:t>国家法律、行政法规和规章制度规定或合同约定的作为合同组成部分的其他文件</w:t>
      </w:r>
      <w:r>
        <w:rPr>
          <w:rFonts w:hint="eastAsia" w:ascii="仿宋" w:hAnsi="仿宋" w:eastAsia="仿宋" w:cs="仿宋"/>
          <w:szCs w:val="21"/>
          <w:highlight w:val="none"/>
        </w:rPr>
        <w:t>。</w:t>
      </w:r>
    </w:p>
    <w:p w14:paraId="6E2866AA">
      <w:pPr>
        <w:tabs>
          <w:tab w:val="left" w:pos="570"/>
          <w:tab w:val="left" w:pos="9240"/>
          <w:tab w:val="left" w:pos="9555"/>
        </w:tabs>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（2）“合同价款”系指根据本合同规定乙方在全面履行合同义务后甲方应支付给乙方的价款。</w:t>
      </w:r>
    </w:p>
    <w:p w14:paraId="576CF683">
      <w:pPr>
        <w:tabs>
          <w:tab w:val="left" w:pos="570"/>
          <w:tab w:val="left" w:pos="9240"/>
          <w:tab w:val="left" w:pos="9555"/>
        </w:tabs>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szCs w:val="21"/>
          <w:highlight w:val="none"/>
        </w:rPr>
        <w:t>（3）“货物”系指乙方根据本合同规定须向甲方提供的各种形态和种类的物品，包括原材料、设备、产品（</w:t>
      </w:r>
      <w:r>
        <w:rPr>
          <w:rFonts w:hint="eastAsia" w:ascii="仿宋" w:hAnsi="仿宋" w:eastAsia="仿宋" w:cs="仿宋"/>
          <w:color w:val="000000" w:themeColor="text1"/>
          <w:szCs w:val="21"/>
          <w:highlight w:val="none"/>
          <w14:textFill>
            <w14:solidFill>
              <w14:schemeClr w14:val="tx1"/>
            </w14:solidFill>
          </w14:textFill>
        </w:rPr>
        <w:t>包括软件）及相关的其备品备件、工具、手册及</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技术资料和材料等。</w:t>
      </w:r>
    </w:p>
    <w:p w14:paraId="2B58CBC3">
      <w:pPr>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w:t>
      </w:r>
      <w:r>
        <w:rPr>
          <w:rFonts w:hint="eastAsia" w:ascii="仿宋" w:hAnsi="仿宋" w:eastAsia="仿宋" w:cs="仿宋"/>
          <w:szCs w:val="21"/>
          <w:highlight w:val="none"/>
        </w:rPr>
        <w:t>相关</w:t>
      </w:r>
      <w:r>
        <w:rPr>
          <w:rFonts w:hint="eastAsia" w:ascii="仿宋" w:hAnsi="仿宋" w:eastAsia="仿宋" w:cs="仿宋"/>
          <w:color w:val="000000" w:themeColor="text1"/>
          <w:szCs w:val="21"/>
          <w:highlight w:val="none"/>
          <w14:textFill>
            <w14:solidFill>
              <w14:schemeClr w14:val="tx1"/>
            </w14:solidFill>
          </w14:textFill>
        </w:rPr>
        <w:t>服务”系指根据合同规定，乙方应提供的与货物有关的技术、管理和</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服务，包括但不限于：管理和质量保证、运输、保险、检验、现场准备、安装、集成、调试、培训、维修、废弃处置、技术支持等以及合同中规定乙方应承担的</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义务。</w:t>
      </w:r>
    </w:p>
    <w:p w14:paraId="3B004537">
      <w:pPr>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（5）“分包”系指中标（成交）供应商按采购文件、投标（响应）文件的规定，根据分包意向协议，将中标（成交）项目中的部分履约内容，分给具有相应资质条件的供应商履行合同的行为。</w:t>
      </w:r>
    </w:p>
    <w:p w14:paraId="770831EE">
      <w:pPr>
        <w:tabs>
          <w:tab w:val="left" w:pos="570"/>
          <w:tab w:val="left" w:pos="9240"/>
          <w:tab w:val="left" w:pos="9555"/>
        </w:tabs>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w:t>
      </w:r>
      <w:r>
        <w:rPr>
          <w:rFonts w:hint="eastAsia" w:ascii="仿宋" w:hAnsi="仿宋" w:eastAsia="仿宋" w:cs="仿宋"/>
          <w:szCs w:val="21"/>
          <w:highlight w:val="none"/>
        </w:rPr>
        <w:t>“联合体”系指由两个以上的自然人、法人或者非法人组织组成，以一个供应商的身份共同参加政府采购的主体</w:t>
      </w:r>
      <w:r>
        <w:rPr>
          <w:rFonts w:hint="eastAsia" w:ascii="仿宋" w:hAnsi="仿宋" w:eastAsia="仿宋" w:cs="仿宋"/>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3076A62B">
      <w:pPr>
        <w:tabs>
          <w:tab w:val="left" w:pos="570"/>
          <w:tab w:val="left" w:pos="9240"/>
          <w:tab w:val="left" w:pos="9555"/>
        </w:tabs>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（7）其他术语解释，见【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3A9D8CFA">
      <w:pPr>
        <w:numPr>
          <w:ilvl w:val="0"/>
          <w:numId w:val="12"/>
        </w:numPr>
        <w:autoSpaceDE w:val="0"/>
        <w:autoSpaceDN w:val="0"/>
        <w:adjustRightInd w:val="0"/>
        <w:snapToGrid w:val="0"/>
        <w:spacing w:line="400" w:lineRule="exact"/>
        <w:jc w:val="lef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合同标的及金额</w:t>
      </w:r>
    </w:p>
    <w:p w14:paraId="50EFD9DA">
      <w:pPr>
        <w:autoSpaceDE w:val="0"/>
        <w:autoSpaceDN w:val="0"/>
        <w:adjustRightInd w:val="0"/>
        <w:snapToGrid w:val="0"/>
        <w:spacing w:line="400" w:lineRule="exact"/>
        <w:ind w:firstLine="420" w:firstLineChars="200"/>
        <w:jc w:val="left"/>
        <w:rPr>
          <w:rFonts w:ascii="仿宋" w:hAnsi="仿宋" w:eastAsia="仿宋" w:cs="仿宋"/>
          <w:b/>
          <w:bCs/>
          <w:i/>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2.1 合同标的及金额应与中标（成交）结果一致。乙方为履行本合同而发生的所有费用均应包含在合同价款中，甲方不再另行支付</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任何费用。</w:t>
      </w:r>
    </w:p>
    <w:p w14:paraId="64292DBD">
      <w:pPr>
        <w:adjustRightInd w:val="0"/>
        <w:snapToGrid w:val="0"/>
        <w:spacing w:line="40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 履行合同的时间、地点和方式及验收</w:t>
      </w:r>
    </w:p>
    <w:p w14:paraId="4AD45C22">
      <w:pPr>
        <w:autoSpaceDE w:val="0"/>
        <w:autoSpaceDN w:val="0"/>
        <w:adjustRightInd w:val="0"/>
        <w:snapToGrid w:val="0"/>
        <w:spacing w:line="400" w:lineRule="exact"/>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3.1 </w:t>
      </w:r>
      <w:r>
        <w:rPr>
          <w:rFonts w:hint="eastAsia" w:ascii="仿宋" w:hAnsi="仿宋" w:eastAsia="仿宋" w:cs="仿宋"/>
          <w:szCs w:val="21"/>
          <w:highlight w:val="none"/>
        </w:rPr>
        <w:t>乙方应当在约定的时间、地点，按照约定方式履行合同。</w:t>
      </w:r>
    </w:p>
    <w:p w14:paraId="7A2B3895">
      <w:pPr>
        <w:adjustRightInd w:val="0"/>
        <w:snapToGrid w:val="0"/>
        <w:spacing w:line="360" w:lineRule="auto"/>
        <w:rPr>
          <w:rFonts w:ascii="仿宋" w:hAnsi="仿宋" w:eastAsia="仿宋" w:cs="仿宋"/>
          <w:color w:val="000000"/>
          <w:sz w:val="24"/>
          <w:highlight w:val="none"/>
          <w:lang w:bidi="ar"/>
        </w:rPr>
      </w:pPr>
    </w:p>
    <w:p w14:paraId="4E17A71A">
      <w:pPr>
        <w:adjustRightInd w:val="0"/>
        <w:snapToGrid w:val="0"/>
        <w:spacing w:line="360" w:lineRule="auto"/>
        <w:rPr>
          <w:rFonts w:ascii="仿宋" w:hAnsi="仿宋" w:eastAsia="仿宋" w:cs="仿宋"/>
          <w:color w:val="000000"/>
          <w:sz w:val="24"/>
          <w:highlight w:val="none"/>
          <w:lang w:bidi="ar"/>
        </w:rPr>
      </w:pPr>
      <w:r>
        <w:rPr>
          <w:rFonts w:hint="eastAsia" w:ascii="仿宋" w:hAnsi="仿宋" w:eastAsia="仿宋" w:cs="仿宋"/>
          <w:color w:val="000000"/>
          <w:sz w:val="24"/>
          <w:highlight w:val="none"/>
          <w:lang w:bidi="ar"/>
        </w:rPr>
        <w:t>4、验收要求：</w:t>
      </w:r>
    </w:p>
    <w:p w14:paraId="6B999518">
      <w:pPr>
        <w:autoSpaceDE w:val="0"/>
        <w:spacing w:line="360" w:lineRule="auto"/>
        <w:rPr>
          <w:rFonts w:ascii="仿宋" w:hAnsi="仿宋" w:eastAsia="仿宋" w:cs="仿宋"/>
          <w:sz w:val="24"/>
          <w:highlight w:val="none"/>
        </w:rPr>
      </w:pPr>
      <w:r>
        <w:rPr>
          <w:rFonts w:hint="eastAsia" w:ascii="仿宋" w:hAnsi="仿宋" w:eastAsia="仿宋" w:cs="仿宋"/>
          <w:sz w:val="24"/>
          <w:highlight w:val="none"/>
          <w:lang w:bidi="ar"/>
        </w:rPr>
        <w:t>4.1 按本需求书的质量要求及验收标准进行验收。</w:t>
      </w:r>
    </w:p>
    <w:p w14:paraId="4E2BCC46">
      <w:pPr>
        <w:autoSpaceDE w:val="0"/>
        <w:spacing w:line="360" w:lineRule="auto"/>
        <w:rPr>
          <w:rFonts w:ascii="仿宋" w:hAnsi="仿宋" w:eastAsia="仿宋" w:cs="仿宋"/>
          <w:sz w:val="24"/>
          <w:highlight w:val="none"/>
        </w:rPr>
      </w:pPr>
      <w:r>
        <w:rPr>
          <w:rFonts w:hint="eastAsia" w:ascii="仿宋" w:hAnsi="仿宋" w:eastAsia="仿宋" w:cs="仿宋"/>
          <w:sz w:val="24"/>
          <w:highlight w:val="none"/>
          <w:lang w:bidi="ar"/>
        </w:rPr>
        <w:t>4.2 双方对质量有争议，如需将货物送至具有资质的质量检测机构检测的，若检测结果合格，检测费用由采购人支付。若检测结果不合格，则检测费用由中标供应商支付，采购人将该批次货物退货，中标供应商除重新配送合格物资外，同时扣除30%当月货款。</w:t>
      </w:r>
    </w:p>
    <w:p w14:paraId="56D01A69">
      <w:pPr>
        <w:autoSpaceDE w:val="0"/>
        <w:spacing w:line="360" w:lineRule="auto"/>
        <w:rPr>
          <w:rFonts w:ascii="仿宋" w:hAnsi="仿宋" w:eastAsia="仿宋" w:cs="仿宋"/>
          <w:sz w:val="24"/>
          <w:highlight w:val="none"/>
        </w:rPr>
      </w:pPr>
      <w:r>
        <w:rPr>
          <w:rFonts w:hint="eastAsia" w:ascii="仿宋" w:hAnsi="仿宋" w:eastAsia="仿宋" w:cs="仿宋"/>
          <w:sz w:val="24"/>
          <w:highlight w:val="none"/>
          <w:lang w:bidi="ar"/>
        </w:rPr>
        <w:t>4.3 合同期内，采购人对货物质量进行日常任意抽查，若发现货物质量（含包装）不合格，中标供应商必对该批次产品作出更换、退货，情节严重的按解除合同等方式处理。</w:t>
      </w:r>
    </w:p>
    <w:p w14:paraId="31CF942A">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5、</w:t>
      </w:r>
      <w:r>
        <w:rPr>
          <w:rFonts w:ascii="仿宋" w:hAnsi="仿宋" w:eastAsia="仿宋" w:cs="仿宋"/>
          <w:kern w:val="2"/>
          <w:sz w:val="24"/>
          <w:szCs w:val="24"/>
          <w:highlight w:val="none"/>
          <w:lang w:bidi="ar"/>
        </w:rPr>
        <w:t>中标供应商的管理要求</w:t>
      </w:r>
    </w:p>
    <w:p w14:paraId="5971DA16">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 xml:space="preserve">5.1 </w:t>
      </w:r>
      <w:r>
        <w:rPr>
          <w:rFonts w:ascii="仿宋" w:hAnsi="仿宋" w:eastAsia="仿宋" w:cs="仿宋"/>
          <w:kern w:val="2"/>
          <w:sz w:val="24"/>
          <w:szCs w:val="24"/>
          <w:highlight w:val="none"/>
          <w:lang w:bidi="ar"/>
        </w:rPr>
        <w:t>必须依据国家有关法律法规要求建立健全各项管理制度，保证食品安全，有明确的食品安全责任人。因所供货物质量原因导致采购人发生食品安全事故，除解除合同、扣除全部履约保证金外，中标供应商还需赔偿采购人救治经费及误工损失。</w:t>
      </w:r>
    </w:p>
    <w:p w14:paraId="03DCC482">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 xml:space="preserve">5.2 </w:t>
      </w:r>
      <w:r>
        <w:rPr>
          <w:rFonts w:ascii="仿宋" w:hAnsi="仿宋" w:eastAsia="仿宋" w:cs="仿宋"/>
          <w:kern w:val="2"/>
          <w:sz w:val="24"/>
          <w:szCs w:val="24"/>
          <w:highlight w:val="none"/>
          <w:lang w:bidi="ar"/>
        </w:rPr>
        <w:t>按合同约定的标的供货，中标供应商不得转包、分包，否则采购人有权单方面终止合同，项目另行处理，中标供应商须承担由此造成的经济损失，且履约保证金不退还。</w:t>
      </w:r>
    </w:p>
    <w:p w14:paraId="33E5BAE0">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 xml:space="preserve">5.3 </w:t>
      </w:r>
      <w:r>
        <w:rPr>
          <w:rFonts w:ascii="仿宋" w:hAnsi="仿宋" w:eastAsia="仿宋" w:cs="仿宋"/>
          <w:kern w:val="2"/>
          <w:sz w:val="24"/>
          <w:szCs w:val="24"/>
          <w:highlight w:val="none"/>
          <w:lang w:bidi="ar"/>
        </w:rPr>
        <w:t>中标供应商应严格按合同要求（含品牌、规格、品种、质量等）供应，不得变更供应商品，否则，采购人有权退货。</w:t>
      </w:r>
    </w:p>
    <w:p w14:paraId="4FFBD643">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 xml:space="preserve">5.4 </w:t>
      </w:r>
      <w:r>
        <w:rPr>
          <w:rFonts w:ascii="仿宋" w:hAnsi="仿宋" w:eastAsia="仿宋" w:cs="仿宋"/>
          <w:kern w:val="2"/>
          <w:sz w:val="24"/>
          <w:szCs w:val="24"/>
          <w:highlight w:val="none"/>
          <w:lang w:bidi="ar"/>
        </w:rPr>
        <w:t>采购人按合同对商品进行严格验收，对不符合规格要求的商品，供应商必须无条件退货或更换。</w:t>
      </w:r>
    </w:p>
    <w:p w14:paraId="1430DC5E">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 xml:space="preserve">5.5 </w:t>
      </w:r>
      <w:r>
        <w:rPr>
          <w:rFonts w:ascii="仿宋" w:hAnsi="仿宋" w:eastAsia="仿宋" w:cs="仿宋"/>
          <w:kern w:val="2"/>
          <w:sz w:val="24"/>
          <w:szCs w:val="24"/>
          <w:highlight w:val="none"/>
          <w:lang w:bidi="ar"/>
        </w:rPr>
        <w:t>中标供应商须按供应商品的销售额开具国家正式发票。</w:t>
      </w:r>
    </w:p>
    <w:p w14:paraId="351BBEF0">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 xml:space="preserve">5.6 </w:t>
      </w:r>
      <w:r>
        <w:rPr>
          <w:rFonts w:ascii="仿宋" w:hAnsi="仿宋" w:eastAsia="仿宋" w:cs="仿宋"/>
          <w:kern w:val="2"/>
          <w:sz w:val="24"/>
          <w:szCs w:val="24"/>
          <w:highlight w:val="none"/>
          <w:lang w:bidi="ar"/>
        </w:rPr>
        <w:t>索赔：</w:t>
      </w:r>
    </w:p>
    <w:p w14:paraId="312FF880">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5.5.</w:t>
      </w:r>
      <w:r>
        <w:rPr>
          <w:rFonts w:ascii="仿宋" w:hAnsi="仿宋" w:eastAsia="仿宋" w:cs="仿宋"/>
          <w:kern w:val="2"/>
          <w:sz w:val="24"/>
          <w:szCs w:val="24"/>
          <w:highlight w:val="none"/>
          <w:lang w:bidi="ar"/>
        </w:rPr>
        <w:t>1．经采购人及中标供应商双方现场确认后，采购人对中标供应商供应的食品质量有异议，采购人有权根据有关政府部门的检验结果向中标供应商提出索赔。</w:t>
      </w:r>
    </w:p>
    <w:p w14:paraId="3E37CDEF">
      <w:pPr>
        <w:pStyle w:val="50"/>
        <w:spacing w:line="360" w:lineRule="auto"/>
        <w:ind w:firstLine="0" w:firstLineChars="0"/>
        <w:rPr>
          <w:rFonts w:ascii="仿宋" w:hAnsi="仿宋" w:eastAsia="仿宋" w:cs="仿宋"/>
          <w:kern w:val="2"/>
          <w:sz w:val="24"/>
          <w:szCs w:val="24"/>
          <w:highlight w:val="none"/>
          <w:lang w:bidi="ar"/>
        </w:rPr>
      </w:pPr>
      <w:r>
        <w:rPr>
          <w:rFonts w:hint="eastAsia" w:ascii="仿宋" w:hAnsi="仿宋" w:eastAsia="仿宋" w:cs="仿宋"/>
          <w:kern w:val="2"/>
          <w:sz w:val="24"/>
          <w:szCs w:val="24"/>
          <w:highlight w:val="none"/>
          <w:lang w:bidi="ar"/>
        </w:rPr>
        <w:t>5.5.</w:t>
      </w:r>
      <w:r>
        <w:rPr>
          <w:rFonts w:ascii="仿宋" w:hAnsi="仿宋" w:eastAsia="仿宋" w:cs="仿宋"/>
          <w:kern w:val="2"/>
          <w:sz w:val="24"/>
          <w:szCs w:val="24"/>
          <w:highlight w:val="none"/>
          <w:lang w:bidi="ar"/>
        </w:rPr>
        <w:t>2.中标供应商在供应过程中，如果出现质量问题或造成食物中毒等情况，经查实后确属中标供应商责任，中标供应商应承担由此造成的全部法律责任及经济赔偿损失（包括但不限于食物中毒人员医疗费、误工费、事故处理费等）</w:t>
      </w:r>
    </w:p>
    <w:p w14:paraId="64F8AE1F">
      <w:pPr>
        <w:pStyle w:val="50"/>
        <w:spacing w:line="360" w:lineRule="auto"/>
        <w:ind w:firstLine="0" w:firstLineChars="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kern w:val="2"/>
          <w:sz w:val="24"/>
          <w:szCs w:val="24"/>
          <w:highlight w:val="none"/>
          <w:lang w:bidi="ar"/>
        </w:rPr>
        <w:t>5.5.</w:t>
      </w:r>
      <w:r>
        <w:rPr>
          <w:rFonts w:ascii="仿宋" w:hAnsi="仿宋" w:eastAsia="仿宋" w:cs="仿宋"/>
          <w:kern w:val="2"/>
          <w:sz w:val="24"/>
          <w:szCs w:val="24"/>
          <w:highlight w:val="none"/>
          <w:lang w:bidi="ar"/>
        </w:rPr>
        <w:t>3.如果在采购人发出索赔通知后30天内，中标供应商未作答复，上述索赔应视为已被中标供应商接受。采购人将从合同款项中扣回索赔金额。如果这些金额不足以补偿索赔金额，采购人有权向中标供应商提出不足部分的补偿。</w:t>
      </w:r>
    </w:p>
    <w:p w14:paraId="2B2952EA">
      <w:pPr>
        <w:autoSpaceDE w:val="0"/>
        <w:autoSpaceDN w:val="0"/>
        <w:adjustRightInd w:val="0"/>
        <w:snapToGrid w:val="0"/>
        <w:spacing w:line="400" w:lineRule="exact"/>
        <w:jc w:val="lef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6. 甲方的权利和义务</w:t>
      </w:r>
    </w:p>
    <w:p w14:paraId="0A0EEAEC">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6.1 签署合同后，甲方应确定项目负责人（或项目联系人），负责与本合同有关的事务。甲方有权对乙方的履约行为进行检查，并及时确认乙方提交的事项。甲方应当配合乙方完成相关项目实施工作。</w:t>
      </w:r>
    </w:p>
    <w:p w14:paraId="42923739">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6.2 甲方有权要求乙方按时提交各阶段有关安排计划，并有权定期核对乙方提供货物数量、规格、质量等内容。甲方有权督促乙方工作并要求乙方更换不符合要求的货物。</w:t>
      </w:r>
    </w:p>
    <w:p w14:paraId="18499C84">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6.3 甲方有权要求乙方对缺陷部分予以修复，并按合同约定享有货物保修及其他合同约定的权利。</w:t>
      </w:r>
    </w:p>
    <w:p w14:paraId="369C9EA7">
      <w:pPr>
        <w:snapToGrid w:val="0"/>
        <w:spacing w:line="400" w:lineRule="exact"/>
        <w:ind w:firstLine="420" w:firstLineChars="200"/>
        <w:rPr>
          <w:rFonts w:ascii="仿宋" w:hAnsi="仿宋" w:eastAsia="仿宋" w:cs="仿宋"/>
          <w:highlight w:val="none"/>
        </w:rPr>
      </w:pPr>
      <w:r>
        <w:rPr>
          <w:rFonts w:hint="eastAsia" w:ascii="仿宋" w:hAnsi="仿宋" w:eastAsia="仿宋" w:cs="仿宋"/>
          <w:color w:val="000000" w:themeColor="text1"/>
          <w:szCs w:val="21"/>
          <w:highlight w:val="none"/>
          <w14:textFill>
            <w14:solidFill>
              <w14:schemeClr w14:val="tx1"/>
            </w14:solidFill>
          </w14:textFill>
        </w:rPr>
        <w:t>6.4 甲方应当按照合同约定及时对交付的货物进行验收，</w:t>
      </w:r>
      <w:r>
        <w:rPr>
          <w:rFonts w:hint="eastAsia" w:ascii="仿宋" w:hAnsi="仿宋" w:eastAsia="仿宋" w:cs="仿宋"/>
          <w:szCs w:val="21"/>
          <w:highlight w:val="none"/>
        </w:rPr>
        <w:t>未</w:t>
      </w:r>
      <w:r>
        <w:rPr>
          <w:rFonts w:hint="eastAsia" w:ascii="仿宋" w:hAnsi="仿宋" w:eastAsia="仿宋" w:cs="仿宋"/>
          <w:color w:val="000000" w:themeColor="text1"/>
          <w:szCs w:val="21"/>
          <w:highlight w:val="none"/>
          <w14:textFill>
            <w14:solidFill>
              <w14:schemeClr w14:val="tx1"/>
            </w14:solidFill>
          </w14:textFill>
        </w:rPr>
        <w:t>在</w:t>
      </w:r>
      <w:r>
        <w:rPr>
          <w:rFonts w:hint="eastAsia" w:ascii="仿宋" w:hAnsi="仿宋" w:eastAsia="仿宋" w:cs="仿宋"/>
          <w:b/>
          <w:bCs/>
          <w:szCs w:val="21"/>
          <w:highlight w:val="none"/>
        </w:rPr>
        <w:t>【政府采购合同专用条款】</w:t>
      </w:r>
      <w:r>
        <w:rPr>
          <w:rFonts w:hint="eastAsia" w:ascii="仿宋" w:hAnsi="仿宋" w:eastAsia="仿宋" w:cs="仿宋"/>
          <w:szCs w:val="21"/>
          <w:highlight w:val="none"/>
        </w:rPr>
        <w:t>约定的期限内对乙方履约提出任何异议或者向乙方作出任何说明的，</w:t>
      </w:r>
      <w:r>
        <w:rPr>
          <w:rFonts w:hint="eastAsia" w:ascii="仿宋" w:hAnsi="仿宋" w:eastAsia="仿宋" w:cs="仿宋"/>
          <w:color w:val="000000" w:themeColor="text1"/>
          <w:szCs w:val="21"/>
          <w:highlight w:val="none"/>
          <w14:textFill>
            <w14:solidFill>
              <w14:schemeClr w14:val="tx1"/>
            </w14:solidFill>
          </w14:textFill>
        </w:rPr>
        <w:t>视为验收通过。</w:t>
      </w:r>
    </w:p>
    <w:p w14:paraId="4062C217">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6.5 甲方应当根据合同约定及时向乙方支付合同价款，不得以内部人员变更、履行内部付款流程等为由，拒绝或迟延支付。</w:t>
      </w:r>
    </w:p>
    <w:p w14:paraId="7B276821">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6.6 国家法律法规规定及</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约定应由甲方承担的其他义务和责任。</w:t>
      </w:r>
    </w:p>
    <w:p w14:paraId="12EE576C">
      <w:pPr>
        <w:autoSpaceDE w:val="0"/>
        <w:autoSpaceDN w:val="0"/>
        <w:adjustRightInd w:val="0"/>
        <w:snapToGrid w:val="0"/>
        <w:spacing w:line="400" w:lineRule="exact"/>
        <w:jc w:val="lef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7. 乙方的权利和义务</w:t>
      </w:r>
    </w:p>
    <w:p w14:paraId="467BFCC8">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7.1 签署合同后，乙方应确定项目负责人（或项目联系人），负责与本合同有关的事务。</w:t>
      </w:r>
    </w:p>
    <w:p w14:paraId="7939394C">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536CC611">
      <w:pPr>
        <w:pStyle w:val="10"/>
        <w:spacing w:line="400" w:lineRule="exact"/>
        <w:ind w:firstLine="422" w:firstLineChars="176"/>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.3乙方有权根据合同约定向甲方收取合同价款。</w:t>
      </w:r>
    </w:p>
    <w:p w14:paraId="1B506CF8">
      <w:pPr>
        <w:pStyle w:val="10"/>
        <w:spacing w:line="400" w:lineRule="exact"/>
        <w:ind w:firstLine="422" w:firstLineChars="176"/>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.4国家法律法规规定及</w:t>
      </w:r>
      <w:r>
        <w:rPr>
          <w:rFonts w:hint="eastAsia" w:ascii="仿宋" w:hAnsi="仿宋" w:eastAsia="仿宋" w:cs="仿宋"/>
          <w:b/>
          <w:bCs/>
          <w:szCs w:val="21"/>
          <w:highlight w:val="none"/>
        </w:rPr>
        <w:t>【政府采购合同专用条款】</w:t>
      </w:r>
      <w:r>
        <w:rPr>
          <w:rFonts w:hint="eastAsia" w:ascii="仿宋" w:hAnsi="仿宋" w:eastAsia="仿宋" w:cs="仿宋"/>
          <w:szCs w:val="21"/>
          <w:highlight w:val="none"/>
        </w:rPr>
        <w:t>约定应</w:t>
      </w:r>
      <w:r>
        <w:rPr>
          <w:rFonts w:hint="eastAsia" w:ascii="仿宋" w:hAnsi="仿宋" w:eastAsia="仿宋" w:cs="仿宋"/>
          <w:color w:val="000000" w:themeColor="text1"/>
          <w:szCs w:val="21"/>
          <w:highlight w:val="none"/>
          <w14:textFill>
            <w14:solidFill>
              <w14:schemeClr w14:val="tx1"/>
            </w14:solidFill>
          </w14:textFill>
        </w:rPr>
        <w:t>由乙方承担的其他义务和责任。</w:t>
      </w:r>
    </w:p>
    <w:p w14:paraId="4D48F26F">
      <w:pPr>
        <w:autoSpaceDE w:val="0"/>
        <w:autoSpaceDN w:val="0"/>
        <w:adjustRightInd w:val="0"/>
        <w:snapToGrid w:val="0"/>
        <w:spacing w:line="400" w:lineRule="exact"/>
        <w:jc w:val="lef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8.合同履行</w:t>
      </w:r>
    </w:p>
    <w:p w14:paraId="3FFF0C73">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8.1 甲乙双方应当按照</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约定顺序履行合同义务；如果没有先后顺序的，应当同时履行。</w:t>
      </w:r>
    </w:p>
    <w:p w14:paraId="6A5A5B7C">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color w:val="000000" w:themeColor="text1"/>
          <w:szCs w:val="21"/>
          <w:highlight w:val="none"/>
          <w14:textFill>
            <w14:solidFill>
              <w14:schemeClr w14:val="tx1"/>
            </w14:solidFill>
          </w14:textFill>
        </w:rPr>
        <w:t>8.2 甲乙双方按照合同约定顺序履行合同义务时，应当先履行一方未履行的，后履行一方有权拒绝其履行请求。先履行一方履行不符合约定的，后履行一方有权拒绝其相应的履行请求。</w:t>
      </w:r>
    </w:p>
    <w:p w14:paraId="6033C116">
      <w:pPr>
        <w:adjustRightInd w:val="0"/>
        <w:snapToGrid w:val="0"/>
        <w:spacing w:line="400" w:lineRule="exact"/>
        <w:jc w:val="lef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9. 货物包装、运输、保险和交付要求</w:t>
      </w:r>
    </w:p>
    <w:p w14:paraId="18433B67">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9.1 本合同</w:t>
      </w:r>
      <w:r>
        <w:rPr>
          <w:rFonts w:hint="eastAsia" w:ascii="仿宋" w:hAnsi="仿宋" w:eastAsia="仿宋" w:cs="仿宋"/>
          <w:bCs/>
          <w:color w:val="000000" w:themeColor="text1"/>
          <w:szCs w:val="21"/>
          <w:highlight w:val="none"/>
          <w14:textFill>
            <w14:solidFill>
              <w14:schemeClr w14:val="tx1"/>
            </w14:solidFill>
          </w14:textFill>
        </w:rPr>
        <w:t>涉及商品包装、快递包装的，</w:t>
      </w:r>
      <w:r>
        <w:rPr>
          <w:rFonts w:hint="eastAsia" w:ascii="仿宋" w:hAnsi="仿宋" w:eastAsia="仿宋" w:cs="仿宋"/>
          <w:color w:val="000000" w:themeColor="text1"/>
          <w:szCs w:val="21"/>
          <w:highlight w:val="none"/>
          <w14:textFill>
            <w14:solidFill>
              <w14:schemeClr w14:val="tx1"/>
            </w14:solidFill>
          </w14:textFill>
        </w:rPr>
        <w:t>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另有约定外，</w:t>
      </w:r>
      <w:r>
        <w:rPr>
          <w:rFonts w:hint="eastAsia" w:ascii="仿宋" w:hAnsi="仿宋" w:eastAsia="仿宋" w:cs="仿宋"/>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约定的</w:t>
      </w:r>
      <w:r>
        <w:rPr>
          <w:rFonts w:hint="eastAsia" w:ascii="仿宋" w:hAnsi="仿宋" w:eastAsia="仿宋" w:cs="仿宋"/>
          <w:color w:val="000000" w:themeColor="text1"/>
          <w:szCs w:val="21"/>
          <w:highlight w:val="none"/>
          <w14:textFill>
            <w14:solidFill>
              <w14:schemeClr w14:val="tx1"/>
            </w14:solidFill>
          </w14:textFill>
        </w:rPr>
        <w:t>指定现场。</w:t>
      </w:r>
    </w:p>
    <w:p w14:paraId="4EDD39FC">
      <w:pPr>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9.2 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另有约定外，</w:t>
      </w:r>
      <w:r>
        <w:rPr>
          <w:rFonts w:hint="eastAsia" w:ascii="仿宋" w:hAnsi="仿宋" w:eastAsia="仿宋" w:cs="仿宋"/>
          <w:color w:val="000000" w:themeColor="text1"/>
          <w:szCs w:val="21"/>
          <w:highlight w:val="none"/>
          <w14:textFill>
            <w14:solidFill>
              <w14:schemeClr w14:val="tx1"/>
            </w14:solidFill>
          </w14:textFill>
        </w:rPr>
        <w:t>乙方负责办理将货物运抵本合同规定的交货地点，并装卸、交付至甲方的一切运输事项，相关费用应包含在合同价款中。</w:t>
      </w:r>
    </w:p>
    <w:p w14:paraId="7FF32161">
      <w:pPr>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9.3 货物保险要求按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规定执行</w:t>
      </w:r>
      <w:r>
        <w:rPr>
          <w:rFonts w:hint="eastAsia" w:ascii="仿宋" w:hAnsi="仿宋" w:eastAsia="仿宋" w:cs="仿宋"/>
          <w:color w:val="000000" w:themeColor="text1"/>
          <w:szCs w:val="21"/>
          <w:highlight w:val="none"/>
          <w14:textFill>
            <w14:solidFill>
              <w14:schemeClr w14:val="tx1"/>
            </w14:solidFill>
          </w14:textFill>
        </w:rPr>
        <w:t>。</w:t>
      </w:r>
    </w:p>
    <w:p w14:paraId="6F46DCC8">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9.4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1C0DD300">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9.5 </w:t>
      </w:r>
      <w:r>
        <w:rPr>
          <w:rFonts w:hint="eastAsia" w:ascii="仿宋" w:hAnsi="仿宋" w:eastAsia="仿宋" w:cs="仿宋"/>
          <w:color w:val="000000"/>
          <w:szCs w:val="21"/>
          <w:highlight w:val="none"/>
        </w:rPr>
        <w:t>乙方在运输到达之前应提前通知甲方，并提示货物运输装卸的注意事项，甲方配合乙方做好货物的接收工作。</w:t>
      </w:r>
    </w:p>
    <w:p w14:paraId="3401696D">
      <w:pPr>
        <w:pStyle w:val="50"/>
        <w:ind w:firstLine="420"/>
        <w:rPr>
          <w:rFonts w:ascii="仿宋" w:hAnsi="仿宋" w:eastAsia="仿宋" w:cs="仿宋"/>
          <w:sz w:val="21"/>
          <w:highlight w:val="none"/>
        </w:rPr>
      </w:pPr>
      <w:r>
        <w:rPr>
          <w:rFonts w:hint="eastAsia" w:ascii="仿宋" w:hAnsi="仿宋" w:eastAsia="仿宋" w:cs="仿宋"/>
          <w:color w:val="000000" w:themeColor="text1"/>
          <w:kern w:val="2"/>
          <w:sz w:val="21"/>
          <w:highlight w:val="none"/>
          <w14:textFill>
            <w14:solidFill>
              <w14:schemeClr w14:val="tx1"/>
            </w14:solidFill>
          </w14:textFill>
        </w:rPr>
        <w:t xml:space="preserve">9.6 </w:t>
      </w:r>
      <w:r>
        <w:rPr>
          <w:rFonts w:hint="eastAsia" w:ascii="仿宋" w:hAnsi="仿宋" w:eastAsia="仿宋" w:cs="仿宋"/>
          <w:color w:val="000000"/>
          <w:kern w:val="2"/>
          <w:sz w:val="21"/>
          <w:highlight w:val="none"/>
        </w:rPr>
        <w:t>如因包装、运输问题导致货物</w:t>
      </w:r>
      <w:r>
        <w:rPr>
          <w:rFonts w:hint="eastAsia" w:ascii="仿宋" w:hAnsi="仿宋" w:eastAsia="仿宋" w:cs="仿宋"/>
          <w:color w:val="000000" w:themeColor="text1"/>
          <w:kern w:val="2"/>
          <w:sz w:val="21"/>
          <w:highlight w:val="none"/>
          <w14:textFill>
            <w14:solidFill>
              <w14:schemeClr w14:val="tx1"/>
            </w14:solidFill>
          </w14:textFill>
        </w:rPr>
        <w:t>损毁、丢失</w:t>
      </w:r>
      <w:r>
        <w:rPr>
          <w:rFonts w:hint="eastAsia" w:ascii="仿宋" w:hAnsi="仿宋" w:eastAsia="仿宋" w:cs="仿宋"/>
          <w:color w:val="000000"/>
          <w:kern w:val="2"/>
          <w:sz w:val="21"/>
          <w:highlight w:val="none"/>
        </w:rPr>
        <w:t>或者品质下降，甲方有权要求降价、换货、拒收部分或整批货物，由此产生的费用和损失，均由乙方承担。</w:t>
      </w:r>
    </w:p>
    <w:p w14:paraId="7767A9A6">
      <w:pPr>
        <w:adjustRightInd w:val="0"/>
        <w:snapToGrid w:val="0"/>
        <w:spacing w:line="400" w:lineRule="exact"/>
        <w:jc w:val="left"/>
        <w:rPr>
          <w:rFonts w:ascii="仿宋" w:hAnsi="仿宋" w:eastAsia="仿宋" w:cs="仿宋"/>
          <w:b/>
          <w:sz w:val="24"/>
          <w:highlight w:val="none"/>
        </w:rPr>
      </w:pPr>
      <w:r>
        <w:rPr>
          <w:rFonts w:hint="eastAsia" w:ascii="仿宋" w:hAnsi="仿宋" w:eastAsia="仿宋" w:cs="仿宋"/>
          <w:b/>
          <w:color w:val="000000" w:themeColor="text1"/>
          <w:sz w:val="24"/>
          <w:highlight w:val="none"/>
          <w14:textFill>
            <w14:solidFill>
              <w14:schemeClr w14:val="tx1"/>
            </w14:solidFill>
          </w14:textFill>
        </w:rPr>
        <w:t xml:space="preserve">10. </w:t>
      </w:r>
      <w:r>
        <w:rPr>
          <w:rFonts w:hint="eastAsia" w:ascii="仿宋" w:hAnsi="仿宋" w:eastAsia="仿宋" w:cs="仿宋"/>
          <w:b/>
          <w:sz w:val="24"/>
          <w:highlight w:val="none"/>
        </w:rPr>
        <w:t>质量标准和保证</w:t>
      </w:r>
    </w:p>
    <w:p w14:paraId="339DAA6F">
      <w:pPr>
        <w:pStyle w:val="12"/>
        <w:adjustRightInd w:val="0"/>
        <w:snapToGrid w:val="0"/>
        <w:spacing w:line="400" w:lineRule="exact"/>
        <w:ind w:firstLine="420" w:firstLineChars="200"/>
        <w:jc w:val="left"/>
        <w:rPr>
          <w:rFonts w:ascii="仿宋" w:hAnsi="仿宋" w:eastAsia="仿宋" w:cs="仿宋"/>
          <w:b/>
          <w:highlight w:val="none"/>
        </w:rPr>
      </w:pPr>
      <w:r>
        <w:rPr>
          <w:rFonts w:hint="eastAsia" w:ascii="仿宋" w:hAnsi="仿宋" w:eastAsia="仿宋" w:cs="仿宋"/>
          <w:highlight w:val="none"/>
        </w:rPr>
        <w:t>10.1 质量标准</w:t>
      </w:r>
    </w:p>
    <w:p w14:paraId="33D790B7">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（1）本合同下提供的货物应符合合同</w:t>
      </w:r>
      <w:r>
        <w:rPr>
          <w:rFonts w:hint="eastAsia" w:ascii="仿宋" w:hAnsi="仿宋" w:eastAsia="仿宋" w:cs="仿宋"/>
          <w:color w:val="000000"/>
          <w:szCs w:val="21"/>
          <w:highlight w:val="none"/>
        </w:rPr>
        <w:t>约定的</w:t>
      </w:r>
      <w:r>
        <w:rPr>
          <w:rFonts w:hint="eastAsia" w:ascii="仿宋" w:hAnsi="仿宋" w:eastAsia="仿宋" w:cs="仿宋"/>
          <w:szCs w:val="21"/>
          <w:highlight w:val="none"/>
        </w:rPr>
        <w:t>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6D5243B0">
      <w:pPr>
        <w:pStyle w:val="12"/>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（2）采用中华人民共和国法定计量单位。</w:t>
      </w:r>
    </w:p>
    <w:p w14:paraId="74DE2127">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（3）乙方所提供的货物应符合国家有关安全、环保、卫生的规定。</w:t>
      </w:r>
    </w:p>
    <w:p w14:paraId="6C53D8E4">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（4）乙方应向甲方提交所提供货物的技术文件，包括相应的中文技术文件，如：产品目录、图纸、操作手册、使用说明、维护手册或服务指南等。上述文件应包装好随货物一同发运。</w:t>
      </w:r>
    </w:p>
    <w:p w14:paraId="2D592617">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10.2 保证</w:t>
      </w:r>
    </w:p>
    <w:p w14:paraId="10756787">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仿宋" w:hAnsi="仿宋" w:eastAsia="仿宋" w:cs="仿宋"/>
          <w:b/>
          <w:szCs w:val="21"/>
          <w:highlight w:val="none"/>
        </w:rPr>
        <w:t>【政府采购合同专用条款】</w:t>
      </w:r>
      <w:r>
        <w:rPr>
          <w:rFonts w:hint="eastAsia" w:ascii="仿宋" w:hAnsi="仿宋" w:eastAsia="仿宋" w:cs="仿宋"/>
          <w:szCs w:val="21"/>
          <w:highlight w:val="none"/>
        </w:rPr>
        <w:t>规定或乙方书面承诺（两者以较长的为准）的质量保证期内，本保证保持有效。</w:t>
      </w:r>
    </w:p>
    <w:p w14:paraId="24838655">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（2）在质量保证期内所发现的缺陷，甲方应尽快以书面形式通知乙方。</w:t>
      </w:r>
    </w:p>
    <w:p w14:paraId="0BBFE839">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（3）乙方收到通知后，应在</w:t>
      </w:r>
      <w:r>
        <w:rPr>
          <w:rFonts w:hint="eastAsia" w:ascii="仿宋" w:hAnsi="仿宋" w:eastAsia="仿宋" w:cs="仿宋"/>
          <w:b/>
          <w:szCs w:val="21"/>
          <w:highlight w:val="none"/>
        </w:rPr>
        <w:t>【政府采购合同专用条款】</w:t>
      </w:r>
      <w:r>
        <w:rPr>
          <w:rFonts w:hint="eastAsia" w:ascii="仿宋" w:hAnsi="仿宋" w:eastAsia="仿宋" w:cs="仿宋"/>
          <w:szCs w:val="21"/>
          <w:highlight w:val="none"/>
        </w:rPr>
        <w:t>规定的响应时间内以合理的速度免费维修或更换有缺陷的货物或部件。</w:t>
      </w:r>
    </w:p>
    <w:p w14:paraId="3F60DCC0">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Cs w:val="21"/>
          <w:highlight w:val="none"/>
          <w14:textFill>
            <w14:solidFill>
              <w14:schemeClr w14:val="tx1"/>
            </w14:solidFill>
          </w14:textFill>
        </w:rPr>
        <w:t>5</w:t>
      </w:r>
      <w:r>
        <w:rPr>
          <w:rFonts w:hint="eastAsia" w:ascii="仿宋" w:hAnsi="仿宋" w:eastAsia="仿宋" w:cs="仿宋"/>
          <w:szCs w:val="21"/>
          <w:highlight w:val="none"/>
        </w:rPr>
        <w:t>.1条规定以书面形式</w:t>
      </w:r>
      <w:r>
        <w:rPr>
          <w:rFonts w:hint="eastAsia" w:ascii="仿宋" w:hAnsi="仿宋" w:eastAsia="仿宋" w:cs="仿宋"/>
          <w:color w:val="000000" w:themeColor="text1"/>
          <w:szCs w:val="21"/>
          <w:highlight w:val="none"/>
          <w14:textFill>
            <w14:solidFill>
              <w14:schemeClr w14:val="tx1"/>
            </w14:solidFill>
          </w14:textFill>
        </w:rPr>
        <w:t>追究</w:t>
      </w:r>
      <w:r>
        <w:rPr>
          <w:rFonts w:hint="eastAsia" w:ascii="仿宋" w:hAnsi="仿宋" w:eastAsia="仿宋" w:cs="仿宋"/>
          <w:szCs w:val="21"/>
          <w:highlight w:val="none"/>
        </w:rPr>
        <w:t>乙方</w:t>
      </w:r>
      <w:r>
        <w:rPr>
          <w:rFonts w:hint="eastAsia" w:ascii="仿宋" w:hAnsi="仿宋" w:eastAsia="仿宋" w:cs="仿宋"/>
          <w:color w:val="000000" w:themeColor="text1"/>
          <w:szCs w:val="21"/>
          <w:highlight w:val="none"/>
          <w14:textFill>
            <w14:solidFill>
              <w14:schemeClr w14:val="tx1"/>
            </w14:solidFill>
          </w14:textFill>
        </w:rPr>
        <w:t>的违约责任</w:t>
      </w:r>
      <w:r>
        <w:rPr>
          <w:rFonts w:hint="eastAsia" w:ascii="仿宋" w:hAnsi="仿宋" w:eastAsia="仿宋" w:cs="仿宋"/>
          <w:szCs w:val="21"/>
          <w:highlight w:val="none"/>
        </w:rPr>
        <w:t>。</w:t>
      </w:r>
    </w:p>
    <w:p w14:paraId="0EA87003">
      <w:pPr>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szCs w:val="21"/>
          <w:highlight w:val="none"/>
        </w:rPr>
        <w:t>（5）乙方在约定的时间内未能弥补缺陷，甲方可采取必要的补救措施，但其风险和费用将由乙方承担，甲方根据合同约定对乙方行使的其他权利不受影响。</w:t>
      </w:r>
    </w:p>
    <w:p w14:paraId="103A4176">
      <w:pPr>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11.</w:t>
      </w:r>
      <w:r>
        <w:rPr>
          <w:rFonts w:hint="eastAsia" w:ascii="仿宋" w:hAnsi="仿宋" w:eastAsia="仿宋" w:cs="仿宋"/>
          <w:b/>
          <w:bCs/>
          <w:color w:val="000000" w:themeColor="text1"/>
          <w:sz w:val="24"/>
          <w:highlight w:val="none"/>
          <w14:textFill>
            <w14:solidFill>
              <w14:schemeClr w14:val="tx1"/>
            </w14:solidFill>
          </w14:textFill>
        </w:rPr>
        <w:t xml:space="preserve"> </w:t>
      </w:r>
      <w:r>
        <w:rPr>
          <w:rFonts w:hint="eastAsia" w:ascii="仿宋" w:hAnsi="仿宋" w:eastAsia="仿宋" w:cs="仿宋"/>
          <w:b/>
          <w:bCs/>
          <w:sz w:val="24"/>
          <w:highlight w:val="none"/>
        </w:rPr>
        <w:t>权利瑕疵担保</w:t>
      </w:r>
    </w:p>
    <w:p w14:paraId="32D4120E">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11.1 乙方保证对其出售的货物享有合法的权利。</w:t>
      </w:r>
    </w:p>
    <w:p w14:paraId="6D6DE19A">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11.2 </w:t>
      </w:r>
      <w:r>
        <w:rPr>
          <w:rFonts w:hint="eastAsia" w:ascii="仿宋" w:hAnsi="仿宋" w:eastAsia="仿宋" w:cs="仿宋"/>
          <w:szCs w:val="15"/>
          <w:highlight w:val="none"/>
        </w:rPr>
        <w:t>乙方保证在交付的货物上不存在抵押权等担保物权。</w:t>
      </w:r>
    </w:p>
    <w:p w14:paraId="33D3CEC3">
      <w:pPr>
        <w:autoSpaceDE w:val="0"/>
        <w:autoSpaceDN w:val="0"/>
        <w:adjustRightInd w:val="0"/>
        <w:snapToGrid w:val="0"/>
        <w:spacing w:line="400" w:lineRule="exact"/>
        <w:ind w:firstLine="420" w:firstLineChars="2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11.3 如甲方使用上述货物构成对第三人侵权的，则由乙方承担全部责任。</w:t>
      </w:r>
    </w:p>
    <w:p w14:paraId="33BB7453">
      <w:pPr>
        <w:autoSpaceDE w:val="0"/>
        <w:autoSpaceDN w:val="0"/>
        <w:adjustRightInd w:val="0"/>
        <w:snapToGrid w:val="0"/>
        <w:spacing w:line="400" w:lineRule="exact"/>
        <w:jc w:val="lef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12. 知识产权保护</w:t>
      </w:r>
    </w:p>
    <w:p w14:paraId="776D842E">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color w:val="000000" w:themeColor="text1"/>
          <w:szCs w:val="21"/>
          <w:highlight w:val="none"/>
          <w14:textFill>
            <w14:solidFill>
              <w14:schemeClr w14:val="tx1"/>
            </w14:solidFill>
          </w14:textFill>
        </w:rPr>
        <w:t>12.1 乙方对其所销售的货物应当享有知识产权或经权利人合法授权，保证没有侵犯任</w:t>
      </w:r>
      <w:r>
        <w:rPr>
          <w:rFonts w:hint="eastAsia" w:ascii="仿宋" w:hAnsi="仿宋" w:eastAsia="仿宋" w:cs="仿宋"/>
          <w:szCs w:val="21"/>
          <w:highlight w:val="none"/>
        </w:rPr>
        <w:t>何第三人的知识产权等权利。</w:t>
      </w:r>
      <w:bookmarkStart w:id="19" w:name="_Hlk163047038"/>
      <w:r>
        <w:rPr>
          <w:rFonts w:hint="eastAsia" w:ascii="仿宋" w:hAnsi="仿宋" w:eastAsia="仿宋" w:cs="仿宋"/>
          <w:szCs w:val="15"/>
          <w:highlight w:val="none"/>
        </w:rPr>
        <w:t>因违反前述约定对第三人构成侵权的，应当由乙方向第三人承担法律责任；甲方依法向第三人赔偿后，有权向乙方追偿。甲方有其他损失的，乙方应当赔偿</w:t>
      </w:r>
      <w:bookmarkEnd w:id="19"/>
      <w:r>
        <w:rPr>
          <w:rFonts w:hint="eastAsia" w:ascii="仿宋" w:hAnsi="仿宋" w:eastAsia="仿宋" w:cs="仿宋"/>
          <w:szCs w:val="21"/>
          <w:highlight w:val="none"/>
        </w:rPr>
        <w:t>。</w:t>
      </w:r>
    </w:p>
    <w:p w14:paraId="08F4F92D">
      <w:pPr>
        <w:autoSpaceDE w:val="0"/>
        <w:autoSpaceDN w:val="0"/>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13. 保密义务</w:t>
      </w:r>
    </w:p>
    <w:p w14:paraId="27B2700A">
      <w:pPr>
        <w:autoSpaceDE w:val="0"/>
        <w:autoSpaceDN w:val="0"/>
        <w:adjustRightInd w:val="0"/>
        <w:snapToGrid w:val="0"/>
        <w:spacing w:line="400" w:lineRule="exact"/>
        <w:ind w:firstLine="420" w:firstLineChars="200"/>
        <w:jc w:val="left"/>
        <w:rPr>
          <w:rFonts w:ascii="仿宋" w:hAnsi="仿宋" w:eastAsia="仿宋" w:cs="仿宋"/>
          <w:szCs w:val="15"/>
          <w:highlight w:val="none"/>
        </w:rPr>
      </w:pPr>
      <w:r>
        <w:rPr>
          <w:rFonts w:hint="eastAsia" w:ascii="仿宋" w:hAnsi="仿宋" w:eastAsia="仿宋" w:cs="仿宋"/>
          <w:szCs w:val="15"/>
          <w:highlight w:val="none"/>
        </w:rPr>
        <w:t>13.1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仿宋" w:hAnsi="仿宋" w:eastAsia="仿宋" w:cs="仿宋"/>
          <w:b/>
          <w:bCs/>
          <w:szCs w:val="15"/>
          <w:highlight w:val="none"/>
        </w:rPr>
        <w:t>【政府采购合同专用条款】</w:t>
      </w:r>
      <w:r>
        <w:rPr>
          <w:rFonts w:hint="eastAsia" w:ascii="仿宋" w:hAnsi="仿宋" w:eastAsia="仿宋" w:cs="仿宋"/>
          <w:szCs w:val="15"/>
          <w:highlight w:val="none"/>
        </w:rPr>
        <w:t>中约定。</w:t>
      </w:r>
    </w:p>
    <w:p w14:paraId="1208357E">
      <w:pPr>
        <w:autoSpaceDE w:val="0"/>
        <w:autoSpaceDN w:val="0"/>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14. 合同价款支付</w:t>
      </w:r>
    </w:p>
    <w:p w14:paraId="35B71493">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14.1 合同价款支付按照国库集中支付制度及财政管理相关规定执行。</w:t>
      </w:r>
    </w:p>
    <w:p w14:paraId="2D8B2264">
      <w:pPr>
        <w:pStyle w:val="4"/>
        <w:spacing w:line="400" w:lineRule="exact"/>
        <w:ind w:firstLine="420" w:firstLineChars="200"/>
        <w:rPr>
          <w:rFonts w:hint="default" w:ascii="仿宋" w:hAnsi="仿宋" w:eastAsia="仿宋" w:cs="仿宋"/>
          <w:highlight w:val="none"/>
        </w:rPr>
      </w:pPr>
      <w:r>
        <w:rPr>
          <w:rFonts w:ascii="仿宋" w:hAnsi="仿宋" w:eastAsia="仿宋" w:cs="仿宋"/>
          <w:b w:val="0"/>
          <w:bCs w:val="0"/>
          <w:sz w:val="21"/>
          <w:szCs w:val="21"/>
          <w:highlight w:val="none"/>
        </w:rPr>
        <w:t xml:space="preserve">14.2 </w:t>
      </w:r>
      <w:r>
        <w:rPr>
          <w:rFonts w:ascii="仿宋" w:hAnsi="仿宋" w:eastAsia="仿宋" w:cs="仿宋"/>
          <w:b w:val="0"/>
          <w:bCs w:val="0"/>
          <w:kern w:val="2"/>
          <w:sz w:val="21"/>
          <w:szCs w:val="21"/>
          <w:highlight w:val="none"/>
        </w:rPr>
        <w:t>对于满足合同约定支付条件的，甲方</w:t>
      </w:r>
      <w:r>
        <w:rPr>
          <w:rFonts w:ascii="仿宋" w:hAnsi="仿宋" w:eastAsia="仿宋" w:cs="仿宋"/>
          <w:b w:val="0"/>
          <w:bCs w:val="0"/>
          <w:sz w:val="21"/>
          <w:szCs w:val="21"/>
          <w:highlight w:val="none"/>
        </w:rPr>
        <w:t>原则上应当自收到发票后10个工作日内</w:t>
      </w:r>
      <w:r>
        <w:rPr>
          <w:rFonts w:ascii="仿宋" w:hAnsi="仿宋" w:eastAsia="仿宋" w:cs="仿宋"/>
          <w:b w:val="0"/>
          <w:bCs w:val="0"/>
          <w:kern w:val="2"/>
          <w:sz w:val="21"/>
          <w:szCs w:val="21"/>
          <w:highlight w:val="none"/>
        </w:rPr>
        <w:t>将资金支付到合同约定的乙方账户，不得以机构变动、人员更替、政策调整等为由迟延付款，不得将采购文件和合同中未规定的义务作为向乙方付款的条件。具体合同价款支付时间在【</w:t>
      </w:r>
      <w:r>
        <w:rPr>
          <w:rFonts w:ascii="仿宋" w:hAnsi="仿宋" w:eastAsia="仿宋" w:cs="仿宋"/>
          <w:kern w:val="2"/>
          <w:sz w:val="21"/>
          <w:szCs w:val="21"/>
          <w:highlight w:val="none"/>
        </w:rPr>
        <w:t>政府采购合同专用条款</w:t>
      </w:r>
      <w:r>
        <w:rPr>
          <w:rFonts w:ascii="仿宋" w:hAnsi="仿宋" w:eastAsia="仿宋" w:cs="仿宋"/>
          <w:b w:val="0"/>
          <w:bCs w:val="0"/>
          <w:kern w:val="2"/>
          <w:sz w:val="21"/>
          <w:szCs w:val="21"/>
          <w:highlight w:val="none"/>
        </w:rPr>
        <w:t>】中约定。</w:t>
      </w:r>
    </w:p>
    <w:p w14:paraId="68EFCDBD">
      <w:pPr>
        <w:pStyle w:val="10"/>
        <w:spacing w:line="400" w:lineRule="exact"/>
        <w:rPr>
          <w:rFonts w:ascii="仿宋" w:hAnsi="仿宋" w:eastAsia="仿宋" w:cs="仿宋"/>
          <w:b/>
          <w:bCs/>
          <w:highlight w:val="none"/>
        </w:rPr>
      </w:pPr>
      <w:r>
        <w:rPr>
          <w:rFonts w:hint="eastAsia" w:ascii="仿宋" w:hAnsi="仿宋" w:eastAsia="仿宋" w:cs="仿宋"/>
          <w:b/>
          <w:bCs/>
          <w:highlight w:val="none"/>
        </w:rPr>
        <w:t>1</w:t>
      </w:r>
      <w:r>
        <w:rPr>
          <w:rFonts w:hint="eastAsia" w:ascii="仿宋" w:hAnsi="仿宋" w:eastAsia="仿宋" w:cs="仿宋"/>
          <w:b/>
          <w:bCs/>
          <w:highlight w:val="none"/>
          <w:lang w:val="en-US"/>
        </w:rPr>
        <w:t>5</w:t>
      </w:r>
      <w:r>
        <w:rPr>
          <w:rFonts w:hint="eastAsia" w:ascii="仿宋" w:hAnsi="仿宋" w:eastAsia="仿宋" w:cs="仿宋"/>
          <w:b/>
          <w:bCs/>
          <w:highlight w:val="none"/>
        </w:rPr>
        <w:t>.</w:t>
      </w:r>
      <w:r>
        <w:rPr>
          <w:rFonts w:hint="eastAsia" w:ascii="仿宋" w:hAnsi="仿宋" w:eastAsia="仿宋" w:cs="仿宋"/>
          <w:b/>
          <w:bCs/>
          <w:highlight w:val="none"/>
          <w:lang w:val="en-US"/>
        </w:rPr>
        <w:t xml:space="preserve"> </w:t>
      </w:r>
      <w:r>
        <w:rPr>
          <w:rFonts w:hint="eastAsia" w:ascii="仿宋" w:hAnsi="仿宋" w:eastAsia="仿宋" w:cs="仿宋"/>
          <w:b/>
          <w:bCs/>
          <w:highlight w:val="none"/>
        </w:rPr>
        <w:t>履约保证金</w:t>
      </w:r>
    </w:p>
    <w:p w14:paraId="3577C373">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 xml:space="preserve">15.1 </w:t>
      </w:r>
      <w:r>
        <w:rPr>
          <w:rFonts w:hint="eastAsia" w:ascii="仿宋" w:hAnsi="仿宋" w:eastAsia="仿宋" w:cs="仿宋"/>
          <w:szCs w:val="15"/>
          <w:highlight w:val="none"/>
        </w:rPr>
        <w:t>乙方应当以支票、汇票、本票或者金融机构、担保机构出具的保函等非现金形式提交。</w:t>
      </w:r>
    </w:p>
    <w:p w14:paraId="22A28918">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15.2 如果乙方出现</w:t>
      </w:r>
      <w:r>
        <w:rPr>
          <w:rFonts w:hint="eastAsia" w:ascii="仿宋" w:hAnsi="仿宋" w:eastAsia="仿宋" w:cs="仿宋"/>
          <w:b/>
          <w:bCs/>
          <w:szCs w:val="15"/>
          <w:highlight w:val="none"/>
        </w:rPr>
        <w:t>【政府采购合同专用条款】</w:t>
      </w:r>
      <w:r>
        <w:rPr>
          <w:rFonts w:hint="eastAsia" w:ascii="仿宋" w:hAnsi="仿宋" w:eastAsia="仿宋" w:cs="仿宋"/>
          <w:szCs w:val="15"/>
          <w:highlight w:val="none"/>
        </w:rPr>
        <w:t>约定情形的</w:t>
      </w:r>
      <w:r>
        <w:rPr>
          <w:rFonts w:hint="eastAsia" w:ascii="仿宋" w:hAnsi="仿宋" w:eastAsia="仿宋" w:cs="仿宋"/>
          <w:szCs w:val="21"/>
          <w:highlight w:val="none"/>
        </w:rPr>
        <w:t>，履约保证金不予退还；如果乙方未能按合同约定全面履行义务，甲方有权从履约保证金中取得补偿或赔偿，且不影响甲方要求乙方承担合同约定的超过履约保证金的违约责任的权利。</w:t>
      </w:r>
    </w:p>
    <w:p w14:paraId="131055A3">
      <w:pPr>
        <w:spacing w:line="400" w:lineRule="exact"/>
        <w:ind w:firstLine="420"/>
        <w:rPr>
          <w:rFonts w:ascii="仿宋" w:hAnsi="仿宋" w:eastAsia="仿宋" w:cs="仿宋"/>
          <w:highlight w:val="none"/>
        </w:rPr>
      </w:pPr>
      <w:r>
        <w:rPr>
          <w:rFonts w:hint="eastAsia" w:ascii="仿宋" w:hAnsi="仿宋" w:eastAsia="仿宋" w:cs="仿宋"/>
          <w:szCs w:val="21"/>
          <w:highlight w:val="none"/>
        </w:rPr>
        <w:t>15.3 甲方在项目通过验收后按照</w:t>
      </w:r>
      <w:r>
        <w:rPr>
          <w:rFonts w:hint="eastAsia" w:ascii="仿宋" w:hAnsi="仿宋" w:eastAsia="仿宋" w:cs="仿宋"/>
          <w:b/>
          <w:szCs w:val="21"/>
          <w:highlight w:val="none"/>
        </w:rPr>
        <w:t>【政府采购合同专用条款】</w:t>
      </w:r>
      <w:r>
        <w:rPr>
          <w:rFonts w:hint="eastAsia" w:ascii="仿宋" w:hAnsi="仿宋" w:eastAsia="仿宋" w:cs="仿宋"/>
          <w:szCs w:val="21"/>
          <w:highlight w:val="none"/>
        </w:rPr>
        <w:t>规定的时间内将履约保证金退还乙方；逾期退还的，乙方可要求甲方支付违约金，违约金按照</w:t>
      </w:r>
      <w:r>
        <w:rPr>
          <w:rFonts w:hint="eastAsia" w:ascii="仿宋" w:hAnsi="仿宋" w:eastAsia="仿宋" w:cs="仿宋"/>
          <w:b/>
          <w:szCs w:val="21"/>
          <w:highlight w:val="none"/>
        </w:rPr>
        <w:t>【政府采购合同专用条款】</w:t>
      </w:r>
      <w:r>
        <w:rPr>
          <w:rFonts w:hint="eastAsia" w:ascii="仿宋" w:hAnsi="仿宋" w:eastAsia="仿宋" w:cs="仿宋"/>
          <w:szCs w:val="21"/>
          <w:highlight w:val="none"/>
        </w:rPr>
        <w:t>规定支付。</w:t>
      </w:r>
    </w:p>
    <w:p w14:paraId="589FACFB">
      <w:pPr>
        <w:autoSpaceDE w:val="0"/>
        <w:autoSpaceDN w:val="0"/>
        <w:adjustRightInd w:val="0"/>
        <w:snapToGrid w:val="0"/>
        <w:spacing w:line="400" w:lineRule="exact"/>
        <w:jc w:val="left"/>
        <w:rPr>
          <w:rFonts w:ascii="仿宋" w:hAnsi="仿宋" w:eastAsia="仿宋" w:cs="仿宋"/>
          <w:b/>
          <w:sz w:val="24"/>
          <w:highlight w:val="none"/>
        </w:rPr>
      </w:pPr>
      <w:r>
        <w:rPr>
          <w:rFonts w:hint="eastAsia" w:ascii="仿宋" w:hAnsi="仿宋" w:eastAsia="仿宋" w:cs="仿宋"/>
          <w:b/>
          <w:bCs/>
          <w:sz w:val="24"/>
          <w:highlight w:val="none"/>
        </w:rPr>
        <w:t xml:space="preserve">16. </w:t>
      </w:r>
      <w:r>
        <w:rPr>
          <w:rFonts w:hint="eastAsia" w:ascii="仿宋" w:hAnsi="仿宋" w:eastAsia="仿宋" w:cs="仿宋"/>
          <w:b/>
          <w:sz w:val="24"/>
          <w:highlight w:val="none"/>
        </w:rPr>
        <w:t>售后服务</w:t>
      </w:r>
    </w:p>
    <w:p w14:paraId="33505703">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16.1 除项目不涉及或采购活动中明确约定无须承担外，乙方还应提供下列服务：</w:t>
      </w:r>
    </w:p>
    <w:p w14:paraId="5F613E07">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（1）货物的现场移动、安装、调试、启动监督及技术支持；</w:t>
      </w:r>
    </w:p>
    <w:p w14:paraId="3A5F0640">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（2）提供货物组装和维修所需的专用工具和辅助材料；</w:t>
      </w:r>
    </w:p>
    <w:p w14:paraId="172AC61B">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（3）在</w:t>
      </w:r>
      <w:r>
        <w:rPr>
          <w:rFonts w:hint="eastAsia" w:ascii="仿宋" w:hAnsi="仿宋" w:eastAsia="仿宋" w:cs="仿宋"/>
          <w:b/>
          <w:bCs/>
          <w:szCs w:val="15"/>
          <w:highlight w:val="none"/>
        </w:rPr>
        <w:t>【政府采购合同专用条款】</w:t>
      </w:r>
      <w:r>
        <w:rPr>
          <w:rFonts w:hint="eastAsia" w:ascii="仿宋" w:hAnsi="仿宋" w:eastAsia="仿宋" w:cs="仿宋"/>
          <w:szCs w:val="21"/>
          <w:highlight w:val="none"/>
        </w:rPr>
        <w:t>约定的期限内对所有的货物实施运行监督、维修，但前提条件是该服务并不能免除乙方在质量保证期内所承担的义务；</w:t>
      </w:r>
    </w:p>
    <w:p w14:paraId="43F44B1C">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（4）在制造商所在地或指定现场就货物的安装、启动、运营、维护、废弃处置等对甲方操作人员进行培训</w:t>
      </w:r>
      <w:r>
        <w:rPr>
          <w:rFonts w:hint="eastAsia" w:ascii="仿宋" w:hAnsi="仿宋" w:eastAsia="仿宋" w:cs="仿宋"/>
          <w:szCs w:val="15"/>
          <w:highlight w:val="none"/>
        </w:rPr>
        <w:t>；</w:t>
      </w:r>
    </w:p>
    <w:p w14:paraId="499DB049">
      <w:pPr>
        <w:pStyle w:val="50"/>
        <w:ind w:firstLine="420"/>
        <w:rPr>
          <w:rFonts w:ascii="仿宋" w:hAnsi="仿宋" w:eastAsia="仿宋" w:cs="仿宋"/>
          <w:sz w:val="21"/>
          <w:highlight w:val="none"/>
        </w:rPr>
      </w:pPr>
      <w:r>
        <w:rPr>
          <w:rFonts w:hint="eastAsia" w:ascii="仿宋" w:hAnsi="仿宋" w:eastAsia="仿宋" w:cs="仿宋"/>
          <w:sz w:val="21"/>
          <w:highlight w:val="none"/>
        </w:rPr>
        <w:t>（5）依照法律、行政法规的规定或者按照</w:t>
      </w:r>
      <w:r>
        <w:rPr>
          <w:rFonts w:hint="eastAsia" w:ascii="仿宋" w:hAnsi="仿宋" w:eastAsia="仿宋" w:cs="仿宋"/>
          <w:b/>
          <w:bCs/>
          <w:sz w:val="21"/>
          <w:highlight w:val="none"/>
        </w:rPr>
        <w:t>【政府采购合同专用条款】</w:t>
      </w:r>
      <w:r>
        <w:rPr>
          <w:rFonts w:hint="eastAsia" w:ascii="仿宋" w:hAnsi="仿宋" w:eastAsia="仿宋" w:cs="仿宋"/>
          <w:sz w:val="21"/>
          <w:highlight w:val="none"/>
        </w:rPr>
        <w:t>约定，货物在有效使用年限届满后应予回收的，乙方负有自行或者委托第三人对货物予以回收的义务；</w:t>
      </w:r>
    </w:p>
    <w:p w14:paraId="3858B9B3">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（6）</w:t>
      </w:r>
      <w:r>
        <w:rPr>
          <w:rFonts w:hint="eastAsia" w:ascii="仿宋" w:hAnsi="仿宋" w:eastAsia="仿宋" w:cs="仿宋"/>
          <w:b/>
          <w:szCs w:val="21"/>
          <w:highlight w:val="none"/>
        </w:rPr>
        <w:t>【政府采购合同专用条款】</w:t>
      </w:r>
      <w:r>
        <w:rPr>
          <w:rFonts w:hint="eastAsia" w:ascii="仿宋" w:hAnsi="仿宋" w:eastAsia="仿宋" w:cs="仿宋"/>
          <w:szCs w:val="21"/>
          <w:highlight w:val="none"/>
        </w:rPr>
        <w:t>规定由乙方提供的其他服务。</w:t>
      </w:r>
    </w:p>
    <w:p w14:paraId="58A13229">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16.2 乙方提供的售后服务的费用已包含在合同价款中，甲方不再另行支付。</w:t>
      </w:r>
    </w:p>
    <w:p w14:paraId="129E0B73">
      <w:pPr>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17. 违约责任</w:t>
      </w:r>
    </w:p>
    <w:p w14:paraId="6D39F65F">
      <w:pPr>
        <w:adjustRightInd w:val="0"/>
        <w:snapToGri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17.1质量瑕疵的违约责任</w:t>
      </w:r>
    </w:p>
    <w:p w14:paraId="538D9EA6">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乙方提供的产品不符合合同约定的质量标准或存在产品质量缺陷，甲方有权要求乙方根据</w:t>
      </w:r>
      <w:r>
        <w:rPr>
          <w:rFonts w:hint="eastAsia" w:ascii="仿宋" w:hAnsi="仿宋" w:eastAsia="仿宋" w:cs="仿宋"/>
          <w:b/>
          <w:szCs w:val="21"/>
          <w:highlight w:val="none"/>
        </w:rPr>
        <w:t>【政府采购合同专用条款】</w:t>
      </w:r>
      <w:r>
        <w:rPr>
          <w:rFonts w:hint="eastAsia" w:ascii="仿宋" w:hAnsi="仿宋" w:eastAsia="仿宋" w:cs="仿宋"/>
          <w:bCs/>
          <w:szCs w:val="21"/>
          <w:highlight w:val="none"/>
        </w:rPr>
        <w:t>要求</w:t>
      </w:r>
      <w:r>
        <w:rPr>
          <w:rFonts w:hint="eastAsia" w:ascii="仿宋" w:hAnsi="仿宋" w:eastAsia="仿宋" w:cs="仿宋"/>
          <w:szCs w:val="21"/>
          <w:highlight w:val="none"/>
        </w:rPr>
        <w:t>及时修理、重作、更换，并承担由此给甲方造成的损失。</w:t>
      </w:r>
    </w:p>
    <w:p w14:paraId="32F609DA">
      <w:pPr>
        <w:autoSpaceDE w:val="0"/>
        <w:autoSpaceDN w:val="0"/>
        <w:adjustRightInd w:val="0"/>
        <w:snapToGri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17.2 迟延交货的违约责任</w:t>
      </w:r>
    </w:p>
    <w:p w14:paraId="528072FD">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67F881DF">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（2）如果乙方没有按照合同规定的时间交货和提供相关服务，甲方有权从货款中扣除误期赔偿费而不影响合同项下的其他补救方法，赔偿费按</w:t>
      </w:r>
      <w:r>
        <w:rPr>
          <w:rFonts w:hint="eastAsia" w:ascii="仿宋" w:hAnsi="仿宋" w:eastAsia="仿宋" w:cs="仿宋"/>
          <w:b/>
          <w:szCs w:val="21"/>
          <w:highlight w:val="none"/>
        </w:rPr>
        <w:t>【政府采购合同专用条款】</w:t>
      </w:r>
      <w:r>
        <w:rPr>
          <w:rFonts w:hint="eastAsia" w:ascii="仿宋" w:hAnsi="仿宋" w:eastAsia="仿宋" w:cs="仿宋"/>
          <w:szCs w:val="21"/>
          <w:highlight w:val="none"/>
        </w:rPr>
        <w:t>规定执行。如果涉及公共利益，且赔偿金额无法弥补公共利益损失，甲方可要求继续履行或者采取其他补救措施。</w:t>
      </w:r>
    </w:p>
    <w:p w14:paraId="7FFDD634">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17.3 迟延支付的违约责任</w:t>
      </w:r>
    </w:p>
    <w:p w14:paraId="207C53D6">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甲方存在迟延支付乙方合同款项的，应当承担</w:t>
      </w:r>
      <w:r>
        <w:rPr>
          <w:rFonts w:hint="eastAsia" w:ascii="仿宋" w:hAnsi="仿宋" w:eastAsia="仿宋" w:cs="仿宋"/>
          <w:b/>
          <w:bCs/>
          <w:szCs w:val="21"/>
          <w:highlight w:val="none"/>
        </w:rPr>
        <w:t>【政府采购合同专用条款】</w:t>
      </w:r>
      <w:r>
        <w:rPr>
          <w:rFonts w:hint="eastAsia" w:ascii="仿宋" w:hAnsi="仿宋" w:eastAsia="仿宋" w:cs="仿宋"/>
          <w:szCs w:val="21"/>
          <w:highlight w:val="none"/>
        </w:rPr>
        <w:t>规定的逾期付款利息。</w:t>
      </w:r>
    </w:p>
    <w:p w14:paraId="2496B7DB">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bCs/>
          <w:szCs w:val="21"/>
          <w:highlight w:val="none"/>
        </w:rPr>
        <w:t>17.4其他违约责任根据项目实际需要按</w:t>
      </w:r>
      <w:r>
        <w:rPr>
          <w:rFonts w:hint="eastAsia" w:ascii="仿宋" w:hAnsi="仿宋" w:eastAsia="仿宋" w:cs="仿宋"/>
          <w:b/>
          <w:bCs/>
          <w:szCs w:val="21"/>
          <w:highlight w:val="none"/>
        </w:rPr>
        <w:t>【政府采购合同专用条款】</w:t>
      </w:r>
      <w:r>
        <w:rPr>
          <w:rFonts w:hint="eastAsia" w:ascii="仿宋" w:hAnsi="仿宋" w:eastAsia="仿宋" w:cs="仿宋"/>
          <w:szCs w:val="21"/>
          <w:highlight w:val="none"/>
        </w:rPr>
        <w:t>规定执行。</w:t>
      </w:r>
    </w:p>
    <w:p w14:paraId="2DE5033A">
      <w:pPr>
        <w:autoSpaceDE w:val="0"/>
        <w:autoSpaceDN w:val="0"/>
        <w:adjustRightInd w:val="0"/>
        <w:snapToGrid w:val="0"/>
        <w:spacing w:line="400" w:lineRule="exact"/>
        <w:jc w:val="left"/>
        <w:rPr>
          <w:rFonts w:ascii="仿宋" w:hAnsi="仿宋" w:eastAsia="仿宋" w:cs="仿宋"/>
          <w:b/>
          <w:sz w:val="24"/>
          <w:highlight w:val="none"/>
        </w:rPr>
      </w:pPr>
      <w:r>
        <w:rPr>
          <w:rFonts w:hint="eastAsia" w:ascii="仿宋" w:hAnsi="仿宋" w:eastAsia="仿宋" w:cs="仿宋"/>
          <w:b/>
          <w:sz w:val="24"/>
          <w:highlight w:val="none"/>
        </w:rPr>
        <w:t>18.合同变更、中止与终止</w:t>
      </w:r>
    </w:p>
    <w:p w14:paraId="10302FF7">
      <w:pPr>
        <w:adjustRightInd w:val="0"/>
        <w:snapToGrid w:val="0"/>
        <w:spacing w:line="400" w:lineRule="exact"/>
        <w:jc w:val="left"/>
        <w:rPr>
          <w:rFonts w:ascii="仿宋" w:hAnsi="仿宋" w:eastAsia="仿宋" w:cs="仿宋"/>
          <w:szCs w:val="21"/>
          <w:highlight w:val="none"/>
        </w:rPr>
      </w:pPr>
      <w:r>
        <w:rPr>
          <w:rFonts w:hint="eastAsia" w:ascii="仿宋" w:hAnsi="仿宋" w:eastAsia="仿宋" w:cs="仿宋"/>
          <w:szCs w:val="21"/>
          <w:highlight w:val="none"/>
        </w:rPr>
        <w:t xml:space="preserve">    18.1合同的变更</w:t>
      </w:r>
    </w:p>
    <w:p w14:paraId="4352E1EC">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政府采购合同履行中，在不改变合同其他条款的前提下，甲方可以在合同价款10%的范围内追加与合同标的相同的货物，并就此与乙方协商一致后签订补充协议。</w:t>
      </w:r>
    </w:p>
    <w:p w14:paraId="6175757A">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18.2合同的中止</w:t>
      </w:r>
    </w:p>
    <w:p w14:paraId="79235749">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（1）合同履行过程中因供应商就采购文件、采购过程或结果提起投诉的，甲方认为有必要的，可以中止合同的履行。</w:t>
      </w:r>
    </w:p>
    <w:p w14:paraId="06EC644D">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309E6B88">
      <w:pPr>
        <w:pStyle w:val="50"/>
        <w:ind w:firstLine="420"/>
        <w:jc w:val="both"/>
        <w:rPr>
          <w:rFonts w:ascii="仿宋" w:hAnsi="仿宋" w:eastAsia="仿宋" w:cs="仿宋"/>
          <w:sz w:val="21"/>
          <w:highlight w:val="none"/>
        </w:rPr>
      </w:pPr>
      <w:r>
        <w:rPr>
          <w:rFonts w:hint="eastAsia" w:ascii="仿宋" w:hAnsi="仿宋" w:eastAsia="仿宋" w:cs="仿宋"/>
          <w:sz w:val="21"/>
          <w:highlight w:val="none"/>
        </w:rPr>
        <w:t>（3）乙方分立、合并或者变更住所的，应当及时以书面形式告知甲方。乙方没有及时告知甲方，致使合同履行发生困难的，甲方可以中止合同履行并要求乙方承担由此给甲方造成的损失。</w:t>
      </w:r>
    </w:p>
    <w:p w14:paraId="1752B982">
      <w:pPr>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szCs w:val="21"/>
          <w:highlight w:val="none"/>
        </w:rPr>
        <w:t>（4）甲方不得以行政区划调整、政府换届、机构或者职能调整以及相关责任人更替为由中止合同。</w:t>
      </w:r>
    </w:p>
    <w:p w14:paraId="1D5D3380">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18.3合同的终止</w:t>
      </w:r>
    </w:p>
    <w:p w14:paraId="1FBBA348">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（1）合同因有效期限届满而终止；</w:t>
      </w:r>
    </w:p>
    <w:p w14:paraId="24CB6EFB">
      <w:pPr>
        <w:snapToGrid w:val="0"/>
        <w:spacing w:line="40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（2）乙方未按合同约定履行，构成根本性违约的，甲方有权终止合同，并追究乙方的违约责任。</w:t>
      </w:r>
    </w:p>
    <w:p w14:paraId="1D5085C7">
      <w:pPr>
        <w:pStyle w:val="50"/>
        <w:rPr>
          <w:rFonts w:ascii="仿宋" w:hAnsi="仿宋" w:eastAsia="仿宋" w:cs="仿宋"/>
          <w:highlight w:val="none"/>
        </w:rPr>
      </w:pPr>
      <w:r>
        <w:rPr>
          <w:rFonts w:hint="eastAsia" w:ascii="仿宋" w:hAnsi="仿宋" w:eastAsia="仿宋" w:cs="仿宋"/>
          <w:highlight w:val="none"/>
        </w:rPr>
        <w:t xml:space="preserve">18.4 </w:t>
      </w:r>
      <w:r>
        <w:rPr>
          <w:rFonts w:hint="eastAsia" w:ascii="仿宋" w:hAnsi="仿宋" w:eastAsia="仿宋" w:cs="仿宋"/>
          <w:kern w:val="2"/>
          <w:sz w:val="21"/>
          <w:highlight w:val="none"/>
        </w:rPr>
        <w:t>涉及国家利益、社会公共利益的情形</w:t>
      </w:r>
    </w:p>
    <w:p w14:paraId="7BA8671B">
      <w:pPr>
        <w:pStyle w:val="50"/>
        <w:ind w:firstLine="420"/>
        <w:jc w:val="both"/>
        <w:rPr>
          <w:rFonts w:ascii="仿宋" w:hAnsi="仿宋" w:eastAsia="仿宋" w:cs="仿宋"/>
          <w:sz w:val="21"/>
          <w:highlight w:val="none"/>
        </w:rPr>
      </w:pPr>
      <w:r>
        <w:rPr>
          <w:rFonts w:hint="eastAsia" w:ascii="仿宋" w:hAnsi="仿宋" w:eastAsia="仿宋" w:cs="仿宋"/>
          <w:sz w:val="21"/>
          <w:highlight w:val="none"/>
        </w:rPr>
        <w:t>政府采购合同继续履行将损害国家利益和社会公共利益的，双方当事人应当变更、中止或者终止合同。有过错的一方应当承担赔偿责任，双方都有过错的，各自承担相应的责任。</w:t>
      </w:r>
    </w:p>
    <w:p w14:paraId="4C5EB3C1">
      <w:pPr>
        <w:autoSpaceDE w:val="0"/>
        <w:autoSpaceDN w:val="0"/>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19. 合同分包</w:t>
      </w:r>
    </w:p>
    <w:p w14:paraId="050ECDDA">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19.1 乙方不得将合同转包给其他供应商。涉及合同分包的，乙方应根据采购文件和投标（响应）文件规定进行合同分包。</w:t>
      </w:r>
    </w:p>
    <w:p w14:paraId="455C516A">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19.2 乙方执行政府采购政策向中小企业依法分包的，乙方应当按采购文件和投标（响应）文件签订分包意向协议，分包意向协议属于本合同组成部分。</w:t>
      </w:r>
    </w:p>
    <w:p w14:paraId="753EDE35">
      <w:pPr>
        <w:autoSpaceDE w:val="0"/>
        <w:autoSpaceDN w:val="0"/>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20. 不可抗力</w:t>
      </w:r>
    </w:p>
    <w:p w14:paraId="78847C23">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20.1 不可抗力是指合同双方不能预见、不能避免且不能克服的客观情况。</w:t>
      </w:r>
    </w:p>
    <w:p w14:paraId="1602E702">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20.2 任何一方对由于不可抗力造成的部分或全部不能履行合同不承担违约责任。但迟延履行后发生不可抗力的，不能免除责任。</w:t>
      </w:r>
    </w:p>
    <w:p w14:paraId="5246FC62">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20.3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79361D9C">
      <w:pPr>
        <w:autoSpaceDE w:val="0"/>
        <w:autoSpaceDN w:val="0"/>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21. 解决争议的方法</w:t>
      </w:r>
    </w:p>
    <w:p w14:paraId="4E33D21E">
      <w:pPr>
        <w:pStyle w:val="50"/>
        <w:ind w:firstLine="420"/>
        <w:jc w:val="both"/>
        <w:rPr>
          <w:rFonts w:ascii="仿宋" w:hAnsi="仿宋" w:eastAsia="仿宋" w:cs="仿宋"/>
          <w:sz w:val="21"/>
          <w:highlight w:val="none"/>
        </w:rPr>
      </w:pPr>
      <w:r>
        <w:rPr>
          <w:rFonts w:hint="eastAsia" w:ascii="仿宋" w:hAnsi="仿宋" w:eastAsia="仿宋" w:cs="仿宋"/>
          <w:sz w:val="21"/>
          <w:highlight w:val="none"/>
        </w:rPr>
        <w:t>21.1 因本合同及合同有关事项发生的争议，由甲乙双方友好协商解决。协商不成时，可以向有关组织申请调解。合同一方或双方不愿调解或调解不成的，可以通过仲裁或诉讼的方式解决争议。</w:t>
      </w:r>
    </w:p>
    <w:p w14:paraId="6C62547D">
      <w:pPr>
        <w:pStyle w:val="50"/>
        <w:ind w:firstLine="420"/>
        <w:jc w:val="both"/>
        <w:rPr>
          <w:rFonts w:ascii="仿宋" w:hAnsi="仿宋" w:eastAsia="仿宋" w:cs="仿宋"/>
          <w:sz w:val="21"/>
          <w:highlight w:val="none"/>
        </w:rPr>
      </w:pPr>
      <w:r>
        <w:rPr>
          <w:rFonts w:hint="eastAsia" w:ascii="仿宋" w:hAnsi="仿宋" w:eastAsia="仿宋" w:cs="仿宋"/>
          <w:sz w:val="21"/>
          <w:highlight w:val="none"/>
        </w:rPr>
        <w:t>21.2 选择仲裁的，应在</w:t>
      </w:r>
      <w:r>
        <w:rPr>
          <w:rFonts w:hint="eastAsia" w:ascii="仿宋" w:hAnsi="仿宋" w:eastAsia="仿宋" w:cs="仿宋"/>
          <w:b/>
          <w:bCs/>
          <w:sz w:val="21"/>
          <w:highlight w:val="none"/>
        </w:rPr>
        <w:t>【政府采购合同专用条款】</w:t>
      </w:r>
      <w:r>
        <w:rPr>
          <w:rFonts w:hint="eastAsia" w:ascii="仿宋" w:hAnsi="仿宋" w:eastAsia="仿宋" w:cs="仿宋"/>
          <w:sz w:val="21"/>
          <w:highlight w:val="none"/>
        </w:rPr>
        <w:t>中明确仲裁机构及仲裁地；通过诉讼方式解决的，可以在</w:t>
      </w:r>
      <w:r>
        <w:rPr>
          <w:rFonts w:hint="eastAsia" w:ascii="仿宋" w:hAnsi="仿宋" w:eastAsia="仿宋" w:cs="仿宋"/>
          <w:b/>
          <w:bCs/>
          <w:sz w:val="21"/>
          <w:highlight w:val="none"/>
        </w:rPr>
        <w:t>【政府采购合同专用条款】</w:t>
      </w:r>
      <w:r>
        <w:rPr>
          <w:rFonts w:hint="eastAsia" w:ascii="仿宋" w:hAnsi="仿宋" w:eastAsia="仿宋" w:cs="仿宋"/>
          <w:sz w:val="21"/>
          <w:highlight w:val="none"/>
        </w:rPr>
        <w:t>中进一步约定选择与争议有实际联系的地点的人民法院管辖，但管辖法院的约定不得违反级别管辖和专属管辖的规定。</w:t>
      </w:r>
    </w:p>
    <w:p w14:paraId="0A9CE0D3">
      <w:pPr>
        <w:pStyle w:val="50"/>
        <w:ind w:firstLine="420"/>
        <w:jc w:val="both"/>
        <w:rPr>
          <w:rFonts w:ascii="仿宋" w:hAnsi="仿宋" w:eastAsia="仿宋" w:cs="仿宋"/>
          <w:sz w:val="21"/>
          <w:highlight w:val="none"/>
        </w:rPr>
      </w:pPr>
      <w:r>
        <w:rPr>
          <w:rFonts w:hint="eastAsia" w:ascii="仿宋" w:hAnsi="仿宋" w:eastAsia="仿宋" w:cs="仿宋"/>
          <w:sz w:val="21"/>
          <w:highlight w:val="none"/>
        </w:rPr>
        <w:t>21.3 如甲乙双方有争议的事项不影响合同其他部分的履行，在争议解决期间，合同其他部分应当继续履行。</w:t>
      </w:r>
    </w:p>
    <w:p w14:paraId="5E33D8AC">
      <w:pPr>
        <w:autoSpaceDE w:val="0"/>
        <w:autoSpaceDN w:val="0"/>
        <w:adjustRightInd w:val="0"/>
        <w:snapToGrid w:val="0"/>
        <w:spacing w:line="400" w:lineRule="exact"/>
        <w:jc w:val="left"/>
        <w:rPr>
          <w:rFonts w:ascii="仿宋" w:hAnsi="仿宋" w:eastAsia="仿宋" w:cs="仿宋"/>
          <w:sz w:val="24"/>
          <w:highlight w:val="none"/>
        </w:rPr>
      </w:pPr>
      <w:r>
        <w:rPr>
          <w:rFonts w:hint="eastAsia" w:ascii="仿宋" w:hAnsi="仿宋" w:eastAsia="仿宋" w:cs="仿宋"/>
          <w:b/>
          <w:sz w:val="24"/>
          <w:highlight w:val="none"/>
        </w:rPr>
        <w:t>22. 政府采购政策</w:t>
      </w:r>
    </w:p>
    <w:p w14:paraId="3152AB0A">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 xml:space="preserve">22.1 </w:t>
      </w:r>
      <w:r>
        <w:rPr>
          <w:rFonts w:hint="eastAsia" w:ascii="仿宋" w:hAnsi="仿宋" w:eastAsia="仿宋" w:cs="仿宋"/>
          <w:highlight w:val="none"/>
          <w:lang w:val="en-GB"/>
        </w:rPr>
        <w:t>本合同应当按照规定执行政府采购政策。</w:t>
      </w:r>
    </w:p>
    <w:p w14:paraId="452A5E04">
      <w:pPr>
        <w:autoSpaceDE w:val="0"/>
        <w:autoSpaceDN w:val="0"/>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22.2 本合同依法执行政府采购政策的方式和内容，属于合同履约验收的范围。</w:t>
      </w:r>
      <w:r>
        <w:rPr>
          <w:rFonts w:hint="eastAsia" w:ascii="仿宋" w:hAnsi="仿宋" w:eastAsia="仿宋" w:cs="仿宋"/>
          <w:highlight w:val="none"/>
        </w:rPr>
        <w:t>甲乙双方</w:t>
      </w:r>
      <w:r>
        <w:rPr>
          <w:rFonts w:hint="eastAsia" w:ascii="仿宋" w:hAnsi="仿宋" w:eastAsia="仿宋" w:cs="仿宋"/>
          <w:highlight w:val="none"/>
          <w:lang w:val="en-GB"/>
        </w:rPr>
        <w:t>未按规定要求执行政府采购政策造成损失的</w:t>
      </w:r>
      <w:r>
        <w:rPr>
          <w:rFonts w:hint="eastAsia" w:ascii="仿宋" w:hAnsi="仿宋" w:eastAsia="仿宋" w:cs="仿宋"/>
          <w:szCs w:val="21"/>
          <w:highlight w:val="none"/>
        </w:rPr>
        <w:t>，有过错的一方应当承担赔偿责任，双方都有过错的，各自承担相应的责任。</w:t>
      </w:r>
    </w:p>
    <w:p w14:paraId="4368B893">
      <w:pPr>
        <w:pStyle w:val="10"/>
        <w:spacing w:line="400" w:lineRule="exact"/>
        <w:ind w:firstLine="480" w:firstLineChars="200"/>
        <w:rPr>
          <w:rFonts w:ascii="仿宋" w:hAnsi="仿宋" w:eastAsia="仿宋" w:cs="仿宋"/>
          <w:highlight w:val="none"/>
        </w:rPr>
      </w:pPr>
      <w:r>
        <w:rPr>
          <w:rFonts w:hint="eastAsia" w:ascii="仿宋" w:hAnsi="仿宋" w:eastAsia="仿宋" w:cs="仿宋"/>
          <w:szCs w:val="21"/>
          <w:highlight w:val="none"/>
        </w:rPr>
        <w:t>2</w:t>
      </w:r>
      <w:r>
        <w:rPr>
          <w:rFonts w:hint="eastAsia" w:ascii="仿宋" w:hAnsi="仿宋" w:eastAsia="仿宋" w:cs="仿宋"/>
          <w:szCs w:val="21"/>
          <w:highlight w:val="none"/>
          <w:lang w:val="en-US"/>
        </w:rPr>
        <w:t>2</w:t>
      </w:r>
      <w:r>
        <w:rPr>
          <w:rFonts w:hint="eastAsia" w:ascii="仿宋" w:hAnsi="仿宋" w:eastAsia="仿宋" w:cs="仿宋"/>
          <w:szCs w:val="21"/>
          <w:highlight w:val="none"/>
        </w:rPr>
        <w:t>.</w:t>
      </w:r>
      <w:r>
        <w:rPr>
          <w:rFonts w:hint="eastAsia" w:ascii="仿宋" w:hAnsi="仿宋" w:eastAsia="仿宋" w:cs="仿宋"/>
          <w:szCs w:val="21"/>
          <w:highlight w:val="none"/>
          <w:lang w:val="en-US"/>
        </w:rPr>
        <w:t>3</w:t>
      </w:r>
      <w:r>
        <w:rPr>
          <w:rFonts w:hint="eastAsia" w:ascii="仿宋" w:hAnsi="仿宋" w:eastAsia="仿宋" w:cs="仿宋"/>
          <w:szCs w:val="21"/>
          <w:highlight w:val="none"/>
        </w:rPr>
        <w:t xml:space="preserve">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E6EE56E">
      <w:pPr>
        <w:autoSpaceDE w:val="0"/>
        <w:autoSpaceDN w:val="0"/>
        <w:adjustRightInd w:val="0"/>
        <w:snapToGrid w:val="0"/>
        <w:spacing w:line="400" w:lineRule="exact"/>
        <w:jc w:val="left"/>
        <w:rPr>
          <w:rFonts w:ascii="仿宋" w:hAnsi="仿宋" w:eastAsia="仿宋" w:cs="仿宋"/>
          <w:b/>
          <w:sz w:val="24"/>
          <w:highlight w:val="none"/>
        </w:rPr>
      </w:pPr>
      <w:r>
        <w:rPr>
          <w:rFonts w:hint="eastAsia" w:ascii="仿宋" w:hAnsi="仿宋" w:eastAsia="仿宋" w:cs="仿宋"/>
          <w:b/>
          <w:sz w:val="24"/>
          <w:highlight w:val="none"/>
        </w:rPr>
        <w:t>23. 法律适用</w:t>
      </w:r>
    </w:p>
    <w:p w14:paraId="587B51EC">
      <w:pPr>
        <w:pStyle w:val="50"/>
        <w:ind w:firstLine="420"/>
        <w:jc w:val="both"/>
        <w:rPr>
          <w:rFonts w:ascii="仿宋" w:hAnsi="仿宋" w:eastAsia="仿宋" w:cs="仿宋"/>
          <w:sz w:val="21"/>
          <w:highlight w:val="none"/>
        </w:rPr>
      </w:pPr>
      <w:r>
        <w:rPr>
          <w:rFonts w:hint="eastAsia" w:ascii="仿宋" w:hAnsi="仿宋" w:eastAsia="仿宋" w:cs="仿宋"/>
          <w:sz w:val="21"/>
          <w:highlight w:val="none"/>
        </w:rPr>
        <w:t>23.1 本合同的订立、生效、解释、履行及与本合同有关的争议解决，均适用法律、行政法规。</w:t>
      </w:r>
    </w:p>
    <w:p w14:paraId="72DDE85B">
      <w:pPr>
        <w:pStyle w:val="50"/>
        <w:ind w:firstLine="420"/>
        <w:jc w:val="both"/>
        <w:rPr>
          <w:rFonts w:ascii="仿宋" w:hAnsi="仿宋" w:eastAsia="仿宋" w:cs="仿宋"/>
          <w:sz w:val="21"/>
          <w:highlight w:val="none"/>
        </w:rPr>
      </w:pPr>
      <w:r>
        <w:rPr>
          <w:rFonts w:hint="eastAsia" w:ascii="仿宋" w:hAnsi="仿宋" w:eastAsia="仿宋" w:cs="仿宋"/>
          <w:sz w:val="21"/>
          <w:highlight w:val="none"/>
        </w:rPr>
        <w:t>23.2 本合同条款与法律、行政法规的强制性规定不一致的，双方当事人应按照法律、行政法规的强制性规定修改本合同的相关条款。</w:t>
      </w:r>
    </w:p>
    <w:p w14:paraId="697DE02F">
      <w:pPr>
        <w:numPr>
          <w:ilvl w:val="255"/>
          <w:numId w:val="0"/>
        </w:numPr>
        <w:autoSpaceDE w:val="0"/>
        <w:autoSpaceDN w:val="0"/>
        <w:adjustRightInd w:val="0"/>
        <w:snapToGrid w:val="0"/>
        <w:spacing w:line="400" w:lineRule="exact"/>
        <w:jc w:val="left"/>
        <w:rPr>
          <w:rFonts w:ascii="仿宋" w:hAnsi="仿宋" w:eastAsia="仿宋" w:cs="仿宋"/>
          <w:b/>
          <w:sz w:val="24"/>
          <w:highlight w:val="none"/>
        </w:rPr>
      </w:pPr>
      <w:r>
        <w:rPr>
          <w:rFonts w:hint="eastAsia" w:ascii="仿宋" w:hAnsi="仿宋" w:eastAsia="仿宋" w:cs="仿宋"/>
          <w:b/>
          <w:sz w:val="24"/>
          <w:highlight w:val="none"/>
        </w:rPr>
        <w:t>24. 通知</w:t>
      </w:r>
    </w:p>
    <w:p w14:paraId="2F43EB80">
      <w:pPr>
        <w:pStyle w:val="50"/>
        <w:ind w:firstLine="420"/>
        <w:jc w:val="both"/>
        <w:rPr>
          <w:rFonts w:ascii="仿宋" w:hAnsi="仿宋" w:eastAsia="仿宋" w:cs="仿宋"/>
          <w:sz w:val="21"/>
          <w:highlight w:val="none"/>
        </w:rPr>
      </w:pPr>
      <w:r>
        <w:rPr>
          <w:rFonts w:hint="eastAsia" w:ascii="仿宋" w:hAnsi="仿宋" w:eastAsia="仿宋" w:cs="仿宋"/>
          <w:sz w:val="21"/>
          <w:highlight w:val="none"/>
        </w:rPr>
        <w:t>24.1 本合同任何一方向对方发出的通知、信件、数据电文等，应当发送至本合同第一部分《政府采购合同协议书》所约定的通讯地址、联系人、联系电话或电子邮箱。</w:t>
      </w:r>
    </w:p>
    <w:p w14:paraId="666EEA4B">
      <w:pPr>
        <w:pStyle w:val="50"/>
        <w:ind w:firstLine="0" w:firstLineChars="0"/>
        <w:jc w:val="both"/>
        <w:rPr>
          <w:rFonts w:ascii="仿宋" w:hAnsi="仿宋" w:eastAsia="仿宋" w:cs="仿宋"/>
          <w:sz w:val="21"/>
          <w:highlight w:val="none"/>
        </w:rPr>
      </w:pPr>
      <w:r>
        <w:rPr>
          <w:rFonts w:hint="eastAsia" w:ascii="仿宋" w:hAnsi="仿宋" w:eastAsia="仿宋" w:cs="仿宋"/>
          <w:sz w:val="21"/>
          <w:highlight w:val="none"/>
        </w:rPr>
        <w:t xml:space="preserve">    24.2 一方当事人变更名称、住所、联系人、联系电话或电子邮箱等信息的，应当在变更后3日内及时书面通知对方，对方实际收到变更通知前的送达仍为有效送达。</w:t>
      </w:r>
    </w:p>
    <w:p w14:paraId="1E1CBC99">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24.3本合同一方给另一方的通知均应采用书面形式，传真或快递送到本合同中规定的对方的地址和办理签收手续。</w:t>
      </w:r>
    </w:p>
    <w:p w14:paraId="02440A16">
      <w:pPr>
        <w:adjustRightInd w:val="0"/>
        <w:snapToGrid w:val="0"/>
        <w:spacing w:line="400" w:lineRule="exact"/>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24.4通知以送达之日或通知书中规定的生效之日起生效，两者中以较迟之日为准。</w:t>
      </w:r>
    </w:p>
    <w:p w14:paraId="25B24289">
      <w:pPr>
        <w:adjustRightInd w:val="0"/>
        <w:snapToGrid w:val="0"/>
        <w:spacing w:line="400" w:lineRule="exact"/>
        <w:jc w:val="left"/>
        <w:rPr>
          <w:rFonts w:ascii="仿宋" w:hAnsi="仿宋" w:eastAsia="仿宋" w:cs="仿宋"/>
          <w:b/>
          <w:bCs/>
          <w:sz w:val="24"/>
          <w:highlight w:val="none"/>
        </w:rPr>
      </w:pPr>
      <w:r>
        <w:rPr>
          <w:rFonts w:hint="eastAsia" w:ascii="仿宋" w:hAnsi="仿宋" w:eastAsia="仿宋" w:cs="仿宋"/>
          <w:b/>
          <w:bCs/>
          <w:sz w:val="24"/>
          <w:highlight w:val="none"/>
        </w:rPr>
        <w:t>25.合同未尽事项</w:t>
      </w:r>
    </w:p>
    <w:p w14:paraId="5AD3F33E">
      <w:pPr>
        <w:adjustRightInd w:val="0"/>
        <w:snapToGri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25.1合同未尽事项见</w:t>
      </w:r>
      <w:r>
        <w:rPr>
          <w:rFonts w:hint="eastAsia" w:ascii="仿宋" w:hAnsi="仿宋" w:eastAsia="仿宋" w:cs="仿宋"/>
          <w:b/>
          <w:szCs w:val="21"/>
          <w:highlight w:val="none"/>
        </w:rPr>
        <w:t>【政府采购合同专用条款】</w:t>
      </w:r>
      <w:r>
        <w:rPr>
          <w:rFonts w:hint="eastAsia" w:ascii="仿宋" w:hAnsi="仿宋" w:eastAsia="仿宋" w:cs="仿宋"/>
          <w:bCs/>
          <w:szCs w:val="21"/>
          <w:highlight w:val="none"/>
        </w:rPr>
        <w:t>。</w:t>
      </w:r>
    </w:p>
    <w:p w14:paraId="617D2FD5">
      <w:pPr>
        <w:adjustRightInd w:val="0"/>
        <w:snapToGrid w:val="0"/>
        <w:spacing w:line="400" w:lineRule="exact"/>
        <w:jc w:val="left"/>
        <w:rPr>
          <w:rFonts w:ascii="仿宋" w:hAnsi="仿宋" w:eastAsia="仿宋" w:cs="仿宋"/>
          <w:sz w:val="28"/>
          <w:szCs w:val="28"/>
          <w:highlight w:val="none"/>
        </w:rPr>
      </w:pPr>
      <w:r>
        <w:rPr>
          <w:rFonts w:hint="eastAsia" w:ascii="仿宋" w:hAnsi="仿宋" w:eastAsia="仿宋" w:cs="仿宋"/>
          <w:bCs/>
          <w:szCs w:val="21"/>
          <w:highlight w:val="none"/>
        </w:rPr>
        <w:t xml:space="preserve">    25.2 合同附件与合同正文具有同等的法律效力。</w:t>
      </w:r>
      <w:bookmarkStart w:id="20" w:name="_Toc20313"/>
      <w:r>
        <w:rPr>
          <w:rFonts w:hint="eastAsia" w:ascii="黑体" w:hAnsi="华文中宋" w:eastAsia="黑体"/>
          <w:sz w:val="28"/>
          <w:szCs w:val="28"/>
          <w:highlight w:val="none"/>
        </w:rPr>
        <w:br w:type="page"/>
      </w:r>
    </w:p>
    <w:p w14:paraId="4E23D695">
      <w:pPr>
        <w:pStyle w:val="4"/>
        <w:adjustRightInd w:val="0"/>
        <w:snapToGrid w:val="0"/>
        <w:jc w:val="center"/>
        <w:rPr>
          <w:rFonts w:hint="default" w:ascii="仿宋" w:hAnsi="仿宋" w:eastAsia="仿宋" w:cs="仿宋"/>
          <w:b w:val="0"/>
          <w:bCs w:val="0"/>
          <w:sz w:val="28"/>
          <w:szCs w:val="28"/>
          <w:highlight w:val="none"/>
        </w:rPr>
      </w:pPr>
      <w:r>
        <w:rPr>
          <w:rFonts w:ascii="仿宋" w:hAnsi="仿宋" w:eastAsia="仿宋" w:cs="仿宋"/>
          <w:b w:val="0"/>
          <w:bCs w:val="0"/>
          <w:sz w:val="28"/>
          <w:szCs w:val="28"/>
          <w:highlight w:val="none"/>
        </w:rPr>
        <w:t>第三节 政府采购合同专用条款</w:t>
      </w:r>
      <w:bookmarkEnd w:id="20"/>
    </w:p>
    <w:tbl>
      <w:tblPr>
        <w:tblStyle w:val="2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700ED5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3B94836">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7634D60">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第1.2（6）项</w:t>
            </w:r>
          </w:p>
        </w:tc>
        <w:tc>
          <w:tcPr>
            <w:tcW w:w="1742" w:type="dxa"/>
            <w:vAlign w:val="center"/>
          </w:tcPr>
          <w:p w14:paraId="099190D0">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联合体具体要求</w:t>
            </w:r>
          </w:p>
        </w:tc>
        <w:tc>
          <w:tcPr>
            <w:tcW w:w="5170" w:type="dxa"/>
            <w:vAlign w:val="center"/>
          </w:tcPr>
          <w:p w14:paraId="0DBFED10">
            <w:pPr>
              <w:adjustRightInd w:val="0"/>
              <w:snapToGrid w:val="0"/>
              <w:jc w:val="left"/>
              <w:rPr>
                <w:rFonts w:ascii="仿宋" w:hAnsi="仿宋" w:eastAsia="仿宋" w:cs="仿宋"/>
                <w:szCs w:val="21"/>
                <w:highlight w:val="none"/>
              </w:rPr>
            </w:pPr>
          </w:p>
        </w:tc>
      </w:tr>
      <w:tr w14:paraId="36C2CD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B01FA5">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078E38C">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第1.2（7）项</w:t>
            </w:r>
          </w:p>
        </w:tc>
        <w:tc>
          <w:tcPr>
            <w:tcW w:w="1742" w:type="dxa"/>
            <w:vAlign w:val="center"/>
          </w:tcPr>
          <w:p w14:paraId="0E56790E">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其他术语解释</w:t>
            </w:r>
          </w:p>
        </w:tc>
        <w:tc>
          <w:tcPr>
            <w:tcW w:w="5170" w:type="dxa"/>
            <w:vAlign w:val="center"/>
          </w:tcPr>
          <w:p w14:paraId="1A6BE318">
            <w:pPr>
              <w:adjustRightInd w:val="0"/>
              <w:snapToGrid w:val="0"/>
              <w:jc w:val="left"/>
              <w:rPr>
                <w:rFonts w:ascii="仿宋" w:hAnsi="仿宋" w:eastAsia="仿宋" w:cs="仿宋"/>
                <w:szCs w:val="21"/>
                <w:highlight w:val="none"/>
              </w:rPr>
            </w:pPr>
          </w:p>
        </w:tc>
      </w:tr>
      <w:tr w14:paraId="42801E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C05A80A">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E9E3894">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第4.4款</w:t>
            </w:r>
          </w:p>
        </w:tc>
        <w:tc>
          <w:tcPr>
            <w:tcW w:w="1742" w:type="dxa"/>
            <w:vAlign w:val="center"/>
          </w:tcPr>
          <w:p w14:paraId="3BA5BCBB">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履约验收中甲方提出异议或作出说明的期限</w:t>
            </w:r>
          </w:p>
        </w:tc>
        <w:tc>
          <w:tcPr>
            <w:tcW w:w="5170" w:type="dxa"/>
            <w:vAlign w:val="center"/>
          </w:tcPr>
          <w:p w14:paraId="654B6680">
            <w:pPr>
              <w:adjustRightInd w:val="0"/>
              <w:snapToGrid w:val="0"/>
              <w:jc w:val="left"/>
              <w:rPr>
                <w:rFonts w:ascii="仿宋" w:hAnsi="仿宋" w:eastAsia="仿宋" w:cs="仿宋"/>
                <w:szCs w:val="21"/>
                <w:highlight w:val="none"/>
              </w:rPr>
            </w:pPr>
          </w:p>
        </w:tc>
      </w:tr>
      <w:tr w14:paraId="545162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7A764C">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20DA30A7">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第4.6款</w:t>
            </w:r>
          </w:p>
        </w:tc>
        <w:tc>
          <w:tcPr>
            <w:tcW w:w="1742" w:type="dxa"/>
            <w:vAlign w:val="center"/>
          </w:tcPr>
          <w:p w14:paraId="6EB94637">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约定甲方承担的其他义务和责任</w:t>
            </w:r>
          </w:p>
        </w:tc>
        <w:tc>
          <w:tcPr>
            <w:tcW w:w="5170" w:type="dxa"/>
            <w:vAlign w:val="center"/>
          </w:tcPr>
          <w:p w14:paraId="69B5053D">
            <w:pPr>
              <w:adjustRightInd w:val="0"/>
              <w:snapToGrid w:val="0"/>
              <w:jc w:val="left"/>
              <w:rPr>
                <w:rFonts w:ascii="仿宋" w:hAnsi="仿宋" w:eastAsia="仿宋" w:cs="仿宋"/>
                <w:szCs w:val="21"/>
                <w:highlight w:val="none"/>
              </w:rPr>
            </w:pPr>
          </w:p>
        </w:tc>
      </w:tr>
      <w:tr w14:paraId="1A7CD4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B3F2D6">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6593C2D4">
            <w:pPr>
              <w:snapToGrid w:val="0"/>
              <w:jc w:val="center"/>
              <w:rPr>
                <w:rFonts w:ascii="仿宋" w:hAnsi="仿宋" w:eastAsia="仿宋" w:cs="仿宋"/>
                <w:highlight w:val="none"/>
              </w:rPr>
            </w:pPr>
            <w:r>
              <w:rPr>
                <w:rFonts w:hint="eastAsia" w:ascii="仿宋" w:hAnsi="仿宋" w:eastAsia="仿宋" w:cs="仿宋"/>
                <w:szCs w:val="21"/>
                <w:highlight w:val="none"/>
              </w:rPr>
              <w:t>第5.4款</w:t>
            </w:r>
          </w:p>
        </w:tc>
        <w:tc>
          <w:tcPr>
            <w:tcW w:w="1742" w:type="dxa"/>
            <w:vAlign w:val="center"/>
          </w:tcPr>
          <w:p w14:paraId="59CFB6EA">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约定乙方承担的其他义务和责任</w:t>
            </w:r>
          </w:p>
        </w:tc>
        <w:tc>
          <w:tcPr>
            <w:tcW w:w="5170" w:type="dxa"/>
            <w:vAlign w:val="center"/>
          </w:tcPr>
          <w:p w14:paraId="51DAB0F5">
            <w:pPr>
              <w:adjustRightInd w:val="0"/>
              <w:snapToGrid w:val="0"/>
              <w:jc w:val="left"/>
              <w:rPr>
                <w:rFonts w:ascii="仿宋" w:hAnsi="仿宋" w:eastAsia="仿宋" w:cs="仿宋"/>
                <w:szCs w:val="21"/>
                <w:highlight w:val="none"/>
              </w:rPr>
            </w:pPr>
          </w:p>
        </w:tc>
      </w:tr>
      <w:tr w14:paraId="75255C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1DB1670">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45E272EF">
            <w:pPr>
              <w:snapToGrid w:val="0"/>
              <w:jc w:val="center"/>
              <w:rPr>
                <w:rFonts w:ascii="仿宋" w:hAnsi="仿宋" w:eastAsia="仿宋" w:cs="仿宋"/>
                <w:szCs w:val="21"/>
                <w:highlight w:val="none"/>
              </w:rPr>
            </w:pPr>
            <w:r>
              <w:rPr>
                <w:rFonts w:hint="eastAsia" w:ascii="仿宋" w:hAnsi="仿宋" w:eastAsia="仿宋" w:cs="仿宋"/>
                <w:szCs w:val="21"/>
                <w:highlight w:val="none"/>
              </w:rPr>
              <w:t>第6.1款</w:t>
            </w:r>
          </w:p>
        </w:tc>
        <w:tc>
          <w:tcPr>
            <w:tcW w:w="1742" w:type="dxa"/>
            <w:vAlign w:val="center"/>
          </w:tcPr>
          <w:p w14:paraId="3AD09966">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履行合同义务的顺序</w:t>
            </w:r>
          </w:p>
        </w:tc>
        <w:tc>
          <w:tcPr>
            <w:tcW w:w="5170" w:type="dxa"/>
            <w:vAlign w:val="center"/>
          </w:tcPr>
          <w:p w14:paraId="13747D88">
            <w:pPr>
              <w:adjustRightInd w:val="0"/>
              <w:snapToGrid w:val="0"/>
              <w:jc w:val="left"/>
              <w:rPr>
                <w:rFonts w:ascii="仿宋" w:hAnsi="仿宋" w:eastAsia="仿宋" w:cs="仿宋"/>
                <w:szCs w:val="21"/>
                <w:highlight w:val="none"/>
              </w:rPr>
            </w:pPr>
          </w:p>
        </w:tc>
      </w:tr>
      <w:tr w14:paraId="751C04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2CBDBD9">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721EA155">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第7.1款</w:t>
            </w:r>
          </w:p>
        </w:tc>
        <w:tc>
          <w:tcPr>
            <w:tcW w:w="1742" w:type="dxa"/>
            <w:vAlign w:val="center"/>
          </w:tcPr>
          <w:p w14:paraId="72DD795B">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包装特殊要求</w:t>
            </w:r>
          </w:p>
        </w:tc>
        <w:tc>
          <w:tcPr>
            <w:tcW w:w="5170" w:type="dxa"/>
            <w:vAlign w:val="center"/>
          </w:tcPr>
          <w:p w14:paraId="76BC3833">
            <w:pPr>
              <w:rPr>
                <w:rFonts w:ascii="仿宋" w:hAnsi="仿宋" w:eastAsia="仿宋" w:cs="仿宋"/>
                <w:highlight w:val="none"/>
              </w:rPr>
            </w:pPr>
          </w:p>
        </w:tc>
      </w:tr>
      <w:tr w14:paraId="1D60A6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29DCDDF3">
            <w:pPr>
              <w:adjustRightInd w:val="0"/>
              <w:snapToGrid w:val="0"/>
              <w:jc w:val="center"/>
              <w:rPr>
                <w:rFonts w:ascii="仿宋" w:hAnsi="仿宋" w:eastAsia="仿宋" w:cs="仿宋"/>
                <w:szCs w:val="21"/>
                <w:highlight w:val="none"/>
              </w:rPr>
            </w:pPr>
          </w:p>
        </w:tc>
        <w:tc>
          <w:tcPr>
            <w:tcW w:w="1742" w:type="dxa"/>
            <w:vAlign w:val="center"/>
          </w:tcPr>
          <w:p w14:paraId="20E6233C">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指定现场</w:t>
            </w:r>
          </w:p>
        </w:tc>
        <w:tc>
          <w:tcPr>
            <w:tcW w:w="5170" w:type="dxa"/>
            <w:vAlign w:val="center"/>
          </w:tcPr>
          <w:p w14:paraId="5B22894F">
            <w:pPr>
              <w:rPr>
                <w:rFonts w:ascii="仿宋" w:hAnsi="仿宋" w:eastAsia="仿宋" w:cs="仿宋"/>
                <w:highlight w:val="none"/>
              </w:rPr>
            </w:pPr>
          </w:p>
        </w:tc>
      </w:tr>
      <w:tr w14:paraId="55CDC4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0B0AE320">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BB12564">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第7.2款</w:t>
            </w:r>
          </w:p>
        </w:tc>
        <w:tc>
          <w:tcPr>
            <w:tcW w:w="1742" w:type="dxa"/>
            <w:vAlign w:val="center"/>
          </w:tcPr>
          <w:p w14:paraId="7DBA282C">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运输特殊要求</w:t>
            </w:r>
          </w:p>
        </w:tc>
        <w:tc>
          <w:tcPr>
            <w:tcW w:w="5170" w:type="dxa"/>
            <w:vAlign w:val="center"/>
          </w:tcPr>
          <w:p w14:paraId="41F6F58B">
            <w:pPr>
              <w:rPr>
                <w:rFonts w:ascii="仿宋" w:hAnsi="仿宋" w:eastAsia="仿宋" w:cs="仿宋"/>
                <w:highlight w:val="none"/>
              </w:rPr>
            </w:pPr>
          </w:p>
        </w:tc>
      </w:tr>
      <w:tr w14:paraId="4D5C68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533A3AB4">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186A2A7D">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第7.3款</w:t>
            </w:r>
          </w:p>
        </w:tc>
        <w:tc>
          <w:tcPr>
            <w:tcW w:w="1742" w:type="dxa"/>
            <w:vAlign w:val="center"/>
          </w:tcPr>
          <w:p w14:paraId="52AD03F6">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保险要求</w:t>
            </w:r>
          </w:p>
        </w:tc>
        <w:tc>
          <w:tcPr>
            <w:tcW w:w="5170" w:type="dxa"/>
            <w:vAlign w:val="center"/>
          </w:tcPr>
          <w:p w14:paraId="6D6DF3F8">
            <w:pPr>
              <w:rPr>
                <w:rFonts w:ascii="仿宋" w:hAnsi="仿宋" w:eastAsia="仿宋" w:cs="仿宋"/>
                <w:highlight w:val="none"/>
              </w:rPr>
            </w:pPr>
          </w:p>
        </w:tc>
      </w:tr>
      <w:tr w14:paraId="407F02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FAAD4D">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119D018A">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第8.2（1）项</w:t>
            </w:r>
          </w:p>
        </w:tc>
        <w:tc>
          <w:tcPr>
            <w:tcW w:w="1742" w:type="dxa"/>
            <w:vAlign w:val="center"/>
          </w:tcPr>
          <w:p w14:paraId="49FA60BA">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质量保证期</w:t>
            </w:r>
          </w:p>
        </w:tc>
        <w:tc>
          <w:tcPr>
            <w:tcW w:w="5170" w:type="dxa"/>
            <w:vAlign w:val="center"/>
          </w:tcPr>
          <w:p w14:paraId="19CCAA9A">
            <w:pPr>
              <w:autoSpaceDE w:val="0"/>
              <w:autoSpaceDN w:val="0"/>
              <w:adjustRightInd w:val="0"/>
              <w:snapToGrid w:val="0"/>
              <w:ind w:firstLine="420" w:firstLineChars="200"/>
              <w:jc w:val="left"/>
              <w:rPr>
                <w:rFonts w:ascii="仿宋" w:hAnsi="仿宋" w:eastAsia="仿宋" w:cs="仿宋"/>
                <w:szCs w:val="21"/>
                <w:highlight w:val="none"/>
              </w:rPr>
            </w:pPr>
          </w:p>
        </w:tc>
      </w:tr>
      <w:tr w14:paraId="1CA291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69B3F1">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2C3DD6A">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第8.2（3）项</w:t>
            </w:r>
          </w:p>
        </w:tc>
        <w:tc>
          <w:tcPr>
            <w:tcW w:w="1742" w:type="dxa"/>
            <w:vAlign w:val="center"/>
          </w:tcPr>
          <w:p w14:paraId="089D25F7">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货物质量缺陷</w:t>
            </w:r>
          </w:p>
          <w:p w14:paraId="3FF6F1EB">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响应时间</w:t>
            </w:r>
          </w:p>
        </w:tc>
        <w:tc>
          <w:tcPr>
            <w:tcW w:w="5170" w:type="dxa"/>
            <w:vAlign w:val="center"/>
          </w:tcPr>
          <w:p w14:paraId="4410A5F6">
            <w:pPr>
              <w:adjustRightInd w:val="0"/>
              <w:snapToGrid w:val="0"/>
              <w:jc w:val="left"/>
              <w:rPr>
                <w:rFonts w:ascii="仿宋" w:hAnsi="仿宋" w:eastAsia="仿宋" w:cs="仿宋"/>
                <w:szCs w:val="21"/>
                <w:highlight w:val="none"/>
              </w:rPr>
            </w:pPr>
          </w:p>
        </w:tc>
      </w:tr>
      <w:tr w14:paraId="2BDB27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CB5401C">
            <w:pPr>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3E47194F">
            <w:pPr>
              <w:pStyle w:val="50"/>
              <w:ind w:firstLine="0" w:firstLineChars="0"/>
              <w:jc w:val="center"/>
              <w:rPr>
                <w:rFonts w:ascii="仿宋" w:hAnsi="仿宋" w:eastAsia="仿宋" w:cs="仿宋"/>
                <w:highlight w:val="none"/>
              </w:rPr>
            </w:pPr>
            <w:r>
              <w:rPr>
                <w:rFonts w:hint="eastAsia" w:ascii="仿宋" w:hAnsi="仿宋" w:eastAsia="仿宋" w:cs="仿宋"/>
                <w:highlight w:val="none"/>
              </w:rPr>
              <w:t>第11.1款</w:t>
            </w:r>
          </w:p>
        </w:tc>
        <w:tc>
          <w:tcPr>
            <w:tcW w:w="1742" w:type="dxa"/>
            <w:vAlign w:val="center"/>
          </w:tcPr>
          <w:p w14:paraId="6E2AB77B">
            <w:pPr>
              <w:adjustRightInd w:val="0"/>
              <w:snapToGrid w:val="0"/>
              <w:rPr>
                <w:rFonts w:ascii="仿宋" w:hAnsi="仿宋" w:eastAsia="仿宋" w:cs="仿宋"/>
                <w:szCs w:val="21"/>
                <w:highlight w:val="none"/>
              </w:rPr>
            </w:pPr>
            <w:r>
              <w:rPr>
                <w:rFonts w:hint="eastAsia" w:ascii="仿宋" w:hAnsi="仿宋" w:eastAsia="仿宋" w:cs="仿宋"/>
                <w:szCs w:val="21"/>
                <w:highlight w:val="none"/>
              </w:rPr>
              <w:t>其他应当保密的信息</w:t>
            </w:r>
          </w:p>
        </w:tc>
        <w:tc>
          <w:tcPr>
            <w:tcW w:w="5170" w:type="dxa"/>
            <w:vAlign w:val="center"/>
          </w:tcPr>
          <w:p w14:paraId="39161C33">
            <w:pPr>
              <w:adjustRightInd w:val="0"/>
              <w:snapToGrid w:val="0"/>
              <w:jc w:val="left"/>
              <w:rPr>
                <w:rFonts w:ascii="仿宋" w:hAnsi="仿宋" w:eastAsia="仿宋" w:cs="仿宋"/>
                <w:szCs w:val="21"/>
                <w:highlight w:val="none"/>
              </w:rPr>
            </w:pPr>
          </w:p>
        </w:tc>
      </w:tr>
      <w:tr w14:paraId="682927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DCCC876">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50B464CF">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第12.2款</w:t>
            </w:r>
          </w:p>
        </w:tc>
        <w:tc>
          <w:tcPr>
            <w:tcW w:w="1742" w:type="dxa"/>
            <w:vAlign w:val="center"/>
          </w:tcPr>
          <w:p w14:paraId="293E0779">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合同价款支付时间</w:t>
            </w:r>
          </w:p>
        </w:tc>
        <w:tc>
          <w:tcPr>
            <w:tcW w:w="5170" w:type="dxa"/>
            <w:vAlign w:val="center"/>
          </w:tcPr>
          <w:p w14:paraId="7E958203">
            <w:pPr>
              <w:adjustRightInd w:val="0"/>
              <w:snapToGrid w:val="0"/>
              <w:jc w:val="left"/>
              <w:rPr>
                <w:rFonts w:ascii="仿宋" w:hAnsi="仿宋" w:eastAsia="仿宋" w:cs="仿宋"/>
                <w:szCs w:val="21"/>
                <w:highlight w:val="none"/>
              </w:rPr>
            </w:pPr>
          </w:p>
        </w:tc>
      </w:tr>
      <w:tr w14:paraId="7101EE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E18A99">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04B1D2A">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第13.2款</w:t>
            </w:r>
          </w:p>
        </w:tc>
        <w:tc>
          <w:tcPr>
            <w:tcW w:w="1742" w:type="dxa"/>
            <w:vAlign w:val="center"/>
          </w:tcPr>
          <w:p w14:paraId="7B94B286">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履约保证金不予退还的情形</w:t>
            </w:r>
          </w:p>
        </w:tc>
        <w:tc>
          <w:tcPr>
            <w:tcW w:w="5170" w:type="dxa"/>
            <w:vAlign w:val="center"/>
          </w:tcPr>
          <w:p w14:paraId="4AF17F59">
            <w:pPr>
              <w:adjustRightInd w:val="0"/>
              <w:snapToGrid w:val="0"/>
              <w:jc w:val="left"/>
              <w:rPr>
                <w:rFonts w:ascii="仿宋" w:hAnsi="仿宋" w:eastAsia="仿宋" w:cs="仿宋"/>
                <w:szCs w:val="21"/>
                <w:highlight w:val="none"/>
              </w:rPr>
            </w:pPr>
          </w:p>
        </w:tc>
      </w:tr>
      <w:tr w14:paraId="6BEC87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D6B2D39">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5CC26941">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第13.3款</w:t>
            </w:r>
          </w:p>
        </w:tc>
        <w:tc>
          <w:tcPr>
            <w:tcW w:w="1742" w:type="dxa"/>
            <w:vAlign w:val="center"/>
          </w:tcPr>
          <w:p w14:paraId="10F334F0">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履约保证金退还时间及逾期退还的违约金</w:t>
            </w:r>
          </w:p>
        </w:tc>
        <w:tc>
          <w:tcPr>
            <w:tcW w:w="5170" w:type="dxa"/>
            <w:vAlign w:val="center"/>
          </w:tcPr>
          <w:p w14:paraId="194FA0B2">
            <w:pPr>
              <w:adjustRightInd w:val="0"/>
              <w:snapToGrid w:val="0"/>
              <w:jc w:val="left"/>
              <w:rPr>
                <w:rFonts w:ascii="仿宋" w:hAnsi="仿宋" w:eastAsia="仿宋" w:cs="仿宋"/>
                <w:szCs w:val="21"/>
                <w:highlight w:val="none"/>
              </w:rPr>
            </w:pPr>
          </w:p>
        </w:tc>
      </w:tr>
      <w:tr w14:paraId="4D9928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29B9703">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16AFCEA9">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第14.1（3）项</w:t>
            </w:r>
          </w:p>
        </w:tc>
        <w:tc>
          <w:tcPr>
            <w:tcW w:w="1742" w:type="dxa"/>
            <w:vAlign w:val="center"/>
          </w:tcPr>
          <w:p w14:paraId="6BDF42A8">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运行监督、维修期限</w:t>
            </w:r>
          </w:p>
        </w:tc>
        <w:tc>
          <w:tcPr>
            <w:tcW w:w="5170" w:type="dxa"/>
            <w:vAlign w:val="center"/>
          </w:tcPr>
          <w:p w14:paraId="30B9CF2E">
            <w:pPr>
              <w:adjustRightInd w:val="0"/>
              <w:snapToGrid w:val="0"/>
              <w:jc w:val="left"/>
              <w:rPr>
                <w:rFonts w:ascii="仿宋" w:hAnsi="仿宋" w:eastAsia="仿宋" w:cs="仿宋"/>
                <w:szCs w:val="21"/>
                <w:highlight w:val="none"/>
              </w:rPr>
            </w:pPr>
          </w:p>
        </w:tc>
      </w:tr>
      <w:tr w14:paraId="2ED2B4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A4929C1">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27B3F35C">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第14.1（5）项</w:t>
            </w:r>
          </w:p>
        </w:tc>
        <w:tc>
          <w:tcPr>
            <w:tcW w:w="1742" w:type="dxa"/>
            <w:vAlign w:val="center"/>
          </w:tcPr>
          <w:p w14:paraId="71A617E1">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货物回收的约定</w:t>
            </w:r>
          </w:p>
        </w:tc>
        <w:tc>
          <w:tcPr>
            <w:tcW w:w="5170" w:type="dxa"/>
            <w:vAlign w:val="center"/>
          </w:tcPr>
          <w:p w14:paraId="33EBFEC5">
            <w:pPr>
              <w:adjustRightInd w:val="0"/>
              <w:snapToGrid w:val="0"/>
              <w:jc w:val="left"/>
              <w:rPr>
                <w:rFonts w:ascii="仿宋" w:hAnsi="仿宋" w:eastAsia="仿宋" w:cs="仿宋"/>
                <w:szCs w:val="21"/>
                <w:highlight w:val="none"/>
              </w:rPr>
            </w:pPr>
          </w:p>
        </w:tc>
      </w:tr>
      <w:tr w14:paraId="2D2011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95EAC22">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45F39131">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第14.1（6）项</w:t>
            </w:r>
          </w:p>
        </w:tc>
        <w:tc>
          <w:tcPr>
            <w:tcW w:w="1742" w:type="dxa"/>
            <w:vAlign w:val="center"/>
          </w:tcPr>
          <w:p w14:paraId="042C826D">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乙方提供的其他服务</w:t>
            </w:r>
          </w:p>
        </w:tc>
        <w:tc>
          <w:tcPr>
            <w:tcW w:w="5170" w:type="dxa"/>
            <w:vAlign w:val="center"/>
          </w:tcPr>
          <w:p w14:paraId="056FB158">
            <w:pPr>
              <w:adjustRightInd w:val="0"/>
              <w:snapToGrid w:val="0"/>
              <w:jc w:val="left"/>
              <w:rPr>
                <w:rFonts w:ascii="仿宋" w:hAnsi="仿宋" w:eastAsia="仿宋" w:cs="仿宋"/>
                <w:szCs w:val="21"/>
                <w:highlight w:val="none"/>
              </w:rPr>
            </w:pPr>
          </w:p>
        </w:tc>
      </w:tr>
      <w:tr w14:paraId="15CFB6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C01BAF">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69DFED39">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第15.1款</w:t>
            </w:r>
          </w:p>
        </w:tc>
        <w:tc>
          <w:tcPr>
            <w:tcW w:w="1742" w:type="dxa"/>
            <w:vAlign w:val="center"/>
          </w:tcPr>
          <w:p w14:paraId="5D3CFBBB">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修理、重作、更换相关具体规定</w:t>
            </w:r>
          </w:p>
        </w:tc>
        <w:tc>
          <w:tcPr>
            <w:tcW w:w="5170" w:type="dxa"/>
            <w:vAlign w:val="center"/>
          </w:tcPr>
          <w:p w14:paraId="722E1A0C">
            <w:pPr>
              <w:adjustRightInd w:val="0"/>
              <w:snapToGrid w:val="0"/>
              <w:jc w:val="left"/>
              <w:rPr>
                <w:rFonts w:ascii="仿宋" w:hAnsi="仿宋" w:eastAsia="仿宋" w:cs="仿宋"/>
                <w:szCs w:val="21"/>
                <w:highlight w:val="none"/>
              </w:rPr>
            </w:pPr>
          </w:p>
        </w:tc>
      </w:tr>
      <w:tr w14:paraId="595470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DCD148A">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67D768AF">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第15.2（2）项</w:t>
            </w:r>
          </w:p>
        </w:tc>
        <w:tc>
          <w:tcPr>
            <w:tcW w:w="1742" w:type="dxa"/>
            <w:vAlign w:val="center"/>
          </w:tcPr>
          <w:p w14:paraId="4AE6D219">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迟延交货赔偿费</w:t>
            </w:r>
          </w:p>
        </w:tc>
        <w:tc>
          <w:tcPr>
            <w:tcW w:w="5170" w:type="dxa"/>
            <w:vAlign w:val="center"/>
          </w:tcPr>
          <w:p w14:paraId="20F3F64C">
            <w:pPr>
              <w:adjustRightInd w:val="0"/>
              <w:snapToGrid w:val="0"/>
              <w:jc w:val="left"/>
              <w:rPr>
                <w:rFonts w:ascii="仿宋" w:hAnsi="仿宋" w:eastAsia="仿宋" w:cs="仿宋"/>
                <w:szCs w:val="21"/>
                <w:highlight w:val="none"/>
                <w:u w:val="single"/>
              </w:rPr>
            </w:pPr>
          </w:p>
        </w:tc>
      </w:tr>
      <w:tr w14:paraId="241BD0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51B78CC">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62CCAA54">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第15.3款</w:t>
            </w:r>
          </w:p>
        </w:tc>
        <w:tc>
          <w:tcPr>
            <w:tcW w:w="1742" w:type="dxa"/>
            <w:vAlign w:val="center"/>
          </w:tcPr>
          <w:p w14:paraId="1A02BE52">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逾期付款利息</w:t>
            </w:r>
          </w:p>
        </w:tc>
        <w:tc>
          <w:tcPr>
            <w:tcW w:w="5170" w:type="dxa"/>
            <w:vAlign w:val="center"/>
          </w:tcPr>
          <w:p w14:paraId="04DF914D">
            <w:pPr>
              <w:adjustRightInd w:val="0"/>
              <w:snapToGrid w:val="0"/>
              <w:jc w:val="left"/>
              <w:rPr>
                <w:rFonts w:ascii="仿宋" w:hAnsi="仿宋" w:eastAsia="仿宋" w:cs="仿宋"/>
                <w:szCs w:val="21"/>
                <w:highlight w:val="none"/>
                <w:u w:val="single"/>
              </w:rPr>
            </w:pPr>
          </w:p>
        </w:tc>
      </w:tr>
      <w:tr w14:paraId="376BC2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462F23C6">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311374FF">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第15.4款</w:t>
            </w:r>
          </w:p>
        </w:tc>
        <w:tc>
          <w:tcPr>
            <w:tcW w:w="1742" w:type="dxa"/>
            <w:tcBorders>
              <w:left w:val="single" w:color="auto" w:sz="2" w:space="0"/>
              <w:bottom w:val="single" w:color="auto" w:sz="2" w:space="0"/>
              <w:right w:val="single" w:color="auto" w:sz="2" w:space="0"/>
            </w:tcBorders>
            <w:vAlign w:val="center"/>
          </w:tcPr>
          <w:p w14:paraId="46063654">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其他违约责任</w:t>
            </w:r>
          </w:p>
        </w:tc>
        <w:tc>
          <w:tcPr>
            <w:tcW w:w="5170" w:type="dxa"/>
            <w:tcBorders>
              <w:left w:val="single" w:color="auto" w:sz="2" w:space="0"/>
              <w:bottom w:val="single" w:color="auto" w:sz="2" w:space="0"/>
            </w:tcBorders>
            <w:vAlign w:val="center"/>
          </w:tcPr>
          <w:p w14:paraId="6B73501D">
            <w:pPr>
              <w:adjustRightInd w:val="0"/>
              <w:snapToGrid w:val="0"/>
              <w:jc w:val="left"/>
              <w:rPr>
                <w:rFonts w:ascii="仿宋" w:hAnsi="仿宋" w:eastAsia="仿宋" w:cs="仿宋"/>
                <w:szCs w:val="21"/>
                <w:highlight w:val="none"/>
                <w:u w:val="single"/>
              </w:rPr>
            </w:pPr>
          </w:p>
        </w:tc>
      </w:tr>
      <w:tr w14:paraId="7E2CBF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81406EB">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75914187">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第19.2款</w:t>
            </w:r>
          </w:p>
        </w:tc>
        <w:tc>
          <w:tcPr>
            <w:tcW w:w="1742" w:type="dxa"/>
            <w:tcBorders>
              <w:top w:val="single" w:color="auto" w:sz="2" w:space="0"/>
              <w:left w:val="single" w:color="auto" w:sz="2" w:space="0"/>
              <w:right w:val="single" w:color="auto" w:sz="2" w:space="0"/>
            </w:tcBorders>
            <w:vAlign w:val="center"/>
          </w:tcPr>
          <w:p w14:paraId="73DD0024">
            <w:pPr>
              <w:adjustRightInd w:val="0"/>
              <w:snapToGrid w:val="0"/>
              <w:jc w:val="left"/>
              <w:rPr>
                <w:rFonts w:ascii="仿宋" w:hAnsi="仿宋" w:eastAsia="仿宋" w:cs="仿宋"/>
                <w:szCs w:val="21"/>
                <w:highlight w:val="none"/>
              </w:rPr>
            </w:pPr>
            <w:r>
              <w:rPr>
                <w:rFonts w:hint="eastAsia" w:ascii="仿宋" w:hAnsi="仿宋" w:eastAsia="仿宋" w:cs="仿宋"/>
                <w:szCs w:val="21"/>
                <w:highlight w:val="none"/>
              </w:rPr>
              <w:t>解决争议的方法</w:t>
            </w:r>
          </w:p>
        </w:tc>
        <w:tc>
          <w:tcPr>
            <w:tcW w:w="5170" w:type="dxa"/>
            <w:tcBorders>
              <w:top w:val="single" w:color="auto" w:sz="2" w:space="0"/>
              <w:left w:val="single" w:color="auto" w:sz="2" w:space="0"/>
            </w:tcBorders>
            <w:vAlign w:val="center"/>
          </w:tcPr>
          <w:p w14:paraId="317EC5EC">
            <w:pPr>
              <w:autoSpaceDE w:val="0"/>
              <w:autoSpaceDN w:val="0"/>
              <w:adjustRightInd w:val="0"/>
              <w:snapToGrid w:val="0"/>
              <w:spacing w:line="400" w:lineRule="exact"/>
              <w:jc w:val="left"/>
              <w:rPr>
                <w:rFonts w:ascii="仿宋" w:hAnsi="仿宋" w:eastAsia="仿宋" w:cs="仿宋"/>
                <w:iCs/>
                <w:szCs w:val="21"/>
                <w:highlight w:val="none"/>
              </w:rPr>
            </w:pPr>
            <w:r>
              <w:rPr>
                <w:rFonts w:hint="eastAsia" w:ascii="仿宋" w:hAnsi="仿宋" w:eastAsia="仿宋" w:cs="仿宋"/>
                <w:iCs/>
                <w:szCs w:val="21"/>
                <w:highlight w:val="none"/>
              </w:rPr>
              <w:t>因本合同及合同有关事项发生的争议，按下列第</w:t>
            </w:r>
            <w:r>
              <w:rPr>
                <w:rFonts w:hint="eastAsia" w:ascii="仿宋" w:hAnsi="仿宋" w:eastAsia="仿宋" w:cs="仿宋"/>
                <w:iCs/>
                <w:szCs w:val="21"/>
                <w:highlight w:val="none"/>
                <w:u w:val="single"/>
              </w:rPr>
              <w:t xml:space="preserve">   </w:t>
            </w:r>
            <w:r>
              <w:rPr>
                <w:rFonts w:hint="eastAsia" w:ascii="仿宋" w:hAnsi="仿宋" w:eastAsia="仿宋" w:cs="仿宋"/>
                <w:iCs/>
                <w:szCs w:val="21"/>
                <w:highlight w:val="none"/>
              </w:rPr>
              <w:t>种方式解决：</w:t>
            </w:r>
          </w:p>
          <w:p w14:paraId="0819B26E">
            <w:pPr>
              <w:autoSpaceDE w:val="0"/>
              <w:autoSpaceDN w:val="0"/>
              <w:adjustRightInd w:val="0"/>
              <w:snapToGrid w:val="0"/>
              <w:spacing w:line="400" w:lineRule="exact"/>
              <w:jc w:val="left"/>
              <w:rPr>
                <w:rFonts w:ascii="仿宋" w:hAnsi="仿宋" w:eastAsia="仿宋" w:cs="仿宋"/>
                <w:iCs/>
                <w:szCs w:val="21"/>
                <w:highlight w:val="none"/>
              </w:rPr>
            </w:pPr>
            <w:r>
              <w:rPr>
                <w:rFonts w:hint="eastAsia" w:ascii="仿宋" w:hAnsi="仿宋" w:eastAsia="仿宋" w:cs="仿宋"/>
                <w:iCs/>
                <w:szCs w:val="21"/>
                <w:highlight w:val="none"/>
              </w:rPr>
              <w:t>（1）向</w:t>
            </w:r>
            <w:r>
              <w:rPr>
                <w:rFonts w:hint="eastAsia" w:ascii="仿宋" w:hAnsi="仿宋" w:eastAsia="仿宋" w:cs="仿宋"/>
                <w:iCs/>
                <w:szCs w:val="21"/>
                <w:highlight w:val="none"/>
                <w:u w:val="single"/>
              </w:rPr>
              <w:t xml:space="preserve">                    </w:t>
            </w:r>
            <w:r>
              <w:rPr>
                <w:rFonts w:hint="eastAsia" w:ascii="仿宋" w:hAnsi="仿宋" w:eastAsia="仿宋" w:cs="仿宋"/>
                <w:iCs/>
                <w:szCs w:val="21"/>
                <w:highlight w:val="none"/>
              </w:rPr>
              <w:t>仲裁委员会申请仲裁，仲裁地点为</w:t>
            </w:r>
            <w:r>
              <w:rPr>
                <w:rFonts w:hint="eastAsia" w:ascii="仿宋" w:hAnsi="仿宋" w:eastAsia="仿宋" w:cs="仿宋"/>
                <w:iCs/>
                <w:szCs w:val="21"/>
                <w:highlight w:val="none"/>
                <w:u w:val="single"/>
              </w:rPr>
              <w:t xml:space="preserve">           </w:t>
            </w:r>
            <w:r>
              <w:rPr>
                <w:rFonts w:hint="eastAsia" w:ascii="仿宋" w:hAnsi="仿宋" w:eastAsia="仿宋" w:cs="仿宋"/>
                <w:iCs/>
                <w:szCs w:val="21"/>
                <w:highlight w:val="none"/>
              </w:rPr>
              <w:t>；</w:t>
            </w:r>
          </w:p>
          <w:p w14:paraId="693E8BE5">
            <w:pPr>
              <w:adjustRightInd w:val="0"/>
              <w:snapToGrid w:val="0"/>
              <w:jc w:val="left"/>
              <w:rPr>
                <w:rFonts w:ascii="仿宋" w:hAnsi="仿宋" w:eastAsia="仿宋" w:cs="仿宋"/>
                <w:szCs w:val="21"/>
                <w:highlight w:val="none"/>
                <w:u w:val="single"/>
              </w:rPr>
            </w:pPr>
            <w:r>
              <w:rPr>
                <w:rFonts w:hint="eastAsia" w:ascii="仿宋" w:hAnsi="仿宋" w:eastAsia="仿宋" w:cs="仿宋"/>
                <w:iCs/>
                <w:szCs w:val="21"/>
                <w:highlight w:val="none"/>
              </w:rPr>
              <w:t>（2）向</w:t>
            </w:r>
            <w:r>
              <w:rPr>
                <w:rFonts w:hint="eastAsia" w:ascii="仿宋" w:hAnsi="仿宋" w:eastAsia="仿宋" w:cs="仿宋"/>
                <w:iCs/>
                <w:szCs w:val="21"/>
                <w:highlight w:val="none"/>
                <w:u w:val="single"/>
              </w:rPr>
              <w:t xml:space="preserve">                    </w:t>
            </w:r>
            <w:r>
              <w:rPr>
                <w:rFonts w:hint="eastAsia" w:ascii="仿宋" w:hAnsi="仿宋" w:eastAsia="仿宋" w:cs="仿宋"/>
                <w:iCs/>
                <w:szCs w:val="21"/>
                <w:highlight w:val="none"/>
              </w:rPr>
              <w:t>人民法院起诉。</w:t>
            </w:r>
          </w:p>
        </w:tc>
      </w:tr>
      <w:tr w14:paraId="51FC50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86331BF">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第二节</w:t>
            </w:r>
          </w:p>
          <w:p w14:paraId="0A0B9673">
            <w:pPr>
              <w:adjustRightInd w:val="0"/>
              <w:snapToGrid w:val="0"/>
              <w:jc w:val="center"/>
              <w:rPr>
                <w:rFonts w:ascii="仿宋" w:hAnsi="仿宋" w:eastAsia="仿宋" w:cs="仿宋"/>
                <w:szCs w:val="21"/>
                <w:highlight w:val="none"/>
              </w:rPr>
            </w:pPr>
            <w:r>
              <w:rPr>
                <w:rFonts w:hint="eastAsia" w:ascii="仿宋" w:hAnsi="仿宋" w:eastAsia="仿宋" w:cs="仿宋"/>
                <w:szCs w:val="21"/>
                <w:highlight w:val="none"/>
              </w:rPr>
              <w:t>第23.1款</w:t>
            </w:r>
          </w:p>
        </w:tc>
        <w:tc>
          <w:tcPr>
            <w:tcW w:w="1742" w:type="dxa"/>
            <w:vAlign w:val="center"/>
          </w:tcPr>
          <w:p w14:paraId="525A4028">
            <w:pPr>
              <w:adjustRightInd w:val="0"/>
              <w:snapToGrid w:val="0"/>
              <w:jc w:val="left"/>
              <w:rPr>
                <w:rFonts w:ascii="仿宋" w:hAnsi="仿宋" w:eastAsia="仿宋" w:cs="仿宋"/>
                <w:szCs w:val="21"/>
                <w:highlight w:val="none"/>
              </w:rPr>
            </w:pPr>
            <w:r>
              <w:rPr>
                <w:rFonts w:hint="eastAsia" w:ascii="仿宋" w:hAnsi="仿宋" w:eastAsia="仿宋" w:cs="仿宋"/>
                <w:bCs/>
                <w:szCs w:val="21"/>
                <w:highlight w:val="none"/>
              </w:rPr>
              <w:t>其他专用条款</w:t>
            </w:r>
          </w:p>
        </w:tc>
        <w:tc>
          <w:tcPr>
            <w:tcW w:w="5170" w:type="dxa"/>
            <w:vAlign w:val="center"/>
          </w:tcPr>
          <w:p w14:paraId="772ED8F1">
            <w:pPr>
              <w:adjustRightInd w:val="0"/>
              <w:snapToGrid w:val="0"/>
              <w:jc w:val="left"/>
              <w:rPr>
                <w:rFonts w:ascii="仿宋" w:hAnsi="仿宋" w:eastAsia="仿宋" w:cs="仿宋"/>
                <w:szCs w:val="21"/>
                <w:highlight w:val="none"/>
              </w:rPr>
            </w:pPr>
          </w:p>
        </w:tc>
      </w:tr>
    </w:tbl>
    <w:p w14:paraId="6815C846">
      <w:pPr>
        <w:rPr>
          <w:rFonts w:hint="eastAsia" w:ascii="仿宋" w:hAnsi="仿宋" w:eastAsia="仿宋" w:cs="仿宋"/>
          <w:color w:val="auto"/>
          <w:sz w:val="32"/>
          <w:szCs w:val="32"/>
          <w:highlight w:val="none"/>
          <w:lang w:val="en-US" w:eastAsia="zh-CN"/>
        </w:rPr>
      </w:pPr>
    </w:p>
    <w:p w14:paraId="77486C2A">
      <w:pPr>
        <w:pStyle w:val="2"/>
        <w:rPr>
          <w:rFonts w:hint="eastAsia" w:ascii="仿宋" w:hAnsi="仿宋" w:eastAsia="仿宋" w:cs="仿宋"/>
          <w:color w:val="auto"/>
          <w:sz w:val="32"/>
          <w:szCs w:val="32"/>
          <w:highlight w:val="none"/>
          <w:lang w:val="en-US" w:eastAsia="zh-CN"/>
        </w:rPr>
      </w:pPr>
    </w:p>
    <w:p w14:paraId="082DD2AB">
      <w:pPr>
        <w:pStyle w:val="2"/>
        <w:rPr>
          <w:rFonts w:hint="eastAsia" w:ascii="仿宋" w:hAnsi="仿宋" w:eastAsia="仿宋" w:cs="仿宋"/>
          <w:color w:val="auto"/>
          <w:sz w:val="32"/>
          <w:szCs w:val="32"/>
          <w:highlight w:val="none"/>
          <w:lang w:val="en-US" w:eastAsia="zh-CN"/>
        </w:rPr>
      </w:pPr>
    </w:p>
    <w:p w14:paraId="00B2D8C9">
      <w:pPr>
        <w:pStyle w:val="2"/>
        <w:rPr>
          <w:rFonts w:hint="eastAsia" w:ascii="仿宋" w:hAnsi="仿宋" w:eastAsia="仿宋" w:cs="仿宋"/>
          <w:color w:val="auto"/>
          <w:sz w:val="32"/>
          <w:szCs w:val="32"/>
          <w:highlight w:val="none"/>
          <w:lang w:val="en-US" w:eastAsia="zh-CN"/>
        </w:rPr>
      </w:pPr>
    </w:p>
    <w:p w14:paraId="6110E5A3">
      <w:pPr>
        <w:pStyle w:val="2"/>
        <w:rPr>
          <w:rFonts w:hint="eastAsia" w:ascii="仿宋" w:hAnsi="仿宋" w:eastAsia="仿宋" w:cs="仿宋"/>
          <w:color w:val="auto"/>
          <w:sz w:val="32"/>
          <w:szCs w:val="32"/>
          <w:highlight w:val="none"/>
          <w:lang w:val="en-US" w:eastAsia="zh-CN"/>
        </w:rPr>
      </w:pPr>
    </w:p>
    <w:p w14:paraId="58364E36">
      <w:pPr>
        <w:pStyle w:val="2"/>
        <w:rPr>
          <w:rFonts w:hint="eastAsia" w:ascii="仿宋" w:hAnsi="仿宋" w:eastAsia="仿宋" w:cs="仿宋"/>
          <w:color w:val="auto"/>
          <w:sz w:val="32"/>
          <w:szCs w:val="32"/>
          <w:highlight w:val="none"/>
          <w:lang w:val="en-US" w:eastAsia="zh-CN"/>
        </w:rPr>
      </w:pPr>
    </w:p>
    <w:p w14:paraId="5BEB3B02">
      <w:pPr>
        <w:pStyle w:val="2"/>
        <w:rPr>
          <w:rFonts w:hint="eastAsia" w:ascii="仿宋" w:hAnsi="仿宋" w:eastAsia="仿宋" w:cs="仿宋"/>
          <w:color w:val="auto"/>
          <w:sz w:val="32"/>
          <w:szCs w:val="32"/>
          <w:highlight w:val="none"/>
          <w:lang w:val="en-US" w:eastAsia="zh-CN"/>
        </w:rPr>
      </w:pPr>
    </w:p>
    <w:p w14:paraId="0786B7C8">
      <w:pPr>
        <w:pStyle w:val="2"/>
        <w:rPr>
          <w:rFonts w:hint="eastAsia" w:ascii="仿宋" w:hAnsi="仿宋" w:eastAsia="仿宋" w:cs="仿宋"/>
          <w:color w:val="auto"/>
          <w:sz w:val="32"/>
          <w:szCs w:val="32"/>
          <w:highlight w:val="none"/>
          <w:lang w:val="en-US" w:eastAsia="zh-CN"/>
        </w:rPr>
      </w:pPr>
    </w:p>
    <w:p w14:paraId="45261BB7">
      <w:pPr>
        <w:pStyle w:val="2"/>
        <w:rPr>
          <w:rFonts w:hint="eastAsia" w:ascii="仿宋" w:hAnsi="仿宋" w:eastAsia="仿宋" w:cs="仿宋"/>
          <w:color w:val="auto"/>
          <w:sz w:val="32"/>
          <w:szCs w:val="32"/>
          <w:highlight w:val="none"/>
          <w:lang w:val="en-US" w:eastAsia="zh-CN"/>
        </w:rPr>
      </w:pPr>
    </w:p>
    <w:p w14:paraId="4BD7ACD8">
      <w:pPr>
        <w:pStyle w:val="2"/>
        <w:rPr>
          <w:rFonts w:hint="eastAsia" w:ascii="仿宋" w:hAnsi="仿宋" w:eastAsia="仿宋" w:cs="仿宋"/>
          <w:color w:val="auto"/>
          <w:sz w:val="32"/>
          <w:szCs w:val="32"/>
          <w:highlight w:val="none"/>
          <w:lang w:val="en-US" w:eastAsia="zh-CN"/>
        </w:rPr>
      </w:pPr>
    </w:p>
    <w:p w14:paraId="601E8623">
      <w:pPr>
        <w:pStyle w:val="2"/>
        <w:rPr>
          <w:rFonts w:hint="eastAsia" w:ascii="仿宋" w:hAnsi="仿宋" w:eastAsia="仿宋" w:cs="仿宋"/>
          <w:color w:val="auto"/>
          <w:sz w:val="32"/>
          <w:szCs w:val="32"/>
          <w:highlight w:val="none"/>
          <w:lang w:val="en-US" w:eastAsia="zh-CN"/>
        </w:rPr>
      </w:pPr>
    </w:p>
    <w:p w14:paraId="3C1438ED">
      <w:pPr>
        <w:pStyle w:val="2"/>
        <w:rPr>
          <w:rFonts w:hint="eastAsia" w:ascii="仿宋" w:hAnsi="仿宋" w:eastAsia="仿宋" w:cs="仿宋"/>
          <w:color w:val="auto"/>
          <w:sz w:val="32"/>
          <w:szCs w:val="32"/>
          <w:highlight w:val="none"/>
          <w:lang w:val="en-US" w:eastAsia="zh-CN"/>
        </w:rPr>
      </w:pPr>
    </w:p>
    <w:p w14:paraId="6F7195E6">
      <w:pPr>
        <w:pStyle w:val="2"/>
        <w:rPr>
          <w:rFonts w:hint="eastAsia" w:ascii="仿宋" w:hAnsi="仿宋" w:eastAsia="仿宋" w:cs="仿宋"/>
          <w:color w:val="auto"/>
          <w:sz w:val="32"/>
          <w:szCs w:val="32"/>
          <w:highlight w:val="none"/>
          <w:lang w:val="en-US" w:eastAsia="zh-CN"/>
        </w:rPr>
      </w:pPr>
    </w:p>
    <w:p w14:paraId="320C0802">
      <w:pPr>
        <w:pStyle w:val="2"/>
        <w:rPr>
          <w:rFonts w:hint="eastAsia" w:ascii="仿宋" w:hAnsi="仿宋" w:eastAsia="仿宋" w:cs="仿宋"/>
          <w:color w:val="auto"/>
          <w:sz w:val="32"/>
          <w:szCs w:val="32"/>
          <w:highlight w:val="none"/>
          <w:lang w:val="en-US" w:eastAsia="zh-CN"/>
        </w:rPr>
      </w:pPr>
    </w:p>
    <w:p w14:paraId="7F4F2539">
      <w:pPr>
        <w:pStyle w:val="2"/>
        <w:rPr>
          <w:rFonts w:hint="eastAsia" w:ascii="仿宋" w:hAnsi="仿宋" w:eastAsia="仿宋" w:cs="仿宋"/>
          <w:color w:val="auto"/>
          <w:sz w:val="32"/>
          <w:szCs w:val="32"/>
          <w:highlight w:val="none"/>
          <w:lang w:val="en-US" w:eastAsia="zh-CN"/>
        </w:rPr>
      </w:pPr>
    </w:p>
    <w:p w14:paraId="14526D33">
      <w:pPr>
        <w:pStyle w:val="3"/>
        <w:keepNext/>
        <w:keepLines/>
        <w:pageBreakBefore w:val="0"/>
        <w:widowControl w:val="0"/>
        <w:numPr>
          <w:ilvl w:val="0"/>
          <w:numId w:val="1"/>
        </w:numPr>
        <w:kinsoku/>
        <w:wordWrap/>
        <w:overflowPunct/>
        <w:topLinePunct w:val="0"/>
        <w:autoSpaceDE/>
        <w:autoSpaceDN/>
        <w:bidi w:val="0"/>
        <w:adjustRightInd/>
        <w:snapToGrid/>
        <w:spacing w:before="0" w:after="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b w:val="0"/>
          <w:bCs w:val="0"/>
          <w:color w:val="auto"/>
          <w:sz w:val="24"/>
          <w:szCs w:val="24"/>
          <w:highlight w:val="none"/>
          <w:lang w:val="en-US" w:eastAsia="zh-CN"/>
        </w:rPr>
        <w:t xml:space="preserve">    </w:t>
      </w:r>
      <w:bookmarkStart w:id="21" w:name="_Toc6666"/>
      <w:r>
        <w:rPr>
          <w:rFonts w:hint="eastAsia" w:ascii="仿宋" w:hAnsi="仿宋" w:eastAsia="仿宋" w:cs="仿宋"/>
          <w:color w:val="auto"/>
          <w:sz w:val="32"/>
          <w:szCs w:val="32"/>
          <w:highlight w:val="none"/>
          <w:lang w:val="en-US" w:eastAsia="zh-CN"/>
        </w:rPr>
        <w:t>采购需求</w:t>
      </w:r>
      <w:bookmarkEnd w:id="21"/>
    </w:p>
    <w:p w14:paraId="52DE81DE">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说明：</w:t>
      </w:r>
    </w:p>
    <w:p w14:paraId="5432AA75">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1.以下技术指标及要求中如出现设备或产品品牌或指向某个品牌，仅作为参考该设备或产品所需达到的具体技术性能要求，不作为该设备或产品的品牌要求。</w:t>
      </w:r>
    </w:p>
    <w:p w14:paraId="1B627661">
      <w:pPr>
        <w:pStyle w:val="21"/>
        <w:keepNext w:val="0"/>
        <w:keepLines w:val="0"/>
        <w:pageBreakBefore w:val="0"/>
        <w:widowControl w:val="0"/>
        <w:kinsoku/>
        <w:wordWrap/>
        <w:overflowPunct/>
        <w:topLinePunct w:val="0"/>
        <w:autoSpaceDE/>
        <w:autoSpaceDN/>
        <w:bidi w:val="0"/>
        <w:adjustRightInd/>
        <w:snapToGrid/>
        <w:spacing w:after="0" w:line="480" w:lineRule="exact"/>
        <w:ind w:left="0" w:leftChars="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2.下列标有“※”的条款均为实质性响应条款，投标人若有一项带“※”的条款未响应或不满足，将按无效投标处理；下列未标有“※”条款的为一般技术条款仅为评审打分项，不作为无效投标条款。</w:t>
      </w:r>
    </w:p>
    <w:p w14:paraId="00ABDB73">
      <w:pPr>
        <w:pStyle w:val="21"/>
        <w:keepNext w:val="0"/>
        <w:keepLines w:val="0"/>
        <w:pageBreakBefore w:val="0"/>
        <w:widowControl w:val="0"/>
        <w:kinsoku/>
        <w:wordWrap/>
        <w:overflowPunct/>
        <w:topLinePunct w:val="0"/>
        <w:autoSpaceDE/>
        <w:autoSpaceDN/>
        <w:bidi w:val="0"/>
        <w:adjustRightInd/>
        <w:snapToGrid/>
        <w:spacing w:after="0" w:line="480" w:lineRule="exact"/>
        <w:ind w:left="0" w:leftChars="0" w:firstLine="0" w:firstLineChars="0"/>
        <w:textAlignment w:val="auto"/>
        <w:rPr>
          <w:rFonts w:hint="eastAsia" w:ascii="仿宋" w:hAnsi="仿宋" w:eastAsia="仿宋" w:cs="仿宋"/>
          <w:color w:val="auto"/>
          <w:highlight w:val="none"/>
          <w:lang w:val="en-US" w:eastAsia="zh-CN"/>
        </w:rPr>
      </w:pPr>
    </w:p>
    <w:p w14:paraId="74AE8C12">
      <w:pPr>
        <w:keepNext w:val="0"/>
        <w:keepLines w:val="0"/>
        <w:pageBreakBefore w:val="0"/>
        <w:widowControl w:val="0"/>
        <w:numPr>
          <w:ilvl w:val="0"/>
          <w:numId w:val="13"/>
        </w:numPr>
        <w:kinsoku/>
        <w:wordWrap/>
        <w:overflowPunct/>
        <w:topLinePunct w:val="0"/>
        <w:autoSpaceDE/>
        <w:autoSpaceDN/>
        <w:bidi w:val="0"/>
        <w:adjustRightInd/>
        <w:snapToGrid/>
        <w:spacing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需求一览表及技术要求</w:t>
      </w:r>
    </w:p>
    <w:p w14:paraId="68C4D8B7">
      <w:pPr>
        <w:pStyle w:val="21"/>
        <w:keepNext w:val="0"/>
        <w:keepLines w:val="0"/>
        <w:pageBreakBefore w:val="0"/>
        <w:widowControl w:val="0"/>
        <w:numPr>
          <w:ilvl w:val="0"/>
          <w:numId w:val="0"/>
        </w:numPr>
        <w:kinsoku/>
        <w:wordWrap/>
        <w:overflowPunct/>
        <w:topLinePunct w:val="0"/>
        <w:autoSpaceDE/>
        <w:autoSpaceDN/>
        <w:bidi w:val="0"/>
        <w:adjustRightInd/>
        <w:snapToGrid/>
        <w:spacing w:after="0"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标项1：新疆医科大学第六附属医院全自动生化分析仪、全自动化学发光免疫分析仪检验试剂采购项目（二次）1包</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26"/>
        <w:gridCol w:w="1638"/>
        <w:gridCol w:w="3705"/>
        <w:gridCol w:w="660"/>
        <w:gridCol w:w="974"/>
        <w:gridCol w:w="1116"/>
      </w:tblGrid>
      <w:tr w14:paraId="4094B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62" w:hRule="atLeast"/>
        </w:trPr>
        <w:tc>
          <w:tcPr>
            <w:tcW w:w="250" w:type="pct"/>
            <w:shd w:val="clear" w:color="auto" w:fill="auto"/>
            <w:vAlign w:val="center"/>
          </w:tcPr>
          <w:p w14:paraId="4A1BDB75">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序号</w:t>
            </w:r>
          </w:p>
        </w:tc>
        <w:tc>
          <w:tcPr>
            <w:tcW w:w="961" w:type="pct"/>
            <w:shd w:val="clear" w:color="auto" w:fill="auto"/>
            <w:vAlign w:val="center"/>
          </w:tcPr>
          <w:p w14:paraId="2FA8E1F5">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试剂耗材产品名称</w:t>
            </w:r>
          </w:p>
          <w:p w14:paraId="555EE695">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（标的名称）</w:t>
            </w:r>
          </w:p>
        </w:tc>
        <w:tc>
          <w:tcPr>
            <w:tcW w:w="2174" w:type="pct"/>
            <w:shd w:val="clear" w:color="auto" w:fill="auto"/>
            <w:vAlign w:val="center"/>
          </w:tcPr>
          <w:p w14:paraId="5AF050AE">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试剂耗材参数及用途</w:t>
            </w:r>
          </w:p>
        </w:tc>
        <w:tc>
          <w:tcPr>
            <w:tcW w:w="387" w:type="pct"/>
            <w:shd w:val="clear" w:color="auto" w:fill="auto"/>
            <w:vAlign w:val="center"/>
          </w:tcPr>
          <w:p w14:paraId="51E19159">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最小单位</w:t>
            </w:r>
          </w:p>
        </w:tc>
        <w:tc>
          <w:tcPr>
            <w:tcW w:w="571" w:type="pct"/>
            <w:shd w:val="clear" w:color="auto" w:fill="auto"/>
            <w:vAlign w:val="center"/>
          </w:tcPr>
          <w:p w14:paraId="05123932">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最高限制单价（元/最小单位）</w:t>
            </w:r>
          </w:p>
        </w:tc>
        <w:tc>
          <w:tcPr>
            <w:tcW w:w="655" w:type="pct"/>
            <w:shd w:val="clear" w:color="auto" w:fill="auto"/>
            <w:noWrap/>
            <w:vAlign w:val="center"/>
          </w:tcPr>
          <w:p w14:paraId="720935F4">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适配设备</w:t>
            </w:r>
          </w:p>
        </w:tc>
      </w:tr>
      <w:tr w14:paraId="36A2E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26" w:type="dxa"/>
            <w:shd w:val="clear" w:color="auto" w:fill="auto"/>
            <w:vAlign w:val="center"/>
          </w:tcPr>
          <w:p w14:paraId="743E813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w:t>
            </w:r>
          </w:p>
        </w:tc>
        <w:tc>
          <w:tcPr>
            <w:tcW w:w="1638" w:type="dxa"/>
            <w:shd w:val="clear" w:color="auto" w:fill="auto"/>
            <w:vAlign w:val="center"/>
          </w:tcPr>
          <w:p w14:paraId="5F0E38D4">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r-谷氨酰基转酶测定试剂盒（速率法）</w:t>
            </w:r>
          </w:p>
        </w:tc>
        <w:tc>
          <w:tcPr>
            <w:tcW w:w="3705" w:type="dxa"/>
            <w:shd w:val="clear" w:color="auto" w:fill="auto"/>
            <w:vAlign w:val="center"/>
          </w:tcPr>
          <w:p w14:paraId="7CA574D3">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GGT测定用于传染性肝炎；肝硬化。胰腺炎肿瘤；胆管炎；阻塞性黄疸；胆囊炎；胆石症等疾病辅助诊断</w:t>
            </w:r>
          </w:p>
        </w:tc>
        <w:tc>
          <w:tcPr>
            <w:tcW w:w="660" w:type="dxa"/>
            <w:shd w:val="clear" w:color="auto" w:fill="auto"/>
            <w:vAlign w:val="center"/>
          </w:tcPr>
          <w:p w14:paraId="7A2969F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5A4A9FC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5.56 </w:t>
            </w:r>
          </w:p>
        </w:tc>
        <w:tc>
          <w:tcPr>
            <w:tcW w:w="1116" w:type="dxa"/>
            <w:shd w:val="clear" w:color="auto" w:fill="auto"/>
            <w:noWrap/>
            <w:vAlign w:val="center"/>
          </w:tcPr>
          <w:p w14:paraId="0E66AE3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3EC0B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26" w:type="dxa"/>
            <w:shd w:val="clear" w:color="auto" w:fill="auto"/>
            <w:vAlign w:val="center"/>
          </w:tcPr>
          <w:p w14:paraId="35914D4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w:t>
            </w:r>
          </w:p>
        </w:tc>
        <w:tc>
          <w:tcPr>
            <w:tcW w:w="1638" w:type="dxa"/>
            <w:shd w:val="clear" w:color="auto" w:fill="auto"/>
            <w:vAlign w:val="center"/>
          </w:tcPr>
          <w:p w14:paraId="661D6D4A">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乳酸脱氢酶测定试剂盒（乳酸底物法)</w:t>
            </w:r>
          </w:p>
        </w:tc>
        <w:tc>
          <w:tcPr>
            <w:tcW w:w="3705" w:type="dxa"/>
            <w:shd w:val="clear" w:color="auto" w:fill="auto"/>
            <w:vAlign w:val="center"/>
          </w:tcPr>
          <w:p w14:paraId="33FC2F30">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用于辅助诊心血管疾病</w:t>
            </w:r>
          </w:p>
        </w:tc>
        <w:tc>
          <w:tcPr>
            <w:tcW w:w="660" w:type="dxa"/>
            <w:shd w:val="clear" w:color="auto" w:fill="auto"/>
            <w:vAlign w:val="center"/>
          </w:tcPr>
          <w:p w14:paraId="426FF09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535F4B3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9.14 </w:t>
            </w:r>
          </w:p>
        </w:tc>
        <w:tc>
          <w:tcPr>
            <w:tcW w:w="1116" w:type="dxa"/>
            <w:shd w:val="clear" w:color="auto" w:fill="auto"/>
            <w:noWrap/>
            <w:vAlign w:val="center"/>
          </w:tcPr>
          <w:p w14:paraId="4CFED0D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180FF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26" w:type="dxa"/>
            <w:shd w:val="clear" w:color="auto" w:fill="auto"/>
            <w:vAlign w:val="center"/>
          </w:tcPr>
          <w:p w14:paraId="493E6CD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w:t>
            </w:r>
          </w:p>
        </w:tc>
        <w:tc>
          <w:tcPr>
            <w:tcW w:w="1638" w:type="dxa"/>
            <w:shd w:val="clear" w:color="auto" w:fill="auto"/>
            <w:vAlign w:val="center"/>
          </w:tcPr>
          <w:p w14:paraId="4E17DFED">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葡萄糖测定试剂盒（己糖激酶法）</w:t>
            </w:r>
          </w:p>
        </w:tc>
        <w:tc>
          <w:tcPr>
            <w:tcW w:w="3705" w:type="dxa"/>
            <w:shd w:val="clear" w:color="auto" w:fill="auto"/>
            <w:vAlign w:val="center"/>
          </w:tcPr>
          <w:p w14:paraId="712403DC">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用于辅助诊断糖代谢类疾病</w:t>
            </w:r>
          </w:p>
        </w:tc>
        <w:tc>
          <w:tcPr>
            <w:tcW w:w="660" w:type="dxa"/>
            <w:shd w:val="clear" w:color="auto" w:fill="auto"/>
            <w:vAlign w:val="center"/>
          </w:tcPr>
          <w:p w14:paraId="4EC1094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4079479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12.25 </w:t>
            </w:r>
          </w:p>
        </w:tc>
        <w:tc>
          <w:tcPr>
            <w:tcW w:w="1116" w:type="dxa"/>
            <w:shd w:val="clear" w:color="auto" w:fill="auto"/>
            <w:noWrap/>
            <w:vAlign w:val="center"/>
          </w:tcPr>
          <w:p w14:paraId="371326E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20A4A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E0BF32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w:t>
            </w:r>
          </w:p>
        </w:tc>
        <w:tc>
          <w:tcPr>
            <w:tcW w:w="1638" w:type="dxa"/>
            <w:shd w:val="clear" w:color="auto" w:fill="auto"/>
            <w:vAlign w:val="center"/>
          </w:tcPr>
          <w:p w14:paraId="0E866D2C">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铁测定试剂盒（TPTZ法）</w:t>
            </w:r>
          </w:p>
        </w:tc>
        <w:tc>
          <w:tcPr>
            <w:tcW w:w="3705" w:type="dxa"/>
            <w:shd w:val="clear" w:color="auto" w:fill="auto"/>
            <w:vAlign w:val="center"/>
          </w:tcPr>
          <w:p w14:paraId="1315131A">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用于辅助诊断铁粒幼细胞贫血；慢性溶血性贫血；严重肝病及血色病；长期严重感染；恶性肿瘤；肝硬化；阻塞性黄疸等疾病</w:t>
            </w:r>
          </w:p>
        </w:tc>
        <w:tc>
          <w:tcPr>
            <w:tcW w:w="660" w:type="dxa"/>
            <w:shd w:val="clear" w:color="auto" w:fill="auto"/>
            <w:vAlign w:val="center"/>
          </w:tcPr>
          <w:p w14:paraId="0CD27DF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62A0823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14.51 </w:t>
            </w:r>
          </w:p>
        </w:tc>
        <w:tc>
          <w:tcPr>
            <w:tcW w:w="1116" w:type="dxa"/>
            <w:shd w:val="clear" w:color="auto" w:fill="auto"/>
            <w:noWrap/>
            <w:vAlign w:val="center"/>
          </w:tcPr>
          <w:p w14:paraId="7180C74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68098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2FD8FD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w:t>
            </w:r>
          </w:p>
        </w:tc>
        <w:tc>
          <w:tcPr>
            <w:tcW w:w="1638" w:type="dxa"/>
            <w:shd w:val="clear" w:color="auto" w:fill="auto"/>
            <w:vAlign w:val="center"/>
          </w:tcPr>
          <w:p w14:paraId="6B77A99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钙测定试剂盒（偶氮砷III法）</w:t>
            </w:r>
          </w:p>
        </w:tc>
        <w:tc>
          <w:tcPr>
            <w:tcW w:w="3705" w:type="dxa"/>
            <w:shd w:val="clear" w:color="auto" w:fill="auto"/>
            <w:vAlign w:val="center"/>
          </w:tcPr>
          <w:p w14:paraId="6339D3A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用于辅助诊断甲状旁腺功能亢进；多发性骨髓瘤；结节病；婴儿手足抽搐症；维生素D缺乏症；恶性肿瘤；严重肝病；佝偻病；骨软化症；慢性肾衰等临床疾病</w:t>
            </w:r>
          </w:p>
        </w:tc>
        <w:tc>
          <w:tcPr>
            <w:tcW w:w="660" w:type="dxa"/>
            <w:shd w:val="clear" w:color="auto" w:fill="auto"/>
            <w:vAlign w:val="center"/>
          </w:tcPr>
          <w:p w14:paraId="0DB676D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280CFDB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41.96 </w:t>
            </w:r>
          </w:p>
        </w:tc>
        <w:tc>
          <w:tcPr>
            <w:tcW w:w="1116" w:type="dxa"/>
            <w:shd w:val="clear" w:color="auto" w:fill="auto"/>
            <w:noWrap/>
            <w:vAlign w:val="center"/>
          </w:tcPr>
          <w:p w14:paraId="2603ED1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172D3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A74A4F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w:t>
            </w:r>
          </w:p>
        </w:tc>
        <w:tc>
          <w:tcPr>
            <w:tcW w:w="1638" w:type="dxa"/>
            <w:shd w:val="clear" w:color="auto" w:fill="auto"/>
            <w:vAlign w:val="center"/>
          </w:tcPr>
          <w:p w14:paraId="2D2967A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镁测定试剂盒（二甲苯胺蓝法）</w:t>
            </w:r>
          </w:p>
        </w:tc>
        <w:tc>
          <w:tcPr>
            <w:tcW w:w="3705" w:type="dxa"/>
            <w:shd w:val="clear" w:color="auto" w:fill="auto"/>
            <w:vAlign w:val="center"/>
          </w:tcPr>
          <w:p w14:paraId="60EAFCA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用于辅助诊断肾衰竭；甲亢；甲减、甲状旁腺功能减退症、艾迪生病、糖尿病；多发性骨髓瘤；慢性腹泻；吸收不良综合征；慢性肾炎；甲亢；甲状旁腺功能亢进者；糖尿病酸中毒；醛固酮增多症</w:t>
            </w:r>
          </w:p>
        </w:tc>
        <w:tc>
          <w:tcPr>
            <w:tcW w:w="660" w:type="dxa"/>
            <w:shd w:val="clear" w:color="auto" w:fill="auto"/>
            <w:vAlign w:val="center"/>
          </w:tcPr>
          <w:p w14:paraId="4C5AE5B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3A4637F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6.13 </w:t>
            </w:r>
          </w:p>
        </w:tc>
        <w:tc>
          <w:tcPr>
            <w:tcW w:w="1116" w:type="dxa"/>
            <w:shd w:val="clear" w:color="auto" w:fill="auto"/>
            <w:noWrap/>
            <w:vAlign w:val="center"/>
          </w:tcPr>
          <w:p w14:paraId="0730465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55DFE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A5A616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w:t>
            </w:r>
          </w:p>
        </w:tc>
        <w:tc>
          <w:tcPr>
            <w:tcW w:w="1638" w:type="dxa"/>
            <w:shd w:val="clear" w:color="auto" w:fill="auto"/>
            <w:vAlign w:val="center"/>
          </w:tcPr>
          <w:p w14:paraId="220314B7">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AU生化分析系统专用试剂-电解质参比液</w:t>
            </w:r>
          </w:p>
        </w:tc>
        <w:tc>
          <w:tcPr>
            <w:tcW w:w="3705" w:type="dxa"/>
            <w:shd w:val="clear" w:color="auto" w:fill="auto"/>
            <w:vAlign w:val="center"/>
          </w:tcPr>
          <w:p w14:paraId="22B4271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用于电解质检测辅助溶液</w:t>
            </w:r>
          </w:p>
        </w:tc>
        <w:tc>
          <w:tcPr>
            <w:tcW w:w="660" w:type="dxa"/>
            <w:shd w:val="clear" w:color="auto" w:fill="auto"/>
            <w:vAlign w:val="center"/>
          </w:tcPr>
          <w:p w14:paraId="20BBA45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48ED4F3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0.54 </w:t>
            </w:r>
          </w:p>
        </w:tc>
        <w:tc>
          <w:tcPr>
            <w:tcW w:w="1116" w:type="dxa"/>
            <w:shd w:val="clear" w:color="auto" w:fill="auto"/>
            <w:noWrap/>
            <w:vAlign w:val="center"/>
          </w:tcPr>
          <w:p w14:paraId="52D8461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27D31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350D24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638" w:type="dxa"/>
            <w:shd w:val="clear" w:color="auto" w:fill="auto"/>
            <w:vAlign w:val="center"/>
          </w:tcPr>
          <w:p w14:paraId="4BE7319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AU生化分析系统专用试剂-电解质内标液</w:t>
            </w:r>
          </w:p>
        </w:tc>
        <w:tc>
          <w:tcPr>
            <w:tcW w:w="3705" w:type="dxa"/>
            <w:shd w:val="clear" w:color="auto" w:fill="auto"/>
            <w:vAlign w:val="center"/>
          </w:tcPr>
          <w:p w14:paraId="0217EC1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用于电解质检测辅助校准溶液</w:t>
            </w:r>
          </w:p>
        </w:tc>
        <w:tc>
          <w:tcPr>
            <w:tcW w:w="660" w:type="dxa"/>
            <w:shd w:val="clear" w:color="auto" w:fill="auto"/>
            <w:vAlign w:val="center"/>
          </w:tcPr>
          <w:p w14:paraId="37DF4F3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13E4854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0.18 </w:t>
            </w:r>
          </w:p>
        </w:tc>
        <w:tc>
          <w:tcPr>
            <w:tcW w:w="1116" w:type="dxa"/>
            <w:shd w:val="clear" w:color="auto" w:fill="auto"/>
            <w:noWrap/>
            <w:vAlign w:val="center"/>
          </w:tcPr>
          <w:p w14:paraId="74A0FF3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65E4A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1C9358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9</w:t>
            </w:r>
          </w:p>
        </w:tc>
        <w:tc>
          <w:tcPr>
            <w:tcW w:w="1638" w:type="dxa"/>
            <w:shd w:val="clear" w:color="auto" w:fill="auto"/>
            <w:vAlign w:val="center"/>
          </w:tcPr>
          <w:p w14:paraId="02A8D6C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总胆汁酸测定试剂盒（酶循环法）</w:t>
            </w:r>
          </w:p>
        </w:tc>
        <w:tc>
          <w:tcPr>
            <w:tcW w:w="3705" w:type="dxa"/>
            <w:shd w:val="clear" w:color="auto" w:fill="auto"/>
            <w:vAlign w:val="center"/>
          </w:tcPr>
          <w:p w14:paraId="17A3D98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适用于体外定量检测人血清中总胆汁酸的含量。</w:t>
            </w:r>
          </w:p>
        </w:tc>
        <w:tc>
          <w:tcPr>
            <w:tcW w:w="660" w:type="dxa"/>
            <w:shd w:val="clear" w:color="auto" w:fill="auto"/>
            <w:vAlign w:val="center"/>
          </w:tcPr>
          <w:p w14:paraId="51ED916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5685C43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20.23 </w:t>
            </w:r>
          </w:p>
        </w:tc>
        <w:tc>
          <w:tcPr>
            <w:tcW w:w="1116" w:type="dxa"/>
            <w:shd w:val="clear" w:color="auto" w:fill="auto"/>
            <w:noWrap/>
            <w:vAlign w:val="center"/>
          </w:tcPr>
          <w:p w14:paraId="3729B1E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606C6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627EDB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638" w:type="dxa"/>
            <w:shd w:val="clear" w:color="auto" w:fill="auto"/>
            <w:vAlign w:val="center"/>
          </w:tcPr>
          <w:p w14:paraId="2BE6484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脂蛋白（a）检测试剂盒（乳胶增强免疫比浊法）</w:t>
            </w:r>
          </w:p>
        </w:tc>
        <w:tc>
          <w:tcPr>
            <w:tcW w:w="3705" w:type="dxa"/>
            <w:shd w:val="clear" w:color="auto" w:fill="auto"/>
            <w:vAlign w:val="center"/>
          </w:tcPr>
          <w:p w14:paraId="49921C2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用于体外定量检测人血清或血浆中脂蛋白(a)的含量。</w:t>
            </w:r>
          </w:p>
        </w:tc>
        <w:tc>
          <w:tcPr>
            <w:tcW w:w="660" w:type="dxa"/>
            <w:shd w:val="clear" w:color="auto" w:fill="auto"/>
            <w:vAlign w:val="center"/>
          </w:tcPr>
          <w:p w14:paraId="4DAD5A15">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4608518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29.38 </w:t>
            </w:r>
          </w:p>
        </w:tc>
        <w:tc>
          <w:tcPr>
            <w:tcW w:w="1116" w:type="dxa"/>
            <w:shd w:val="clear" w:color="auto" w:fill="auto"/>
            <w:noWrap/>
            <w:vAlign w:val="center"/>
          </w:tcPr>
          <w:p w14:paraId="23D6E99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1E8CF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A35D28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11</w:t>
            </w:r>
          </w:p>
        </w:tc>
        <w:tc>
          <w:tcPr>
            <w:tcW w:w="1638" w:type="dxa"/>
            <w:shd w:val="clear" w:color="auto" w:fill="auto"/>
            <w:vAlign w:val="center"/>
          </w:tcPr>
          <w:p w14:paraId="149D97C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电解质缓冲液</w:t>
            </w:r>
          </w:p>
        </w:tc>
        <w:tc>
          <w:tcPr>
            <w:tcW w:w="3705" w:type="dxa"/>
            <w:shd w:val="clear" w:color="auto" w:fill="auto"/>
            <w:vAlign w:val="center"/>
          </w:tcPr>
          <w:p w14:paraId="23A81AA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仅用于提供和维持反应环境。</w:t>
            </w:r>
          </w:p>
        </w:tc>
        <w:tc>
          <w:tcPr>
            <w:tcW w:w="660" w:type="dxa"/>
            <w:shd w:val="clear" w:color="auto" w:fill="auto"/>
            <w:vAlign w:val="center"/>
          </w:tcPr>
          <w:p w14:paraId="361027A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646577C2">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0.24 </w:t>
            </w:r>
          </w:p>
        </w:tc>
        <w:tc>
          <w:tcPr>
            <w:tcW w:w="1116" w:type="dxa"/>
            <w:shd w:val="clear" w:color="auto" w:fill="auto"/>
            <w:noWrap/>
            <w:vAlign w:val="center"/>
          </w:tcPr>
          <w:p w14:paraId="6847C02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6AFDA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0FBAEA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12</w:t>
            </w:r>
          </w:p>
        </w:tc>
        <w:tc>
          <w:tcPr>
            <w:tcW w:w="1638" w:type="dxa"/>
            <w:shd w:val="clear" w:color="auto" w:fill="auto"/>
            <w:vAlign w:val="center"/>
          </w:tcPr>
          <w:p w14:paraId="14D885C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系统冲洗液</w:t>
            </w:r>
          </w:p>
        </w:tc>
        <w:tc>
          <w:tcPr>
            <w:tcW w:w="3705" w:type="dxa"/>
            <w:shd w:val="clear" w:color="auto" w:fill="auto"/>
            <w:vAlign w:val="center"/>
          </w:tcPr>
          <w:p w14:paraId="3BC5CB3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用于冲洗</w:t>
            </w:r>
          </w:p>
        </w:tc>
        <w:tc>
          <w:tcPr>
            <w:tcW w:w="660" w:type="dxa"/>
            <w:shd w:val="clear" w:color="auto" w:fill="auto"/>
            <w:vAlign w:val="center"/>
          </w:tcPr>
          <w:p w14:paraId="10FF941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23C6A51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0.20 </w:t>
            </w:r>
          </w:p>
        </w:tc>
        <w:tc>
          <w:tcPr>
            <w:tcW w:w="1116" w:type="dxa"/>
            <w:shd w:val="clear" w:color="auto" w:fill="auto"/>
            <w:noWrap/>
            <w:vAlign w:val="center"/>
          </w:tcPr>
          <w:p w14:paraId="761ECC2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32CF4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ECAF1B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13</w:t>
            </w:r>
          </w:p>
        </w:tc>
        <w:tc>
          <w:tcPr>
            <w:tcW w:w="1638" w:type="dxa"/>
            <w:shd w:val="clear" w:color="auto" w:fill="auto"/>
            <w:vAlign w:val="center"/>
          </w:tcPr>
          <w:p w14:paraId="68D87B9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不饱和铁结合力测定试剂盒</w:t>
            </w:r>
          </w:p>
        </w:tc>
        <w:tc>
          <w:tcPr>
            <w:tcW w:w="3705" w:type="dxa"/>
            <w:shd w:val="clear" w:color="auto" w:fill="auto"/>
            <w:vAlign w:val="center"/>
          </w:tcPr>
          <w:p w14:paraId="6FB7B2B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用于体外定量检测人血清中不饱和铁结合力的含量。</w:t>
            </w:r>
          </w:p>
        </w:tc>
        <w:tc>
          <w:tcPr>
            <w:tcW w:w="660" w:type="dxa"/>
            <w:shd w:val="clear" w:color="auto" w:fill="auto"/>
            <w:vAlign w:val="center"/>
          </w:tcPr>
          <w:p w14:paraId="76111CF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13D958C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18.58 </w:t>
            </w:r>
          </w:p>
        </w:tc>
        <w:tc>
          <w:tcPr>
            <w:tcW w:w="1116" w:type="dxa"/>
            <w:shd w:val="clear" w:color="auto" w:fill="auto"/>
            <w:noWrap/>
            <w:vAlign w:val="center"/>
          </w:tcPr>
          <w:p w14:paraId="6FBD4A7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25343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448C88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14</w:t>
            </w:r>
          </w:p>
        </w:tc>
        <w:tc>
          <w:tcPr>
            <w:tcW w:w="1638" w:type="dxa"/>
            <w:shd w:val="clear" w:color="auto" w:fill="auto"/>
            <w:vAlign w:val="center"/>
          </w:tcPr>
          <w:p w14:paraId="4915139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α-淀粉酶测定试剂盒（PNP-G7底物法）</w:t>
            </w:r>
          </w:p>
        </w:tc>
        <w:tc>
          <w:tcPr>
            <w:tcW w:w="3705" w:type="dxa"/>
            <w:shd w:val="clear" w:color="auto" w:fill="auto"/>
            <w:vAlign w:val="center"/>
          </w:tcPr>
          <w:p w14:paraId="66B47F4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用于体外定量检测人血清中α-淀粉酶的含量。</w:t>
            </w:r>
          </w:p>
        </w:tc>
        <w:tc>
          <w:tcPr>
            <w:tcW w:w="660" w:type="dxa"/>
            <w:shd w:val="clear" w:color="auto" w:fill="auto"/>
            <w:vAlign w:val="center"/>
          </w:tcPr>
          <w:p w14:paraId="4596461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7981C1E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37.44 </w:t>
            </w:r>
          </w:p>
        </w:tc>
        <w:tc>
          <w:tcPr>
            <w:tcW w:w="1116" w:type="dxa"/>
            <w:shd w:val="clear" w:color="auto" w:fill="auto"/>
            <w:noWrap/>
            <w:vAlign w:val="center"/>
          </w:tcPr>
          <w:p w14:paraId="6C5BE76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37098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8A6384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15</w:t>
            </w:r>
          </w:p>
        </w:tc>
        <w:tc>
          <w:tcPr>
            <w:tcW w:w="1638" w:type="dxa"/>
            <w:shd w:val="clear" w:color="auto" w:fill="auto"/>
            <w:vAlign w:val="center"/>
          </w:tcPr>
          <w:p w14:paraId="513C860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胱抑素C校准品</w:t>
            </w:r>
          </w:p>
        </w:tc>
        <w:tc>
          <w:tcPr>
            <w:tcW w:w="3705" w:type="dxa"/>
            <w:shd w:val="clear" w:color="auto" w:fill="auto"/>
            <w:vAlign w:val="center"/>
          </w:tcPr>
          <w:p w14:paraId="1526EAD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胱抑素C校准品用于建立校准曲线以测定人血清中胱抑素C的浓度。</w:t>
            </w:r>
          </w:p>
        </w:tc>
        <w:tc>
          <w:tcPr>
            <w:tcW w:w="660" w:type="dxa"/>
            <w:shd w:val="clear" w:color="auto" w:fill="auto"/>
            <w:vAlign w:val="center"/>
          </w:tcPr>
          <w:p w14:paraId="5D43DB6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7D759B2F">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498.66 </w:t>
            </w:r>
          </w:p>
        </w:tc>
        <w:tc>
          <w:tcPr>
            <w:tcW w:w="1116" w:type="dxa"/>
            <w:shd w:val="clear" w:color="auto" w:fill="auto"/>
            <w:noWrap/>
            <w:vAlign w:val="center"/>
          </w:tcPr>
          <w:p w14:paraId="5FB8A23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7736B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330898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16</w:t>
            </w:r>
          </w:p>
        </w:tc>
        <w:tc>
          <w:tcPr>
            <w:tcW w:w="1638" w:type="dxa"/>
            <w:shd w:val="clear" w:color="auto" w:fill="auto"/>
            <w:vAlign w:val="center"/>
          </w:tcPr>
          <w:p w14:paraId="79BCAA2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总胆汁酸校准品</w:t>
            </w:r>
          </w:p>
        </w:tc>
        <w:tc>
          <w:tcPr>
            <w:tcW w:w="3705" w:type="dxa"/>
            <w:shd w:val="clear" w:color="auto" w:fill="auto"/>
            <w:vAlign w:val="center"/>
          </w:tcPr>
          <w:p w14:paraId="2A740AA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总胆汁酸校准品用于确定与总胆汁酸检测试剂配套使用的贝克曼库尔特SYNCHRON和 AU生化分析系统的校准系数。</w:t>
            </w:r>
          </w:p>
        </w:tc>
        <w:tc>
          <w:tcPr>
            <w:tcW w:w="660" w:type="dxa"/>
            <w:shd w:val="clear" w:color="auto" w:fill="auto"/>
            <w:vAlign w:val="center"/>
          </w:tcPr>
          <w:p w14:paraId="77EC4B0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1A64190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36.41 </w:t>
            </w:r>
          </w:p>
        </w:tc>
        <w:tc>
          <w:tcPr>
            <w:tcW w:w="1116" w:type="dxa"/>
            <w:shd w:val="clear" w:color="auto" w:fill="auto"/>
            <w:noWrap/>
            <w:vAlign w:val="center"/>
          </w:tcPr>
          <w:p w14:paraId="21517C6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r w14:paraId="6DBFE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918007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17</w:t>
            </w:r>
          </w:p>
        </w:tc>
        <w:tc>
          <w:tcPr>
            <w:tcW w:w="1638" w:type="dxa"/>
            <w:shd w:val="clear" w:color="auto" w:fill="auto"/>
            <w:vAlign w:val="center"/>
          </w:tcPr>
          <w:p w14:paraId="3998EA5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磷测定试剂盒（磷钼酸盐法）</w:t>
            </w:r>
          </w:p>
        </w:tc>
        <w:tc>
          <w:tcPr>
            <w:tcW w:w="3705" w:type="dxa"/>
            <w:shd w:val="clear" w:color="auto" w:fill="auto"/>
            <w:vAlign w:val="center"/>
          </w:tcPr>
          <w:p w14:paraId="37A6A46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用于体外定量检测人血清中无机磷的含量。</w:t>
            </w:r>
          </w:p>
        </w:tc>
        <w:tc>
          <w:tcPr>
            <w:tcW w:w="660" w:type="dxa"/>
            <w:shd w:val="clear" w:color="auto" w:fill="auto"/>
            <w:vAlign w:val="center"/>
          </w:tcPr>
          <w:p w14:paraId="6D7B29D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974" w:type="dxa"/>
            <w:shd w:val="clear" w:color="auto" w:fill="auto"/>
            <w:vAlign w:val="center"/>
          </w:tcPr>
          <w:p w14:paraId="33AD1E3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9.48 </w:t>
            </w:r>
          </w:p>
        </w:tc>
        <w:tc>
          <w:tcPr>
            <w:tcW w:w="1116" w:type="dxa"/>
            <w:shd w:val="clear" w:color="auto" w:fill="auto"/>
            <w:noWrap/>
            <w:vAlign w:val="center"/>
          </w:tcPr>
          <w:p w14:paraId="4F57767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AU5800生化分析仪</w:t>
            </w:r>
          </w:p>
        </w:tc>
      </w:tr>
    </w:tbl>
    <w:p w14:paraId="7F698898">
      <w:pPr>
        <w:pStyle w:val="20"/>
        <w:rPr>
          <w:rFonts w:hint="eastAsia" w:ascii="仿宋" w:hAnsi="仿宋" w:eastAsia="仿宋" w:cs="仿宋"/>
          <w:b/>
          <w:bCs/>
          <w:color w:val="auto"/>
          <w:sz w:val="24"/>
          <w:szCs w:val="24"/>
          <w:highlight w:val="none"/>
          <w:lang w:val="en-US" w:eastAsia="zh-CN"/>
        </w:rPr>
      </w:pPr>
    </w:p>
    <w:p w14:paraId="70978900">
      <w:pPr>
        <w:pStyle w:val="17"/>
        <w:rPr>
          <w:rFonts w:hint="eastAsia" w:ascii="仿宋" w:hAnsi="仿宋" w:eastAsia="仿宋" w:cs="仿宋"/>
          <w:b/>
          <w:bCs/>
          <w:color w:val="auto"/>
          <w:sz w:val="24"/>
          <w:szCs w:val="24"/>
          <w:highlight w:val="none"/>
          <w:lang w:val="en-US" w:eastAsia="zh-CN"/>
        </w:rPr>
      </w:pPr>
    </w:p>
    <w:p w14:paraId="0388F67E">
      <w:pPr>
        <w:pStyle w:val="21"/>
        <w:keepNext w:val="0"/>
        <w:keepLines w:val="0"/>
        <w:pageBreakBefore w:val="0"/>
        <w:widowControl w:val="0"/>
        <w:numPr>
          <w:ilvl w:val="0"/>
          <w:numId w:val="0"/>
        </w:numPr>
        <w:kinsoku/>
        <w:wordWrap/>
        <w:overflowPunct/>
        <w:topLinePunct w:val="0"/>
        <w:autoSpaceDE/>
        <w:autoSpaceDN/>
        <w:bidi w:val="0"/>
        <w:adjustRightInd/>
        <w:snapToGrid/>
        <w:spacing w:after="0"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标项2：新疆医科大学第六附属医院全自动生化分析仪、全自动化学发光免疫分析仪检验试剂采购项目（二次）2包</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26"/>
        <w:gridCol w:w="2268"/>
        <w:gridCol w:w="3045"/>
        <w:gridCol w:w="675"/>
        <w:gridCol w:w="1027"/>
        <w:gridCol w:w="1078"/>
      </w:tblGrid>
      <w:tr w14:paraId="7BE74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atLeast"/>
        </w:trPr>
        <w:tc>
          <w:tcPr>
            <w:tcW w:w="426" w:type="dxa"/>
            <w:shd w:val="clear" w:color="auto" w:fill="auto"/>
            <w:vAlign w:val="center"/>
          </w:tcPr>
          <w:p w14:paraId="02BFB4EF">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序号</w:t>
            </w:r>
          </w:p>
        </w:tc>
        <w:tc>
          <w:tcPr>
            <w:tcW w:w="2268" w:type="dxa"/>
            <w:shd w:val="clear" w:color="auto" w:fill="auto"/>
            <w:vAlign w:val="center"/>
          </w:tcPr>
          <w:p w14:paraId="68466BD7">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试剂耗材产品名称</w:t>
            </w:r>
          </w:p>
          <w:p w14:paraId="19D459E3">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（标的名称）</w:t>
            </w:r>
          </w:p>
        </w:tc>
        <w:tc>
          <w:tcPr>
            <w:tcW w:w="3045" w:type="dxa"/>
            <w:shd w:val="clear" w:color="auto" w:fill="auto"/>
            <w:vAlign w:val="center"/>
          </w:tcPr>
          <w:p w14:paraId="56523A29">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试剂耗材参数及用途</w:t>
            </w:r>
          </w:p>
        </w:tc>
        <w:tc>
          <w:tcPr>
            <w:tcW w:w="675" w:type="dxa"/>
            <w:shd w:val="clear" w:color="auto" w:fill="auto"/>
            <w:vAlign w:val="center"/>
          </w:tcPr>
          <w:p w14:paraId="2497F7B4">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最小单位</w:t>
            </w:r>
          </w:p>
        </w:tc>
        <w:tc>
          <w:tcPr>
            <w:tcW w:w="1027" w:type="dxa"/>
            <w:shd w:val="clear" w:color="auto" w:fill="auto"/>
            <w:vAlign w:val="center"/>
          </w:tcPr>
          <w:p w14:paraId="6C629390">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最高限制单价（元/最小单位）</w:t>
            </w:r>
          </w:p>
        </w:tc>
        <w:tc>
          <w:tcPr>
            <w:tcW w:w="1078" w:type="dxa"/>
            <w:shd w:val="clear" w:color="auto" w:fill="auto"/>
            <w:noWrap/>
            <w:vAlign w:val="center"/>
          </w:tcPr>
          <w:p w14:paraId="6464A350">
            <w:pPr>
              <w:pStyle w:val="2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适配设备</w:t>
            </w:r>
          </w:p>
        </w:tc>
      </w:tr>
      <w:tr w14:paraId="192E3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26" w:type="dxa"/>
            <w:shd w:val="clear" w:color="auto" w:fill="auto"/>
            <w:vAlign w:val="center"/>
          </w:tcPr>
          <w:p w14:paraId="7ACF73A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w:t>
            </w:r>
          </w:p>
        </w:tc>
        <w:tc>
          <w:tcPr>
            <w:tcW w:w="2268" w:type="dxa"/>
            <w:shd w:val="clear" w:color="auto" w:fill="auto"/>
            <w:vAlign w:val="center"/>
          </w:tcPr>
          <w:p w14:paraId="65580D80">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肌酸激酶同工酶检测试剂盒（化学发光法）</w:t>
            </w:r>
          </w:p>
        </w:tc>
        <w:tc>
          <w:tcPr>
            <w:tcW w:w="3045" w:type="dxa"/>
            <w:shd w:val="clear" w:color="auto" w:fill="auto"/>
            <w:vAlign w:val="center"/>
          </w:tcPr>
          <w:p w14:paraId="74E677AF">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肌酸激酶同工酶用于心肌类疾病的辅助诊断</w:t>
            </w:r>
          </w:p>
        </w:tc>
        <w:tc>
          <w:tcPr>
            <w:tcW w:w="675" w:type="dxa"/>
            <w:shd w:val="clear" w:color="auto" w:fill="auto"/>
            <w:vAlign w:val="center"/>
          </w:tcPr>
          <w:p w14:paraId="341BA9D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102DF8A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18.53 </w:t>
            </w:r>
          </w:p>
        </w:tc>
        <w:tc>
          <w:tcPr>
            <w:tcW w:w="1078" w:type="dxa"/>
            <w:shd w:val="clear" w:color="auto" w:fill="auto"/>
            <w:noWrap/>
            <w:vAlign w:val="center"/>
          </w:tcPr>
          <w:p w14:paraId="12B1282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39F1F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26" w:type="dxa"/>
            <w:shd w:val="clear" w:color="auto" w:fill="auto"/>
            <w:vAlign w:val="center"/>
          </w:tcPr>
          <w:p w14:paraId="070F83D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w:t>
            </w:r>
          </w:p>
        </w:tc>
        <w:tc>
          <w:tcPr>
            <w:tcW w:w="2268" w:type="dxa"/>
            <w:shd w:val="clear" w:color="auto" w:fill="auto"/>
            <w:vAlign w:val="center"/>
          </w:tcPr>
          <w:p w14:paraId="44CD421B">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肌酸激酶同工酶校准品</w:t>
            </w:r>
          </w:p>
        </w:tc>
        <w:tc>
          <w:tcPr>
            <w:tcW w:w="3045" w:type="dxa"/>
            <w:shd w:val="clear" w:color="auto" w:fill="auto"/>
            <w:vAlign w:val="center"/>
          </w:tcPr>
          <w:p w14:paraId="6D04D10C">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用于校准肌酸激酶同工酶检测试剂</w:t>
            </w:r>
          </w:p>
        </w:tc>
        <w:tc>
          <w:tcPr>
            <w:tcW w:w="675" w:type="dxa"/>
            <w:shd w:val="clear" w:color="auto" w:fill="auto"/>
            <w:vAlign w:val="center"/>
          </w:tcPr>
          <w:p w14:paraId="5514880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4E831F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282.23 </w:t>
            </w:r>
          </w:p>
        </w:tc>
        <w:tc>
          <w:tcPr>
            <w:tcW w:w="1078" w:type="dxa"/>
            <w:shd w:val="clear" w:color="auto" w:fill="auto"/>
            <w:noWrap/>
            <w:vAlign w:val="center"/>
          </w:tcPr>
          <w:p w14:paraId="13DFC37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76B0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26" w:type="dxa"/>
            <w:shd w:val="clear" w:color="auto" w:fill="auto"/>
            <w:vAlign w:val="center"/>
          </w:tcPr>
          <w:p w14:paraId="56CCA8B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w:t>
            </w:r>
          </w:p>
        </w:tc>
        <w:tc>
          <w:tcPr>
            <w:tcW w:w="2268" w:type="dxa"/>
            <w:shd w:val="clear" w:color="auto" w:fill="auto"/>
            <w:vAlign w:val="center"/>
          </w:tcPr>
          <w:p w14:paraId="10449291">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肌红蛋白检测试剂盒（化学发光法）</w:t>
            </w:r>
          </w:p>
        </w:tc>
        <w:tc>
          <w:tcPr>
            <w:tcW w:w="3045" w:type="dxa"/>
            <w:shd w:val="clear" w:color="auto" w:fill="auto"/>
            <w:vAlign w:val="center"/>
          </w:tcPr>
          <w:p w14:paraId="591898B9">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肌红蛋白用于心肌类疾病的辅助诊断</w:t>
            </w:r>
          </w:p>
        </w:tc>
        <w:tc>
          <w:tcPr>
            <w:tcW w:w="675" w:type="dxa"/>
            <w:shd w:val="clear" w:color="auto" w:fill="auto"/>
            <w:vAlign w:val="center"/>
          </w:tcPr>
          <w:p w14:paraId="66B507F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47EEA31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24.94 </w:t>
            </w:r>
          </w:p>
        </w:tc>
        <w:tc>
          <w:tcPr>
            <w:tcW w:w="1078" w:type="dxa"/>
            <w:shd w:val="clear" w:color="auto" w:fill="auto"/>
            <w:noWrap/>
            <w:vAlign w:val="center"/>
          </w:tcPr>
          <w:p w14:paraId="402FE29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03BE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6EA35F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w:t>
            </w:r>
          </w:p>
        </w:tc>
        <w:tc>
          <w:tcPr>
            <w:tcW w:w="2268" w:type="dxa"/>
            <w:shd w:val="clear" w:color="auto" w:fill="auto"/>
            <w:vAlign w:val="center"/>
          </w:tcPr>
          <w:p w14:paraId="23AE4F78">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肌红蛋白校准品</w:t>
            </w:r>
          </w:p>
        </w:tc>
        <w:tc>
          <w:tcPr>
            <w:tcW w:w="3045" w:type="dxa"/>
            <w:shd w:val="clear" w:color="auto" w:fill="auto"/>
            <w:vAlign w:val="center"/>
          </w:tcPr>
          <w:p w14:paraId="438343B3">
            <w:pPr>
              <w:keepNext w:val="0"/>
              <w:keepLines w:val="0"/>
              <w:widowControl/>
              <w:suppressLineNumbers w:val="0"/>
              <w:jc w:val="left"/>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用于校准肌红蛋白检测试剂</w:t>
            </w:r>
          </w:p>
        </w:tc>
        <w:tc>
          <w:tcPr>
            <w:tcW w:w="675" w:type="dxa"/>
            <w:shd w:val="clear" w:color="auto" w:fill="auto"/>
            <w:vAlign w:val="center"/>
          </w:tcPr>
          <w:p w14:paraId="07A8E69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01EE25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 xml:space="preserve">282.23 </w:t>
            </w:r>
          </w:p>
        </w:tc>
        <w:tc>
          <w:tcPr>
            <w:tcW w:w="1078" w:type="dxa"/>
            <w:shd w:val="clear" w:color="auto" w:fill="auto"/>
            <w:noWrap/>
            <w:vAlign w:val="center"/>
          </w:tcPr>
          <w:p w14:paraId="0338AA8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84F4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C68863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w:t>
            </w:r>
          </w:p>
        </w:tc>
        <w:tc>
          <w:tcPr>
            <w:tcW w:w="2268" w:type="dxa"/>
            <w:shd w:val="clear" w:color="auto" w:fill="auto"/>
            <w:vAlign w:val="center"/>
          </w:tcPr>
          <w:p w14:paraId="21DED67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降钙素原检测试剂盒（化学发光法）</w:t>
            </w:r>
          </w:p>
        </w:tc>
        <w:tc>
          <w:tcPr>
            <w:tcW w:w="3045" w:type="dxa"/>
            <w:shd w:val="clear" w:color="auto" w:fill="auto"/>
            <w:vAlign w:val="center"/>
          </w:tcPr>
          <w:p w14:paraId="765E9FB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降钙素原用于感染类疾病的辅助诊断</w:t>
            </w:r>
          </w:p>
        </w:tc>
        <w:tc>
          <w:tcPr>
            <w:tcW w:w="675" w:type="dxa"/>
            <w:shd w:val="clear" w:color="auto" w:fill="auto"/>
            <w:vAlign w:val="center"/>
          </w:tcPr>
          <w:p w14:paraId="702963B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637B9CE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41.56 </w:t>
            </w:r>
          </w:p>
        </w:tc>
        <w:tc>
          <w:tcPr>
            <w:tcW w:w="1078" w:type="dxa"/>
            <w:shd w:val="clear" w:color="auto" w:fill="auto"/>
            <w:noWrap/>
            <w:vAlign w:val="center"/>
          </w:tcPr>
          <w:p w14:paraId="7FC6E35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5F0A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5A8A4C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w:t>
            </w:r>
          </w:p>
        </w:tc>
        <w:tc>
          <w:tcPr>
            <w:tcW w:w="2268" w:type="dxa"/>
            <w:shd w:val="clear" w:color="auto" w:fill="auto"/>
            <w:vAlign w:val="center"/>
          </w:tcPr>
          <w:p w14:paraId="499D899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降钙素原校准品</w:t>
            </w:r>
          </w:p>
        </w:tc>
        <w:tc>
          <w:tcPr>
            <w:tcW w:w="3045" w:type="dxa"/>
            <w:shd w:val="clear" w:color="auto" w:fill="auto"/>
            <w:vAlign w:val="center"/>
          </w:tcPr>
          <w:p w14:paraId="7B666BD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用于校准降钙素原检测试剂</w:t>
            </w:r>
          </w:p>
        </w:tc>
        <w:tc>
          <w:tcPr>
            <w:tcW w:w="675" w:type="dxa"/>
            <w:shd w:val="clear" w:color="auto" w:fill="auto"/>
            <w:vAlign w:val="center"/>
          </w:tcPr>
          <w:p w14:paraId="6F30D375">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3C6A850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282.23 </w:t>
            </w:r>
          </w:p>
        </w:tc>
        <w:tc>
          <w:tcPr>
            <w:tcW w:w="1078" w:type="dxa"/>
            <w:shd w:val="clear" w:color="auto" w:fill="auto"/>
            <w:noWrap/>
            <w:vAlign w:val="center"/>
          </w:tcPr>
          <w:p w14:paraId="663B0F5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0A3A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867FA9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w:t>
            </w:r>
          </w:p>
        </w:tc>
        <w:tc>
          <w:tcPr>
            <w:tcW w:w="2268" w:type="dxa"/>
            <w:shd w:val="clear" w:color="auto" w:fill="auto"/>
            <w:vAlign w:val="center"/>
          </w:tcPr>
          <w:p w14:paraId="041BC85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降钙素原质控品</w:t>
            </w:r>
          </w:p>
        </w:tc>
        <w:tc>
          <w:tcPr>
            <w:tcW w:w="3045" w:type="dxa"/>
            <w:shd w:val="clear" w:color="auto" w:fill="auto"/>
            <w:vAlign w:val="center"/>
          </w:tcPr>
          <w:p w14:paraId="40B9C29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用于验证该设备的性能特征</w:t>
            </w:r>
          </w:p>
        </w:tc>
        <w:tc>
          <w:tcPr>
            <w:tcW w:w="675" w:type="dxa"/>
            <w:shd w:val="clear" w:color="auto" w:fill="auto"/>
            <w:vAlign w:val="center"/>
          </w:tcPr>
          <w:p w14:paraId="518E8A7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71D6F52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736.25 </w:t>
            </w:r>
          </w:p>
        </w:tc>
        <w:tc>
          <w:tcPr>
            <w:tcW w:w="1078" w:type="dxa"/>
            <w:shd w:val="clear" w:color="auto" w:fill="auto"/>
            <w:noWrap/>
            <w:vAlign w:val="center"/>
          </w:tcPr>
          <w:p w14:paraId="2E35B54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6599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B2319F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2268" w:type="dxa"/>
            <w:shd w:val="clear" w:color="auto" w:fill="auto"/>
            <w:vAlign w:val="center"/>
          </w:tcPr>
          <w:p w14:paraId="3C49E42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癌抗原15-3检测试剂盒（磁微粒化学发光法）</w:t>
            </w:r>
          </w:p>
        </w:tc>
        <w:tc>
          <w:tcPr>
            <w:tcW w:w="3045" w:type="dxa"/>
            <w:shd w:val="clear" w:color="auto" w:fill="auto"/>
            <w:vAlign w:val="center"/>
          </w:tcPr>
          <w:p w14:paraId="4F823017">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癌抗原15-3用于肿瘤类疾病的辅助诊断</w:t>
            </w:r>
          </w:p>
        </w:tc>
        <w:tc>
          <w:tcPr>
            <w:tcW w:w="675" w:type="dxa"/>
            <w:shd w:val="clear" w:color="auto" w:fill="auto"/>
            <w:vAlign w:val="center"/>
          </w:tcPr>
          <w:p w14:paraId="483982A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31A4847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7FDE0EE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1939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D9298A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9</w:t>
            </w:r>
          </w:p>
        </w:tc>
        <w:tc>
          <w:tcPr>
            <w:tcW w:w="2268" w:type="dxa"/>
            <w:shd w:val="clear" w:color="auto" w:fill="auto"/>
            <w:vAlign w:val="center"/>
          </w:tcPr>
          <w:p w14:paraId="1B41951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糖类抗原19-9检测试剂盒（磁微粒化学发光法）</w:t>
            </w:r>
          </w:p>
        </w:tc>
        <w:tc>
          <w:tcPr>
            <w:tcW w:w="3045" w:type="dxa"/>
            <w:shd w:val="clear" w:color="auto" w:fill="auto"/>
            <w:vAlign w:val="center"/>
          </w:tcPr>
          <w:p w14:paraId="415ACA5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糖类抗原19-9用于肿瘤类疾病的辅助诊断</w:t>
            </w:r>
          </w:p>
        </w:tc>
        <w:tc>
          <w:tcPr>
            <w:tcW w:w="675" w:type="dxa"/>
            <w:shd w:val="clear" w:color="auto" w:fill="auto"/>
            <w:vAlign w:val="center"/>
          </w:tcPr>
          <w:p w14:paraId="1F80C5D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34782F0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2B7318E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E41F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29A1A2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2268" w:type="dxa"/>
            <w:shd w:val="clear" w:color="auto" w:fill="auto"/>
            <w:vAlign w:val="center"/>
          </w:tcPr>
          <w:p w14:paraId="2BBA871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糖类抗原50 检测试剂盒（化学发光法）</w:t>
            </w:r>
          </w:p>
        </w:tc>
        <w:tc>
          <w:tcPr>
            <w:tcW w:w="3045" w:type="dxa"/>
            <w:shd w:val="clear" w:color="auto" w:fill="auto"/>
            <w:vAlign w:val="center"/>
          </w:tcPr>
          <w:p w14:paraId="46A117D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糖类抗原50用于肿瘤类疾病的辅助诊断</w:t>
            </w:r>
          </w:p>
        </w:tc>
        <w:tc>
          <w:tcPr>
            <w:tcW w:w="675" w:type="dxa"/>
            <w:shd w:val="clear" w:color="auto" w:fill="auto"/>
            <w:vAlign w:val="center"/>
          </w:tcPr>
          <w:p w14:paraId="392A065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226FD40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1C25D32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8D59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64B347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11</w:t>
            </w:r>
          </w:p>
        </w:tc>
        <w:tc>
          <w:tcPr>
            <w:tcW w:w="2268" w:type="dxa"/>
            <w:shd w:val="clear" w:color="auto" w:fill="auto"/>
            <w:vAlign w:val="center"/>
          </w:tcPr>
          <w:p w14:paraId="737A73C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糖类抗原50校准品</w:t>
            </w:r>
          </w:p>
        </w:tc>
        <w:tc>
          <w:tcPr>
            <w:tcW w:w="3045" w:type="dxa"/>
            <w:shd w:val="clear" w:color="auto" w:fill="auto"/>
            <w:vAlign w:val="center"/>
          </w:tcPr>
          <w:p w14:paraId="3D0D11E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用于校准糖类抗原50 检测试剂</w:t>
            </w:r>
          </w:p>
        </w:tc>
        <w:tc>
          <w:tcPr>
            <w:tcW w:w="675" w:type="dxa"/>
            <w:shd w:val="clear" w:color="auto" w:fill="auto"/>
            <w:vAlign w:val="center"/>
          </w:tcPr>
          <w:p w14:paraId="55EE6A1F">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0141F5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245.41 </w:t>
            </w:r>
          </w:p>
        </w:tc>
        <w:tc>
          <w:tcPr>
            <w:tcW w:w="1078" w:type="dxa"/>
            <w:shd w:val="clear" w:color="auto" w:fill="auto"/>
            <w:noWrap/>
            <w:vAlign w:val="center"/>
          </w:tcPr>
          <w:p w14:paraId="35391A5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5761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05A6F4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12</w:t>
            </w:r>
          </w:p>
        </w:tc>
        <w:tc>
          <w:tcPr>
            <w:tcW w:w="2268" w:type="dxa"/>
            <w:shd w:val="clear" w:color="auto" w:fill="auto"/>
            <w:vAlign w:val="center"/>
          </w:tcPr>
          <w:p w14:paraId="0440A5A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糖类抗原242检测试剂盒（化学发光法）</w:t>
            </w:r>
          </w:p>
        </w:tc>
        <w:tc>
          <w:tcPr>
            <w:tcW w:w="3045" w:type="dxa"/>
            <w:shd w:val="clear" w:color="auto" w:fill="auto"/>
            <w:vAlign w:val="center"/>
          </w:tcPr>
          <w:p w14:paraId="0BB8D48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糖类抗原242用于肿瘤类疾病的辅助诊断</w:t>
            </w:r>
          </w:p>
        </w:tc>
        <w:tc>
          <w:tcPr>
            <w:tcW w:w="675" w:type="dxa"/>
            <w:shd w:val="clear" w:color="auto" w:fill="auto"/>
            <w:vAlign w:val="center"/>
          </w:tcPr>
          <w:p w14:paraId="4B966A9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29C3268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2ACC521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1DF89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A21778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13</w:t>
            </w:r>
          </w:p>
        </w:tc>
        <w:tc>
          <w:tcPr>
            <w:tcW w:w="2268" w:type="dxa"/>
            <w:shd w:val="clear" w:color="auto" w:fill="auto"/>
            <w:vAlign w:val="center"/>
          </w:tcPr>
          <w:p w14:paraId="70D79C9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糖类抗原242 校准品</w:t>
            </w:r>
          </w:p>
        </w:tc>
        <w:tc>
          <w:tcPr>
            <w:tcW w:w="3045" w:type="dxa"/>
            <w:shd w:val="clear" w:color="auto" w:fill="auto"/>
            <w:vAlign w:val="center"/>
          </w:tcPr>
          <w:p w14:paraId="58143D1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用于校准糖类抗原242检测试剂</w:t>
            </w:r>
          </w:p>
        </w:tc>
        <w:tc>
          <w:tcPr>
            <w:tcW w:w="675" w:type="dxa"/>
            <w:shd w:val="clear" w:color="auto" w:fill="auto"/>
            <w:vAlign w:val="center"/>
          </w:tcPr>
          <w:p w14:paraId="028BCD1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5FECB6A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245.41 </w:t>
            </w:r>
          </w:p>
        </w:tc>
        <w:tc>
          <w:tcPr>
            <w:tcW w:w="1078" w:type="dxa"/>
            <w:shd w:val="clear" w:color="auto" w:fill="auto"/>
            <w:noWrap/>
            <w:vAlign w:val="center"/>
          </w:tcPr>
          <w:p w14:paraId="7DE409F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F22A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48F5F8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14</w:t>
            </w:r>
          </w:p>
        </w:tc>
        <w:tc>
          <w:tcPr>
            <w:tcW w:w="2268" w:type="dxa"/>
            <w:shd w:val="clear" w:color="auto" w:fill="auto"/>
            <w:vAlign w:val="center"/>
          </w:tcPr>
          <w:p w14:paraId="27EAA95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糖类抗原72-4 检测试剂盒（化学发光法）</w:t>
            </w:r>
          </w:p>
        </w:tc>
        <w:tc>
          <w:tcPr>
            <w:tcW w:w="3045" w:type="dxa"/>
            <w:shd w:val="clear" w:color="auto" w:fill="auto"/>
            <w:vAlign w:val="center"/>
          </w:tcPr>
          <w:p w14:paraId="7F4ABB2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糖类抗原72-4用于肿瘤类疾病的辅助诊断</w:t>
            </w:r>
          </w:p>
        </w:tc>
        <w:tc>
          <w:tcPr>
            <w:tcW w:w="675" w:type="dxa"/>
            <w:shd w:val="clear" w:color="auto" w:fill="auto"/>
            <w:vAlign w:val="center"/>
          </w:tcPr>
          <w:p w14:paraId="3C74D35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7111FCE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30.88 </w:t>
            </w:r>
          </w:p>
        </w:tc>
        <w:tc>
          <w:tcPr>
            <w:tcW w:w="1078" w:type="dxa"/>
            <w:shd w:val="clear" w:color="auto" w:fill="auto"/>
            <w:noWrap/>
            <w:vAlign w:val="center"/>
          </w:tcPr>
          <w:p w14:paraId="0984053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3D09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DFBA88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15</w:t>
            </w:r>
          </w:p>
        </w:tc>
        <w:tc>
          <w:tcPr>
            <w:tcW w:w="2268" w:type="dxa"/>
            <w:shd w:val="clear" w:color="auto" w:fill="auto"/>
            <w:vAlign w:val="center"/>
          </w:tcPr>
          <w:p w14:paraId="14F2F50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糖类抗原72-4 校准品</w:t>
            </w:r>
          </w:p>
        </w:tc>
        <w:tc>
          <w:tcPr>
            <w:tcW w:w="3045" w:type="dxa"/>
            <w:shd w:val="clear" w:color="auto" w:fill="auto"/>
            <w:vAlign w:val="center"/>
          </w:tcPr>
          <w:p w14:paraId="1555933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用于校准糖类抗原72-4 检测试剂</w:t>
            </w:r>
          </w:p>
        </w:tc>
        <w:tc>
          <w:tcPr>
            <w:tcW w:w="675" w:type="dxa"/>
            <w:shd w:val="clear" w:color="auto" w:fill="auto"/>
            <w:vAlign w:val="center"/>
          </w:tcPr>
          <w:p w14:paraId="313AA1E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3DF0270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245.41 </w:t>
            </w:r>
          </w:p>
        </w:tc>
        <w:tc>
          <w:tcPr>
            <w:tcW w:w="1078" w:type="dxa"/>
            <w:shd w:val="clear" w:color="auto" w:fill="auto"/>
            <w:noWrap/>
            <w:vAlign w:val="center"/>
          </w:tcPr>
          <w:p w14:paraId="07B6CE9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121E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4C9B02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16</w:t>
            </w:r>
          </w:p>
        </w:tc>
        <w:tc>
          <w:tcPr>
            <w:tcW w:w="2268" w:type="dxa"/>
            <w:shd w:val="clear" w:color="auto" w:fill="auto"/>
            <w:vAlign w:val="center"/>
          </w:tcPr>
          <w:p w14:paraId="31FEA32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人附睾蛋白4 检测试剂盒（化学发光法）</w:t>
            </w:r>
          </w:p>
        </w:tc>
        <w:tc>
          <w:tcPr>
            <w:tcW w:w="3045" w:type="dxa"/>
            <w:shd w:val="clear" w:color="auto" w:fill="auto"/>
            <w:vAlign w:val="center"/>
          </w:tcPr>
          <w:p w14:paraId="686A1F1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人附睾蛋白4 用于肿瘤类疾病的辅助诊断</w:t>
            </w:r>
          </w:p>
        </w:tc>
        <w:tc>
          <w:tcPr>
            <w:tcW w:w="675" w:type="dxa"/>
            <w:shd w:val="clear" w:color="auto" w:fill="auto"/>
            <w:vAlign w:val="center"/>
          </w:tcPr>
          <w:p w14:paraId="666EA28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4A8CDC15">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29.69 </w:t>
            </w:r>
          </w:p>
        </w:tc>
        <w:tc>
          <w:tcPr>
            <w:tcW w:w="1078" w:type="dxa"/>
            <w:shd w:val="clear" w:color="auto" w:fill="auto"/>
            <w:noWrap/>
            <w:vAlign w:val="center"/>
          </w:tcPr>
          <w:p w14:paraId="2A5A6A8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81C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264669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17</w:t>
            </w:r>
          </w:p>
        </w:tc>
        <w:tc>
          <w:tcPr>
            <w:tcW w:w="2268" w:type="dxa"/>
            <w:shd w:val="clear" w:color="auto" w:fill="auto"/>
            <w:vAlign w:val="center"/>
          </w:tcPr>
          <w:p w14:paraId="532A1A3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人附睾蛋白4 校准品</w:t>
            </w:r>
          </w:p>
        </w:tc>
        <w:tc>
          <w:tcPr>
            <w:tcW w:w="3045" w:type="dxa"/>
            <w:shd w:val="clear" w:color="auto" w:fill="auto"/>
            <w:vAlign w:val="center"/>
          </w:tcPr>
          <w:p w14:paraId="129E338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用于校准人附睾蛋白4 检测试剂</w:t>
            </w:r>
          </w:p>
        </w:tc>
        <w:tc>
          <w:tcPr>
            <w:tcW w:w="675" w:type="dxa"/>
            <w:shd w:val="clear" w:color="auto" w:fill="auto"/>
            <w:vAlign w:val="center"/>
          </w:tcPr>
          <w:p w14:paraId="4C5630D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96A2A5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245.41 </w:t>
            </w:r>
          </w:p>
        </w:tc>
        <w:tc>
          <w:tcPr>
            <w:tcW w:w="1078" w:type="dxa"/>
            <w:shd w:val="clear" w:color="auto" w:fill="auto"/>
            <w:noWrap/>
            <w:vAlign w:val="center"/>
          </w:tcPr>
          <w:p w14:paraId="5C6A274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1B15B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0591A3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18</w:t>
            </w:r>
          </w:p>
        </w:tc>
        <w:tc>
          <w:tcPr>
            <w:tcW w:w="2268" w:type="dxa"/>
            <w:shd w:val="clear" w:color="auto" w:fill="auto"/>
            <w:vAlign w:val="center"/>
          </w:tcPr>
          <w:p w14:paraId="1B020C97">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鳞状上皮细胞癌抗原检测试剂盒（磁微粒化学发光法）</w:t>
            </w:r>
          </w:p>
        </w:tc>
        <w:tc>
          <w:tcPr>
            <w:tcW w:w="3045" w:type="dxa"/>
            <w:shd w:val="clear" w:color="auto" w:fill="auto"/>
            <w:vAlign w:val="center"/>
          </w:tcPr>
          <w:p w14:paraId="726AC9F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鳞状上皮细胞癌抗原用于肿瘤类疾病的辅助诊断</w:t>
            </w:r>
          </w:p>
        </w:tc>
        <w:tc>
          <w:tcPr>
            <w:tcW w:w="675" w:type="dxa"/>
            <w:shd w:val="clear" w:color="auto" w:fill="auto"/>
            <w:vAlign w:val="center"/>
          </w:tcPr>
          <w:p w14:paraId="5554E2A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49B324B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174CA4A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EE31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DE5EE7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19</w:t>
            </w:r>
          </w:p>
        </w:tc>
        <w:tc>
          <w:tcPr>
            <w:tcW w:w="2268" w:type="dxa"/>
            <w:shd w:val="clear" w:color="auto" w:fill="auto"/>
            <w:vAlign w:val="center"/>
          </w:tcPr>
          <w:p w14:paraId="155D332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神经元特异性烯醇化酶检测试剂盒（磁微粒化学发光法）</w:t>
            </w:r>
          </w:p>
        </w:tc>
        <w:tc>
          <w:tcPr>
            <w:tcW w:w="3045" w:type="dxa"/>
            <w:shd w:val="clear" w:color="auto" w:fill="auto"/>
            <w:vAlign w:val="center"/>
          </w:tcPr>
          <w:p w14:paraId="65A31D8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神经元特异性烯醇化酶用于肿瘤类疾病的辅助诊断</w:t>
            </w:r>
          </w:p>
        </w:tc>
        <w:tc>
          <w:tcPr>
            <w:tcW w:w="675" w:type="dxa"/>
            <w:shd w:val="clear" w:color="auto" w:fill="auto"/>
            <w:vAlign w:val="center"/>
          </w:tcPr>
          <w:p w14:paraId="6E3F118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616B2D2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57C287A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096C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CF67BE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20</w:t>
            </w:r>
          </w:p>
        </w:tc>
        <w:tc>
          <w:tcPr>
            <w:tcW w:w="2268" w:type="dxa"/>
            <w:shd w:val="clear" w:color="auto" w:fill="auto"/>
            <w:vAlign w:val="center"/>
          </w:tcPr>
          <w:p w14:paraId="3AE8C66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细胞角蛋白19片段检测试剂盒（磁微粒化学发光法）</w:t>
            </w:r>
          </w:p>
        </w:tc>
        <w:tc>
          <w:tcPr>
            <w:tcW w:w="3045" w:type="dxa"/>
            <w:shd w:val="clear" w:color="auto" w:fill="auto"/>
            <w:vAlign w:val="center"/>
          </w:tcPr>
          <w:p w14:paraId="32E63C1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细胞角蛋白19片段用于肿瘤类疾病的辅助诊断</w:t>
            </w:r>
          </w:p>
        </w:tc>
        <w:tc>
          <w:tcPr>
            <w:tcW w:w="675" w:type="dxa"/>
            <w:shd w:val="clear" w:color="auto" w:fill="auto"/>
            <w:vAlign w:val="center"/>
          </w:tcPr>
          <w:p w14:paraId="229238D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414E34EF">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29.69 </w:t>
            </w:r>
          </w:p>
        </w:tc>
        <w:tc>
          <w:tcPr>
            <w:tcW w:w="1078" w:type="dxa"/>
            <w:shd w:val="clear" w:color="auto" w:fill="auto"/>
            <w:noWrap/>
            <w:vAlign w:val="center"/>
          </w:tcPr>
          <w:p w14:paraId="2F25410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D464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586C41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21</w:t>
            </w:r>
          </w:p>
        </w:tc>
        <w:tc>
          <w:tcPr>
            <w:tcW w:w="2268" w:type="dxa"/>
            <w:shd w:val="clear" w:color="auto" w:fill="auto"/>
            <w:vAlign w:val="center"/>
          </w:tcPr>
          <w:p w14:paraId="15E1850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胃泌素释放肽前体检测试剂盒（磁微粒化学发光法）</w:t>
            </w:r>
          </w:p>
        </w:tc>
        <w:tc>
          <w:tcPr>
            <w:tcW w:w="3045" w:type="dxa"/>
            <w:shd w:val="clear" w:color="auto" w:fill="auto"/>
            <w:vAlign w:val="center"/>
          </w:tcPr>
          <w:p w14:paraId="2D6A12C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胃泌素释放肽前体用于肿瘤类疾病的辅助诊断</w:t>
            </w:r>
          </w:p>
        </w:tc>
        <w:tc>
          <w:tcPr>
            <w:tcW w:w="675" w:type="dxa"/>
            <w:shd w:val="clear" w:color="auto" w:fill="auto"/>
            <w:vAlign w:val="center"/>
          </w:tcPr>
          <w:p w14:paraId="7EC93E3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5646C4F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117112A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6F02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AB9209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22</w:t>
            </w:r>
          </w:p>
        </w:tc>
        <w:tc>
          <w:tcPr>
            <w:tcW w:w="2268" w:type="dxa"/>
            <w:shd w:val="clear" w:color="auto" w:fill="auto"/>
            <w:vAlign w:val="center"/>
          </w:tcPr>
          <w:p w14:paraId="3F447A7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游离前列腺特异抗原检测试剂盒（磁微粒化学发光法）</w:t>
            </w:r>
          </w:p>
        </w:tc>
        <w:tc>
          <w:tcPr>
            <w:tcW w:w="3045" w:type="dxa"/>
            <w:shd w:val="clear" w:color="auto" w:fill="auto"/>
            <w:vAlign w:val="center"/>
          </w:tcPr>
          <w:p w14:paraId="19805F0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游离前列腺特异抗原用于肿瘤类疾病的辅助诊断</w:t>
            </w:r>
          </w:p>
        </w:tc>
        <w:tc>
          <w:tcPr>
            <w:tcW w:w="675" w:type="dxa"/>
            <w:shd w:val="clear" w:color="auto" w:fill="auto"/>
            <w:vAlign w:val="center"/>
          </w:tcPr>
          <w:p w14:paraId="4BCC861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3A5A295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28.50 </w:t>
            </w:r>
          </w:p>
        </w:tc>
        <w:tc>
          <w:tcPr>
            <w:tcW w:w="1078" w:type="dxa"/>
            <w:shd w:val="clear" w:color="auto" w:fill="auto"/>
            <w:noWrap/>
            <w:vAlign w:val="center"/>
          </w:tcPr>
          <w:p w14:paraId="4AD3F53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FD1E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DBB16F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23</w:t>
            </w:r>
          </w:p>
        </w:tc>
        <w:tc>
          <w:tcPr>
            <w:tcW w:w="2268" w:type="dxa"/>
            <w:shd w:val="clear" w:color="auto" w:fill="auto"/>
            <w:vAlign w:val="center"/>
          </w:tcPr>
          <w:p w14:paraId="48A16ED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铁蛋白检测试剂盒（磁微粒化学发光法）</w:t>
            </w:r>
          </w:p>
        </w:tc>
        <w:tc>
          <w:tcPr>
            <w:tcW w:w="3045" w:type="dxa"/>
            <w:shd w:val="clear" w:color="auto" w:fill="auto"/>
            <w:vAlign w:val="center"/>
          </w:tcPr>
          <w:p w14:paraId="05506B8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铁蛋白用于肿瘤类疾病的辅助诊断</w:t>
            </w:r>
          </w:p>
        </w:tc>
        <w:tc>
          <w:tcPr>
            <w:tcW w:w="675" w:type="dxa"/>
            <w:shd w:val="clear" w:color="auto" w:fill="auto"/>
            <w:vAlign w:val="center"/>
          </w:tcPr>
          <w:p w14:paraId="64138C2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50792F4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15.43 </w:t>
            </w:r>
          </w:p>
        </w:tc>
        <w:tc>
          <w:tcPr>
            <w:tcW w:w="1078" w:type="dxa"/>
            <w:shd w:val="clear" w:color="auto" w:fill="auto"/>
            <w:noWrap/>
            <w:vAlign w:val="center"/>
          </w:tcPr>
          <w:p w14:paraId="2746F01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E213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8A4F75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24</w:t>
            </w:r>
          </w:p>
        </w:tc>
        <w:tc>
          <w:tcPr>
            <w:tcW w:w="2268" w:type="dxa"/>
            <w:shd w:val="clear" w:color="auto" w:fill="auto"/>
            <w:vAlign w:val="center"/>
          </w:tcPr>
          <w:p w14:paraId="340DB20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胃蛋白酶原I检测试剂盒（磁微粒化学发光法）</w:t>
            </w:r>
          </w:p>
        </w:tc>
        <w:tc>
          <w:tcPr>
            <w:tcW w:w="3045" w:type="dxa"/>
            <w:shd w:val="clear" w:color="auto" w:fill="auto"/>
            <w:vAlign w:val="center"/>
          </w:tcPr>
          <w:p w14:paraId="63AE700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胃蛋白酶原I用于肿瘤类疾病的辅助诊断</w:t>
            </w:r>
          </w:p>
        </w:tc>
        <w:tc>
          <w:tcPr>
            <w:tcW w:w="675" w:type="dxa"/>
            <w:shd w:val="clear" w:color="auto" w:fill="auto"/>
            <w:vAlign w:val="center"/>
          </w:tcPr>
          <w:p w14:paraId="07AE563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41EBF57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 </w:t>
            </w:r>
          </w:p>
        </w:tc>
        <w:tc>
          <w:tcPr>
            <w:tcW w:w="1078" w:type="dxa"/>
            <w:shd w:val="clear" w:color="auto" w:fill="auto"/>
            <w:noWrap/>
            <w:vAlign w:val="center"/>
          </w:tcPr>
          <w:p w14:paraId="58EF417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3AC1A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47CE9B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25</w:t>
            </w:r>
          </w:p>
        </w:tc>
        <w:tc>
          <w:tcPr>
            <w:tcW w:w="2268" w:type="dxa"/>
            <w:shd w:val="clear" w:color="auto" w:fill="auto"/>
            <w:vAlign w:val="center"/>
          </w:tcPr>
          <w:p w14:paraId="65D406B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胃蛋白酶原Ⅱ检测试剂盒（磁微粒化学发光法）</w:t>
            </w:r>
          </w:p>
        </w:tc>
        <w:tc>
          <w:tcPr>
            <w:tcW w:w="3045" w:type="dxa"/>
            <w:shd w:val="clear" w:color="auto" w:fill="auto"/>
            <w:vAlign w:val="center"/>
          </w:tcPr>
          <w:p w14:paraId="3E02DA9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胃蛋白酶原Ⅱ用于肿瘤类疾病的辅助诊断</w:t>
            </w:r>
          </w:p>
        </w:tc>
        <w:tc>
          <w:tcPr>
            <w:tcW w:w="675" w:type="dxa"/>
            <w:shd w:val="clear" w:color="auto" w:fill="auto"/>
            <w:vAlign w:val="center"/>
          </w:tcPr>
          <w:p w14:paraId="06F3542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3F13AEE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 </w:t>
            </w:r>
          </w:p>
        </w:tc>
        <w:tc>
          <w:tcPr>
            <w:tcW w:w="1078" w:type="dxa"/>
            <w:shd w:val="clear" w:color="auto" w:fill="auto"/>
            <w:noWrap/>
            <w:vAlign w:val="center"/>
          </w:tcPr>
          <w:p w14:paraId="3184AE9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584B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41D41D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26</w:t>
            </w:r>
          </w:p>
        </w:tc>
        <w:tc>
          <w:tcPr>
            <w:tcW w:w="2268" w:type="dxa"/>
            <w:shd w:val="clear" w:color="auto" w:fill="auto"/>
            <w:vAlign w:val="center"/>
          </w:tcPr>
          <w:p w14:paraId="5C93788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游离人绒毛膜促性腺激素β亚单位检测试剂盒（磁微粒化学发光法）</w:t>
            </w:r>
          </w:p>
        </w:tc>
        <w:tc>
          <w:tcPr>
            <w:tcW w:w="3045" w:type="dxa"/>
            <w:shd w:val="clear" w:color="auto" w:fill="auto"/>
            <w:vAlign w:val="center"/>
          </w:tcPr>
          <w:p w14:paraId="6D4F2BB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游离人绒毛膜促性腺激素β亚单位用于激素类疾病的辅助诊断</w:t>
            </w:r>
          </w:p>
        </w:tc>
        <w:tc>
          <w:tcPr>
            <w:tcW w:w="675" w:type="dxa"/>
            <w:shd w:val="clear" w:color="auto" w:fill="auto"/>
            <w:vAlign w:val="center"/>
          </w:tcPr>
          <w:p w14:paraId="7AEA6BC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75AD281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19.00 </w:t>
            </w:r>
          </w:p>
        </w:tc>
        <w:tc>
          <w:tcPr>
            <w:tcW w:w="1078" w:type="dxa"/>
            <w:shd w:val="clear" w:color="auto" w:fill="auto"/>
            <w:noWrap/>
            <w:vAlign w:val="center"/>
          </w:tcPr>
          <w:p w14:paraId="2E8EF8E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0060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091EE1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27</w:t>
            </w:r>
          </w:p>
        </w:tc>
        <w:tc>
          <w:tcPr>
            <w:tcW w:w="2268" w:type="dxa"/>
            <w:shd w:val="clear" w:color="auto" w:fill="auto"/>
            <w:vAlign w:val="center"/>
          </w:tcPr>
          <w:p w14:paraId="3A372B2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性激素结合球蛋白检测试剂盒（磁微粒化学发光法）</w:t>
            </w:r>
          </w:p>
        </w:tc>
        <w:tc>
          <w:tcPr>
            <w:tcW w:w="3045" w:type="dxa"/>
            <w:shd w:val="clear" w:color="auto" w:fill="auto"/>
            <w:vAlign w:val="center"/>
          </w:tcPr>
          <w:p w14:paraId="590E4C6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性激素结合球蛋白用于激素类疾病的辅助诊断</w:t>
            </w:r>
          </w:p>
        </w:tc>
        <w:tc>
          <w:tcPr>
            <w:tcW w:w="675" w:type="dxa"/>
            <w:shd w:val="clear" w:color="auto" w:fill="auto"/>
            <w:vAlign w:val="center"/>
          </w:tcPr>
          <w:p w14:paraId="582AE8F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0BD45C6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 </w:t>
            </w:r>
          </w:p>
        </w:tc>
        <w:tc>
          <w:tcPr>
            <w:tcW w:w="1078" w:type="dxa"/>
            <w:shd w:val="clear" w:color="auto" w:fill="auto"/>
            <w:noWrap/>
            <w:vAlign w:val="center"/>
          </w:tcPr>
          <w:p w14:paraId="3AE4DF2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96E9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077A6F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28</w:t>
            </w:r>
          </w:p>
        </w:tc>
        <w:tc>
          <w:tcPr>
            <w:tcW w:w="2268" w:type="dxa"/>
            <w:shd w:val="clear" w:color="auto" w:fill="auto"/>
            <w:vAlign w:val="center"/>
          </w:tcPr>
          <w:p w14:paraId="56CBB52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生长激素检测试剂盒（磁微粒化学发光法）</w:t>
            </w:r>
          </w:p>
        </w:tc>
        <w:tc>
          <w:tcPr>
            <w:tcW w:w="3045" w:type="dxa"/>
            <w:shd w:val="clear" w:color="auto" w:fill="auto"/>
            <w:vAlign w:val="center"/>
          </w:tcPr>
          <w:p w14:paraId="71DDE55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生长激素用于激素类疾病的辅助诊断</w:t>
            </w:r>
          </w:p>
        </w:tc>
        <w:tc>
          <w:tcPr>
            <w:tcW w:w="675" w:type="dxa"/>
            <w:shd w:val="clear" w:color="auto" w:fill="auto"/>
            <w:vAlign w:val="center"/>
          </w:tcPr>
          <w:p w14:paraId="4E69106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0FE212B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21.61 </w:t>
            </w:r>
          </w:p>
        </w:tc>
        <w:tc>
          <w:tcPr>
            <w:tcW w:w="1078" w:type="dxa"/>
            <w:shd w:val="clear" w:color="auto" w:fill="auto"/>
            <w:noWrap/>
            <w:vAlign w:val="center"/>
          </w:tcPr>
          <w:p w14:paraId="46DFCD9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034E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1EC508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29</w:t>
            </w:r>
          </w:p>
        </w:tc>
        <w:tc>
          <w:tcPr>
            <w:tcW w:w="2268" w:type="dxa"/>
            <w:shd w:val="clear" w:color="auto" w:fill="auto"/>
            <w:vAlign w:val="center"/>
          </w:tcPr>
          <w:p w14:paraId="3A16D18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白介素6检测试剂盒（磁微粒化学发光法）</w:t>
            </w:r>
          </w:p>
        </w:tc>
        <w:tc>
          <w:tcPr>
            <w:tcW w:w="3045" w:type="dxa"/>
            <w:shd w:val="clear" w:color="auto" w:fill="auto"/>
            <w:vAlign w:val="center"/>
          </w:tcPr>
          <w:p w14:paraId="0639CAE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白介素6用于感染类疾病的辅助诊断</w:t>
            </w:r>
          </w:p>
        </w:tc>
        <w:tc>
          <w:tcPr>
            <w:tcW w:w="675" w:type="dxa"/>
            <w:shd w:val="clear" w:color="auto" w:fill="auto"/>
            <w:vAlign w:val="center"/>
          </w:tcPr>
          <w:p w14:paraId="4CC38D3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5FC0932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 </w:t>
            </w:r>
          </w:p>
        </w:tc>
        <w:tc>
          <w:tcPr>
            <w:tcW w:w="1078" w:type="dxa"/>
            <w:shd w:val="clear" w:color="auto" w:fill="auto"/>
            <w:noWrap/>
            <w:vAlign w:val="center"/>
          </w:tcPr>
          <w:p w14:paraId="75DC330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3617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F6D7C7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30</w:t>
            </w:r>
          </w:p>
        </w:tc>
        <w:tc>
          <w:tcPr>
            <w:tcW w:w="2268" w:type="dxa"/>
            <w:shd w:val="clear" w:color="auto" w:fill="auto"/>
            <w:vAlign w:val="center"/>
          </w:tcPr>
          <w:p w14:paraId="4C3E56A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游离三碘甲状腺原氨酸检测试剂盒（磁微粒化学发光法）</w:t>
            </w:r>
          </w:p>
        </w:tc>
        <w:tc>
          <w:tcPr>
            <w:tcW w:w="3045" w:type="dxa"/>
            <w:shd w:val="clear" w:color="auto" w:fill="auto"/>
            <w:vAlign w:val="center"/>
          </w:tcPr>
          <w:p w14:paraId="3487052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用于游离三碘甲状腺原氨酸的检测</w:t>
            </w:r>
          </w:p>
        </w:tc>
        <w:tc>
          <w:tcPr>
            <w:tcW w:w="675" w:type="dxa"/>
            <w:shd w:val="clear" w:color="auto" w:fill="auto"/>
            <w:vAlign w:val="center"/>
          </w:tcPr>
          <w:p w14:paraId="702C22D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383BE86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12.96 </w:t>
            </w:r>
          </w:p>
        </w:tc>
        <w:tc>
          <w:tcPr>
            <w:tcW w:w="1078" w:type="dxa"/>
            <w:shd w:val="clear" w:color="auto" w:fill="auto"/>
            <w:noWrap/>
            <w:vAlign w:val="center"/>
          </w:tcPr>
          <w:p w14:paraId="2E04BD0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22EE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2930CB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31</w:t>
            </w:r>
          </w:p>
        </w:tc>
        <w:tc>
          <w:tcPr>
            <w:tcW w:w="2268" w:type="dxa"/>
            <w:shd w:val="clear" w:color="auto" w:fill="auto"/>
            <w:vAlign w:val="center"/>
          </w:tcPr>
          <w:p w14:paraId="2C0A498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游离甲状腺素检测试剂盒（磁微粒化学发光法）</w:t>
            </w:r>
          </w:p>
        </w:tc>
        <w:tc>
          <w:tcPr>
            <w:tcW w:w="3045" w:type="dxa"/>
            <w:shd w:val="clear" w:color="auto" w:fill="auto"/>
            <w:vAlign w:val="center"/>
          </w:tcPr>
          <w:p w14:paraId="1CAE88F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用于游离甲状腺素的检测</w:t>
            </w:r>
          </w:p>
        </w:tc>
        <w:tc>
          <w:tcPr>
            <w:tcW w:w="675" w:type="dxa"/>
            <w:shd w:val="clear" w:color="auto" w:fill="auto"/>
            <w:vAlign w:val="center"/>
          </w:tcPr>
          <w:p w14:paraId="3877D0A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2F65137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12.96 </w:t>
            </w:r>
          </w:p>
        </w:tc>
        <w:tc>
          <w:tcPr>
            <w:tcW w:w="1078" w:type="dxa"/>
            <w:shd w:val="clear" w:color="auto" w:fill="auto"/>
            <w:noWrap/>
            <w:vAlign w:val="center"/>
          </w:tcPr>
          <w:p w14:paraId="2BC5257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1DB6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B7849C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32</w:t>
            </w:r>
          </w:p>
        </w:tc>
        <w:tc>
          <w:tcPr>
            <w:tcW w:w="2268" w:type="dxa"/>
            <w:shd w:val="clear" w:color="auto" w:fill="auto"/>
            <w:vAlign w:val="center"/>
          </w:tcPr>
          <w:p w14:paraId="121C1FC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促甲状腺激素检测试剂盒（磁微粒化学发光法）</w:t>
            </w:r>
          </w:p>
        </w:tc>
        <w:tc>
          <w:tcPr>
            <w:tcW w:w="3045" w:type="dxa"/>
            <w:shd w:val="clear" w:color="auto" w:fill="auto"/>
            <w:vAlign w:val="center"/>
          </w:tcPr>
          <w:p w14:paraId="57BF454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用于促甲状腺激素的检测</w:t>
            </w:r>
          </w:p>
        </w:tc>
        <w:tc>
          <w:tcPr>
            <w:tcW w:w="675" w:type="dxa"/>
            <w:shd w:val="clear" w:color="auto" w:fill="auto"/>
            <w:vAlign w:val="center"/>
          </w:tcPr>
          <w:p w14:paraId="5C3AFFE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28E6F78F">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12.96 </w:t>
            </w:r>
          </w:p>
        </w:tc>
        <w:tc>
          <w:tcPr>
            <w:tcW w:w="1078" w:type="dxa"/>
            <w:shd w:val="clear" w:color="auto" w:fill="auto"/>
            <w:noWrap/>
            <w:vAlign w:val="center"/>
          </w:tcPr>
          <w:p w14:paraId="2E6A0FB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1E67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45A1CD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33</w:t>
            </w:r>
          </w:p>
        </w:tc>
        <w:tc>
          <w:tcPr>
            <w:tcW w:w="2268" w:type="dxa"/>
            <w:shd w:val="clear" w:color="auto" w:fill="auto"/>
            <w:vAlign w:val="center"/>
          </w:tcPr>
          <w:p w14:paraId="2D65D61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抗甲状腺球蛋白抗体检测试剂盒（磁微粒化学发光法）</w:t>
            </w:r>
          </w:p>
        </w:tc>
        <w:tc>
          <w:tcPr>
            <w:tcW w:w="3045" w:type="dxa"/>
            <w:shd w:val="clear" w:color="auto" w:fill="auto"/>
            <w:vAlign w:val="center"/>
          </w:tcPr>
          <w:p w14:paraId="67FD4DF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用于抗甲状腺球蛋白抗体的检测</w:t>
            </w:r>
          </w:p>
        </w:tc>
        <w:tc>
          <w:tcPr>
            <w:tcW w:w="675" w:type="dxa"/>
            <w:shd w:val="clear" w:color="auto" w:fill="auto"/>
            <w:vAlign w:val="center"/>
          </w:tcPr>
          <w:p w14:paraId="28EC2E8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1010380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19.44 </w:t>
            </w:r>
          </w:p>
        </w:tc>
        <w:tc>
          <w:tcPr>
            <w:tcW w:w="1078" w:type="dxa"/>
            <w:shd w:val="clear" w:color="auto" w:fill="auto"/>
            <w:noWrap/>
            <w:vAlign w:val="center"/>
          </w:tcPr>
          <w:p w14:paraId="675173B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11F13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CB2C47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34</w:t>
            </w:r>
          </w:p>
        </w:tc>
        <w:tc>
          <w:tcPr>
            <w:tcW w:w="2268" w:type="dxa"/>
            <w:shd w:val="clear" w:color="auto" w:fill="auto"/>
            <w:vAlign w:val="center"/>
          </w:tcPr>
          <w:p w14:paraId="0B173AF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抗甲状腺过氧化物酶抗体检测试剂盒（磁微粒化学发光法）</w:t>
            </w:r>
          </w:p>
        </w:tc>
        <w:tc>
          <w:tcPr>
            <w:tcW w:w="3045" w:type="dxa"/>
            <w:shd w:val="clear" w:color="auto" w:fill="auto"/>
            <w:vAlign w:val="center"/>
          </w:tcPr>
          <w:p w14:paraId="6F527A8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用于抗甲状腺过氧化物酶抗体的检测</w:t>
            </w:r>
          </w:p>
        </w:tc>
        <w:tc>
          <w:tcPr>
            <w:tcW w:w="675" w:type="dxa"/>
            <w:shd w:val="clear" w:color="auto" w:fill="auto"/>
            <w:vAlign w:val="center"/>
          </w:tcPr>
          <w:p w14:paraId="5D6902C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6007251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14.58 </w:t>
            </w:r>
          </w:p>
        </w:tc>
        <w:tc>
          <w:tcPr>
            <w:tcW w:w="1078" w:type="dxa"/>
            <w:shd w:val="clear" w:color="auto" w:fill="auto"/>
            <w:noWrap/>
            <w:vAlign w:val="center"/>
          </w:tcPr>
          <w:p w14:paraId="749D4DC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AF0B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4595E2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35</w:t>
            </w:r>
          </w:p>
        </w:tc>
        <w:tc>
          <w:tcPr>
            <w:tcW w:w="2268" w:type="dxa"/>
            <w:shd w:val="clear" w:color="auto" w:fill="auto"/>
            <w:vAlign w:val="center"/>
          </w:tcPr>
          <w:p w14:paraId="0CD3F13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促甲状腺激素受体抗体检测试剂盒（磁微粒化学发光法）</w:t>
            </w:r>
          </w:p>
        </w:tc>
        <w:tc>
          <w:tcPr>
            <w:tcW w:w="3045" w:type="dxa"/>
            <w:shd w:val="clear" w:color="auto" w:fill="auto"/>
            <w:vAlign w:val="center"/>
          </w:tcPr>
          <w:p w14:paraId="52355B5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用于促甲状腺激素受体抗体的检测</w:t>
            </w:r>
          </w:p>
        </w:tc>
        <w:tc>
          <w:tcPr>
            <w:tcW w:w="675" w:type="dxa"/>
            <w:shd w:val="clear" w:color="auto" w:fill="auto"/>
            <w:vAlign w:val="center"/>
          </w:tcPr>
          <w:p w14:paraId="2267A50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5FE54C4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25.76 </w:t>
            </w:r>
          </w:p>
        </w:tc>
        <w:tc>
          <w:tcPr>
            <w:tcW w:w="1078" w:type="dxa"/>
            <w:shd w:val="clear" w:color="auto" w:fill="auto"/>
            <w:noWrap/>
            <w:vAlign w:val="center"/>
          </w:tcPr>
          <w:p w14:paraId="51A4398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3798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1BBCDF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36</w:t>
            </w:r>
          </w:p>
        </w:tc>
        <w:tc>
          <w:tcPr>
            <w:tcW w:w="2268" w:type="dxa"/>
            <w:shd w:val="clear" w:color="auto" w:fill="auto"/>
            <w:vAlign w:val="center"/>
          </w:tcPr>
          <w:p w14:paraId="7C24007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总三碘甲状腺原氨酸检测试剂盒（化学发光法）</w:t>
            </w:r>
          </w:p>
        </w:tc>
        <w:tc>
          <w:tcPr>
            <w:tcW w:w="3045" w:type="dxa"/>
            <w:shd w:val="clear" w:color="auto" w:fill="auto"/>
            <w:vAlign w:val="center"/>
          </w:tcPr>
          <w:p w14:paraId="734B2C7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用于总三碘甲状腺原氨酸的检测</w:t>
            </w:r>
          </w:p>
        </w:tc>
        <w:tc>
          <w:tcPr>
            <w:tcW w:w="675" w:type="dxa"/>
            <w:shd w:val="clear" w:color="auto" w:fill="auto"/>
            <w:vAlign w:val="center"/>
          </w:tcPr>
          <w:p w14:paraId="23998F75">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6CCC9A3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14.58 </w:t>
            </w:r>
          </w:p>
        </w:tc>
        <w:tc>
          <w:tcPr>
            <w:tcW w:w="1078" w:type="dxa"/>
            <w:shd w:val="clear" w:color="auto" w:fill="auto"/>
            <w:noWrap/>
            <w:vAlign w:val="center"/>
          </w:tcPr>
          <w:p w14:paraId="067DD9E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872C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83036B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37</w:t>
            </w:r>
          </w:p>
        </w:tc>
        <w:tc>
          <w:tcPr>
            <w:tcW w:w="2268" w:type="dxa"/>
            <w:shd w:val="clear" w:color="auto" w:fill="auto"/>
            <w:vAlign w:val="center"/>
          </w:tcPr>
          <w:p w14:paraId="69738B1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总甲状腺素检测试剂盒（化学发光法）</w:t>
            </w:r>
          </w:p>
        </w:tc>
        <w:tc>
          <w:tcPr>
            <w:tcW w:w="3045" w:type="dxa"/>
            <w:shd w:val="clear" w:color="auto" w:fill="auto"/>
            <w:vAlign w:val="center"/>
          </w:tcPr>
          <w:p w14:paraId="4A1A967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用于总甲状腺素的检测</w:t>
            </w:r>
          </w:p>
        </w:tc>
        <w:tc>
          <w:tcPr>
            <w:tcW w:w="675" w:type="dxa"/>
            <w:shd w:val="clear" w:color="auto" w:fill="auto"/>
            <w:vAlign w:val="center"/>
          </w:tcPr>
          <w:p w14:paraId="6CA1CC2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666C663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14.58 </w:t>
            </w:r>
          </w:p>
        </w:tc>
        <w:tc>
          <w:tcPr>
            <w:tcW w:w="1078" w:type="dxa"/>
            <w:shd w:val="clear" w:color="auto" w:fill="auto"/>
            <w:noWrap/>
            <w:vAlign w:val="center"/>
          </w:tcPr>
          <w:p w14:paraId="32D1E61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1C782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75169C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38</w:t>
            </w:r>
          </w:p>
        </w:tc>
        <w:tc>
          <w:tcPr>
            <w:tcW w:w="2268" w:type="dxa"/>
            <w:shd w:val="clear" w:color="auto" w:fill="auto"/>
            <w:vAlign w:val="center"/>
          </w:tcPr>
          <w:p w14:paraId="541ACC0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总甲状腺素校准品</w:t>
            </w:r>
          </w:p>
        </w:tc>
        <w:tc>
          <w:tcPr>
            <w:tcW w:w="3045" w:type="dxa"/>
            <w:shd w:val="clear" w:color="auto" w:fill="auto"/>
            <w:vAlign w:val="center"/>
          </w:tcPr>
          <w:p w14:paraId="25E8EA3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用于总甲状腺素检测的校准</w:t>
            </w:r>
          </w:p>
        </w:tc>
        <w:tc>
          <w:tcPr>
            <w:tcW w:w="675" w:type="dxa"/>
            <w:shd w:val="clear" w:color="auto" w:fill="auto"/>
            <w:vAlign w:val="center"/>
          </w:tcPr>
          <w:p w14:paraId="2714F58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6A21B93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72.04 </w:t>
            </w:r>
          </w:p>
        </w:tc>
        <w:tc>
          <w:tcPr>
            <w:tcW w:w="1078" w:type="dxa"/>
            <w:shd w:val="clear" w:color="auto" w:fill="auto"/>
            <w:noWrap/>
            <w:vAlign w:val="center"/>
          </w:tcPr>
          <w:p w14:paraId="5219718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7B9C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C37B07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39</w:t>
            </w:r>
          </w:p>
        </w:tc>
        <w:tc>
          <w:tcPr>
            <w:tcW w:w="2268" w:type="dxa"/>
            <w:shd w:val="clear" w:color="auto" w:fill="auto"/>
            <w:vAlign w:val="center"/>
          </w:tcPr>
          <w:p w14:paraId="780E0C7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总三碘甲状腺原氨酸校准品</w:t>
            </w:r>
          </w:p>
        </w:tc>
        <w:tc>
          <w:tcPr>
            <w:tcW w:w="3045" w:type="dxa"/>
            <w:shd w:val="clear" w:color="auto" w:fill="auto"/>
            <w:vAlign w:val="center"/>
          </w:tcPr>
          <w:p w14:paraId="2BA07B25">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用于总三碘甲状腺原氨酸检测的校准</w:t>
            </w:r>
          </w:p>
        </w:tc>
        <w:tc>
          <w:tcPr>
            <w:tcW w:w="675" w:type="dxa"/>
            <w:shd w:val="clear" w:color="auto" w:fill="auto"/>
            <w:vAlign w:val="center"/>
          </w:tcPr>
          <w:p w14:paraId="59D8C7A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59F113E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144.09 </w:t>
            </w:r>
          </w:p>
        </w:tc>
        <w:tc>
          <w:tcPr>
            <w:tcW w:w="1078" w:type="dxa"/>
            <w:shd w:val="clear" w:color="auto" w:fill="auto"/>
            <w:noWrap/>
            <w:vAlign w:val="center"/>
          </w:tcPr>
          <w:p w14:paraId="794D6F3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DBAF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7A090C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40</w:t>
            </w:r>
          </w:p>
        </w:tc>
        <w:tc>
          <w:tcPr>
            <w:tcW w:w="2268" w:type="dxa"/>
            <w:shd w:val="clear" w:color="auto" w:fill="auto"/>
            <w:vAlign w:val="center"/>
          </w:tcPr>
          <w:p w14:paraId="7C7A5FD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雌二醇校准品</w:t>
            </w:r>
          </w:p>
        </w:tc>
        <w:tc>
          <w:tcPr>
            <w:tcW w:w="3045" w:type="dxa"/>
            <w:shd w:val="clear" w:color="auto" w:fill="auto"/>
            <w:vAlign w:val="center"/>
          </w:tcPr>
          <w:p w14:paraId="51244D6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用于雌二醇检测的校准</w:t>
            </w:r>
          </w:p>
        </w:tc>
        <w:tc>
          <w:tcPr>
            <w:tcW w:w="675" w:type="dxa"/>
            <w:shd w:val="clear" w:color="auto" w:fill="auto"/>
            <w:vAlign w:val="center"/>
          </w:tcPr>
          <w:p w14:paraId="52BEEC6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96C4FD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D0B173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7774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89FC4A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41</w:t>
            </w:r>
          </w:p>
        </w:tc>
        <w:tc>
          <w:tcPr>
            <w:tcW w:w="2268" w:type="dxa"/>
            <w:shd w:val="clear" w:color="auto" w:fill="auto"/>
            <w:vAlign w:val="center"/>
          </w:tcPr>
          <w:p w14:paraId="6AEE9FC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孕酮校准品</w:t>
            </w:r>
          </w:p>
        </w:tc>
        <w:tc>
          <w:tcPr>
            <w:tcW w:w="3045" w:type="dxa"/>
            <w:shd w:val="clear" w:color="auto" w:fill="auto"/>
            <w:vAlign w:val="center"/>
          </w:tcPr>
          <w:p w14:paraId="706277F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用于孕酮检测的校准</w:t>
            </w:r>
          </w:p>
        </w:tc>
        <w:tc>
          <w:tcPr>
            <w:tcW w:w="675" w:type="dxa"/>
            <w:shd w:val="clear" w:color="auto" w:fill="auto"/>
            <w:vAlign w:val="center"/>
          </w:tcPr>
          <w:p w14:paraId="24E6D33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0492AE3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42ED7C3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48E6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1F6A64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42</w:t>
            </w:r>
          </w:p>
        </w:tc>
        <w:tc>
          <w:tcPr>
            <w:tcW w:w="2268" w:type="dxa"/>
            <w:shd w:val="clear" w:color="auto" w:fill="auto"/>
            <w:vAlign w:val="center"/>
          </w:tcPr>
          <w:p w14:paraId="36207F8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睾酮校准品</w:t>
            </w:r>
          </w:p>
        </w:tc>
        <w:tc>
          <w:tcPr>
            <w:tcW w:w="3045" w:type="dxa"/>
            <w:shd w:val="clear" w:color="auto" w:fill="auto"/>
            <w:vAlign w:val="center"/>
          </w:tcPr>
          <w:p w14:paraId="67DB285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用于睾酮检测的校准</w:t>
            </w:r>
          </w:p>
        </w:tc>
        <w:tc>
          <w:tcPr>
            <w:tcW w:w="675" w:type="dxa"/>
            <w:shd w:val="clear" w:color="auto" w:fill="auto"/>
            <w:vAlign w:val="center"/>
          </w:tcPr>
          <w:p w14:paraId="3A2F799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E4E06E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4BDF9F3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E16F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556272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43</w:t>
            </w:r>
          </w:p>
        </w:tc>
        <w:tc>
          <w:tcPr>
            <w:tcW w:w="2268" w:type="dxa"/>
            <w:shd w:val="clear" w:color="auto" w:fill="auto"/>
            <w:vAlign w:val="center"/>
          </w:tcPr>
          <w:p w14:paraId="32849EE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泌乳素校准品</w:t>
            </w:r>
          </w:p>
        </w:tc>
        <w:tc>
          <w:tcPr>
            <w:tcW w:w="3045" w:type="dxa"/>
            <w:shd w:val="clear" w:color="auto" w:fill="auto"/>
            <w:vAlign w:val="center"/>
          </w:tcPr>
          <w:p w14:paraId="4950647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用于泌乳素检测的校准</w:t>
            </w:r>
          </w:p>
        </w:tc>
        <w:tc>
          <w:tcPr>
            <w:tcW w:w="675" w:type="dxa"/>
            <w:shd w:val="clear" w:color="auto" w:fill="auto"/>
            <w:vAlign w:val="center"/>
          </w:tcPr>
          <w:p w14:paraId="5C8BDBD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0836464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315.88 </w:t>
            </w:r>
          </w:p>
        </w:tc>
        <w:tc>
          <w:tcPr>
            <w:tcW w:w="1078" w:type="dxa"/>
            <w:shd w:val="clear" w:color="auto" w:fill="auto"/>
            <w:noWrap/>
            <w:vAlign w:val="center"/>
          </w:tcPr>
          <w:p w14:paraId="388D69F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86A3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8ED8BC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44</w:t>
            </w:r>
          </w:p>
        </w:tc>
        <w:tc>
          <w:tcPr>
            <w:tcW w:w="2268" w:type="dxa"/>
            <w:shd w:val="clear" w:color="auto" w:fill="auto"/>
            <w:vAlign w:val="center"/>
          </w:tcPr>
          <w:p w14:paraId="38C239E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促黄体生成素校准品</w:t>
            </w:r>
          </w:p>
        </w:tc>
        <w:tc>
          <w:tcPr>
            <w:tcW w:w="3045" w:type="dxa"/>
            <w:shd w:val="clear" w:color="auto" w:fill="auto"/>
            <w:vAlign w:val="center"/>
          </w:tcPr>
          <w:p w14:paraId="654FBD8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用于促黄体生成素检测的校准</w:t>
            </w:r>
          </w:p>
        </w:tc>
        <w:tc>
          <w:tcPr>
            <w:tcW w:w="675" w:type="dxa"/>
            <w:shd w:val="clear" w:color="auto" w:fill="auto"/>
            <w:vAlign w:val="center"/>
          </w:tcPr>
          <w:p w14:paraId="0ACF167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C70C20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77281B2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33A3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4417B1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45</w:t>
            </w:r>
          </w:p>
        </w:tc>
        <w:tc>
          <w:tcPr>
            <w:tcW w:w="2268" w:type="dxa"/>
            <w:shd w:val="clear" w:color="auto" w:fill="auto"/>
            <w:vAlign w:val="center"/>
          </w:tcPr>
          <w:p w14:paraId="01BFEA0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促卵泡生成素校准品</w:t>
            </w:r>
          </w:p>
        </w:tc>
        <w:tc>
          <w:tcPr>
            <w:tcW w:w="3045" w:type="dxa"/>
            <w:shd w:val="clear" w:color="auto" w:fill="auto"/>
            <w:vAlign w:val="center"/>
          </w:tcPr>
          <w:p w14:paraId="43D52E8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用于促卵泡生成素检测的校准</w:t>
            </w:r>
          </w:p>
        </w:tc>
        <w:tc>
          <w:tcPr>
            <w:tcW w:w="675" w:type="dxa"/>
            <w:shd w:val="clear" w:color="auto" w:fill="auto"/>
            <w:vAlign w:val="center"/>
          </w:tcPr>
          <w:p w14:paraId="6F8346C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528F08D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13B8DE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CF24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EAD6B1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46</w:t>
            </w:r>
          </w:p>
        </w:tc>
        <w:tc>
          <w:tcPr>
            <w:tcW w:w="2268" w:type="dxa"/>
            <w:shd w:val="clear" w:color="auto" w:fill="auto"/>
            <w:vAlign w:val="center"/>
          </w:tcPr>
          <w:p w14:paraId="062AD39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人绒毛膜促性腺激素校准品</w:t>
            </w:r>
          </w:p>
        </w:tc>
        <w:tc>
          <w:tcPr>
            <w:tcW w:w="3045" w:type="dxa"/>
            <w:shd w:val="clear" w:color="auto" w:fill="auto"/>
            <w:vAlign w:val="center"/>
          </w:tcPr>
          <w:p w14:paraId="20E6CFB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用于人绒毛膜促性腺激素检测的校准</w:t>
            </w:r>
          </w:p>
        </w:tc>
        <w:tc>
          <w:tcPr>
            <w:tcW w:w="675" w:type="dxa"/>
            <w:shd w:val="clear" w:color="auto" w:fill="auto"/>
            <w:vAlign w:val="center"/>
          </w:tcPr>
          <w:p w14:paraId="0F3D00D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2A07435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1E4C82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56ADD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844C9A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47</w:t>
            </w:r>
          </w:p>
        </w:tc>
        <w:tc>
          <w:tcPr>
            <w:tcW w:w="2268" w:type="dxa"/>
            <w:shd w:val="clear" w:color="auto" w:fill="auto"/>
            <w:vAlign w:val="center"/>
          </w:tcPr>
          <w:p w14:paraId="437D226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胃蛋白酶原I校准品</w:t>
            </w:r>
          </w:p>
        </w:tc>
        <w:tc>
          <w:tcPr>
            <w:tcW w:w="3045" w:type="dxa"/>
            <w:shd w:val="clear" w:color="auto" w:fill="auto"/>
            <w:vAlign w:val="center"/>
          </w:tcPr>
          <w:p w14:paraId="37441E5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用于胃蛋白酶原I检测的校准</w:t>
            </w:r>
          </w:p>
        </w:tc>
        <w:tc>
          <w:tcPr>
            <w:tcW w:w="675" w:type="dxa"/>
            <w:shd w:val="clear" w:color="auto" w:fill="auto"/>
            <w:vAlign w:val="center"/>
          </w:tcPr>
          <w:p w14:paraId="2F54EED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2F59DEE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1250019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3019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79D314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48</w:t>
            </w:r>
          </w:p>
        </w:tc>
        <w:tc>
          <w:tcPr>
            <w:tcW w:w="2268" w:type="dxa"/>
            <w:shd w:val="clear" w:color="auto" w:fill="auto"/>
            <w:vAlign w:val="center"/>
          </w:tcPr>
          <w:p w14:paraId="25EE56A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胃蛋白酶原Ⅱ校准品</w:t>
            </w:r>
          </w:p>
        </w:tc>
        <w:tc>
          <w:tcPr>
            <w:tcW w:w="3045" w:type="dxa"/>
            <w:shd w:val="clear" w:color="auto" w:fill="auto"/>
            <w:vAlign w:val="center"/>
          </w:tcPr>
          <w:p w14:paraId="649AC50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用于胃蛋白酶原Ⅱ检测的校准</w:t>
            </w:r>
          </w:p>
        </w:tc>
        <w:tc>
          <w:tcPr>
            <w:tcW w:w="675" w:type="dxa"/>
            <w:shd w:val="clear" w:color="auto" w:fill="auto"/>
            <w:vAlign w:val="center"/>
          </w:tcPr>
          <w:p w14:paraId="0A2EFB4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6EE7D8A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3D16F7D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4BBD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49DEEB0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49</w:t>
            </w:r>
          </w:p>
        </w:tc>
        <w:tc>
          <w:tcPr>
            <w:tcW w:w="2268" w:type="dxa"/>
            <w:shd w:val="clear" w:color="auto" w:fill="auto"/>
            <w:vAlign w:val="center"/>
          </w:tcPr>
          <w:p w14:paraId="333B608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白介素6校准品</w:t>
            </w:r>
          </w:p>
        </w:tc>
        <w:tc>
          <w:tcPr>
            <w:tcW w:w="3045" w:type="dxa"/>
            <w:shd w:val="clear" w:color="auto" w:fill="auto"/>
            <w:vAlign w:val="center"/>
          </w:tcPr>
          <w:p w14:paraId="782ADDE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用于白介素6检测的校准</w:t>
            </w:r>
          </w:p>
        </w:tc>
        <w:tc>
          <w:tcPr>
            <w:tcW w:w="675" w:type="dxa"/>
            <w:shd w:val="clear" w:color="auto" w:fill="auto"/>
            <w:vAlign w:val="center"/>
          </w:tcPr>
          <w:p w14:paraId="2E91755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E5D819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315.88 </w:t>
            </w:r>
          </w:p>
        </w:tc>
        <w:tc>
          <w:tcPr>
            <w:tcW w:w="1078" w:type="dxa"/>
            <w:shd w:val="clear" w:color="auto" w:fill="auto"/>
            <w:noWrap/>
            <w:vAlign w:val="center"/>
          </w:tcPr>
          <w:p w14:paraId="1F7CAA1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707C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8D9326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50</w:t>
            </w:r>
          </w:p>
        </w:tc>
        <w:tc>
          <w:tcPr>
            <w:tcW w:w="2268" w:type="dxa"/>
            <w:shd w:val="clear" w:color="auto" w:fill="auto"/>
            <w:vAlign w:val="center"/>
          </w:tcPr>
          <w:p w14:paraId="6B71E87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铁蛋白校准品</w:t>
            </w:r>
          </w:p>
        </w:tc>
        <w:tc>
          <w:tcPr>
            <w:tcW w:w="3045" w:type="dxa"/>
            <w:shd w:val="clear" w:color="auto" w:fill="auto"/>
            <w:vAlign w:val="center"/>
          </w:tcPr>
          <w:p w14:paraId="7553C0D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用于铁蛋白检测的校准</w:t>
            </w:r>
          </w:p>
        </w:tc>
        <w:tc>
          <w:tcPr>
            <w:tcW w:w="675" w:type="dxa"/>
            <w:shd w:val="clear" w:color="auto" w:fill="auto"/>
            <w:vAlign w:val="center"/>
          </w:tcPr>
          <w:p w14:paraId="4AFFC0E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5F62134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4D85895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77AEA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E60114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51</w:t>
            </w:r>
          </w:p>
        </w:tc>
        <w:tc>
          <w:tcPr>
            <w:tcW w:w="2268" w:type="dxa"/>
            <w:shd w:val="clear" w:color="auto" w:fill="auto"/>
            <w:vAlign w:val="center"/>
          </w:tcPr>
          <w:p w14:paraId="06925D3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游离前列腺特异抗原(f-PSA)校准品</w:t>
            </w:r>
          </w:p>
        </w:tc>
        <w:tc>
          <w:tcPr>
            <w:tcW w:w="3045" w:type="dxa"/>
            <w:shd w:val="clear" w:color="auto" w:fill="auto"/>
            <w:vAlign w:val="center"/>
          </w:tcPr>
          <w:p w14:paraId="02F005B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用于游离前列腺特异抗原检测的校准</w:t>
            </w:r>
          </w:p>
        </w:tc>
        <w:tc>
          <w:tcPr>
            <w:tcW w:w="675" w:type="dxa"/>
            <w:shd w:val="clear" w:color="auto" w:fill="auto"/>
            <w:vAlign w:val="center"/>
          </w:tcPr>
          <w:p w14:paraId="47D6457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5FD3DA5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49BC053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75DC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5C656B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52</w:t>
            </w:r>
          </w:p>
        </w:tc>
        <w:tc>
          <w:tcPr>
            <w:tcW w:w="2268" w:type="dxa"/>
            <w:shd w:val="clear" w:color="auto" w:fill="auto"/>
            <w:vAlign w:val="center"/>
          </w:tcPr>
          <w:p w14:paraId="35EE2AC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糖类抗原19-9（CA19-9）校准品</w:t>
            </w:r>
          </w:p>
        </w:tc>
        <w:tc>
          <w:tcPr>
            <w:tcW w:w="3045" w:type="dxa"/>
            <w:shd w:val="clear" w:color="auto" w:fill="auto"/>
            <w:vAlign w:val="center"/>
          </w:tcPr>
          <w:p w14:paraId="4EEA4A8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用于糖类抗原19-9检测的校准</w:t>
            </w:r>
          </w:p>
        </w:tc>
        <w:tc>
          <w:tcPr>
            <w:tcW w:w="675" w:type="dxa"/>
            <w:shd w:val="clear" w:color="auto" w:fill="auto"/>
            <w:vAlign w:val="center"/>
          </w:tcPr>
          <w:p w14:paraId="31C4C88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F33728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4DA28C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70D9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5F0ABD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53</w:t>
            </w:r>
          </w:p>
        </w:tc>
        <w:tc>
          <w:tcPr>
            <w:tcW w:w="2268" w:type="dxa"/>
            <w:shd w:val="clear" w:color="auto" w:fill="auto"/>
            <w:vAlign w:val="center"/>
          </w:tcPr>
          <w:p w14:paraId="380B7B4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癌抗原15-3（CA15-3）校准品</w:t>
            </w:r>
          </w:p>
        </w:tc>
        <w:tc>
          <w:tcPr>
            <w:tcW w:w="3045" w:type="dxa"/>
            <w:shd w:val="clear" w:color="auto" w:fill="auto"/>
            <w:vAlign w:val="center"/>
          </w:tcPr>
          <w:p w14:paraId="29CDA70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用于癌抗原15-3检测的校准</w:t>
            </w:r>
          </w:p>
        </w:tc>
        <w:tc>
          <w:tcPr>
            <w:tcW w:w="675" w:type="dxa"/>
            <w:shd w:val="clear" w:color="auto" w:fill="auto"/>
            <w:vAlign w:val="center"/>
          </w:tcPr>
          <w:p w14:paraId="0AEB390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29C0646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7A7B4C6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3140D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942D87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54</w:t>
            </w:r>
          </w:p>
        </w:tc>
        <w:tc>
          <w:tcPr>
            <w:tcW w:w="2268" w:type="dxa"/>
            <w:shd w:val="clear" w:color="auto" w:fill="auto"/>
            <w:vAlign w:val="center"/>
          </w:tcPr>
          <w:p w14:paraId="42B260E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神经元特异性烯醇化酶（NSE）校准品</w:t>
            </w:r>
          </w:p>
        </w:tc>
        <w:tc>
          <w:tcPr>
            <w:tcW w:w="3045" w:type="dxa"/>
            <w:shd w:val="clear" w:color="auto" w:fill="auto"/>
            <w:vAlign w:val="center"/>
          </w:tcPr>
          <w:p w14:paraId="1A8E663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用于神经元特异性烯醇化酶检测的校准</w:t>
            </w:r>
          </w:p>
        </w:tc>
        <w:tc>
          <w:tcPr>
            <w:tcW w:w="675" w:type="dxa"/>
            <w:shd w:val="clear" w:color="auto" w:fill="auto"/>
            <w:vAlign w:val="center"/>
          </w:tcPr>
          <w:p w14:paraId="735AAE4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91920A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338.04 </w:t>
            </w:r>
          </w:p>
        </w:tc>
        <w:tc>
          <w:tcPr>
            <w:tcW w:w="1078" w:type="dxa"/>
            <w:shd w:val="clear" w:color="auto" w:fill="auto"/>
            <w:noWrap/>
            <w:vAlign w:val="center"/>
          </w:tcPr>
          <w:p w14:paraId="783D049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30EE3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857407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55</w:t>
            </w:r>
          </w:p>
        </w:tc>
        <w:tc>
          <w:tcPr>
            <w:tcW w:w="2268" w:type="dxa"/>
            <w:shd w:val="clear" w:color="auto" w:fill="auto"/>
            <w:vAlign w:val="center"/>
          </w:tcPr>
          <w:p w14:paraId="67ACF44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细胞角蛋白19片段（CYFRA21-1）校准品</w:t>
            </w:r>
          </w:p>
        </w:tc>
        <w:tc>
          <w:tcPr>
            <w:tcW w:w="3045" w:type="dxa"/>
            <w:shd w:val="clear" w:color="auto" w:fill="auto"/>
            <w:vAlign w:val="center"/>
          </w:tcPr>
          <w:p w14:paraId="7D35877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用于细胞角蛋白19片段检测的校准</w:t>
            </w:r>
          </w:p>
        </w:tc>
        <w:tc>
          <w:tcPr>
            <w:tcW w:w="675" w:type="dxa"/>
            <w:shd w:val="clear" w:color="auto" w:fill="auto"/>
            <w:vAlign w:val="center"/>
          </w:tcPr>
          <w:p w14:paraId="20BA543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0C2057D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338.04 </w:t>
            </w:r>
          </w:p>
        </w:tc>
        <w:tc>
          <w:tcPr>
            <w:tcW w:w="1078" w:type="dxa"/>
            <w:shd w:val="clear" w:color="auto" w:fill="auto"/>
            <w:noWrap/>
            <w:vAlign w:val="center"/>
          </w:tcPr>
          <w:p w14:paraId="280D4AC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2592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43A96D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56</w:t>
            </w:r>
          </w:p>
        </w:tc>
        <w:tc>
          <w:tcPr>
            <w:tcW w:w="2268" w:type="dxa"/>
            <w:shd w:val="clear" w:color="auto" w:fill="auto"/>
            <w:vAlign w:val="center"/>
          </w:tcPr>
          <w:p w14:paraId="35E988A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抗缪勒氏管激素（AMH)检测试剂盒（磁微粒化学发光法）</w:t>
            </w:r>
          </w:p>
        </w:tc>
        <w:tc>
          <w:tcPr>
            <w:tcW w:w="3045" w:type="dxa"/>
            <w:shd w:val="clear" w:color="auto" w:fill="auto"/>
            <w:vAlign w:val="center"/>
          </w:tcPr>
          <w:p w14:paraId="5F7F9E0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用于抗缪勒管激素的检测</w:t>
            </w:r>
          </w:p>
        </w:tc>
        <w:tc>
          <w:tcPr>
            <w:tcW w:w="675" w:type="dxa"/>
            <w:shd w:val="clear" w:color="auto" w:fill="auto"/>
            <w:vAlign w:val="center"/>
          </w:tcPr>
          <w:p w14:paraId="13B2F33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4745002F">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64.83 </w:t>
            </w:r>
          </w:p>
        </w:tc>
        <w:tc>
          <w:tcPr>
            <w:tcW w:w="1078" w:type="dxa"/>
            <w:shd w:val="clear" w:color="auto" w:fill="auto"/>
            <w:noWrap/>
            <w:vAlign w:val="center"/>
          </w:tcPr>
          <w:p w14:paraId="4824B73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1ACF0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636B55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57</w:t>
            </w:r>
          </w:p>
        </w:tc>
        <w:tc>
          <w:tcPr>
            <w:tcW w:w="2268" w:type="dxa"/>
            <w:shd w:val="clear" w:color="auto" w:fill="auto"/>
            <w:vAlign w:val="center"/>
          </w:tcPr>
          <w:p w14:paraId="32B2043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游离人绒毛膜促性腺激素β亚单位校准品</w:t>
            </w:r>
          </w:p>
        </w:tc>
        <w:tc>
          <w:tcPr>
            <w:tcW w:w="3045" w:type="dxa"/>
            <w:shd w:val="clear" w:color="auto" w:fill="auto"/>
            <w:vAlign w:val="center"/>
          </w:tcPr>
          <w:p w14:paraId="05CEC73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用于游离人绒毛膜促性腺激素β亚单位检测时进行校准</w:t>
            </w:r>
          </w:p>
        </w:tc>
        <w:tc>
          <w:tcPr>
            <w:tcW w:w="675" w:type="dxa"/>
            <w:shd w:val="clear" w:color="auto" w:fill="auto"/>
            <w:vAlign w:val="center"/>
          </w:tcPr>
          <w:p w14:paraId="036E422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70653AA5">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1108A54F">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2766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28D99B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58</w:t>
            </w:r>
          </w:p>
        </w:tc>
        <w:tc>
          <w:tcPr>
            <w:tcW w:w="2268" w:type="dxa"/>
            <w:shd w:val="clear" w:color="auto" w:fill="auto"/>
            <w:vAlign w:val="center"/>
          </w:tcPr>
          <w:p w14:paraId="1431383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性激素结合球蛋白校准品</w:t>
            </w:r>
          </w:p>
        </w:tc>
        <w:tc>
          <w:tcPr>
            <w:tcW w:w="3045" w:type="dxa"/>
            <w:shd w:val="clear" w:color="auto" w:fill="auto"/>
            <w:vAlign w:val="center"/>
          </w:tcPr>
          <w:p w14:paraId="1597233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用于性激素结合球蛋白检测时进行校准</w:t>
            </w:r>
          </w:p>
        </w:tc>
        <w:tc>
          <w:tcPr>
            <w:tcW w:w="675" w:type="dxa"/>
            <w:shd w:val="clear" w:color="auto" w:fill="auto"/>
            <w:vAlign w:val="center"/>
          </w:tcPr>
          <w:p w14:paraId="2F1658C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29A319C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5BE89A3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E611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3FC4A8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59</w:t>
            </w:r>
          </w:p>
        </w:tc>
        <w:tc>
          <w:tcPr>
            <w:tcW w:w="2268" w:type="dxa"/>
            <w:shd w:val="clear" w:color="auto" w:fill="auto"/>
            <w:vAlign w:val="center"/>
          </w:tcPr>
          <w:p w14:paraId="231DDAA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生长激素校准品</w:t>
            </w:r>
          </w:p>
        </w:tc>
        <w:tc>
          <w:tcPr>
            <w:tcW w:w="3045" w:type="dxa"/>
            <w:shd w:val="clear" w:color="auto" w:fill="auto"/>
            <w:vAlign w:val="center"/>
          </w:tcPr>
          <w:p w14:paraId="49E9915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用于生长激素检测时进行校准</w:t>
            </w:r>
          </w:p>
        </w:tc>
        <w:tc>
          <w:tcPr>
            <w:tcW w:w="675" w:type="dxa"/>
            <w:shd w:val="clear" w:color="auto" w:fill="auto"/>
            <w:vAlign w:val="center"/>
          </w:tcPr>
          <w:p w14:paraId="560D55B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3B8EDFB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1D7651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3818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2CCFFE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60</w:t>
            </w:r>
          </w:p>
        </w:tc>
        <w:tc>
          <w:tcPr>
            <w:tcW w:w="2268" w:type="dxa"/>
            <w:shd w:val="clear" w:color="auto" w:fill="auto"/>
            <w:vAlign w:val="center"/>
          </w:tcPr>
          <w:p w14:paraId="76C4FA0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促甲状腺激素校准品</w:t>
            </w:r>
          </w:p>
        </w:tc>
        <w:tc>
          <w:tcPr>
            <w:tcW w:w="3045" w:type="dxa"/>
            <w:shd w:val="clear" w:color="auto" w:fill="auto"/>
            <w:vAlign w:val="center"/>
          </w:tcPr>
          <w:p w14:paraId="5DABEEB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用于促甲状腺激素检测时进行校准</w:t>
            </w:r>
          </w:p>
        </w:tc>
        <w:tc>
          <w:tcPr>
            <w:tcW w:w="675" w:type="dxa"/>
            <w:shd w:val="clear" w:color="auto" w:fill="auto"/>
            <w:vAlign w:val="center"/>
          </w:tcPr>
          <w:p w14:paraId="07948A6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045F50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768298E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5B06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976B21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61</w:t>
            </w:r>
          </w:p>
        </w:tc>
        <w:tc>
          <w:tcPr>
            <w:tcW w:w="2268" w:type="dxa"/>
            <w:shd w:val="clear" w:color="auto" w:fill="auto"/>
            <w:vAlign w:val="center"/>
          </w:tcPr>
          <w:p w14:paraId="3B00C217">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抗甲状腺过氧化物酶抗体校准品</w:t>
            </w:r>
          </w:p>
        </w:tc>
        <w:tc>
          <w:tcPr>
            <w:tcW w:w="3045" w:type="dxa"/>
            <w:shd w:val="clear" w:color="auto" w:fill="auto"/>
            <w:vAlign w:val="center"/>
          </w:tcPr>
          <w:p w14:paraId="3086C35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用于抗甲状腺过氧化物酶抗体检测时进行校准</w:t>
            </w:r>
          </w:p>
        </w:tc>
        <w:tc>
          <w:tcPr>
            <w:tcW w:w="675" w:type="dxa"/>
            <w:shd w:val="clear" w:color="auto" w:fill="auto"/>
            <w:vAlign w:val="center"/>
          </w:tcPr>
          <w:p w14:paraId="1FC0BEC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29281CF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38919F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47E8C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3F5B50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62</w:t>
            </w:r>
          </w:p>
        </w:tc>
        <w:tc>
          <w:tcPr>
            <w:tcW w:w="2268" w:type="dxa"/>
            <w:shd w:val="clear" w:color="auto" w:fill="auto"/>
            <w:vAlign w:val="center"/>
          </w:tcPr>
          <w:p w14:paraId="51C66CD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抗甲状腺球蛋白抗体校准品</w:t>
            </w:r>
          </w:p>
        </w:tc>
        <w:tc>
          <w:tcPr>
            <w:tcW w:w="3045" w:type="dxa"/>
            <w:shd w:val="clear" w:color="auto" w:fill="auto"/>
            <w:vAlign w:val="center"/>
          </w:tcPr>
          <w:p w14:paraId="77F868A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用于抗甲状腺球蛋白抗体检测时进行校准</w:t>
            </w:r>
          </w:p>
        </w:tc>
        <w:tc>
          <w:tcPr>
            <w:tcW w:w="675" w:type="dxa"/>
            <w:shd w:val="clear" w:color="auto" w:fill="auto"/>
            <w:vAlign w:val="center"/>
          </w:tcPr>
          <w:p w14:paraId="5804D06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375055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6833FCF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4566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E27FA9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63</w:t>
            </w:r>
          </w:p>
        </w:tc>
        <w:tc>
          <w:tcPr>
            <w:tcW w:w="2268" w:type="dxa"/>
            <w:shd w:val="clear" w:color="auto" w:fill="auto"/>
            <w:vAlign w:val="center"/>
          </w:tcPr>
          <w:p w14:paraId="0E372D2F">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促甲状腺激素受体抗体校准品</w:t>
            </w:r>
          </w:p>
        </w:tc>
        <w:tc>
          <w:tcPr>
            <w:tcW w:w="3045" w:type="dxa"/>
            <w:shd w:val="clear" w:color="auto" w:fill="auto"/>
            <w:vAlign w:val="center"/>
          </w:tcPr>
          <w:p w14:paraId="3580413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用于促甲状腺激素受体抗体检测时进行校准</w:t>
            </w:r>
          </w:p>
        </w:tc>
        <w:tc>
          <w:tcPr>
            <w:tcW w:w="675" w:type="dxa"/>
            <w:shd w:val="clear" w:color="auto" w:fill="auto"/>
            <w:vAlign w:val="center"/>
          </w:tcPr>
          <w:p w14:paraId="4DB4902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2A1EF4E">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157.94 </w:t>
            </w:r>
          </w:p>
        </w:tc>
        <w:tc>
          <w:tcPr>
            <w:tcW w:w="1078" w:type="dxa"/>
            <w:shd w:val="clear" w:color="auto" w:fill="auto"/>
            <w:noWrap/>
            <w:vAlign w:val="center"/>
          </w:tcPr>
          <w:p w14:paraId="03B8A02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6955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0C53BF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64</w:t>
            </w:r>
          </w:p>
        </w:tc>
        <w:tc>
          <w:tcPr>
            <w:tcW w:w="2268" w:type="dxa"/>
            <w:shd w:val="clear" w:color="auto" w:fill="auto"/>
            <w:vAlign w:val="center"/>
          </w:tcPr>
          <w:p w14:paraId="6431363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乙型肝炎病毒表面抗原校准品</w:t>
            </w:r>
          </w:p>
        </w:tc>
        <w:tc>
          <w:tcPr>
            <w:tcW w:w="3045" w:type="dxa"/>
            <w:shd w:val="clear" w:color="auto" w:fill="auto"/>
            <w:vAlign w:val="center"/>
          </w:tcPr>
          <w:p w14:paraId="62E11E3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本产品用于对人血清或血浆中乙型肝炎病毒e抗原的定性检测进行校准</w:t>
            </w:r>
          </w:p>
        </w:tc>
        <w:tc>
          <w:tcPr>
            <w:tcW w:w="675" w:type="dxa"/>
            <w:shd w:val="clear" w:color="auto" w:fill="auto"/>
            <w:vAlign w:val="center"/>
          </w:tcPr>
          <w:p w14:paraId="4255876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7AF3D3F1">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148.71 </w:t>
            </w:r>
          </w:p>
        </w:tc>
        <w:tc>
          <w:tcPr>
            <w:tcW w:w="1078" w:type="dxa"/>
            <w:shd w:val="clear" w:color="auto" w:fill="auto"/>
            <w:noWrap/>
            <w:vAlign w:val="center"/>
          </w:tcPr>
          <w:p w14:paraId="7FE7C61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911F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2F27343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65</w:t>
            </w:r>
          </w:p>
        </w:tc>
        <w:tc>
          <w:tcPr>
            <w:tcW w:w="2268" w:type="dxa"/>
            <w:shd w:val="clear" w:color="auto" w:fill="auto"/>
            <w:vAlign w:val="center"/>
          </w:tcPr>
          <w:p w14:paraId="3EBCF00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C肽校准品</w:t>
            </w:r>
          </w:p>
        </w:tc>
        <w:tc>
          <w:tcPr>
            <w:tcW w:w="3045" w:type="dxa"/>
            <w:shd w:val="clear" w:color="auto" w:fill="auto"/>
            <w:vAlign w:val="center"/>
          </w:tcPr>
          <w:p w14:paraId="3A84F80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本校准品适用于化学发光法检测试剂盒检测C肚时，对C肤项目进行校准</w:t>
            </w:r>
          </w:p>
        </w:tc>
        <w:tc>
          <w:tcPr>
            <w:tcW w:w="675" w:type="dxa"/>
            <w:shd w:val="clear" w:color="auto" w:fill="auto"/>
            <w:vAlign w:val="center"/>
          </w:tcPr>
          <w:p w14:paraId="0D78289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10232EF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263.83 </w:t>
            </w:r>
          </w:p>
        </w:tc>
        <w:tc>
          <w:tcPr>
            <w:tcW w:w="1078" w:type="dxa"/>
            <w:shd w:val="clear" w:color="auto" w:fill="auto"/>
            <w:noWrap/>
            <w:vAlign w:val="center"/>
          </w:tcPr>
          <w:p w14:paraId="55A6100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B487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7A7348F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66</w:t>
            </w:r>
          </w:p>
        </w:tc>
        <w:tc>
          <w:tcPr>
            <w:tcW w:w="2268" w:type="dxa"/>
            <w:shd w:val="clear" w:color="auto" w:fill="auto"/>
            <w:vAlign w:val="center"/>
          </w:tcPr>
          <w:p w14:paraId="1DF2134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清洗液</w:t>
            </w:r>
          </w:p>
        </w:tc>
        <w:tc>
          <w:tcPr>
            <w:tcW w:w="3045" w:type="dxa"/>
            <w:shd w:val="clear" w:color="auto" w:fill="auto"/>
            <w:vAlign w:val="center"/>
          </w:tcPr>
          <w:p w14:paraId="27F652A3">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用于检测过程中反应体系的清洗，以便于对待测物质进行体外检测，不包含单独用于仪器清洗的清洗液。</w:t>
            </w:r>
          </w:p>
        </w:tc>
        <w:tc>
          <w:tcPr>
            <w:tcW w:w="675" w:type="dxa"/>
            <w:shd w:val="clear" w:color="auto" w:fill="auto"/>
            <w:vAlign w:val="center"/>
          </w:tcPr>
          <w:p w14:paraId="626F334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L</w:t>
            </w:r>
          </w:p>
        </w:tc>
        <w:tc>
          <w:tcPr>
            <w:tcW w:w="1027" w:type="dxa"/>
            <w:shd w:val="clear" w:color="auto" w:fill="auto"/>
            <w:vAlign w:val="center"/>
          </w:tcPr>
          <w:p w14:paraId="4C4F3ED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72.00 </w:t>
            </w:r>
          </w:p>
        </w:tc>
        <w:tc>
          <w:tcPr>
            <w:tcW w:w="1078" w:type="dxa"/>
            <w:shd w:val="clear" w:color="auto" w:fill="auto"/>
            <w:noWrap/>
            <w:vAlign w:val="center"/>
          </w:tcPr>
          <w:p w14:paraId="597B7369">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E9CF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84976C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67</w:t>
            </w:r>
          </w:p>
        </w:tc>
        <w:tc>
          <w:tcPr>
            <w:tcW w:w="2268" w:type="dxa"/>
            <w:shd w:val="clear" w:color="auto" w:fill="auto"/>
            <w:vAlign w:val="center"/>
          </w:tcPr>
          <w:p w14:paraId="6B2DE07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管路清洗液</w:t>
            </w:r>
          </w:p>
        </w:tc>
        <w:tc>
          <w:tcPr>
            <w:tcW w:w="3045" w:type="dxa"/>
            <w:shd w:val="clear" w:color="auto" w:fill="auto"/>
            <w:vAlign w:val="center"/>
          </w:tcPr>
          <w:p w14:paraId="06F8F71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用于清洗仪器管路</w:t>
            </w:r>
          </w:p>
        </w:tc>
        <w:tc>
          <w:tcPr>
            <w:tcW w:w="675" w:type="dxa"/>
            <w:shd w:val="clear" w:color="auto" w:fill="auto"/>
            <w:vAlign w:val="center"/>
          </w:tcPr>
          <w:p w14:paraId="6492D5B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L</w:t>
            </w:r>
          </w:p>
        </w:tc>
        <w:tc>
          <w:tcPr>
            <w:tcW w:w="1027" w:type="dxa"/>
            <w:shd w:val="clear" w:color="auto" w:fill="auto"/>
            <w:vAlign w:val="center"/>
          </w:tcPr>
          <w:p w14:paraId="412745A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34.85 </w:t>
            </w:r>
          </w:p>
        </w:tc>
        <w:tc>
          <w:tcPr>
            <w:tcW w:w="1078" w:type="dxa"/>
            <w:shd w:val="clear" w:color="auto" w:fill="auto"/>
            <w:noWrap/>
            <w:vAlign w:val="center"/>
          </w:tcPr>
          <w:p w14:paraId="50F6BCB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A11B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680CA4B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68</w:t>
            </w:r>
          </w:p>
        </w:tc>
        <w:tc>
          <w:tcPr>
            <w:tcW w:w="2268" w:type="dxa"/>
            <w:shd w:val="clear" w:color="auto" w:fill="auto"/>
            <w:vAlign w:val="center"/>
          </w:tcPr>
          <w:p w14:paraId="364C0662">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探针清洗液</w:t>
            </w:r>
          </w:p>
        </w:tc>
        <w:tc>
          <w:tcPr>
            <w:tcW w:w="3045" w:type="dxa"/>
            <w:shd w:val="clear" w:color="auto" w:fill="auto"/>
            <w:vAlign w:val="center"/>
          </w:tcPr>
          <w:p w14:paraId="3E3B664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用于清洗仪器探针</w:t>
            </w:r>
          </w:p>
        </w:tc>
        <w:tc>
          <w:tcPr>
            <w:tcW w:w="675" w:type="dxa"/>
            <w:shd w:val="clear" w:color="auto" w:fill="auto"/>
            <w:vAlign w:val="center"/>
          </w:tcPr>
          <w:p w14:paraId="12E2455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58A30B49">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0.93 </w:t>
            </w:r>
          </w:p>
        </w:tc>
        <w:tc>
          <w:tcPr>
            <w:tcW w:w="1078" w:type="dxa"/>
            <w:shd w:val="clear" w:color="auto" w:fill="auto"/>
            <w:noWrap/>
            <w:vAlign w:val="center"/>
          </w:tcPr>
          <w:p w14:paraId="4C0FC36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0E292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0D9F94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69</w:t>
            </w:r>
          </w:p>
        </w:tc>
        <w:tc>
          <w:tcPr>
            <w:tcW w:w="2268" w:type="dxa"/>
            <w:shd w:val="clear" w:color="auto" w:fill="auto"/>
            <w:vAlign w:val="center"/>
          </w:tcPr>
          <w:p w14:paraId="66CA0F7C">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浓缩管路清洗液</w:t>
            </w:r>
          </w:p>
        </w:tc>
        <w:tc>
          <w:tcPr>
            <w:tcW w:w="3045" w:type="dxa"/>
            <w:shd w:val="clear" w:color="auto" w:fill="auto"/>
            <w:vAlign w:val="center"/>
          </w:tcPr>
          <w:p w14:paraId="560C3B78">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用于管路清洗</w:t>
            </w:r>
          </w:p>
        </w:tc>
        <w:tc>
          <w:tcPr>
            <w:tcW w:w="675" w:type="dxa"/>
            <w:shd w:val="clear" w:color="auto" w:fill="auto"/>
            <w:vAlign w:val="center"/>
          </w:tcPr>
          <w:p w14:paraId="371254A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L</w:t>
            </w:r>
          </w:p>
        </w:tc>
        <w:tc>
          <w:tcPr>
            <w:tcW w:w="1027" w:type="dxa"/>
            <w:shd w:val="clear" w:color="auto" w:fill="auto"/>
            <w:vAlign w:val="center"/>
          </w:tcPr>
          <w:p w14:paraId="35C5B00A">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657.89 </w:t>
            </w:r>
          </w:p>
        </w:tc>
        <w:tc>
          <w:tcPr>
            <w:tcW w:w="1078" w:type="dxa"/>
            <w:shd w:val="clear" w:color="auto" w:fill="auto"/>
            <w:noWrap/>
            <w:vAlign w:val="center"/>
          </w:tcPr>
          <w:p w14:paraId="5CCBB45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0B4D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398E7BE">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70</w:t>
            </w:r>
          </w:p>
        </w:tc>
        <w:tc>
          <w:tcPr>
            <w:tcW w:w="2268" w:type="dxa"/>
            <w:shd w:val="clear" w:color="auto" w:fill="auto"/>
            <w:vAlign w:val="center"/>
          </w:tcPr>
          <w:p w14:paraId="259A3A89">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癌抗原125检测试剂盒（磁微粒化学发光法）</w:t>
            </w:r>
          </w:p>
        </w:tc>
        <w:tc>
          <w:tcPr>
            <w:tcW w:w="3045" w:type="dxa"/>
            <w:shd w:val="clear" w:color="auto" w:fill="auto"/>
            <w:vAlign w:val="center"/>
          </w:tcPr>
          <w:p w14:paraId="62D89647">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本产品用于体外定量检测人血清中癌抗原125的浓度。主要用于对恶性肿瘤患者进行动态监测以辅助判断疾病进程或治疗效果，不能作为恶性肿瘤早期诊断或确诊的依据，不用于普通人群的肿瘤筛查。</w:t>
            </w:r>
          </w:p>
        </w:tc>
        <w:tc>
          <w:tcPr>
            <w:tcW w:w="675" w:type="dxa"/>
            <w:shd w:val="clear" w:color="auto" w:fill="auto"/>
            <w:vAlign w:val="center"/>
          </w:tcPr>
          <w:p w14:paraId="0EE4469D">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测试</w:t>
            </w:r>
          </w:p>
        </w:tc>
        <w:tc>
          <w:tcPr>
            <w:tcW w:w="1027" w:type="dxa"/>
            <w:shd w:val="clear" w:color="auto" w:fill="auto"/>
            <w:vAlign w:val="center"/>
          </w:tcPr>
          <w:p w14:paraId="26581D9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30.60 </w:t>
            </w:r>
          </w:p>
        </w:tc>
        <w:tc>
          <w:tcPr>
            <w:tcW w:w="1078" w:type="dxa"/>
            <w:shd w:val="clear" w:color="auto" w:fill="auto"/>
            <w:noWrap/>
            <w:vAlign w:val="center"/>
          </w:tcPr>
          <w:p w14:paraId="6DCD5AD6">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72B7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3616A3D5">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71</w:t>
            </w:r>
          </w:p>
        </w:tc>
        <w:tc>
          <w:tcPr>
            <w:tcW w:w="2268" w:type="dxa"/>
            <w:shd w:val="clear" w:color="auto" w:fill="auto"/>
            <w:vAlign w:val="center"/>
          </w:tcPr>
          <w:p w14:paraId="0DE4346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癌胚抗原125校准品</w:t>
            </w:r>
          </w:p>
        </w:tc>
        <w:tc>
          <w:tcPr>
            <w:tcW w:w="3045" w:type="dxa"/>
            <w:shd w:val="clear" w:color="auto" w:fill="auto"/>
            <w:vAlign w:val="center"/>
          </w:tcPr>
          <w:p w14:paraId="2665AB3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用于癌胚抗原125校准</w:t>
            </w:r>
          </w:p>
        </w:tc>
        <w:tc>
          <w:tcPr>
            <w:tcW w:w="675" w:type="dxa"/>
            <w:shd w:val="clear" w:color="auto" w:fill="auto"/>
            <w:vAlign w:val="center"/>
          </w:tcPr>
          <w:p w14:paraId="64A51246">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3A0EC8BC">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237.50 </w:t>
            </w:r>
          </w:p>
        </w:tc>
        <w:tc>
          <w:tcPr>
            <w:tcW w:w="1078" w:type="dxa"/>
            <w:shd w:val="clear" w:color="auto" w:fill="auto"/>
            <w:noWrap/>
            <w:vAlign w:val="center"/>
          </w:tcPr>
          <w:p w14:paraId="0E7C9EAD">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B649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AEAD110">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72</w:t>
            </w:r>
          </w:p>
        </w:tc>
        <w:tc>
          <w:tcPr>
            <w:tcW w:w="2268" w:type="dxa"/>
            <w:shd w:val="clear" w:color="auto" w:fill="auto"/>
            <w:vAlign w:val="center"/>
          </w:tcPr>
          <w:p w14:paraId="1DFB021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鳞状上皮细胞癌抗原校准品</w:t>
            </w:r>
          </w:p>
        </w:tc>
        <w:tc>
          <w:tcPr>
            <w:tcW w:w="3045" w:type="dxa"/>
            <w:shd w:val="clear" w:color="auto" w:fill="auto"/>
            <w:vAlign w:val="center"/>
          </w:tcPr>
          <w:p w14:paraId="028F853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用于配套检测系统上鳞状上皮细胞癌抗原检测试剂盒（磁微粒化学发光法）（二类）项目测定时的系统校准。</w:t>
            </w:r>
          </w:p>
        </w:tc>
        <w:tc>
          <w:tcPr>
            <w:tcW w:w="675" w:type="dxa"/>
            <w:shd w:val="clear" w:color="auto" w:fill="auto"/>
            <w:vAlign w:val="center"/>
          </w:tcPr>
          <w:p w14:paraId="3BD7147F">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787D2FC5">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237.50 </w:t>
            </w:r>
          </w:p>
        </w:tc>
        <w:tc>
          <w:tcPr>
            <w:tcW w:w="1078" w:type="dxa"/>
            <w:shd w:val="clear" w:color="auto" w:fill="auto"/>
            <w:noWrap/>
            <w:vAlign w:val="center"/>
          </w:tcPr>
          <w:p w14:paraId="0EB669F7">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2E5AC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6E735FB">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73</w:t>
            </w:r>
          </w:p>
        </w:tc>
        <w:tc>
          <w:tcPr>
            <w:tcW w:w="2268" w:type="dxa"/>
            <w:shd w:val="clear" w:color="auto" w:fill="auto"/>
            <w:vAlign w:val="center"/>
          </w:tcPr>
          <w:p w14:paraId="48C1546B">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胃泌素释放肽前体校准品</w:t>
            </w:r>
          </w:p>
        </w:tc>
        <w:tc>
          <w:tcPr>
            <w:tcW w:w="3045" w:type="dxa"/>
            <w:shd w:val="clear" w:color="auto" w:fill="auto"/>
            <w:vAlign w:val="center"/>
          </w:tcPr>
          <w:p w14:paraId="68440F60">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用于配套检测系统上胃泌素释放肽前体检测试剂盒（磁微粒化学发光法）（二类）项目测定时的系统校准。</w:t>
            </w:r>
          </w:p>
        </w:tc>
        <w:tc>
          <w:tcPr>
            <w:tcW w:w="675" w:type="dxa"/>
            <w:shd w:val="clear" w:color="auto" w:fill="auto"/>
            <w:vAlign w:val="center"/>
          </w:tcPr>
          <w:p w14:paraId="1AF5DAD0">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7E60F08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254.17 </w:t>
            </w:r>
          </w:p>
        </w:tc>
        <w:tc>
          <w:tcPr>
            <w:tcW w:w="1078" w:type="dxa"/>
            <w:shd w:val="clear" w:color="auto" w:fill="auto"/>
            <w:noWrap/>
            <w:vAlign w:val="center"/>
          </w:tcPr>
          <w:p w14:paraId="309711F4">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171F2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038C8A78">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74</w:t>
            </w:r>
          </w:p>
        </w:tc>
        <w:tc>
          <w:tcPr>
            <w:tcW w:w="2268" w:type="dxa"/>
            <w:shd w:val="clear" w:color="auto" w:fill="auto"/>
            <w:vAlign w:val="center"/>
          </w:tcPr>
          <w:p w14:paraId="7D7E6201">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抗缪勒氏管激素校准品</w:t>
            </w:r>
          </w:p>
        </w:tc>
        <w:tc>
          <w:tcPr>
            <w:tcW w:w="3045" w:type="dxa"/>
            <w:shd w:val="clear" w:color="auto" w:fill="auto"/>
            <w:vAlign w:val="center"/>
          </w:tcPr>
          <w:p w14:paraId="3DC6AEA4">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用于配套检测系统上抗缪勒氏管激素检测试剂盒（磁微粒化学发光法）项目测定时的系统校准。</w:t>
            </w:r>
          </w:p>
        </w:tc>
        <w:tc>
          <w:tcPr>
            <w:tcW w:w="675" w:type="dxa"/>
            <w:shd w:val="clear" w:color="auto" w:fill="auto"/>
            <w:vAlign w:val="center"/>
          </w:tcPr>
          <w:p w14:paraId="13D4E6F7">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417C97F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475.00 </w:t>
            </w:r>
          </w:p>
        </w:tc>
        <w:tc>
          <w:tcPr>
            <w:tcW w:w="1078" w:type="dxa"/>
            <w:shd w:val="clear" w:color="auto" w:fill="auto"/>
            <w:noWrap/>
            <w:vAlign w:val="center"/>
          </w:tcPr>
          <w:p w14:paraId="1602C5CA">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77D1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12EBC1EC">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75</w:t>
            </w:r>
          </w:p>
        </w:tc>
        <w:tc>
          <w:tcPr>
            <w:tcW w:w="2268" w:type="dxa"/>
            <w:shd w:val="clear" w:color="auto" w:fill="auto"/>
            <w:vAlign w:val="center"/>
          </w:tcPr>
          <w:p w14:paraId="623ABA1A">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游离三碘甲状腺原氨酸校准品</w:t>
            </w:r>
          </w:p>
        </w:tc>
        <w:tc>
          <w:tcPr>
            <w:tcW w:w="3045" w:type="dxa"/>
            <w:shd w:val="clear" w:color="auto" w:fill="auto"/>
            <w:vAlign w:val="center"/>
          </w:tcPr>
          <w:p w14:paraId="54BD7A86">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用于体外定量检测人血清中游离三碘甲状腺原氨酸（FT3）的含量，临床上主要用于辅助评价甲状腺功能。</w:t>
            </w:r>
          </w:p>
        </w:tc>
        <w:tc>
          <w:tcPr>
            <w:tcW w:w="675" w:type="dxa"/>
            <w:shd w:val="clear" w:color="auto" w:fill="auto"/>
            <w:vAlign w:val="center"/>
          </w:tcPr>
          <w:p w14:paraId="691D8644">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200EC058">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237.50 </w:t>
            </w:r>
          </w:p>
        </w:tc>
        <w:tc>
          <w:tcPr>
            <w:tcW w:w="1078" w:type="dxa"/>
            <w:shd w:val="clear" w:color="auto" w:fill="auto"/>
            <w:noWrap/>
            <w:vAlign w:val="center"/>
          </w:tcPr>
          <w:p w14:paraId="40C6CE01">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r w14:paraId="67C5E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6" w:type="dxa"/>
            <w:shd w:val="clear" w:color="auto" w:fill="auto"/>
            <w:vAlign w:val="center"/>
          </w:tcPr>
          <w:p w14:paraId="542904F2">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76</w:t>
            </w:r>
          </w:p>
        </w:tc>
        <w:tc>
          <w:tcPr>
            <w:tcW w:w="2268" w:type="dxa"/>
            <w:shd w:val="clear" w:color="auto" w:fill="auto"/>
            <w:vAlign w:val="center"/>
          </w:tcPr>
          <w:p w14:paraId="77CBC8CE">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游离甲状腺素校准品（FT4 Calibrator）</w:t>
            </w:r>
          </w:p>
        </w:tc>
        <w:tc>
          <w:tcPr>
            <w:tcW w:w="3045" w:type="dxa"/>
            <w:shd w:val="clear" w:color="auto" w:fill="auto"/>
            <w:vAlign w:val="center"/>
          </w:tcPr>
          <w:p w14:paraId="4628AB9D">
            <w:pPr>
              <w:keepNext w:val="0"/>
              <w:keepLines w:val="0"/>
              <w:widowControl/>
              <w:suppressLineNumbers w:val="0"/>
              <w:jc w:val="left"/>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用于体外定量检测人血清中游离甲状腺素（FT4）的含量。</w:t>
            </w:r>
          </w:p>
        </w:tc>
        <w:tc>
          <w:tcPr>
            <w:tcW w:w="675" w:type="dxa"/>
            <w:shd w:val="clear" w:color="auto" w:fill="auto"/>
            <w:vAlign w:val="center"/>
          </w:tcPr>
          <w:p w14:paraId="004760C3">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027" w:type="dxa"/>
            <w:shd w:val="clear" w:color="auto" w:fill="auto"/>
            <w:vAlign w:val="center"/>
          </w:tcPr>
          <w:p w14:paraId="6CBD1DDB">
            <w:pPr>
              <w:keepNext w:val="0"/>
              <w:keepLines w:val="0"/>
              <w:widowControl/>
              <w:suppressLineNumbers w:val="0"/>
              <w:jc w:val="center"/>
              <w:textAlignment w:val="center"/>
              <w:rPr>
                <w:rFonts w:hint="eastAsia" w:ascii="仿宋" w:hAnsi="仿宋" w:eastAsia="仿宋" w:cs="仿宋"/>
                <w:i w:val="0"/>
                <w:iCs w:val="0"/>
                <w:color w:val="000000"/>
                <w:kern w:val="0"/>
                <w:sz w:val="18"/>
                <w:szCs w:val="18"/>
                <w:highlight w:val="none"/>
                <w:u w:val="none"/>
                <w:lang w:val="en-US" w:eastAsia="zh-CN" w:bidi="ar"/>
              </w:rPr>
            </w:pPr>
            <w:r>
              <w:rPr>
                <w:rFonts w:hint="eastAsia" w:ascii="仿宋" w:hAnsi="仿宋" w:eastAsia="仿宋" w:cs="仿宋"/>
                <w:i w:val="0"/>
                <w:iCs w:val="0"/>
                <w:color w:val="000000"/>
                <w:kern w:val="0"/>
                <w:sz w:val="18"/>
                <w:szCs w:val="18"/>
                <w:u w:val="none"/>
                <w:lang w:val="en-US" w:eastAsia="zh-CN" w:bidi="ar"/>
              </w:rPr>
              <w:t xml:space="preserve">237.50 </w:t>
            </w:r>
          </w:p>
        </w:tc>
        <w:tc>
          <w:tcPr>
            <w:tcW w:w="1078" w:type="dxa"/>
            <w:shd w:val="clear" w:color="auto" w:fill="auto"/>
            <w:noWrap/>
            <w:vAlign w:val="center"/>
          </w:tcPr>
          <w:p w14:paraId="59785D23">
            <w:pPr>
              <w:keepNext w:val="0"/>
              <w:keepLines w:val="0"/>
              <w:widowControl/>
              <w:suppressLineNumbers w:val="0"/>
              <w:jc w:val="center"/>
              <w:textAlignment w:val="center"/>
              <w:rPr>
                <w:rFonts w:hint="eastAsia" w:ascii="仿宋" w:hAnsi="仿宋" w:eastAsia="仿宋" w:cs="仿宋"/>
                <w:color w:val="auto"/>
                <w:sz w:val="18"/>
                <w:szCs w:val="18"/>
                <w:highlight w:val="none"/>
                <w:lang w:val="en-US" w:eastAsia="zh-CN"/>
              </w:rPr>
            </w:pPr>
            <w:r>
              <w:rPr>
                <w:rFonts w:hint="eastAsia" w:ascii="仿宋" w:hAnsi="仿宋" w:eastAsia="仿宋" w:cs="仿宋"/>
                <w:i w:val="0"/>
                <w:iCs w:val="0"/>
                <w:color w:val="000000"/>
                <w:kern w:val="0"/>
                <w:sz w:val="18"/>
                <w:szCs w:val="18"/>
                <w:u w:val="none"/>
                <w:lang w:val="en-US" w:eastAsia="zh-CN" w:bidi="ar"/>
              </w:rPr>
              <w:t>HISCL5000全自动化学发光免疫分析仪</w:t>
            </w:r>
          </w:p>
        </w:tc>
      </w:tr>
    </w:tbl>
    <w:p w14:paraId="5ABD762E">
      <w:pPr>
        <w:rPr>
          <w:rFonts w:hint="eastAsia" w:ascii="仿宋" w:hAnsi="仿宋" w:eastAsia="仿宋" w:cs="仿宋"/>
          <w:b/>
          <w:bCs/>
          <w:color w:val="auto"/>
          <w:sz w:val="24"/>
          <w:szCs w:val="24"/>
          <w:highlight w:val="none"/>
          <w:lang w:val="en-US" w:eastAsia="zh-CN"/>
        </w:rPr>
      </w:pPr>
    </w:p>
    <w:p w14:paraId="2D52ABE2">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二、商务要求</w:t>
      </w:r>
    </w:p>
    <w:p w14:paraId="3C0AF495">
      <w:pPr>
        <w:pStyle w:val="21"/>
        <w:keepNext w:val="0"/>
        <w:keepLines w:val="0"/>
        <w:pageBreakBefore w:val="0"/>
        <w:widowControl w:val="0"/>
        <w:kinsoku/>
        <w:wordWrap/>
        <w:overflowPunct/>
        <w:topLinePunct w:val="0"/>
        <w:autoSpaceDE/>
        <w:autoSpaceDN/>
        <w:bidi w:val="0"/>
        <w:adjustRightInd/>
        <w:snapToGrid/>
        <w:spacing w:after="0" w:line="480" w:lineRule="exact"/>
        <w:ind w:left="0" w:leftChars="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1、采购项目（标的）实施期限：供应期限1年，中标商承担试剂耗材所使用的设备的维护保养、性能验证及年度计量检定。</w:t>
      </w:r>
      <w:r>
        <w:rPr>
          <w:rFonts w:hint="eastAsia" w:ascii="仿宋" w:hAnsi="仿宋" w:eastAsia="仿宋" w:cs="仿宋"/>
          <w:b/>
          <w:bCs/>
          <w:color w:val="auto"/>
          <w:sz w:val="24"/>
          <w:szCs w:val="24"/>
          <w:highlight w:val="none"/>
          <w:lang w:val="en-US" w:eastAsia="zh-CN"/>
        </w:rPr>
        <w:t>（需提供承诺函）</w:t>
      </w:r>
    </w:p>
    <w:p w14:paraId="775E9675">
      <w:pPr>
        <w:pStyle w:val="21"/>
        <w:keepNext w:val="0"/>
        <w:keepLines w:val="0"/>
        <w:pageBreakBefore w:val="0"/>
        <w:widowControl w:val="0"/>
        <w:kinsoku/>
        <w:wordWrap/>
        <w:overflowPunct/>
        <w:topLinePunct w:val="0"/>
        <w:autoSpaceDE/>
        <w:autoSpaceDN/>
        <w:bidi w:val="0"/>
        <w:adjustRightInd/>
        <w:snapToGrid/>
        <w:spacing w:after="0" w:line="480" w:lineRule="exact"/>
        <w:ind w:left="0" w:leftChars="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2、采购项目（标的）实施的地点：采购人指定地点</w:t>
      </w:r>
    </w:p>
    <w:p w14:paraId="1CDFA70E">
      <w:pPr>
        <w:pStyle w:val="21"/>
        <w:keepNext w:val="0"/>
        <w:keepLines w:val="0"/>
        <w:pageBreakBefore w:val="0"/>
        <w:widowControl w:val="0"/>
        <w:kinsoku/>
        <w:wordWrap/>
        <w:overflowPunct/>
        <w:topLinePunct w:val="0"/>
        <w:autoSpaceDE/>
        <w:autoSpaceDN/>
        <w:bidi w:val="0"/>
        <w:adjustRightInd/>
        <w:snapToGrid/>
        <w:spacing w:after="0" w:line="480" w:lineRule="exact"/>
        <w:ind w:left="0" w:leftChars="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付款条件：甲方应当按照实际使用量，与乙方办理结算付款。具体结算付款流程为：甲乙双方每月对实际使用的数量进行书面确认，该书面确认单作为每结算同期内确认实际供货数量的依据；乙方接受乙方供应的产品按照甲方财务结算制度确定结算付款周期为：（月/季度/半年/年）；每一结算周期届满后7个工作日内，甲乙双方依据上一结算周期内双方无异议的实际供货数量（书面确认单）结合合同约定单价确认上一周期货款数额，并于货款数额确认后30个工作日内支付至乙方指定账户。</w:t>
      </w:r>
    </w:p>
    <w:p w14:paraId="5DDA9EFE">
      <w:pPr>
        <w:pStyle w:val="21"/>
        <w:keepNext w:val="0"/>
        <w:keepLines w:val="0"/>
        <w:pageBreakBefore w:val="0"/>
        <w:widowControl w:val="0"/>
        <w:numPr>
          <w:ilvl w:val="0"/>
          <w:numId w:val="0"/>
        </w:numPr>
        <w:kinsoku/>
        <w:wordWrap/>
        <w:overflowPunct/>
        <w:topLinePunct w:val="0"/>
        <w:autoSpaceDE/>
        <w:autoSpaceDN/>
        <w:bidi w:val="0"/>
        <w:adjustRightInd/>
        <w:snapToGrid/>
        <w:spacing w:after="0" w:line="480" w:lineRule="exact"/>
        <w:ind w:left="0" w:leftChars="0" w:firstLine="0" w:firstLineChars="0"/>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0"/>
          <w:sz w:val="24"/>
          <w:szCs w:val="24"/>
          <w:highlight w:val="none"/>
          <w:lang w:val="en-US" w:eastAsia="zh-CN" w:bidi="ar-SA"/>
        </w:rPr>
        <w:t>4、</w:t>
      </w:r>
      <w:r>
        <w:rPr>
          <w:rFonts w:hint="eastAsia" w:ascii="仿宋" w:hAnsi="仿宋" w:eastAsia="仿宋" w:cs="仿宋"/>
          <w:b/>
          <w:bCs/>
          <w:color w:val="auto"/>
          <w:sz w:val="24"/>
          <w:szCs w:val="24"/>
          <w:highlight w:val="none"/>
          <w:lang w:val="en-US" w:eastAsia="zh-CN"/>
        </w:rPr>
        <w:t>报价要求：投标人以每个品目的规格要求填报最小单位单价。投标书及开标一览表中投标报价为各品目单价合计。年供货数量以实际发生数量为准。备注：最小单位指在注册证或者产品包装所体现的最小计量单位。报价还需填写入库包装规格及价格。投标报价包含成本、运输、包装、售后服务、税费及其他一切完成本项目采购需求全部内容的费用，试剂耗材报价以不高于最小单位限价为准，并且不得高于本地三级甲等医院的最低价（需提供承诺函加盖公章），投标人所报价格为含税、配送费用等的全包价；</w:t>
      </w:r>
    </w:p>
    <w:p w14:paraId="3C2A9648">
      <w:pPr>
        <w:pStyle w:val="20"/>
        <w:ind w:left="0" w:leftChars="0" w:firstLine="0" w:firstLineChars="0"/>
        <w:rPr>
          <w:rFonts w:hint="default"/>
          <w:highlight w:val="none"/>
          <w:lang w:val="en-US" w:eastAsia="zh-CN"/>
        </w:rPr>
      </w:pPr>
      <w:r>
        <w:rPr>
          <w:rFonts w:hint="eastAsia" w:ascii="仿宋" w:hAnsi="仿宋" w:eastAsia="仿宋" w:cs="仿宋"/>
          <w:b w:val="0"/>
          <w:bCs w:val="0"/>
          <w:color w:val="auto"/>
          <w:sz w:val="24"/>
          <w:szCs w:val="24"/>
          <w:highlight w:val="none"/>
          <w:lang w:val="en-US" w:eastAsia="zh-CN"/>
        </w:rPr>
        <w:t>5、本次所采购的试剂耗材需匹配医院现有设备使用，若投标供应商成交后因供应商所投产品不能完全匹配采购单位设备机型使用，导致采购单位设备无法正常运转，采购单位有权进行退货并取消其中标资格，所产生的一切后果由投标供应商自行承担。</w:t>
      </w:r>
      <w:r>
        <w:rPr>
          <w:rFonts w:hint="eastAsia" w:ascii="仿宋" w:hAnsi="仿宋" w:eastAsia="仿宋" w:cs="仿宋"/>
          <w:b/>
          <w:bCs/>
          <w:color w:val="auto"/>
          <w:sz w:val="24"/>
          <w:szCs w:val="24"/>
          <w:highlight w:val="none"/>
          <w:lang w:val="en-US" w:eastAsia="zh-CN"/>
        </w:rPr>
        <w:t>（需提供承诺函）</w:t>
      </w:r>
      <w:r>
        <w:rPr>
          <w:rFonts w:hint="eastAsia" w:ascii="仿宋" w:hAnsi="仿宋" w:eastAsia="仿宋" w:cs="仿宋"/>
          <w:b w:val="0"/>
          <w:bCs w:val="0"/>
          <w:color w:val="auto"/>
          <w:sz w:val="24"/>
          <w:szCs w:val="24"/>
          <w:highlight w:val="none"/>
          <w:lang w:val="en-US" w:eastAsia="zh-CN"/>
        </w:rPr>
        <w:t xml:space="preserve">    </w:t>
      </w:r>
    </w:p>
    <w:p w14:paraId="557C3F77">
      <w:pPr>
        <w:pStyle w:val="21"/>
        <w:keepNext w:val="0"/>
        <w:keepLines w:val="0"/>
        <w:pageBreakBefore w:val="0"/>
        <w:widowControl w:val="0"/>
        <w:numPr>
          <w:ilvl w:val="0"/>
          <w:numId w:val="0"/>
        </w:numPr>
        <w:kinsoku/>
        <w:wordWrap/>
        <w:overflowPunct/>
        <w:topLinePunct w:val="0"/>
        <w:autoSpaceDE/>
        <w:autoSpaceDN/>
        <w:bidi w:val="0"/>
        <w:adjustRightInd/>
        <w:snapToGrid/>
        <w:spacing w:after="0" w:line="480" w:lineRule="exact"/>
        <w:ind w:left="0" w:leftChars="0" w:firstLine="0" w:firstLineChars="0"/>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bidi="ar-SA"/>
        </w:rPr>
        <w:t>6、</w:t>
      </w:r>
      <w:r>
        <w:rPr>
          <w:rFonts w:hint="eastAsia" w:ascii="仿宋" w:hAnsi="仿宋" w:eastAsia="仿宋" w:cs="仿宋"/>
          <w:b w:val="0"/>
          <w:bCs w:val="0"/>
          <w:color w:val="auto"/>
          <w:sz w:val="24"/>
          <w:szCs w:val="24"/>
          <w:highlight w:val="none"/>
          <w:lang w:val="en-US" w:eastAsia="zh-CN"/>
        </w:rPr>
        <w:t xml:space="preserve">合同履行期间，如所供产品参加国家集中带量采购、各类省际联盟带量采购，按集采谈判的价格结果进行网上采购；如在新疆维吾尔自治区药品和医用耗材招采管理系统挂网或进入“中部联盟”中选目录等符合上级主管部门的政策性要求时，按照相关政策执行。以上项目执行后如遇政策性调价或供应商自愿降价等，按更新后的价格执行，尚未履行交付的耗材参照更新后的最低价格执行。 </w:t>
      </w:r>
    </w:p>
    <w:p w14:paraId="6EDA0136">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7、第一包AU5800生化分析仪试剂属封闭通道使用，投标商需从设备生产商购买封闭通道开放使用权。</w:t>
      </w:r>
    </w:p>
    <w:p w14:paraId="7DFF75D6">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ascii="仿宋" w:hAnsi="仿宋" w:eastAsia="仿宋" w:cs="仿宋"/>
          <w:b w:val="0"/>
          <w:bCs w:val="0"/>
          <w:color w:val="auto"/>
          <w:sz w:val="24"/>
          <w:szCs w:val="24"/>
          <w:highlight w:val="none"/>
          <w:lang w:val="en-US" w:eastAsia="zh-CN"/>
        </w:rPr>
      </w:pPr>
    </w:p>
    <w:p w14:paraId="410F1E25">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三、其他技术要求</w:t>
      </w:r>
    </w:p>
    <w:p w14:paraId="65C51317">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1.质量要求</w:t>
      </w:r>
    </w:p>
    <w:p w14:paraId="7E277D09">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质量标准：符合国家及行业现行相关标准。采购人对不符合质量、有效期、包装和订单数量要求的产品，有权拒绝接收，投标人应对不符合要求的产品及时进行更换，不得影响采购人的使用。采购人有权对投标人交付的产品进行抽样检验，检验应当由具备检验资质的机构实施，投标人认可检测结果并承担检测费用。</w:t>
      </w:r>
    </w:p>
    <w:p w14:paraId="3DAB5F39">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1.2所投试剂及耗材均为正品，所有产品如出现质量问题需无条件退换货。</w:t>
      </w:r>
    </w:p>
    <w:p w14:paraId="1EA3B8F9">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1.3本项目采购的试剂、耗材应经过严格质量监控，保证试剂、耗材内外包装的生产批号完全一致。</w:t>
      </w:r>
    </w:p>
    <w:p w14:paraId="4293C4A0">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中标人应保证所供产品是全新的、未使用过的，完全符合国家及行业现行相关标准规定的质量、规格、环保和性能等要求；投标货物与产品应满足国家规定的安全指标；投标人所投货物必须是国家批准正式生产和市场准入的成熟货物。</w:t>
      </w:r>
    </w:p>
    <w:p w14:paraId="4057EC99">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2.配送和运输</w:t>
      </w:r>
    </w:p>
    <w:p w14:paraId="1446F061">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货物运输符合的相关国际惯例，试剂、耗材运达所产生的费用由供应商负责。运输途中的货物破损及损失风险由供应商承担，供应商承担运费。投标人应具有与本次招标的供货规模和范围相适应的场地、标的货物供应保障、专业运输仓储设施设备。投标人需按照本项目需求提供拟定配送方案（配送方案应包括但不限于响应时间、运输仓储条件等）、应急预案（投标人应制定应急预案以应对本项目采购的试剂耗材储运过程中发生的异常情况，保证试剂耗材安全、准确、及时送达）；</w:t>
      </w:r>
    </w:p>
    <w:p w14:paraId="60759AEA">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运送本项目试剂耗材的车辆应使用专用封闭厢式货车，并针对运输试剂耗材的包装条件及道路、天气状况采取相应措施，防止对试剂耗材质量造成影响。对有温度要求试剂耗材的运输，应有冷藏或保温的措施，并严格按照《医疗器械冷链（运输、贮存）管理指南》（国家食品药品监督管理局【2016】第 154 号）要求进行贮存与运输管理。</w:t>
      </w:r>
    </w:p>
    <w:p w14:paraId="7CFA5E25">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3.售后服务</w:t>
      </w:r>
    </w:p>
    <w:p w14:paraId="790D4E0A">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质保期：中标方提供的医用耗材资质齐全，内外包装上均需注明有效期,有效期与投标文件中规定的有效期相一致且不得少于12个月（或试剂实际有效期），包装符合国家、行业标准规定的保护措施。中标方送货至使用方的库存物品接近效期的，中标方有责任进行无条件调换或退货。</w:t>
      </w:r>
    </w:p>
    <w:p w14:paraId="168AC71D">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3.2产品送达后，经验收不合格的，投标人必须在 48 小时内予以更换。在质量保证期内，投标人应对由于设计、工艺或者材料的缺陷而发生的任何不足或故障负责，并承担因此而发生的一切费用。连续出现两次质量问题，采购人有权中止该投标人的供货。</w:t>
      </w:r>
    </w:p>
    <w:p w14:paraId="1A8F6B6E">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3.3针对采购人的具体需求及招标文件的有关要求提出质量保证和售后服务方案。对于投标人所配送的产品在有效期内出现质量问题时，投标人应在 24 小时内退货，48 小时内更换合格产品，承担由此引发的医疗纠纷中产生的一切费用，并出具针对此问题原因的书面分析报告。连续出现两次质量问题，采购人有权中止该投标人的供货。</w:t>
      </w:r>
    </w:p>
    <w:p w14:paraId="47BDB8E4">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3.4投标人每批所供产品的实际使用有效期（实际使用有效期指交货当日至产品失效之日）自交货当天起算应不小于6个月或不小于产品有效期的50%。如采购人存放的产品的实际使用有效期不足2个月时，投标人需按照采购人要求无条件跟换新产品。（投标人必须提供由法定代表人或法定代表人授权代表签字的承诺函原件，并加盖投标人公章，内容必须包括：我单位承诺，每批次所供产品的实际使用有效期（实际使用有效期指交货当日至产品失效之日）自交货当天起算应不小于6个月或不小于产品有效期的50%。如采购人存放的产品的实际使用有效期不足2个月时，投标人需按照采购人要求无条件跟换新产品。）</w:t>
      </w:r>
    </w:p>
    <w:p w14:paraId="73C1B222">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3.5 投标人应针对本项目组建专有服务团队。团队人员应根据项目要求配备，包括但不限于配送人员，技术支持人员，商务人员等。。</w:t>
      </w:r>
    </w:p>
    <w:p w14:paraId="655650A0">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3.6对于投标人所配送的产品由于非采购人原因的，如国家政策变化或产品本身质量原因或被国家禁用不允许使用的产品，投标人应给予无条件退货。</w:t>
      </w:r>
    </w:p>
    <w:p w14:paraId="61F772C3">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default" w:ascii="仿宋" w:hAnsi="仿宋" w:eastAsia="仿宋" w:cs="仿宋"/>
          <w:color w:val="auto"/>
          <w:sz w:val="24"/>
          <w:szCs w:val="24"/>
          <w:highlight w:val="none"/>
          <w:lang w:val="en-US" w:eastAsia="zh-CN"/>
        </w:rPr>
      </w:pPr>
    </w:p>
    <w:p w14:paraId="75E6D952">
      <w:pPr>
        <w:keepNext w:val="0"/>
        <w:keepLines w:val="0"/>
        <w:pageBreakBefore w:val="0"/>
        <w:widowControl w:val="0"/>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p>
    <w:p w14:paraId="3ACA449F">
      <w:pPr>
        <w:pStyle w:val="21"/>
        <w:keepNext w:val="0"/>
        <w:keepLines w:val="0"/>
        <w:pageBreakBefore w:val="0"/>
        <w:widowControl w:val="0"/>
        <w:kinsoku/>
        <w:wordWrap/>
        <w:overflowPunct/>
        <w:topLinePunct w:val="0"/>
        <w:autoSpaceDE/>
        <w:autoSpaceDN/>
        <w:bidi w:val="0"/>
        <w:adjustRightInd/>
        <w:snapToGrid/>
        <w:spacing w:after="0" w:line="480" w:lineRule="exact"/>
        <w:ind w:left="0" w:leftChars="0"/>
        <w:textAlignment w:val="auto"/>
        <w:rPr>
          <w:rFonts w:hint="eastAsia" w:ascii="仿宋" w:hAnsi="仿宋" w:eastAsia="仿宋" w:cs="仿宋"/>
          <w:color w:val="auto"/>
          <w:sz w:val="24"/>
          <w:szCs w:val="24"/>
          <w:highlight w:val="none"/>
          <w:lang w:val="en-US" w:eastAsia="zh-CN"/>
        </w:rPr>
      </w:pPr>
    </w:p>
    <w:p w14:paraId="7F01862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sz w:val="24"/>
          <w:szCs w:val="24"/>
          <w:highlight w:val="none"/>
          <w:lang w:val="en-US" w:eastAsia="zh-CN"/>
        </w:rPr>
      </w:pPr>
    </w:p>
    <w:p w14:paraId="5CD9A0A8">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47BE27EA">
      <w:pPr>
        <w:pStyle w:val="3"/>
        <w:numPr>
          <w:ilvl w:val="0"/>
          <w:numId w:val="1"/>
        </w:numPr>
        <w:bidi w:val="0"/>
        <w:jc w:val="center"/>
        <w:rPr>
          <w:rFonts w:hint="eastAsia" w:ascii="仿宋" w:hAnsi="仿宋" w:eastAsia="仿宋" w:cs="仿宋"/>
          <w:color w:val="auto"/>
          <w:sz w:val="32"/>
          <w:szCs w:val="32"/>
          <w:highlight w:val="none"/>
          <w:lang w:val="en-US" w:eastAsia="zh-CN"/>
        </w:rPr>
      </w:pPr>
      <w:bookmarkStart w:id="22" w:name="_Toc6781"/>
      <w:r>
        <w:rPr>
          <w:rFonts w:hint="eastAsia" w:ascii="仿宋" w:hAnsi="仿宋" w:eastAsia="仿宋" w:cs="仿宋"/>
          <w:color w:val="auto"/>
          <w:sz w:val="32"/>
          <w:szCs w:val="32"/>
          <w:highlight w:val="none"/>
          <w:lang w:val="en-US" w:eastAsia="zh-CN"/>
        </w:rPr>
        <w:t>评标程序、评标方法和评标标准</w:t>
      </w:r>
      <w:bookmarkEnd w:id="22"/>
    </w:p>
    <w:p w14:paraId="23EC730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79DF5173">
      <w:pPr>
        <w:keepNext w:val="0"/>
        <w:keepLines w:val="0"/>
        <w:pageBreakBefore w:val="0"/>
        <w:widowControl w:val="0"/>
        <w:numPr>
          <w:ilvl w:val="0"/>
          <w:numId w:val="14"/>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lang w:val="en-US" w:eastAsia="zh-CN"/>
        </w:rPr>
      </w:pPr>
      <w:bookmarkStart w:id="23" w:name="_Toc29440"/>
      <w:r>
        <w:rPr>
          <w:rFonts w:hint="eastAsia" w:ascii="仿宋" w:hAnsi="仿宋" w:eastAsia="仿宋" w:cs="仿宋"/>
          <w:b/>
          <w:bCs/>
          <w:color w:val="auto"/>
          <w:sz w:val="24"/>
          <w:szCs w:val="24"/>
          <w:highlight w:val="none"/>
          <w:lang w:val="en-US" w:eastAsia="zh-CN"/>
        </w:rPr>
        <w:t>评标方法</w:t>
      </w:r>
      <w:bookmarkEnd w:id="23"/>
      <w:r>
        <w:rPr>
          <w:rFonts w:hint="eastAsia" w:ascii="仿宋" w:hAnsi="仿宋" w:eastAsia="仿宋" w:cs="仿宋"/>
          <w:b/>
          <w:bCs/>
          <w:color w:val="auto"/>
          <w:sz w:val="24"/>
          <w:szCs w:val="24"/>
          <w:highlight w:val="none"/>
          <w:lang w:val="en-US" w:eastAsia="zh-CN"/>
        </w:rPr>
        <w:t xml:space="preserve"> </w:t>
      </w:r>
    </w:p>
    <w:p w14:paraId="754ABFE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本项目采用综合评分法，是指投标文件满足招标文件全部实质性要求，且按照评审因素的量化指标评审得分最高的投标人为中标候选人的评标方法。</w:t>
      </w:r>
    </w:p>
    <w:p w14:paraId="79088F67">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4" w:name="_Toc20756"/>
      <w:r>
        <w:rPr>
          <w:rFonts w:hint="eastAsia" w:ascii="仿宋" w:hAnsi="仿宋" w:eastAsia="仿宋" w:cs="仿宋"/>
          <w:b/>
          <w:bCs/>
          <w:color w:val="auto"/>
          <w:sz w:val="24"/>
          <w:szCs w:val="24"/>
          <w:highlight w:val="none"/>
          <w:lang w:val="en-US" w:eastAsia="zh-CN"/>
        </w:rPr>
        <w:t>评标原则</w:t>
      </w:r>
      <w:bookmarkEnd w:id="24"/>
    </w:p>
    <w:p w14:paraId="606314A4">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评标活动遵循公平、公正、科学和择优的原则，以招标文件和投标文件为评标的基本依据，并按照招标文件规定的评标方法和评标标准进行评标。</w:t>
      </w:r>
    </w:p>
    <w:p w14:paraId="1331A09F">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具体评审事项由评标委员会负责，并按招标文件的规定办法进行评审。对招标文件中描述有歧义或前后不一致的地方，评标委员会有权按法律法规的规定进行评判，但对同一条款的评判应适用于每个投标人。</w:t>
      </w:r>
    </w:p>
    <w:p w14:paraId="019DE558">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5" w:name="_Toc24688"/>
      <w:r>
        <w:rPr>
          <w:rFonts w:hint="eastAsia" w:ascii="仿宋" w:hAnsi="仿宋" w:eastAsia="仿宋" w:cs="仿宋"/>
          <w:b/>
          <w:bCs/>
          <w:color w:val="auto"/>
          <w:sz w:val="24"/>
          <w:szCs w:val="24"/>
          <w:highlight w:val="none"/>
          <w:lang w:val="en-US" w:eastAsia="zh-CN"/>
        </w:rPr>
        <w:t>资格审查</w:t>
      </w:r>
      <w:bookmarkEnd w:id="25"/>
    </w:p>
    <w:p w14:paraId="6F63F78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处理，不进入符合性审查。资格审查要求如下：</w:t>
      </w:r>
    </w:p>
    <w:p w14:paraId="75C6B53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资格审查要求</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536"/>
        <w:gridCol w:w="5228"/>
      </w:tblGrid>
      <w:tr w14:paraId="7FC2A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B1071F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2536" w:type="dxa"/>
            <w:vAlign w:val="center"/>
          </w:tcPr>
          <w:p w14:paraId="1F90040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5228" w:type="dxa"/>
            <w:vAlign w:val="center"/>
          </w:tcPr>
          <w:p w14:paraId="1A6F5DA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r>
      <w:tr w14:paraId="0B7F0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7D6D87C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2536" w:type="dxa"/>
            <w:vAlign w:val="center"/>
          </w:tcPr>
          <w:p w14:paraId="70D0231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具有独立承担民事责任的能力</w:t>
            </w:r>
          </w:p>
        </w:tc>
        <w:tc>
          <w:tcPr>
            <w:tcW w:w="5228" w:type="dxa"/>
            <w:vAlign w:val="center"/>
          </w:tcPr>
          <w:p w14:paraId="6E6E41D6">
            <w:pPr>
              <w:spacing w:line="360" w:lineRule="exact"/>
              <w:rPr>
                <w:rFonts w:ascii="仿宋" w:hAnsi="仿宋" w:eastAsia="仿宋" w:cs="仿宋"/>
                <w:szCs w:val="21"/>
                <w:highlight w:val="none"/>
              </w:rPr>
            </w:pPr>
            <w:r>
              <w:rPr>
                <w:rFonts w:hint="eastAsia" w:ascii="仿宋" w:hAnsi="仿宋" w:eastAsia="仿宋" w:cs="仿宋"/>
                <w:szCs w:val="21"/>
                <w:highlight w:val="none"/>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070F2F4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lang w:val="en-US" w:eastAsia="zh-CN"/>
              </w:rPr>
            </w:pPr>
            <w:r>
              <w:rPr>
                <w:rFonts w:hint="eastAsia" w:ascii="仿宋" w:hAnsi="仿宋" w:eastAsia="仿宋" w:cs="仿宋"/>
                <w:szCs w:val="21"/>
                <w:highlight w:val="none"/>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41D2E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27E05E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2536" w:type="dxa"/>
            <w:vAlign w:val="center"/>
          </w:tcPr>
          <w:p w14:paraId="2C7AD65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具有良好的商业信誉和健全的财务会计制度</w:t>
            </w:r>
          </w:p>
        </w:tc>
        <w:tc>
          <w:tcPr>
            <w:tcW w:w="5228" w:type="dxa"/>
            <w:vAlign w:val="center"/>
          </w:tcPr>
          <w:p w14:paraId="62645A1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szCs w:val="21"/>
                <w:highlight w:val="none"/>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14:paraId="5D1BF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80E9BF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2536" w:type="dxa"/>
            <w:vAlign w:val="center"/>
          </w:tcPr>
          <w:p w14:paraId="6429013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具有履行合同所必需的设备和专业技术能力</w:t>
            </w:r>
          </w:p>
        </w:tc>
        <w:tc>
          <w:tcPr>
            <w:tcW w:w="5228" w:type="dxa"/>
            <w:vAlign w:val="center"/>
          </w:tcPr>
          <w:p w14:paraId="4880D2F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须提供具备履行合同所必需的设备和专业技术能力的书面声明原件</w:t>
            </w:r>
          </w:p>
        </w:tc>
      </w:tr>
      <w:tr w14:paraId="34390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F15B55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2536" w:type="dxa"/>
            <w:vAlign w:val="center"/>
          </w:tcPr>
          <w:p w14:paraId="0FA2300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有依法缴纳税收和依法缴纳社会保障资金的记录</w:t>
            </w:r>
          </w:p>
        </w:tc>
        <w:tc>
          <w:tcPr>
            <w:tcW w:w="5228" w:type="dxa"/>
            <w:vAlign w:val="center"/>
          </w:tcPr>
          <w:p w14:paraId="50DED03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560C210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15B78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0A7573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2536" w:type="dxa"/>
            <w:vAlign w:val="center"/>
          </w:tcPr>
          <w:p w14:paraId="64EDC3E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参加政府采购活动前三年内，在经营活动中没有重大违法记录</w:t>
            </w:r>
          </w:p>
        </w:tc>
        <w:tc>
          <w:tcPr>
            <w:tcW w:w="5228" w:type="dxa"/>
            <w:vAlign w:val="center"/>
          </w:tcPr>
          <w:p w14:paraId="72643C7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须提供声明函原件</w:t>
            </w:r>
          </w:p>
        </w:tc>
      </w:tr>
      <w:tr w14:paraId="514F9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F6E8C9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2536" w:type="dxa"/>
            <w:vAlign w:val="center"/>
          </w:tcPr>
          <w:p w14:paraId="4EAFB34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投标人信用记录</w:t>
            </w:r>
          </w:p>
        </w:tc>
        <w:tc>
          <w:tcPr>
            <w:tcW w:w="5228" w:type="dxa"/>
            <w:vAlign w:val="center"/>
          </w:tcPr>
          <w:p w14:paraId="6747DD6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查询渠道：信用中国网站和中国政府采购网</w:t>
            </w:r>
          </w:p>
          <w:p w14:paraId="1FC3080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查询时间：投标截止时间后至资格审查阶段完成；</w:t>
            </w:r>
          </w:p>
          <w:p w14:paraId="0AECC8A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联合体形式投标的，联合体成员存在不良信用记录，视同联合体存在不良信用记录。</w:t>
            </w:r>
          </w:p>
          <w:p w14:paraId="6AFEA30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无须投标人提供，由采购人或采购代理机构查询结果为准。</w:t>
            </w:r>
          </w:p>
        </w:tc>
      </w:tr>
      <w:tr w14:paraId="69E25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38D1DFA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2536" w:type="dxa"/>
            <w:vAlign w:val="center"/>
          </w:tcPr>
          <w:p w14:paraId="095BF89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投标保证金</w:t>
            </w:r>
          </w:p>
        </w:tc>
        <w:tc>
          <w:tcPr>
            <w:tcW w:w="5228" w:type="dxa"/>
            <w:vAlign w:val="center"/>
          </w:tcPr>
          <w:p w14:paraId="51477AB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按照招标文件的规定提交投标保证金</w:t>
            </w:r>
          </w:p>
        </w:tc>
      </w:tr>
      <w:tr w14:paraId="41CCF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58" w:type="dxa"/>
            <w:vAlign w:val="center"/>
          </w:tcPr>
          <w:p w14:paraId="5BD10AD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2536" w:type="dxa"/>
            <w:vAlign w:val="center"/>
          </w:tcPr>
          <w:p w14:paraId="647A72B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本项目的特定资格要求</w:t>
            </w:r>
          </w:p>
        </w:tc>
        <w:tc>
          <w:tcPr>
            <w:tcW w:w="5228" w:type="dxa"/>
            <w:vAlign w:val="center"/>
          </w:tcPr>
          <w:p w14:paraId="28C9910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产品属于医疗器械的，投标人如为代理商，投标人应具有合法的医疗器械经营资格（所投产品属第二类医疗器械的应具有《医疗器械经营备案凭证》，属第三类医疗器械的应具有《医疗器械经营许可证》）；投标人如为制造商，使用自身生产的产品投标时，投标人应具有合法的医疗器械生产资格（所投产品属第一类医疗器械的应具有《医疗器械生产备案凭证》，属第二类、第三类医疗器械的应具有《医疗器械生产许可证》）。提供证明文件的复印件加盖投标人单位公章。</w:t>
            </w:r>
          </w:p>
        </w:tc>
      </w:tr>
    </w:tbl>
    <w:p w14:paraId="6E37A60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23C6F7B0">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6" w:name="_Toc21571"/>
      <w:r>
        <w:rPr>
          <w:rFonts w:hint="eastAsia" w:ascii="仿宋" w:hAnsi="仿宋" w:eastAsia="仿宋" w:cs="仿宋"/>
          <w:b/>
          <w:bCs/>
          <w:color w:val="auto"/>
          <w:sz w:val="24"/>
          <w:szCs w:val="24"/>
          <w:highlight w:val="none"/>
          <w:lang w:val="en-US" w:eastAsia="zh-CN"/>
        </w:rPr>
        <w:t>符合性审查</w:t>
      </w:r>
      <w:bookmarkEnd w:id="26"/>
    </w:p>
    <w:p w14:paraId="1D88E9D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14:paraId="53158D2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符合性审查要求</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14:paraId="742C8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FCFB79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2132" w:type="dxa"/>
            <w:vAlign w:val="center"/>
          </w:tcPr>
          <w:p w14:paraId="1F40140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5573" w:type="dxa"/>
            <w:vAlign w:val="center"/>
          </w:tcPr>
          <w:p w14:paraId="167DFDD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r>
      <w:tr w14:paraId="294F7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6B5205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2132" w:type="dxa"/>
            <w:vAlign w:val="center"/>
          </w:tcPr>
          <w:p w14:paraId="2F261A2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授权委托书</w:t>
            </w:r>
          </w:p>
        </w:tc>
        <w:tc>
          <w:tcPr>
            <w:tcW w:w="5573" w:type="dxa"/>
            <w:vAlign w:val="center"/>
          </w:tcPr>
          <w:p w14:paraId="4C7CC9D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投标文件中由法定代表人签字或盖签名章的，须提供法定代表人身份证明书；投标文件中由授权委托人签字的，须提供法定代表人授权委托书及法定代表人身份证明书。</w:t>
            </w:r>
          </w:p>
        </w:tc>
      </w:tr>
      <w:tr w14:paraId="2CE57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53B6BB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2132" w:type="dxa"/>
            <w:vAlign w:val="center"/>
          </w:tcPr>
          <w:p w14:paraId="6AF4BF8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投标完整性</w:t>
            </w:r>
          </w:p>
        </w:tc>
        <w:tc>
          <w:tcPr>
            <w:tcW w:w="5573" w:type="dxa"/>
            <w:vAlign w:val="center"/>
          </w:tcPr>
          <w:p w14:paraId="39F1118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未将一个采购包/标项中的内容拆开投标</w:t>
            </w:r>
          </w:p>
        </w:tc>
      </w:tr>
      <w:tr w14:paraId="30425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3CBC5E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2132" w:type="dxa"/>
            <w:vAlign w:val="center"/>
          </w:tcPr>
          <w:p w14:paraId="76CB547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投标报价</w:t>
            </w:r>
          </w:p>
        </w:tc>
        <w:tc>
          <w:tcPr>
            <w:tcW w:w="5573" w:type="dxa"/>
            <w:vAlign w:val="center"/>
          </w:tcPr>
          <w:p w14:paraId="473290F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投标报价未超过招标文件中规定的采购品目单价预算金额/单价最高限价或项目/采购包预算金额或者项目/采购包最高限价；</w:t>
            </w:r>
          </w:p>
        </w:tc>
      </w:tr>
      <w:tr w14:paraId="5A5FD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210009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2132" w:type="dxa"/>
            <w:vAlign w:val="center"/>
          </w:tcPr>
          <w:p w14:paraId="7FAF409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报价唯一性</w:t>
            </w:r>
          </w:p>
        </w:tc>
        <w:tc>
          <w:tcPr>
            <w:tcW w:w="5573" w:type="dxa"/>
            <w:vAlign w:val="center"/>
          </w:tcPr>
          <w:p w14:paraId="4A3317E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投标文件未出现可选择性或可调整的报价（招标文件另有规定的除外）</w:t>
            </w:r>
          </w:p>
        </w:tc>
      </w:tr>
      <w:tr w14:paraId="5D2F0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794161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2132" w:type="dxa"/>
            <w:vAlign w:val="center"/>
          </w:tcPr>
          <w:p w14:paraId="4D2C981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投标有效期</w:t>
            </w:r>
          </w:p>
        </w:tc>
        <w:tc>
          <w:tcPr>
            <w:tcW w:w="5573" w:type="dxa"/>
            <w:vAlign w:val="center"/>
          </w:tcPr>
          <w:p w14:paraId="32F45A7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投标文件中承诺的投标有效期满足招标文件中载明的投标有效期的</w:t>
            </w:r>
          </w:p>
        </w:tc>
      </w:tr>
      <w:tr w14:paraId="76FE7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2A5834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2132" w:type="dxa"/>
            <w:vAlign w:val="center"/>
          </w:tcPr>
          <w:p w14:paraId="7D2D7DA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签署、盖章</w:t>
            </w:r>
          </w:p>
        </w:tc>
        <w:tc>
          <w:tcPr>
            <w:tcW w:w="5573" w:type="dxa"/>
            <w:vAlign w:val="center"/>
          </w:tcPr>
          <w:p w14:paraId="5E1F970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按照招标文件要求签署、盖章的</w:t>
            </w:r>
          </w:p>
        </w:tc>
      </w:tr>
      <w:tr w14:paraId="63ACE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03DCA5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2132" w:type="dxa"/>
            <w:vAlign w:val="center"/>
          </w:tcPr>
          <w:p w14:paraId="462DE48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采购需求的响应</w:t>
            </w:r>
          </w:p>
        </w:tc>
        <w:tc>
          <w:tcPr>
            <w:tcW w:w="5573" w:type="dxa"/>
            <w:vAlign w:val="center"/>
          </w:tcPr>
          <w:p w14:paraId="5A4FD9E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投标文件满足招标文件中※号条款要求的</w:t>
            </w:r>
          </w:p>
        </w:tc>
      </w:tr>
      <w:tr w14:paraId="13E57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851B8E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2132" w:type="dxa"/>
            <w:vAlign w:val="center"/>
          </w:tcPr>
          <w:p w14:paraId="7FF7EB0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报价合理性</w:t>
            </w:r>
          </w:p>
        </w:tc>
        <w:tc>
          <w:tcPr>
            <w:tcW w:w="5573" w:type="dxa"/>
            <w:vAlign w:val="center"/>
          </w:tcPr>
          <w:p w14:paraId="2FF31E3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0DC2F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82EF08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9</w:t>
            </w:r>
          </w:p>
        </w:tc>
        <w:tc>
          <w:tcPr>
            <w:tcW w:w="2132" w:type="dxa"/>
            <w:vAlign w:val="center"/>
          </w:tcPr>
          <w:p w14:paraId="461987D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附加条件</w:t>
            </w:r>
          </w:p>
        </w:tc>
        <w:tc>
          <w:tcPr>
            <w:tcW w:w="5573" w:type="dxa"/>
            <w:vAlign w:val="center"/>
          </w:tcPr>
          <w:p w14:paraId="2DE067C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投标文件未含有采购人不能接受的附加条件的</w:t>
            </w:r>
          </w:p>
        </w:tc>
      </w:tr>
      <w:tr w14:paraId="514F8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6C5D06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10</w:t>
            </w:r>
          </w:p>
        </w:tc>
        <w:tc>
          <w:tcPr>
            <w:tcW w:w="2132" w:type="dxa"/>
            <w:vAlign w:val="center"/>
          </w:tcPr>
          <w:p w14:paraId="380C003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其他</w:t>
            </w:r>
          </w:p>
        </w:tc>
        <w:tc>
          <w:tcPr>
            <w:tcW w:w="5573" w:type="dxa"/>
            <w:vAlign w:val="center"/>
          </w:tcPr>
          <w:p w14:paraId="1B3E851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投标文件中不存在违反国家法律、法规和招标文件规定的其他无效情形</w:t>
            </w:r>
          </w:p>
        </w:tc>
      </w:tr>
    </w:tbl>
    <w:p w14:paraId="31C5761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0924A642">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7" w:name="_Toc30466"/>
      <w:r>
        <w:rPr>
          <w:rFonts w:hint="eastAsia" w:ascii="仿宋" w:hAnsi="仿宋" w:eastAsia="仿宋" w:cs="仿宋"/>
          <w:b/>
          <w:bCs/>
          <w:color w:val="auto"/>
          <w:sz w:val="24"/>
          <w:szCs w:val="24"/>
          <w:highlight w:val="none"/>
          <w:lang w:val="en-US" w:eastAsia="zh-CN"/>
        </w:rPr>
        <w:t>投标文件有关事项的澄清或者说明</w:t>
      </w:r>
      <w:bookmarkEnd w:id="27"/>
    </w:p>
    <w:p w14:paraId="0283354E">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14:paraId="1BF68EED">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w:t>
      </w:r>
    </w:p>
    <w:p w14:paraId="157F1F29">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2F0A4D42">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评标委员会不接受投标人主动提出的澄清、说明或补正。</w:t>
      </w:r>
    </w:p>
    <w:p w14:paraId="3271FDD2">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评标委员会对投标人提交的澄清、说明或补正有疑问的，可以要求投标人进一步澄清、说明或补正。</w:t>
      </w:r>
    </w:p>
    <w:p w14:paraId="766A4828">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对报价的计算错误按以下原则修正：</w:t>
      </w:r>
    </w:p>
    <w:p w14:paraId="1FC7B260">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14:paraId="21AE3B8A">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大写金额和小写金额不一致的，以大写金额为准；</w:t>
      </w:r>
    </w:p>
    <w:p w14:paraId="694F6A34">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单价金额小数点或者百分比有明显错位的，以开标一览表的总价为准，并修改单价。</w:t>
      </w:r>
    </w:p>
    <w:p w14:paraId="4C515D1B">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总价金额与按单价汇总金额不一致的，以单价金额计算结果为准。但是单价金额计算结果超过预算金额/最高限价的，对其按</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w:t>
      </w:r>
    </w:p>
    <w:p w14:paraId="046B42CC">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若投标客户端上传的电子报价数据（开标一览表中的公布唱标价）与电子投标文件价格不一致的，以电子报价数据（开标一览表中的公布唱标价）为准。 </w:t>
      </w:r>
    </w:p>
    <w:p w14:paraId="7136ECF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2E403820">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8" w:name="_Toc10319"/>
      <w:r>
        <w:rPr>
          <w:rFonts w:hint="eastAsia" w:ascii="仿宋" w:hAnsi="仿宋" w:eastAsia="仿宋" w:cs="仿宋"/>
          <w:b/>
          <w:bCs/>
          <w:color w:val="auto"/>
          <w:sz w:val="24"/>
          <w:szCs w:val="24"/>
          <w:highlight w:val="none"/>
          <w:lang w:val="en-US" w:eastAsia="zh-CN"/>
        </w:rPr>
        <w:t>详细评审</w:t>
      </w:r>
      <w:bookmarkEnd w:id="28"/>
    </w:p>
    <w:p w14:paraId="3CA3378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经资格审查和符合性审查合格的投标文件，评标委员会将根据《详细评审标准》，对其技术部分、商务部分及报价部分作进一步的综合比较和评价。详细评审标准如下：</w:t>
      </w:r>
    </w:p>
    <w:p w14:paraId="00DBADC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详细评审标准</w:t>
      </w:r>
    </w:p>
    <w:p w14:paraId="2EDEE47B">
      <w:pPr>
        <w:pStyle w:val="2"/>
        <w:rPr>
          <w:rFonts w:hint="default"/>
          <w:lang w:val="en-US" w:eastAsia="zh-CN"/>
        </w:rPr>
      </w:pPr>
      <w:r>
        <w:rPr>
          <w:rFonts w:hint="eastAsia" w:ascii="仿宋" w:hAnsi="仿宋" w:eastAsia="仿宋" w:cs="仿宋"/>
          <w:b/>
          <w:bCs/>
          <w:color w:val="auto"/>
          <w:sz w:val="24"/>
          <w:szCs w:val="24"/>
          <w:highlight w:val="none"/>
          <w:lang w:val="en-US" w:eastAsia="zh-CN"/>
        </w:rPr>
        <w:t>标项1：</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994"/>
        <w:gridCol w:w="843"/>
        <w:gridCol w:w="5611"/>
      </w:tblGrid>
      <w:tr w14:paraId="40E10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68" w:type="dxa"/>
            <w:gridSpan w:val="2"/>
            <w:vAlign w:val="center"/>
          </w:tcPr>
          <w:p w14:paraId="3AE1A48B">
            <w:pPr>
              <w:spacing w:line="240" w:lineRule="auto"/>
              <w:ind w:left="0" w:leftChars="0" w:right="638" w:rightChars="304"/>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评分因素</w:t>
            </w:r>
          </w:p>
        </w:tc>
        <w:tc>
          <w:tcPr>
            <w:tcW w:w="843" w:type="dxa"/>
            <w:vAlign w:val="center"/>
          </w:tcPr>
          <w:p w14:paraId="039B4201">
            <w:pPr>
              <w:spacing w:line="240" w:lineRule="auto"/>
              <w:ind w:left="0" w:leftChars="0" w:right="0" w:rightChars="0"/>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分值</w:t>
            </w:r>
          </w:p>
        </w:tc>
        <w:tc>
          <w:tcPr>
            <w:tcW w:w="5611" w:type="dxa"/>
            <w:vAlign w:val="center"/>
          </w:tcPr>
          <w:p w14:paraId="653B5939">
            <w:pPr>
              <w:spacing w:line="240" w:lineRule="auto"/>
              <w:ind w:left="0" w:leftChars="0" w:right="-31" w:rightChars="-15"/>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评分细则</w:t>
            </w:r>
          </w:p>
        </w:tc>
      </w:tr>
      <w:tr w14:paraId="2E923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068" w:type="dxa"/>
            <w:gridSpan w:val="2"/>
            <w:vAlign w:val="center"/>
          </w:tcPr>
          <w:p w14:paraId="0A1FC734">
            <w:pPr>
              <w:spacing w:line="240" w:lineRule="auto"/>
              <w:ind w:left="0" w:leftChars="0" w:right="638" w:rightChars="304"/>
              <w:jc w:val="center"/>
              <w:rPr>
                <w:rFonts w:hint="eastAsia" w:ascii="仿宋" w:hAnsi="仿宋" w:eastAsia="仿宋" w:cs="仿宋"/>
                <w:b/>
                <w:bCs w:val="0"/>
                <w:color w:val="auto"/>
                <w:kern w:val="0"/>
                <w:sz w:val="21"/>
                <w:szCs w:val="21"/>
                <w:highlight w:val="none"/>
                <w:lang w:val="en-US" w:eastAsia="zh-CN"/>
              </w:rPr>
            </w:pPr>
            <w:r>
              <w:rPr>
                <w:rFonts w:hint="eastAsia" w:ascii="仿宋" w:hAnsi="仿宋" w:eastAsia="仿宋" w:cs="仿宋"/>
                <w:b w:val="0"/>
                <w:bCs/>
                <w:color w:val="auto"/>
                <w:kern w:val="0"/>
                <w:sz w:val="21"/>
                <w:szCs w:val="21"/>
                <w:highlight w:val="none"/>
                <w:lang w:val="en-US" w:eastAsia="zh-CN"/>
              </w:rPr>
              <w:t>分值构成</w:t>
            </w:r>
          </w:p>
        </w:tc>
        <w:tc>
          <w:tcPr>
            <w:tcW w:w="6454" w:type="dxa"/>
            <w:gridSpan w:val="2"/>
            <w:vAlign w:val="center"/>
          </w:tcPr>
          <w:p w14:paraId="19888372">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商务部分</w:t>
            </w:r>
            <w:r>
              <w:rPr>
                <w:rFonts w:hint="eastAsia" w:ascii="仿宋" w:hAnsi="仿宋" w:eastAsia="仿宋" w:cs="仿宋"/>
                <w:b w:val="0"/>
                <w:bCs/>
                <w:color w:val="auto"/>
                <w:kern w:val="0"/>
                <w:sz w:val="21"/>
                <w:szCs w:val="21"/>
                <w:highlight w:val="none"/>
                <w:lang w:val="en-US" w:eastAsia="zh-CN"/>
              </w:rPr>
              <w:t>5</w:t>
            </w:r>
            <w:r>
              <w:rPr>
                <w:rFonts w:hint="eastAsia" w:ascii="仿宋" w:hAnsi="仿宋" w:eastAsia="仿宋" w:cs="仿宋"/>
                <w:b w:val="0"/>
                <w:bCs/>
                <w:color w:val="auto"/>
                <w:kern w:val="0"/>
                <w:sz w:val="21"/>
                <w:szCs w:val="21"/>
                <w:highlight w:val="none"/>
              </w:rPr>
              <w:t>.0分</w:t>
            </w:r>
          </w:p>
          <w:p w14:paraId="353A389B">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技术部分</w:t>
            </w:r>
            <w:r>
              <w:rPr>
                <w:rFonts w:hint="eastAsia" w:ascii="仿宋" w:hAnsi="仿宋" w:eastAsia="仿宋" w:cs="仿宋"/>
                <w:b w:val="0"/>
                <w:bCs/>
                <w:color w:val="auto"/>
                <w:kern w:val="0"/>
                <w:sz w:val="21"/>
                <w:szCs w:val="21"/>
                <w:highlight w:val="none"/>
                <w:lang w:val="en-US" w:eastAsia="zh-CN"/>
              </w:rPr>
              <w:t>65</w:t>
            </w:r>
            <w:r>
              <w:rPr>
                <w:rFonts w:hint="eastAsia" w:ascii="仿宋" w:hAnsi="仿宋" w:eastAsia="仿宋" w:cs="仿宋"/>
                <w:b w:val="0"/>
                <w:bCs/>
                <w:color w:val="auto"/>
                <w:kern w:val="0"/>
                <w:sz w:val="21"/>
                <w:szCs w:val="21"/>
                <w:highlight w:val="none"/>
              </w:rPr>
              <w:t>.0分</w:t>
            </w:r>
          </w:p>
          <w:p w14:paraId="03BC41AC">
            <w:pPr>
              <w:spacing w:line="240" w:lineRule="auto"/>
              <w:ind w:left="0" w:leftChars="0" w:right="-31" w:rightChars="-15"/>
              <w:jc w:val="left"/>
              <w:rPr>
                <w:rFonts w:hint="eastAsia" w:ascii="仿宋" w:hAnsi="仿宋" w:eastAsia="仿宋" w:cs="仿宋"/>
                <w:b/>
                <w:bCs w:val="0"/>
                <w:color w:val="auto"/>
                <w:kern w:val="0"/>
                <w:sz w:val="21"/>
                <w:szCs w:val="21"/>
                <w:highlight w:val="none"/>
              </w:rPr>
            </w:pPr>
            <w:r>
              <w:rPr>
                <w:rFonts w:hint="eastAsia" w:ascii="仿宋" w:hAnsi="仿宋" w:eastAsia="仿宋" w:cs="仿宋"/>
                <w:b w:val="0"/>
                <w:bCs/>
                <w:color w:val="auto"/>
                <w:kern w:val="0"/>
                <w:sz w:val="21"/>
                <w:szCs w:val="21"/>
                <w:highlight w:val="none"/>
              </w:rPr>
              <w:t>报价得分</w:t>
            </w:r>
            <w:r>
              <w:rPr>
                <w:rFonts w:hint="eastAsia" w:ascii="仿宋" w:hAnsi="仿宋" w:eastAsia="仿宋" w:cs="仿宋"/>
                <w:b w:val="0"/>
                <w:bCs/>
                <w:color w:val="auto"/>
                <w:kern w:val="0"/>
                <w:sz w:val="21"/>
                <w:szCs w:val="21"/>
                <w:highlight w:val="none"/>
                <w:lang w:val="en-US" w:eastAsia="zh-CN"/>
              </w:rPr>
              <w:t>3</w:t>
            </w:r>
            <w:r>
              <w:rPr>
                <w:rFonts w:hint="eastAsia" w:ascii="仿宋" w:hAnsi="仿宋" w:eastAsia="仿宋" w:cs="仿宋"/>
                <w:b w:val="0"/>
                <w:bCs/>
                <w:color w:val="auto"/>
                <w:kern w:val="0"/>
                <w:sz w:val="21"/>
                <w:szCs w:val="21"/>
                <w:highlight w:val="none"/>
              </w:rPr>
              <w:t>0.0分</w:t>
            </w:r>
          </w:p>
        </w:tc>
      </w:tr>
      <w:tr w14:paraId="462CA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68" w:type="dxa"/>
            <w:gridSpan w:val="2"/>
            <w:vAlign w:val="center"/>
          </w:tcPr>
          <w:p w14:paraId="00F24B5D">
            <w:pPr>
              <w:pStyle w:val="2"/>
              <w:spacing w:line="240" w:lineRule="auto"/>
              <w:ind w:right="8" w:rightChars="0"/>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报价</w:t>
            </w:r>
            <w:r>
              <w:rPr>
                <w:rFonts w:hint="eastAsia" w:ascii="仿宋" w:hAnsi="仿宋" w:eastAsia="仿宋" w:cs="仿宋"/>
                <w:color w:val="auto"/>
                <w:sz w:val="21"/>
                <w:szCs w:val="21"/>
                <w:highlight w:val="none"/>
                <w:vertAlign w:val="baseline"/>
              </w:rPr>
              <w:t>部分（30 分）</w:t>
            </w:r>
          </w:p>
        </w:tc>
        <w:tc>
          <w:tcPr>
            <w:tcW w:w="843" w:type="dxa"/>
            <w:vAlign w:val="center"/>
          </w:tcPr>
          <w:p w14:paraId="68696337">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30</w:t>
            </w:r>
          </w:p>
        </w:tc>
        <w:tc>
          <w:tcPr>
            <w:tcW w:w="5611" w:type="dxa"/>
          </w:tcPr>
          <w:p w14:paraId="2E20718F">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满足招</w:t>
            </w:r>
            <w:r>
              <w:rPr>
                <w:rFonts w:hint="eastAsia" w:ascii="仿宋" w:hAnsi="仿宋" w:eastAsia="仿宋" w:cs="仿宋"/>
                <w:color w:val="auto"/>
                <w:sz w:val="21"/>
                <w:szCs w:val="21"/>
                <w:highlight w:val="none"/>
                <w:vertAlign w:val="baseline"/>
              </w:rPr>
              <w:t>标文件要求且投标价格最低的有效投标报价（即除低于成本报价以外的报价）为评标基准价。其他</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的价格分统一按照下列公式计算：</w:t>
            </w:r>
          </w:p>
          <w:p w14:paraId="1C522A0C">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rPr>
              <w:t>投标报价得分=（评标基准价/投标报价）×</w:t>
            </w:r>
            <w:r>
              <w:rPr>
                <w:rFonts w:hint="eastAsia" w:ascii="仿宋" w:hAnsi="仿宋" w:eastAsia="仿宋" w:cs="仿宋"/>
                <w:color w:val="auto"/>
                <w:sz w:val="21"/>
                <w:szCs w:val="21"/>
                <w:highlight w:val="none"/>
                <w:vertAlign w:val="baseline"/>
                <w:lang w:val="en-US" w:eastAsia="zh-CN"/>
              </w:rPr>
              <w:t>价格满分分值</w:t>
            </w:r>
          </w:p>
        </w:tc>
      </w:tr>
      <w:tr w14:paraId="410E1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6" w:hRule="atLeast"/>
          <w:jc w:val="center"/>
        </w:trPr>
        <w:tc>
          <w:tcPr>
            <w:tcW w:w="1074" w:type="dxa"/>
            <w:tcBorders>
              <w:right w:val="single" w:color="000000" w:sz="4" w:space="0"/>
            </w:tcBorders>
            <w:vAlign w:val="center"/>
          </w:tcPr>
          <w:p w14:paraId="6B3E6A54">
            <w:pPr>
              <w:pStyle w:val="2"/>
              <w:spacing w:line="240" w:lineRule="auto"/>
              <w:ind w:right="-19" w:rightChars="-9"/>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rPr>
              <w:t>商务部分(</w:t>
            </w:r>
            <w:r>
              <w:rPr>
                <w:rFonts w:hint="eastAsia" w:ascii="仿宋" w:hAnsi="仿宋" w:eastAsia="仿宋" w:cs="仿宋"/>
                <w:color w:val="auto"/>
                <w:sz w:val="21"/>
                <w:szCs w:val="21"/>
                <w:highlight w:val="none"/>
                <w:vertAlign w:val="baseline"/>
                <w:lang w:val="en-US" w:eastAsia="zh-CN"/>
              </w:rPr>
              <w:t>5</w:t>
            </w:r>
            <w:r>
              <w:rPr>
                <w:rFonts w:hint="eastAsia" w:ascii="仿宋" w:hAnsi="仿宋" w:eastAsia="仿宋" w:cs="仿宋"/>
                <w:color w:val="auto"/>
                <w:sz w:val="21"/>
                <w:szCs w:val="21"/>
                <w:highlight w:val="none"/>
                <w:vertAlign w:val="baseline"/>
              </w:rPr>
              <w:t>分)</w:t>
            </w:r>
          </w:p>
        </w:tc>
        <w:tc>
          <w:tcPr>
            <w:tcW w:w="994" w:type="dxa"/>
            <w:tcBorders>
              <w:left w:val="single" w:color="000000" w:sz="4" w:space="0"/>
            </w:tcBorders>
            <w:vAlign w:val="center"/>
          </w:tcPr>
          <w:p w14:paraId="15151B0A">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类似项目业绩</w:t>
            </w:r>
          </w:p>
        </w:tc>
        <w:tc>
          <w:tcPr>
            <w:tcW w:w="843" w:type="dxa"/>
            <w:vAlign w:val="center"/>
          </w:tcPr>
          <w:p w14:paraId="23D9F429">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5</w:t>
            </w:r>
          </w:p>
        </w:tc>
        <w:tc>
          <w:tcPr>
            <w:tcW w:w="5611" w:type="dxa"/>
          </w:tcPr>
          <w:p w14:paraId="690044C1">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自 20</w:t>
            </w:r>
            <w:r>
              <w:rPr>
                <w:rFonts w:hint="eastAsia" w:ascii="仿宋" w:hAnsi="仿宋" w:eastAsia="仿宋" w:cs="仿宋"/>
                <w:color w:val="auto"/>
                <w:sz w:val="21"/>
                <w:szCs w:val="21"/>
                <w:highlight w:val="none"/>
                <w:vertAlign w:val="baseline"/>
                <w:lang w:val="en-US" w:eastAsia="zh-CN"/>
              </w:rPr>
              <w:t>22</w:t>
            </w:r>
            <w:r>
              <w:rPr>
                <w:rFonts w:hint="eastAsia" w:ascii="仿宋" w:hAnsi="仿宋" w:eastAsia="仿宋" w:cs="仿宋"/>
                <w:color w:val="auto"/>
                <w:sz w:val="21"/>
                <w:szCs w:val="21"/>
                <w:highlight w:val="none"/>
                <w:vertAlign w:val="baseline"/>
              </w:rPr>
              <w:t xml:space="preserve">年 </w:t>
            </w:r>
            <w:r>
              <w:rPr>
                <w:rFonts w:hint="eastAsia" w:ascii="仿宋" w:hAnsi="仿宋" w:eastAsia="仿宋" w:cs="仿宋"/>
                <w:color w:val="auto"/>
                <w:sz w:val="21"/>
                <w:szCs w:val="21"/>
                <w:highlight w:val="none"/>
                <w:vertAlign w:val="baseline"/>
                <w:lang w:val="en-US" w:eastAsia="zh-CN"/>
              </w:rPr>
              <w:t>01</w:t>
            </w:r>
            <w:r>
              <w:rPr>
                <w:rFonts w:hint="eastAsia" w:ascii="仿宋" w:hAnsi="仿宋" w:eastAsia="仿宋" w:cs="仿宋"/>
                <w:color w:val="auto"/>
                <w:sz w:val="21"/>
                <w:szCs w:val="21"/>
                <w:highlight w:val="none"/>
                <w:vertAlign w:val="baseline"/>
              </w:rPr>
              <w:t xml:space="preserve">月 </w:t>
            </w:r>
            <w:r>
              <w:rPr>
                <w:rFonts w:hint="eastAsia" w:ascii="仿宋" w:hAnsi="仿宋" w:eastAsia="仿宋" w:cs="仿宋"/>
                <w:color w:val="auto"/>
                <w:sz w:val="21"/>
                <w:szCs w:val="21"/>
                <w:highlight w:val="none"/>
                <w:vertAlign w:val="baseline"/>
                <w:lang w:val="en-US" w:eastAsia="zh-CN"/>
              </w:rPr>
              <w:t>0</w:t>
            </w:r>
            <w:r>
              <w:rPr>
                <w:rFonts w:hint="eastAsia" w:ascii="仿宋" w:hAnsi="仿宋" w:eastAsia="仿宋" w:cs="仿宋"/>
                <w:color w:val="auto"/>
                <w:sz w:val="21"/>
                <w:szCs w:val="21"/>
                <w:highlight w:val="none"/>
                <w:vertAlign w:val="baseline"/>
              </w:rPr>
              <w:t xml:space="preserve">1 日至投标截止日止（以合同签订合同时间为准）独立承担的类似项目，每提供 1 份有效的业绩资料得 </w:t>
            </w:r>
            <w:r>
              <w:rPr>
                <w:rFonts w:hint="eastAsia" w:ascii="仿宋" w:hAnsi="仿宋" w:eastAsia="仿宋" w:cs="仿宋"/>
                <w:color w:val="auto"/>
                <w:sz w:val="21"/>
                <w:szCs w:val="21"/>
                <w:highlight w:val="none"/>
                <w:vertAlign w:val="baseline"/>
                <w:lang w:val="en-US" w:eastAsia="zh-CN"/>
              </w:rPr>
              <w:t>1</w:t>
            </w:r>
            <w:r>
              <w:rPr>
                <w:rFonts w:hint="eastAsia" w:ascii="仿宋" w:hAnsi="仿宋" w:eastAsia="仿宋" w:cs="仿宋"/>
                <w:color w:val="auto"/>
                <w:sz w:val="21"/>
                <w:szCs w:val="21"/>
                <w:highlight w:val="none"/>
                <w:vertAlign w:val="baseline"/>
              </w:rPr>
              <w:t xml:space="preserve"> 分，满分 </w:t>
            </w:r>
            <w:r>
              <w:rPr>
                <w:rFonts w:hint="eastAsia" w:ascii="仿宋" w:hAnsi="仿宋" w:eastAsia="仿宋" w:cs="仿宋"/>
                <w:color w:val="auto"/>
                <w:sz w:val="21"/>
                <w:szCs w:val="21"/>
                <w:highlight w:val="none"/>
                <w:vertAlign w:val="baseline"/>
                <w:lang w:val="en-US" w:eastAsia="zh-CN"/>
              </w:rPr>
              <w:t>5</w:t>
            </w:r>
            <w:r>
              <w:rPr>
                <w:rFonts w:hint="eastAsia" w:ascii="仿宋" w:hAnsi="仿宋" w:eastAsia="仿宋" w:cs="仿宋"/>
                <w:color w:val="auto"/>
                <w:sz w:val="21"/>
                <w:szCs w:val="21"/>
                <w:highlight w:val="none"/>
                <w:vertAlign w:val="baseline"/>
              </w:rPr>
              <w:t xml:space="preserve"> 分。</w:t>
            </w:r>
          </w:p>
          <w:p w14:paraId="19ED297E">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注：1.须提供业绩合同关键页（含：首页、</w:t>
            </w:r>
            <w:r>
              <w:rPr>
                <w:rFonts w:hint="eastAsia" w:ascii="仿宋" w:hAnsi="仿宋" w:eastAsia="仿宋" w:cs="仿宋"/>
                <w:color w:val="auto"/>
                <w:sz w:val="21"/>
                <w:szCs w:val="21"/>
                <w:highlight w:val="none"/>
                <w:vertAlign w:val="baseline"/>
                <w:lang w:val="en-US" w:eastAsia="zh-CN"/>
              </w:rPr>
              <w:t>标的页</w:t>
            </w:r>
            <w:r>
              <w:rPr>
                <w:rFonts w:hint="eastAsia" w:ascii="仿宋" w:hAnsi="仿宋" w:eastAsia="仿宋" w:cs="仿宋"/>
                <w:color w:val="auto"/>
                <w:sz w:val="21"/>
                <w:szCs w:val="21"/>
                <w:highlight w:val="none"/>
                <w:vertAlign w:val="baseline"/>
              </w:rPr>
              <w:t>、合同金额页、签字盖章页）。复印件加盖公章，时间以合同签订日期为准。不符合上述要求或未按要求提供有效证明文件的业绩在评审时将不予承认。</w:t>
            </w:r>
          </w:p>
          <w:p w14:paraId="15CBE547">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2.</w:t>
            </w:r>
            <w:r>
              <w:rPr>
                <w:rFonts w:hint="eastAsia" w:ascii="仿宋" w:hAnsi="仿宋" w:eastAsia="仿宋" w:cs="仿宋"/>
                <w:color w:val="auto"/>
                <w:sz w:val="21"/>
                <w:szCs w:val="21"/>
                <w:highlight w:val="none"/>
                <w:vertAlign w:val="baseline"/>
                <w:lang w:eastAsia="zh-CN"/>
              </w:rPr>
              <w:t>投标人</w:t>
            </w:r>
            <w:r>
              <w:rPr>
                <w:rFonts w:hint="eastAsia" w:ascii="仿宋" w:hAnsi="仿宋" w:eastAsia="仿宋" w:cs="仿宋"/>
                <w:color w:val="auto"/>
                <w:sz w:val="21"/>
                <w:szCs w:val="21"/>
                <w:highlight w:val="none"/>
                <w:vertAlign w:val="baseline"/>
              </w:rPr>
              <w:t>提供虚假合同的，按虚假投标处理。</w:t>
            </w:r>
          </w:p>
        </w:tc>
      </w:tr>
      <w:tr w14:paraId="1583D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5" w:hRule="atLeast"/>
          <w:jc w:val="center"/>
        </w:trPr>
        <w:tc>
          <w:tcPr>
            <w:tcW w:w="1074" w:type="dxa"/>
            <w:vMerge w:val="restart"/>
            <w:tcBorders>
              <w:right w:val="single" w:color="000000" w:sz="4" w:space="0"/>
            </w:tcBorders>
            <w:vAlign w:val="center"/>
          </w:tcPr>
          <w:p w14:paraId="427E6F3A">
            <w:pPr>
              <w:pStyle w:val="2"/>
              <w:spacing w:line="240" w:lineRule="auto"/>
              <w:ind w:right="-19" w:rightChars="-9"/>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技术部分 (</w:t>
            </w:r>
            <w:r>
              <w:rPr>
                <w:rFonts w:hint="eastAsia" w:ascii="仿宋" w:hAnsi="仿宋" w:eastAsia="仿宋" w:cs="仿宋"/>
                <w:color w:val="auto"/>
                <w:sz w:val="21"/>
                <w:szCs w:val="21"/>
                <w:highlight w:val="none"/>
                <w:vertAlign w:val="baseline"/>
                <w:lang w:val="en-US" w:eastAsia="zh-CN"/>
              </w:rPr>
              <w:t>65</w:t>
            </w:r>
            <w:r>
              <w:rPr>
                <w:rFonts w:hint="eastAsia" w:ascii="仿宋" w:hAnsi="仿宋" w:eastAsia="仿宋" w:cs="仿宋"/>
                <w:color w:val="auto"/>
                <w:sz w:val="21"/>
                <w:szCs w:val="21"/>
                <w:highlight w:val="none"/>
                <w:vertAlign w:val="baseline"/>
              </w:rPr>
              <w:t>分)</w:t>
            </w:r>
          </w:p>
        </w:tc>
        <w:tc>
          <w:tcPr>
            <w:tcW w:w="994" w:type="dxa"/>
            <w:tcBorders>
              <w:left w:val="single" w:color="000000" w:sz="4" w:space="0"/>
            </w:tcBorders>
            <w:vAlign w:val="center"/>
          </w:tcPr>
          <w:p w14:paraId="44469417">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技术要求</w:t>
            </w:r>
          </w:p>
        </w:tc>
        <w:tc>
          <w:tcPr>
            <w:tcW w:w="843" w:type="dxa"/>
            <w:vAlign w:val="center"/>
          </w:tcPr>
          <w:p w14:paraId="155A823E">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34</w:t>
            </w:r>
          </w:p>
        </w:tc>
        <w:tc>
          <w:tcPr>
            <w:tcW w:w="5611" w:type="dxa"/>
          </w:tcPr>
          <w:p w14:paraId="36F4DF0F">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根据投标人对招标文件采购需求中</w:t>
            </w:r>
            <w:r>
              <w:rPr>
                <w:rFonts w:hint="eastAsia" w:ascii="仿宋" w:hAnsi="仿宋" w:eastAsia="仿宋" w:cs="仿宋"/>
                <w:color w:val="auto"/>
                <w:sz w:val="21"/>
                <w:szCs w:val="21"/>
                <w:highlight w:val="none"/>
                <w:vertAlign w:val="baseline"/>
                <w:lang w:val="en-US" w:eastAsia="zh-CN"/>
              </w:rPr>
              <w:t>试剂耗材参数及用途</w:t>
            </w:r>
            <w:r>
              <w:rPr>
                <w:rFonts w:hint="eastAsia" w:ascii="仿宋" w:hAnsi="仿宋" w:eastAsia="仿宋" w:cs="仿宋"/>
                <w:color w:val="auto"/>
                <w:sz w:val="21"/>
                <w:szCs w:val="21"/>
                <w:highlight w:val="none"/>
                <w:vertAlign w:val="baseline"/>
              </w:rPr>
              <w:t>响应情况进行评分。</w:t>
            </w:r>
          </w:p>
          <w:p w14:paraId="19F18AF2">
            <w:pPr>
              <w:pStyle w:val="2"/>
              <w:spacing w:line="240" w:lineRule="auto"/>
              <w:ind w:right="-31" w:rightChars="-15"/>
              <w:rPr>
                <w:rFonts w:hint="eastAsia" w:ascii="仿宋" w:hAnsi="仿宋" w:eastAsia="仿宋" w:cs="仿宋"/>
                <w:color w:val="auto"/>
                <w:sz w:val="21"/>
                <w:szCs w:val="21"/>
                <w:highlight w:val="none"/>
                <w:vertAlign w:val="baseline"/>
                <w:lang w:eastAsia="zh-CN"/>
              </w:rPr>
            </w:pPr>
            <w:r>
              <w:rPr>
                <w:rFonts w:hint="eastAsia" w:ascii="仿宋" w:hAnsi="仿宋" w:eastAsia="仿宋" w:cs="仿宋"/>
                <w:color w:val="auto"/>
                <w:sz w:val="21"/>
                <w:szCs w:val="21"/>
                <w:highlight w:val="none"/>
                <w:vertAlign w:val="baseline"/>
              </w:rPr>
              <w:t>完全响应招标文件要求得满分</w:t>
            </w:r>
            <w:r>
              <w:rPr>
                <w:rFonts w:hint="eastAsia" w:ascii="仿宋" w:hAnsi="仿宋" w:eastAsia="仿宋" w:cs="仿宋"/>
                <w:color w:val="auto"/>
                <w:sz w:val="21"/>
                <w:szCs w:val="21"/>
                <w:highlight w:val="none"/>
                <w:vertAlign w:val="baseline"/>
                <w:lang w:val="en-US" w:eastAsia="zh-CN"/>
              </w:rPr>
              <w:t>34分</w:t>
            </w:r>
            <w:r>
              <w:rPr>
                <w:rFonts w:hint="eastAsia" w:ascii="仿宋" w:hAnsi="仿宋" w:eastAsia="仿宋" w:cs="仿宋"/>
                <w:color w:val="auto"/>
                <w:sz w:val="21"/>
                <w:szCs w:val="21"/>
                <w:highlight w:val="none"/>
                <w:vertAlign w:val="baseline"/>
              </w:rPr>
              <w:t>；一般技术条款(即非实质性要求)</w:t>
            </w:r>
            <w:r>
              <w:rPr>
                <w:rFonts w:hint="eastAsia" w:ascii="仿宋" w:hAnsi="仿宋" w:eastAsia="仿宋" w:cs="仿宋"/>
                <w:color w:val="auto"/>
                <w:sz w:val="21"/>
                <w:szCs w:val="21"/>
                <w:highlight w:val="none"/>
                <w:vertAlign w:val="baseline"/>
                <w:lang w:val="en-US" w:eastAsia="zh-CN"/>
              </w:rPr>
              <w:t>共17</w:t>
            </w:r>
            <w:r>
              <w:rPr>
                <w:rFonts w:hint="eastAsia" w:ascii="仿宋" w:hAnsi="仿宋" w:eastAsia="仿宋" w:cs="仿宋"/>
                <w:color w:val="auto"/>
                <w:sz w:val="21"/>
                <w:szCs w:val="21"/>
                <w:highlight w:val="none"/>
                <w:vertAlign w:val="baseline"/>
              </w:rPr>
              <w:t>项</w:t>
            </w:r>
            <w:r>
              <w:rPr>
                <w:rFonts w:hint="eastAsia" w:ascii="仿宋" w:hAnsi="仿宋" w:eastAsia="仿宋" w:cs="仿宋"/>
                <w:color w:val="auto"/>
                <w:sz w:val="21"/>
                <w:szCs w:val="21"/>
                <w:highlight w:val="none"/>
                <w:vertAlign w:val="baseline"/>
                <w:lang w:eastAsia="zh-CN"/>
              </w:rPr>
              <w:t>，</w:t>
            </w:r>
            <w:r>
              <w:rPr>
                <w:rFonts w:hint="eastAsia" w:ascii="仿宋" w:hAnsi="仿宋" w:eastAsia="仿宋" w:cs="仿宋"/>
                <w:color w:val="auto"/>
                <w:sz w:val="21"/>
                <w:szCs w:val="21"/>
                <w:highlight w:val="none"/>
                <w:vertAlign w:val="baseline"/>
                <w:lang w:val="en-US" w:eastAsia="zh-CN"/>
              </w:rPr>
              <w:t>每</w:t>
            </w:r>
            <w:r>
              <w:rPr>
                <w:rFonts w:hint="eastAsia" w:ascii="仿宋" w:hAnsi="仿宋" w:eastAsia="仿宋" w:cs="仿宋"/>
                <w:color w:val="auto"/>
                <w:sz w:val="21"/>
                <w:szCs w:val="21"/>
                <w:highlight w:val="none"/>
                <w:vertAlign w:val="baseline"/>
              </w:rPr>
              <w:t xml:space="preserve">有 1 项负偏离，扣 </w:t>
            </w:r>
            <w:r>
              <w:rPr>
                <w:rFonts w:hint="eastAsia" w:ascii="仿宋" w:hAnsi="仿宋" w:eastAsia="仿宋" w:cs="仿宋"/>
                <w:color w:val="auto"/>
                <w:sz w:val="21"/>
                <w:szCs w:val="21"/>
                <w:highlight w:val="none"/>
                <w:vertAlign w:val="baseline"/>
                <w:lang w:val="en-US" w:eastAsia="zh-CN"/>
              </w:rPr>
              <w:t>2</w:t>
            </w:r>
            <w:r>
              <w:rPr>
                <w:rFonts w:hint="eastAsia" w:ascii="仿宋" w:hAnsi="仿宋" w:eastAsia="仿宋" w:cs="仿宋"/>
                <w:color w:val="auto"/>
                <w:sz w:val="21"/>
                <w:szCs w:val="21"/>
                <w:highlight w:val="none"/>
                <w:vertAlign w:val="baseline"/>
              </w:rPr>
              <w:t xml:space="preserve">分； </w:t>
            </w:r>
            <w:r>
              <w:rPr>
                <w:rFonts w:hint="eastAsia" w:ascii="仿宋" w:hAnsi="仿宋" w:eastAsia="仿宋" w:cs="仿宋"/>
                <w:color w:val="auto"/>
                <w:sz w:val="21"/>
                <w:szCs w:val="21"/>
                <w:highlight w:val="none"/>
                <w:vertAlign w:val="baseline"/>
                <w:lang w:val="en-US" w:eastAsia="zh-CN"/>
              </w:rPr>
              <w:t>满分34分，扣完为止。</w:t>
            </w:r>
          </w:p>
          <w:p w14:paraId="18F8E7B0">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注：</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须对本</w:t>
            </w:r>
            <w:r>
              <w:rPr>
                <w:rFonts w:hint="eastAsia" w:ascii="仿宋" w:hAnsi="仿宋" w:eastAsia="仿宋" w:cs="仿宋"/>
                <w:color w:val="auto"/>
                <w:sz w:val="21"/>
                <w:szCs w:val="21"/>
                <w:highlight w:val="none"/>
                <w:vertAlign w:val="baseline"/>
                <w:lang w:val="en-US" w:eastAsia="zh-CN"/>
              </w:rPr>
              <w:t>招标</w:t>
            </w:r>
            <w:r>
              <w:rPr>
                <w:rFonts w:hint="eastAsia" w:ascii="仿宋" w:hAnsi="仿宋" w:eastAsia="仿宋" w:cs="仿宋"/>
                <w:color w:val="auto"/>
                <w:sz w:val="21"/>
                <w:szCs w:val="21"/>
                <w:highlight w:val="none"/>
                <w:vertAlign w:val="baseline"/>
              </w:rPr>
              <w:t>文件技术要求进行点对点应答，必须在引用本采购文件的基础上,进行逐条逐项答复、说明和解释,特别对有具体参数要求的指标，</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必须提供所投</w:t>
            </w:r>
            <w:r>
              <w:rPr>
                <w:rFonts w:hint="eastAsia" w:ascii="仿宋" w:hAnsi="仿宋" w:eastAsia="仿宋" w:cs="仿宋"/>
                <w:color w:val="auto"/>
                <w:sz w:val="21"/>
                <w:szCs w:val="21"/>
                <w:highlight w:val="none"/>
                <w:vertAlign w:val="baseline"/>
                <w:lang w:val="en-US" w:eastAsia="zh-CN"/>
              </w:rPr>
              <w:t>货物</w:t>
            </w:r>
            <w:r>
              <w:rPr>
                <w:rFonts w:hint="eastAsia" w:ascii="仿宋" w:hAnsi="仿宋" w:eastAsia="仿宋" w:cs="仿宋"/>
                <w:color w:val="auto"/>
                <w:sz w:val="21"/>
                <w:szCs w:val="21"/>
                <w:highlight w:val="none"/>
                <w:vertAlign w:val="baseline"/>
              </w:rPr>
              <w:t>的具体参数值。</w:t>
            </w:r>
          </w:p>
        </w:tc>
      </w:tr>
      <w:tr w14:paraId="0E57E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1074" w:type="dxa"/>
            <w:vMerge w:val="continue"/>
            <w:tcBorders>
              <w:right w:val="single" w:color="000000" w:sz="4" w:space="0"/>
            </w:tcBorders>
            <w:vAlign w:val="center"/>
          </w:tcPr>
          <w:p w14:paraId="3B39E985">
            <w:pPr>
              <w:pStyle w:val="2"/>
              <w:spacing w:line="240" w:lineRule="auto"/>
              <w:ind w:right="-19" w:rightChars="-9"/>
              <w:jc w:val="center"/>
              <w:rPr>
                <w:rFonts w:hint="eastAsia" w:ascii="仿宋" w:hAnsi="仿宋" w:eastAsia="仿宋" w:cs="仿宋"/>
                <w:color w:val="auto"/>
                <w:sz w:val="21"/>
                <w:szCs w:val="21"/>
                <w:highlight w:val="none"/>
                <w:vertAlign w:val="baseline"/>
              </w:rPr>
            </w:pPr>
          </w:p>
        </w:tc>
        <w:tc>
          <w:tcPr>
            <w:tcW w:w="994" w:type="dxa"/>
            <w:tcBorders>
              <w:left w:val="single" w:color="000000" w:sz="4" w:space="0"/>
            </w:tcBorders>
            <w:vAlign w:val="center"/>
          </w:tcPr>
          <w:p w14:paraId="398D9152">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质量要求</w:t>
            </w:r>
          </w:p>
        </w:tc>
        <w:tc>
          <w:tcPr>
            <w:tcW w:w="843" w:type="dxa"/>
            <w:vAlign w:val="center"/>
          </w:tcPr>
          <w:p w14:paraId="7BCCD81C">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w:t>
            </w:r>
          </w:p>
        </w:tc>
        <w:tc>
          <w:tcPr>
            <w:tcW w:w="5611" w:type="dxa"/>
          </w:tcPr>
          <w:p w14:paraId="54CE8A24">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根据投标人按照招标文件采购需求中“三、其他技术要求-</w:t>
            </w:r>
            <w:r>
              <w:rPr>
                <w:rFonts w:hint="eastAsia" w:ascii="仿宋" w:hAnsi="仿宋" w:eastAsia="仿宋" w:cs="仿宋"/>
                <w:color w:val="auto"/>
                <w:sz w:val="21"/>
                <w:szCs w:val="21"/>
                <w:highlight w:val="none"/>
                <w:vertAlign w:val="baseline"/>
                <w:lang w:val="en-US" w:eastAsia="zh-CN"/>
              </w:rPr>
              <w:t>1</w:t>
            </w:r>
            <w:r>
              <w:rPr>
                <w:rFonts w:hint="eastAsia" w:ascii="仿宋" w:hAnsi="仿宋" w:eastAsia="仿宋" w:cs="仿宋"/>
                <w:color w:val="auto"/>
                <w:sz w:val="21"/>
                <w:szCs w:val="21"/>
                <w:highlight w:val="none"/>
                <w:vertAlign w:val="baseline"/>
              </w:rPr>
              <w:t>.</w:t>
            </w:r>
            <w:r>
              <w:rPr>
                <w:rFonts w:hint="eastAsia" w:ascii="仿宋" w:hAnsi="仿宋" w:eastAsia="仿宋" w:cs="仿宋"/>
                <w:color w:val="auto"/>
                <w:sz w:val="21"/>
                <w:szCs w:val="21"/>
                <w:highlight w:val="none"/>
                <w:vertAlign w:val="baseline"/>
                <w:lang w:val="en-US" w:eastAsia="zh-CN"/>
              </w:rPr>
              <w:t>质量要求</w:t>
            </w:r>
            <w:r>
              <w:rPr>
                <w:rFonts w:hint="eastAsia" w:ascii="仿宋" w:hAnsi="仿宋" w:eastAsia="仿宋" w:cs="仿宋"/>
                <w:color w:val="auto"/>
                <w:sz w:val="21"/>
                <w:szCs w:val="21"/>
                <w:highlight w:val="none"/>
                <w:vertAlign w:val="baseline"/>
              </w:rPr>
              <w:t>”逐条响应情况进行打分。</w:t>
            </w:r>
          </w:p>
          <w:p w14:paraId="5B8BA209">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完全响应招标文件要求得满分</w:t>
            </w:r>
            <w:r>
              <w:rPr>
                <w:rFonts w:hint="eastAsia" w:ascii="仿宋" w:hAnsi="仿宋" w:eastAsia="仿宋" w:cs="仿宋"/>
                <w:color w:val="auto"/>
                <w:sz w:val="21"/>
                <w:szCs w:val="21"/>
                <w:highlight w:val="none"/>
                <w:vertAlign w:val="baseline"/>
                <w:lang w:val="en-US" w:eastAsia="zh-CN"/>
              </w:rPr>
              <w:t>4</w:t>
            </w:r>
            <w:r>
              <w:rPr>
                <w:rFonts w:hint="eastAsia" w:ascii="仿宋" w:hAnsi="仿宋" w:eastAsia="仿宋" w:cs="仿宋"/>
                <w:color w:val="auto"/>
                <w:sz w:val="21"/>
                <w:szCs w:val="21"/>
                <w:highlight w:val="none"/>
                <w:vertAlign w:val="baseline"/>
              </w:rPr>
              <w:t>分；</w:t>
            </w:r>
          </w:p>
          <w:p w14:paraId="7EB0CE7D">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有 1 项条款负偏离，扣 1 分；</w:t>
            </w:r>
          </w:p>
        </w:tc>
      </w:tr>
      <w:tr w14:paraId="392E7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jc w:val="center"/>
        </w:trPr>
        <w:tc>
          <w:tcPr>
            <w:tcW w:w="1074" w:type="dxa"/>
            <w:vMerge w:val="continue"/>
            <w:tcBorders>
              <w:right w:val="single" w:color="000000" w:sz="4" w:space="0"/>
            </w:tcBorders>
            <w:vAlign w:val="center"/>
          </w:tcPr>
          <w:p w14:paraId="31C875CC">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restart"/>
            <w:tcBorders>
              <w:left w:val="single" w:color="000000" w:sz="4" w:space="0"/>
            </w:tcBorders>
            <w:vAlign w:val="center"/>
          </w:tcPr>
          <w:p w14:paraId="279A9EC2">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配送和运输</w:t>
            </w:r>
          </w:p>
        </w:tc>
        <w:tc>
          <w:tcPr>
            <w:tcW w:w="843" w:type="dxa"/>
            <w:vAlign w:val="center"/>
          </w:tcPr>
          <w:p w14:paraId="22DD66AE">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w:t>
            </w:r>
          </w:p>
        </w:tc>
        <w:tc>
          <w:tcPr>
            <w:tcW w:w="5611" w:type="dxa"/>
          </w:tcPr>
          <w:p w14:paraId="3DBD8C61">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 根据投标人按照招标文件采购需求中“三、其他技术要求-2.配送和运输”逐条响应情况进行打分。</w:t>
            </w:r>
          </w:p>
          <w:p w14:paraId="62045297">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完全响应招标文件要求得满分3分；</w:t>
            </w:r>
          </w:p>
          <w:p w14:paraId="6C9F42C5">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有 1 项条款负偏离，扣 1.5 分；</w:t>
            </w:r>
          </w:p>
        </w:tc>
      </w:tr>
      <w:tr w14:paraId="3F0EA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jc w:val="center"/>
        </w:trPr>
        <w:tc>
          <w:tcPr>
            <w:tcW w:w="1074" w:type="dxa"/>
            <w:vMerge w:val="continue"/>
            <w:tcBorders>
              <w:right w:val="single" w:color="000000" w:sz="4" w:space="0"/>
            </w:tcBorders>
            <w:vAlign w:val="center"/>
          </w:tcPr>
          <w:p w14:paraId="2AA3315B">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continue"/>
            <w:tcBorders>
              <w:left w:val="single" w:color="000000" w:sz="4" w:space="0"/>
            </w:tcBorders>
            <w:vAlign w:val="center"/>
          </w:tcPr>
          <w:p w14:paraId="4491196A">
            <w:pPr>
              <w:pStyle w:val="2"/>
              <w:spacing w:line="240" w:lineRule="auto"/>
              <w:ind w:right="31" w:rightChars="15"/>
              <w:jc w:val="center"/>
              <w:rPr>
                <w:rFonts w:hint="eastAsia" w:ascii="仿宋" w:hAnsi="仿宋" w:eastAsia="仿宋" w:cs="仿宋"/>
                <w:color w:val="auto"/>
                <w:sz w:val="21"/>
                <w:szCs w:val="21"/>
                <w:highlight w:val="none"/>
                <w:vertAlign w:val="baseline"/>
              </w:rPr>
            </w:pPr>
          </w:p>
        </w:tc>
        <w:tc>
          <w:tcPr>
            <w:tcW w:w="843" w:type="dxa"/>
            <w:vAlign w:val="center"/>
          </w:tcPr>
          <w:p w14:paraId="0B753FB0">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w:t>
            </w:r>
          </w:p>
        </w:tc>
        <w:tc>
          <w:tcPr>
            <w:tcW w:w="5611" w:type="dxa"/>
          </w:tcPr>
          <w:p w14:paraId="49C00C31">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2.根据投标人按照上述要求提供的配送方案进行打分。</w:t>
            </w:r>
          </w:p>
          <w:p w14:paraId="396EDCF9">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方案细致合理，贴合技术需求得 4 分；</w:t>
            </w:r>
          </w:p>
          <w:p w14:paraId="0ACE7345">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方案较细致合理，基本贴合技术需求得 3 分；</w:t>
            </w:r>
          </w:p>
          <w:p w14:paraId="11508BDF">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方案内容欠缺，部分贴合技术需求得 2 分；</w:t>
            </w:r>
          </w:p>
          <w:p w14:paraId="0DF8F418">
            <w:pPr>
              <w:pStyle w:val="2"/>
              <w:numPr>
                <w:ilvl w:val="0"/>
                <w:numId w:val="0"/>
              </w:numPr>
              <w:spacing w:line="240" w:lineRule="auto"/>
              <w:ind w:right="-31" w:rightChars="-15"/>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方案内容简单，未贴合项目技术需求得1分；</w:t>
            </w:r>
          </w:p>
          <w:p w14:paraId="5702F0FC">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未单独提供该方案不得分。</w:t>
            </w:r>
          </w:p>
        </w:tc>
      </w:tr>
      <w:tr w14:paraId="6FE14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jc w:val="center"/>
        </w:trPr>
        <w:tc>
          <w:tcPr>
            <w:tcW w:w="1074" w:type="dxa"/>
            <w:vMerge w:val="continue"/>
            <w:tcBorders>
              <w:right w:val="single" w:color="000000" w:sz="4" w:space="0"/>
            </w:tcBorders>
            <w:vAlign w:val="center"/>
          </w:tcPr>
          <w:p w14:paraId="7D353292">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continue"/>
            <w:tcBorders>
              <w:left w:val="single" w:color="000000" w:sz="4" w:space="0"/>
            </w:tcBorders>
            <w:vAlign w:val="center"/>
          </w:tcPr>
          <w:p w14:paraId="2BC3FD42">
            <w:pPr>
              <w:pStyle w:val="2"/>
              <w:spacing w:line="240" w:lineRule="auto"/>
              <w:ind w:right="31" w:rightChars="15"/>
              <w:jc w:val="center"/>
              <w:rPr>
                <w:rFonts w:hint="eastAsia" w:ascii="仿宋" w:hAnsi="仿宋" w:eastAsia="仿宋" w:cs="仿宋"/>
                <w:color w:val="auto"/>
                <w:sz w:val="21"/>
                <w:szCs w:val="21"/>
                <w:highlight w:val="none"/>
                <w:vertAlign w:val="baseline"/>
              </w:rPr>
            </w:pPr>
          </w:p>
        </w:tc>
        <w:tc>
          <w:tcPr>
            <w:tcW w:w="843" w:type="dxa"/>
            <w:vAlign w:val="center"/>
          </w:tcPr>
          <w:p w14:paraId="222C43B8">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w:t>
            </w:r>
          </w:p>
        </w:tc>
        <w:tc>
          <w:tcPr>
            <w:tcW w:w="5611" w:type="dxa"/>
          </w:tcPr>
          <w:p w14:paraId="4156ADD6">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3.根据投标人按照上述要求提供的应急预案进行打分。</w:t>
            </w:r>
          </w:p>
          <w:p w14:paraId="12161190">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方案细致合理，贴合技术需求得 4 分；</w:t>
            </w:r>
          </w:p>
          <w:p w14:paraId="1D343DF6">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方案较细致合理，基本贴合技术需求得 3 分；</w:t>
            </w:r>
          </w:p>
          <w:p w14:paraId="659F194C">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方案内容欠缺，部分贴合技术需求得 2 分；</w:t>
            </w:r>
          </w:p>
          <w:p w14:paraId="3CA54731">
            <w:pPr>
              <w:pStyle w:val="2"/>
              <w:numPr>
                <w:ilvl w:val="0"/>
                <w:numId w:val="0"/>
              </w:numPr>
              <w:spacing w:line="240" w:lineRule="auto"/>
              <w:ind w:right="-31" w:rightChars="-15"/>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方案内容简单，未贴合项目技术需求得1分；</w:t>
            </w:r>
          </w:p>
          <w:p w14:paraId="0223AF37">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未单独提供该方案不得分。</w:t>
            </w:r>
          </w:p>
        </w:tc>
      </w:tr>
      <w:tr w14:paraId="05E23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1074" w:type="dxa"/>
            <w:vMerge w:val="continue"/>
            <w:tcBorders>
              <w:right w:val="single" w:color="000000" w:sz="4" w:space="0"/>
            </w:tcBorders>
            <w:vAlign w:val="center"/>
          </w:tcPr>
          <w:p w14:paraId="601EC788">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restart"/>
            <w:tcBorders>
              <w:left w:val="single" w:color="000000" w:sz="4" w:space="0"/>
            </w:tcBorders>
            <w:vAlign w:val="center"/>
          </w:tcPr>
          <w:p w14:paraId="17ACA9C5">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售后服务</w:t>
            </w:r>
          </w:p>
        </w:tc>
        <w:tc>
          <w:tcPr>
            <w:tcW w:w="843" w:type="dxa"/>
            <w:vAlign w:val="center"/>
          </w:tcPr>
          <w:p w14:paraId="2D40259A">
            <w:pPr>
              <w:pStyle w:val="2"/>
              <w:spacing w:line="240" w:lineRule="auto"/>
              <w:ind w:right="0" w:right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6</w:t>
            </w:r>
          </w:p>
        </w:tc>
        <w:tc>
          <w:tcPr>
            <w:tcW w:w="5611" w:type="dxa"/>
          </w:tcPr>
          <w:p w14:paraId="379818A0">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 根据投标人按照招标文件采购需求中“三、其他技术要求-3.售后服务”逐条响应情况进行打分。</w:t>
            </w:r>
          </w:p>
          <w:p w14:paraId="3CC51DA7">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完全响应招标文件要求得满分6分；</w:t>
            </w:r>
          </w:p>
          <w:p w14:paraId="12DB41B5">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有 1 项条款负偏离，扣 1 分；</w:t>
            </w:r>
          </w:p>
        </w:tc>
      </w:tr>
      <w:tr w14:paraId="0B407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1074" w:type="dxa"/>
            <w:vMerge w:val="continue"/>
            <w:tcBorders>
              <w:right w:val="single" w:color="000000" w:sz="4" w:space="0"/>
            </w:tcBorders>
            <w:vAlign w:val="center"/>
          </w:tcPr>
          <w:p w14:paraId="1CF84E87">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continue"/>
            <w:tcBorders>
              <w:left w:val="single" w:color="000000" w:sz="4" w:space="0"/>
            </w:tcBorders>
            <w:vAlign w:val="center"/>
          </w:tcPr>
          <w:p w14:paraId="3ECB8561">
            <w:pPr>
              <w:pStyle w:val="2"/>
              <w:spacing w:line="240" w:lineRule="auto"/>
              <w:ind w:right="31" w:rightChars="15"/>
              <w:jc w:val="center"/>
              <w:rPr>
                <w:rFonts w:hint="eastAsia" w:ascii="仿宋" w:hAnsi="仿宋" w:eastAsia="仿宋" w:cs="仿宋"/>
                <w:color w:val="auto"/>
                <w:sz w:val="21"/>
                <w:szCs w:val="21"/>
                <w:highlight w:val="none"/>
                <w:vertAlign w:val="baseline"/>
              </w:rPr>
            </w:pPr>
          </w:p>
        </w:tc>
        <w:tc>
          <w:tcPr>
            <w:tcW w:w="843" w:type="dxa"/>
            <w:vAlign w:val="center"/>
          </w:tcPr>
          <w:p w14:paraId="72909D85">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10</w:t>
            </w:r>
          </w:p>
        </w:tc>
        <w:tc>
          <w:tcPr>
            <w:tcW w:w="5611" w:type="dxa"/>
          </w:tcPr>
          <w:p w14:paraId="72A7F2A5">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2.根据投标人按照上述要求提供的服务团队方案进行打分。</w:t>
            </w:r>
          </w:p>
          <w:p w14:paraId="556D1BDF">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方案细致合理，贴合技术需求得 10 分；</w:t>
            </w:r>
          </w:p>
          <w:p w14:paraId="1085DF14">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方案较细致合理，基本贴合技术需求得 7 分；</w:t>
            </w:r>
          </w:p>
          <w:p w14:paraId="3014D42C">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方案简单，部分贴合技术需求得 4 分；</w:t>
            </w:r>
          </w:p>
          <w:p w14:paraId="4F0CC415">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未单独提供该方案不得分。</w:t>
            </w:r>
          </w:p>
        </w:tc>
      </w:tr>
    </w:tbl>
    <w:p w14:paraId="0B2A608B">
      <w:pPr>
        <w:pStyle w:val="17"/>
        <w:ind w:left="0" w:leftChars="0" w:firstLine="0" w:firstLineChars="0"/>
        <w:rPr>
          <w:rFonts w:hint="eastAsia" w:ascii="仿宋" w:hAnsi="仿宋" w:eastAsia="仿宋" w:cs="仿宋"/>
          <w:color w:val="auto"/>
          <w:highlight w:val="none"/>
          <w:lang w:val="en-US" w:eastAsia="zh-CN"/>
        </w:rPr>
      </w:pPr>
    </w:p>
    <w:p w14:paraId="38BC594F">
      <w:pPr>
        <w:pStyle w:val="2"/>
        <w:rPr>
          <w:rFonts w:hint="default"/>
          <w:lang w:val="en-US" w:eastAsia="zh-CN"/>
        </w:rPr>
      </w:pPr>
      <w:r>
        <w:rPr>
          <w:rFonts w:hint="eastAsia" w:ascii="仿宋" w:hAnsi="仿宋" w:eastAsia="仿宋" w:cs="仿宋"/>
          <w:b/>
          <w:bCs/>
          <w:color w:val="auto"/>
          <w:sz w:val="24"/>
          <w:szCs w:val="24"/>
          <w:highlight w:val="none"/>
          <w:lang w:val="en-US" w:eastAsia="zh-CN"/>
        </w:rPr>
        <w:t>标项2：</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994"/>
        <w:gridCol w:w="843"/>
        <w:gridCol w:w="5611"/>
      </w:tblGrid>
      <w:tr w14:paraId="09F82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68" w:type="dxa"/>
            <w:gridSpan w:val="2"/>
            <w:vAlign w:val="center"/>
          </w:tcPr>
          <w:p w14:paraId="4F8C29A3">
            <w:pPr>
              <w:spacing w:line="240" w:lineRule="auto"/>
              <w:ind w:left="0" w:leftChars="0" w:right="638" w:rightChars="304"/>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评分因素</w:t>
            </w:r>
          </w:p>
        </w:tc>
        <w:tc>
          <w:tcPr>
            <w:tcW w:w="843" w:type="dxa"/>
            <w:vAlign w:val="center"/>
          </w:tcPr>
          <w:p w14:paraId="22B5934C">
            <w:pPr>
              <w:spacing w:line="240" w:lineRule="auto"/>
              <w:ind w:left="0" w:leftChars="0" w:right="0" w:rightChars="0"/>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分值</w:t>
            </w:r>
          </w:p>
        </w:tc>
        <w:tc>
          <w:tcPr>
            <w:tcW w:w="5611" w:type="dxa"/>
            <w:vAlign w:val="center"/>
          </w:tcPr>
          <w:p w14:paraId="0E684504">
            <w:pPr>
              <w:spacing w:line="240" w:lineRule="auto"/>
              <w:ind w:left="0" w:leftChars="0" w:right="-31" w:rightChars="-15"/>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评分细则</w:t>
            </w:r>
          </w:p>
        </w:tc>
      </w:tr>
      <w:tr w14:paraId="0BC3E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068" w:type="dxa"/>
            <w:gridSpan w:val="2"/>
            <w:vAlign w:val="center"/>
          </w:tcPr>
          <w:p w14:paraId="5184C0BA">
            <w:pPr>
              <w:spacing w:line="240" w:lineRule="auto"/>
              <w:ind w:left="0" w:leftChars="0" w:right="638" w:rightChars="304"/>
              <w:jc w:val="center"/>
              <w:rPr>
                <w:rFonts w:hint="eastAsia" w:ascii="仿宋" w:hAnsi="仿宋" w:eastAsia="仿宋" w:cs="仿宋"/>
                <w:b/>
                <w:bCs w:val="0"/>
                <w:color w:val="auto"/>
                <w:kern w:val="0"/>
                <w:sz w:val="21"/>
                <w:szCs w:val="21"/>
                <w:highlight w:val="none"/>
                <w:lang w:val="en-US" w:eastAsia="zh-CN"/>
              </w:rPr>
            </w:pPr>
            <w:r>
              <w:rPr>
                <w:rFonts w:hint="eastAsia" w:ascii="仿宋" w:hAnsi="仿宋" w:eastAsia="仿宋" w:cs="仿宋"/>
                <w:b w:val="0"/>
                <w:bCs/>
                <w:color w:val="auto"/>
                <w:kern w:val="0"/>
                <w:sz w:val="21"/>
                <w:szCs w:val="21"/>
                <w:highlight w:val="none"/>
                <w:lang w:val="en-US" w:eastAsia="zh-CN"/>
              </w:rPr>
              <w:t>分值构成</w:t>
            </w:r>
          </w:p>
        </w:tc>
        <w:tc>
          <w:tcPr>
            <w:tcW w:w="6454" w:type="dxa"/>
            <w:gridSpan w:val="2"/>
            <w:vAlign w:val="center"/>
          </w:tcPr>
          <w:p w14:paraId="3BC1ADFC">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商务部分</w:t>
            </w:r>
            <w:r>
              <w:rPr>
                <w:rFonts w:hint="eastAsia" w:ascii="仿宋" w:hAnsi="仿宋" w:eastAsia="仿宋" w:cs="仿宋"/>
                <w:b w:val="0"/>
                <w:bCs/>
                <w:color w:val="auto"/>
                <w:kern w:val="0"/>
                <w:sz w:val="21"/>
                <w:szCs w:val="21"/>
                <w:highlight w:val="none"/>
                <w:lang w:val="en-US" w:eastAsia="zh-CN"/>
              </w:rPr>
              <w:t>5</w:t>
            </w:r>
            <w:r>
              <w:rPr>
                <w:rFonts w:hint="eastAsia" w:ascii="仿宋" w:hAnsi="仿宋" w:eastAsia="仿宋" w:cs="仿宋"/>
                <w:b w:val="0"/>
                <w:bCs/>
                <w:color w:val="auto"/>
                <w:kern w:val="0"/>
                <w:sz w:val="21"/>
                <w:szCs w:val="21"/>
                <w:highlight w:val="none"/>
              </w:rPr>
              <w:t>.0分</w:t>
            </w:r>
          </w:p>
          <w:p w14:paraId="1BDF95AD">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技术部分</w:t>
            </w:r>
            <w:r>
              <w:rPr>
                <w:rFonts w:hint="eastAsia" w:ascii="仿宋" w:hAnsi="仿宋" w:eastAsia="仿宋" w:cs="仿宋"/>
                <w:b w:val="0"/>
                <w:bCs/>
                <w:color w:val="auto"/>
                <w:kern w:val="0"/>
                <w:sz w:val="21"/>
                <w:szCs w:val="21"/>
                <w:highlight w:val="none"/>
                <w:lang w:val="en-US" w:eastAsia="zh-CN"/>
              </w:rPr>
              <w:t>65</w:t>
            </w:r>
            <w:r>
              <w:rPr>
                <w:rFonts w:hint="eastAsia" w:ascii="仿宋" w:hAnsi="仿宋" w:eastAsia="仿宋" w:cs="仿宋"/>
                <w:b w:val="0"/>
                <w:bCs/>
                <w:color w:val="auto"/>
                <w:kern w:val="0"/>
                <w:sz w:val="21"/>
                <w:szCs w:val="21"/>
                <w:highlight w:val="none"/>
              </w:rPr>
              <w:t>.0分</w:t>
            </w:r>
          </w:p>
          <w:p w14:paraId="2530EBF8">
            <w:pPr>
              <w:spacing w:line="240" w:lineRule="auto"/>
              <w:ind w:left="0" w:leftChars="0" w:right="-31" w:rightChars="-15"/>
              <w:jc w:val="left"/>
              <w:rPr>
                <w:rFonts w:hint="eastAsia" w:ascii="仿宋" w:hAnsi="仿宋" w:eastAsia="仿宋" w:cs="仿宋"/>
                <w:b/>
                <w:bCs w:val="0"/>
                <w:color w:val="auto"/>
                <w:kern w:val="0"/>
                <w:sz w:val="21"/>
                <w:szCs w:val="21"/>
                <w:highlight w:val="none"/>
              </w:rPr>
            </w:pPr>
            <w:r>
              <w:rPr>
                <w:rFonts w:hint="eastAsia" w:ascii="仿宋" w:hAnsi="仿宋" w:eastAsia="仿宋" w:cs="仿宋"/>
                <w:b w:val="0"/>
                <w:bCs/>
                <w:color w:val="auto"/>
                <w:kern w:val="0"/>
                <w:sz w:val="21"/>
                <w:szCs w:val="21"/>
                <w:highlight w:val="none"/>
              </w:rPr>
              <w:t>报价得分</w:t>
            </w:r>
            <w:r>
              <w:rPr>
                <w:rFonts w:hint="eastAsia" w:ascii="仿宋" w:hAnsi="仿宋" w:eastAsia="仿宋" w:cs="仿宋"/>
                <w:b w:val="0"/>
                <w:bCs/>
                <w:color w:val="auto"/>
                <w:kern w:val="0"/>
                <w:sz w:val="21"/>
                <w:szCs w:val="21"/>
                <w:highlight w:val="none"/>
                <w:lang w:val="en-US" w:eastAsia="zh-CN"/>
              </w:rPr>
              <w:t>3</w:t>
            </w:r>
            <w:r>
              <w:rPr>
                <w:rFonts w:hint="eastAsia" w:ascii="仿宋" w:hAnsi="仿宋" w:eastAsia="仿宋" w:cs="仿宋"/>
                <w:b w:val="0"/>
                <w:bCs/>
                <w:color w:val="auto"/>
                <w:kern w:val="0"/>
                <w:sz w:val="21"/>
                <w:szCs w:val="21"/>
                <w:highlight w:val="none"/>
              </w:rPr>
              <w:t>0.0分</w:t>
            </w:r>
          </w:p>
        </w:tc>
      </w:tr>
      <w:tr w14:paraId="5EF3A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68" w:type="dxa"/>
            <w:gridSpan w:val="2"/>
            <w:vAlign w:val="center"/>
          </w:tcPr>
          <w:p w14:paraId="243FC3B5">
            <w:pPr>
              <w:pStyle w:val="2"/>
              <w:spacing w:line="240" w:lineRule="auto"/>
              <w:ind w:right="8" w:rightChars="0"/>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报价</w:t>
            </w:r>
            <w:r>
              <w:rPr>
                <w:rFonts w:hint="eastAsia" w:ascii="仿宋" w:hAnsi="仿宋" w:eastAsia="仿宋" w:cs="仿宋"/>
                <w:color w:val="auto"/>
                <w:sz w:val="21"/>
                <w:szCs w:val="21"/>
                <w:highlight w:val="none"/>
                <w:vertAlign w:val="baseline"/>
              </w:rPr>
              <w:t>部分（30 分）</w:t>
            </w:r>
          </w:p>
        </w:tc>
        <w:tc>
          <w:tcPr>
            <w:tcW w:w="843" w:type="dxa"/>
            <w:vAlign w:val="center"/>
          </w:tcPr>
          <w:p w14:paraId="109DFC0A">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30</w:t>
            </w:r>
          </w:p>
        </w:tc>
        <w:tc>
          <w:tcPr>
            <w:tcW w:w="5611" w:type="dxa"/>
          </w:tcPr>
          <w:p w14:paraId="4805A7A1">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满足招</w:t>
            </w:r>
            <w:r>
              <w:rPr>
                <w:rFonts w:hint="eastAsia" w:ascii="仿宋" w:hAnsi="仿宋" w:eastAsia="仿宋" w:cs="仿宋"/>
                <w:color w:val="auto"/>
                <w:sz w:val="21"/>
                <w:szCs w:val="21"/>
                <w:highlight w:val="none"/>
                <w:vertAlign w:val="baseline"/>
              </w:rPr>
              <w:t>标文件要求且投标价格最低的有效投标报价（即除低于成本报价以外的报价）为评标基准价。其他</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的价格分统一按照下列公式计算：</w:t>
            </w:r>
          </w:p>
          <w:p w14:paraId="27EEA5D1">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rPr>
              <w:t>投标报价得分=（评标基准价/投标报价）×</w:t>
            </w:r>
            <w:r>
              <w:rPr>
                <w:rFonts w:hint="eastAsia" w:ascii="仿宋" w:hAnsi="仿宋" w:eastAsia="仿宋" w:cs="仿宋"/>
                <w:color w:val="auto"/>
                <w:sz w:val="21"/>
                <w:szCs w:val="21"/>
                <w:highlight w:val="none"/>
                <w:vertAlign w:val="baseline"/>
                <w:lang w:val="en-US" w:eastAsia="zh-CN"/>
              </w:rPr>
              <w:t>价格满分分值</w:t>
            </w:r>
          </w:p>
        </w:tc>
      </w:tr>
      <w:tr w14:paraId="61BD5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6" w:hRule="atLeast"/>
          <w:jc w:val="center"/>
        </w:trPr>
        <w:tc>
          <w:tcPr>
            <w:tcW w:w="1074" w:type="dxa"/>
            <w:tcBorders>
              <w:right w:val="single" w:color="000000" w:sz="4" w:space="0"/>
            </w:tcBorders>
            <w:vAlign w:val="center"/>
          </w:tcPr>
          <w:p w14:paraId="01AC3351">
            <w:pPr>
              <w:pStyle w:val="2"/>
              <w:spacing w:line="240" w:lineRule="auto"/>
              <w:ind w:right="-19" w:rightChars="-9"/>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rPr>
              <w:t>商务部分(</w:t>
            </w:r>
            <w:r>
              <w:rPr>
                <w:rFonts w:hint="eastAsia" w:ascii="仿宋" w:hAnsi="仿宋" w:eastAsia="仿宋" w:cs="仿宋"/>
                <w:color w:val="auto"/>
                <w:sz w:val="21"/>
                <w:szCs w:val="21"/>
                <w:highlight w:val="none"/>
                <w:vertAlign w:val="baseline"/>
                <w:lang w:val="en-US" w:eastAsia="zh-CN"/>
              </w:rPr>
              <w:t>5</w:t>
            </w:r>
            <w:r>
              <w:rPr>
                <w:rFonts w:hint="eastAsia" w:ascii="仿宋" w:hAnsi="仿宋" w:eastAsia="仿宋" w:cs="仿宋"/>
                <w:color w:val="auto"/>
                <w:sz w:val="21"/>
                <w:szCs w:val="21"/>
                <w:highlight w:val="none"/>
                <w:vertAlign w:val="baseline"/>
              </w:rPr>
              <w:t>分)</w:t>
            </w:r>
          </w:p>
        </w:tc>
        <w:tc>
          <w:tcPr>
            <w:tcW w:w="994" w:type="dxa"/>
            <w:tcBorders>
              <w:left w:val="single" w:color="000000" w:sz="4" w:space="0"/>
            </w:tcBorders>
            <w:vAlign w:val="center"/>
          </w:tcPr>
          <w:p w14:paraId="0CA3124B">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类似项目业绩</w:t>
            </w:r>
          </w:p>
        </w:tc>
        <w:tc>
          <w:tcPr>
            <w:tcW w:w="843" w:type="dxa"/>
            <w:vAlign w:val="center"/>
          </w:tcPr>
          <w:p w14:paraId="59EDFE4C">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5</w:t>
            </w:r>
          </w:p>
        </w:tc>
        <w:tc>
          <w:tcPr>
            <w:tcW w:w="5611" w:type="dxa"/>
          </w:tcPr>
          <w:p w14:paraId="1295552F">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自 20</w:t>
            </w:r>
            <w:r>
              <w:rPr>
                <w:rFonts w:hint="eastAsia" w:ascii="仿宋" w:hAnsi="仿宋" w:eastAsia="仿宋" w:cs="仿宋"/>
                <w:color w:val="auto"/>
                <w:sz w:val="21"/>
                <w:szCs w:val="21"/>
                <w:highlight w:val="none"/>
                <w:vertAlign w:val="baseline"/>
                <w:lang w:val="en-US" w:eastAsia="zh-CN"/>
              </w:rPr>
              <w:t>22</w:t>
            </w:r>
            <w:r>
              <w:rPr>
                <w:rFonts w:hint="eastAsia" w:ascii="仿宋" w:hAnsi="仿宋" w:eastAsia="仿宋" w:cs="仿宋"/>
                <w:color w:val="auto"/>
                <w:sz w:val="21"/>
                <w:szCs w:val="21"/>
                <w:highlight w:val="none"/>
                <w:vertAlign w:val="baseline"/>
              </w:rPr>
              <w:t xml:space="preserve">年 </w:t>
            </w:r>
            <w:r>
              <w:rPr>
                <w:rFonts w:hint="eastAsia" w:ascii="仿宋" w:hAnsi="仿宋" w:eastAsia="仿宋" w:cs="仿宋"/>
                <w:color w:val="auto"/>
                <w:sz w:val="21"/>
                <w:szCs w:val="21"/>
                <w:highlight w:val="none"/>
                <w:vertAlign w:val="baseline"/>
                <w:lang w:val="en-US" w:eastAsia="zh-CN"/>
              </w:rPr>
              <w:t>01</w:t>
            </w:r>
            <w:r>
              <w:rPr>
                <w:rFonts w:hint="eastAsia" w:ascii="仿宋" w:hAnsi="仿宋" w:eastAsia="仿宋" w:cs="仿宋"/>
                <w:color w:val="auto"/>
                <w:sz w:val="21"/>
                <w:szCs w:val="21"/>
                <w:highlight w:val="none"/>
                <w:vertAlign w:val="baseline"/>
              </w:rPr>
              <w:t xml:space="preserve">月 </w:t>
            </w:r>
            <w:r>
              <w:rPr>
                <w:rFonts w:hint="eastAsia" w:ascii="仿宋" w:hAnsi="仿宋" w:eastAsia="仿宋" w:cs="仿宋"/>
                <w:color w:val="auto"/>
                <w:sz w:val="21"/>
                <w:szCs w:val="21"/>
                <w:highlight w:val="none"/>
                <w:vertAlign w:val="baseline"/>
                <w:lang w:val="en-US" w:eastAsia="zh-CN"/>
              </w:rPr>
              <w:t>0</w:t>
            </w:r>
            <w:r>
              <w:rPr>
                <w:rFonts w:hint="eastAsia" w:ascii="仿宋" w:hAnsi="仿宋" w:eastAsia="仿宋" w:cs="仿宋"/>
                <w:color w:val="auto"/>
                <w:sz w:val="21"/>
                <w:szCs w:val="21"/>
                <w:highlight w:val="none"/>
                <w:vertAlign w:val="baseline"/>
              </w:rPr>
              <w:t xml:space="preserve">1 日至投标截止日止（以合同签订合同时间为准）独立承担的类似项目，每提供 1 份有效的业绩资料得 </w:t>
            </w:r>
            <w:r>
              <w:rPr>
                <w:rFonts w:hint="eastAsia" w:ascii="仿宋" w:hAnsi="仿宋" w:eastAsia="仿宋" w:cs="仿宋"/>
                <w:color w:val="auto"/>
                <w:sz w:val="21"/>
                <w:szCs w:val="21"/>
                <w:highlight w:val="none"/>
                <w:vertAlign w:val="baseline"/>
                <w:lang w:val="en-US" w:eastAsia="zh-CN"/>
              </w:rPr>
              <w:t>1</w:t>
            </w:r>
            <w:r>
              <w:rPr>
                <w:rFonts w:hint="eastAsia" w:ascii="仿宋" w:hAnsi="仿宋" w:eastAsia="仿宋" w:cs="仿宋"/>
                <w:color w:val="auto"/>
                <w:sz w:val="21"/>
                <w:szCs w:val="21"/>
                <w:highlight w:val="none"/>
                <w:vertAlign w:val="baseline"/>
              </w:rPr>
              <w:t xml:space="preserve"> 分，满分 </w:t>
            </w:r>
            <w:r>
              <w:rPr>
                <w:rFonts w:hint="eastAsia" w:ascii="仿宋" w:hAnsi="仿宋" w:eastAsia="仿宋" w:cs="仿宋"/>
                <w:color w:val="auto"/>
                <w:sz w:val="21"/>
                <w:szCs w:val="21"/>
                <w:highlight w:val="none"/>
                <w:vertAlign w:val="baseline"/>
                <w:lang w:val="en-US" w:eastAsia="zh-CN"/>
              </w:rPr>
              <w:t>5</w:t>
            </w:r>
            <w:r>
              <w:rPr>
                <w:rFonts w:hint="eastAsia" w:ascii="仿宋" w:hAnsi="仿宋" w:eastAsia="仿宋" w:cs="仿宋"/>
                <w:color w:val="auto"/>
                <w:sz w:val="21"/>
                <w:szCs w:val="21"/>
                <w:highlight w:val="none"/>
                <w:vertAlign w:val="baseline"/>
              </w:rPr>
              <w:t xml:space="preserve"> 分。</w:t>
            </w:r>
          </w:p>
          <w:p w14:paraId="052FD67D">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注：1.须提供业绩合同关键页（含：首页、</w:t>
            </w:r>
            <w:r>
              <w:rPr>
                <w:rFonts w:hint="eastAsia" w:ascii="仿宋" w:hAnsi="仿宋" w:eastAsia="仿宋" w:cs="仿宋"/>
                <w:color w:val="auto"/>
                <w:sz w:val="21"/>
                <w:szCs w:val="21"/>
                <w:highlight w:val="none"/>
                <w:vertAlign w:val="baseline"/>
                <w:lang w:val="en-US" w:eastAsia="zh-CN"/>
              </w:rPr>
              <w:t>标的页</w:t>
            </w:r>
            <w:r>
              <w:rPr>
                <w:rFonts w:hint="eastAsia" w:ascii="仿宋" w:hAnsi="仿宋" w:eastAsia="仿宋" w:cs="仿宋"/>
                <w:color w:val="auto"/>
                <w:sz w:val="21"/>
                <w:szCs w:val="21"/>
                <w:highlight w:val="none"/>
                <w:vertAlign w:val="baseline"/>
              </w:rPr>
              <w:t>、合同金额页、签字盖章页）。复印件加盖公章，时间以合同签订日期为准。不符合上述要求或未按要求提供有效证明文件的业绩在评审时将不予承认。</w:t>
            </w:r>
          </w:p>
          <w:p w14:paraId="2BA84D76">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2.</w:t>
            </w:r>
            <w:r>
              <w:rPr>
                <w:rFonts w:hint="eastAsia" w:ascii="仿宋" w:hAnsi="仿宋" w:eastAsia="仿宋" w:cs="仿宋"/>
                <w:color w:val="auto"/>
                <w:sz w:val="21"/>
                <w:szCs w:val="21"/>
                <w:highlight w:val="none"/>
                <w:vertAlign w:val="baseline"/>
                <w:lang w:eastAsia="zh-CN"/>
              </w:rPr>
              <w:t>投标人</w:t>
            </w:r>
            <w:r>
              <w:rPr>
                <w:rFonts w:hint="eastAsia" w:ascii="仿宋" w:hAnsi="仿宋" w:eastAsia="仿宋" w:cs="仿宋"/>
                <w:color w:val="auto"/>
                <w:sz w:val="21"/>
                <w:szCs w:val="21"/>
                <w:highlight w:val="none"/>
                <w:vertAlign w:val="baseline"/>
              </w:rPr>
              <w:t>提供虚假合同的，按虚假投标处理。</w:t>
            </w:r>
          </w:p>
        </w:tc>
      </w:tr>
      <w:tr w14:paraId="4ED81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5" w:hRule="atLeast"/>
          <w:jc w:val="center"/>
        </w:trPr>
        <w:tc>
          <w:tcPr>
            <w:tcW w:w="1074" w:type="dxa"/>
            <w:vMerge w:val="restart"/>
            <w:tcBorders>
              <w:right w:val="single" w:color="000000" w:sz="4" w:space="0"/>
            </w:tcBorders>
            <w:vAlign w:val="center"/>
          </w:tcPr>
          <w:p w14:paraId="2649448C">
            <w:pPr>
              <w:pStyle w:val="2"/>
              <w:spacing w:line="240" w:lineRule="auto"/>
              <w:ind w:right="-19" w:rightChars="-9"/>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技术部分 (</w:t>
            </w:r>
            <w:r>
              <w:rPr>
                <w:rFonts w:hint="eastAsia" w:ascii="仿宋" w:hAnsi="仿宋" w:eastAsia="仿宋" w:cs="仿宋"/>
                <w:color w:val="auto"/>
                <w:sz w:val="21"/>
                <w:szCs w:val="21"/>
                <w:highlight w:val="none"/>
                <w:vertAlign w:val="baseline"/>
                <w:lang w:val="en-US" w:eastAsia="zh-CN"/>
              </w:rPr>
              <w:t>65</w:t>
            </w:r>
            <w:r>
              <w:rPr>
                <w:rFonts w:hint="eastAsia" w:ascii="仿宋" w:hAnsi="仿宋" w:eastAsia="仿宋" w:cs="仿宋"/>
                <w:color w:val="auto"/>
                <w:sz w:val="21"/>
                <w:szCs w:val="21"/>
                <w:highlight w:val="none"/>
                <w:vertAlign w:val="baseline"/>
              </w:rPr>
              <w:t>分)</w:t>
            </w:r>
          </w:p>
        </w:tc>
        <w:tc>
          <w:tcPr>
            <w:tcW w:w="994" w:type="dxa"/>
            <w:tcBorders>
              <w:left w:val="single" w:color="000000" w:sz="4" w:space="0"/>
            </w:tcBorders>
            <w:vAlign w:val="center"/>
          </w:tcPr>
          <w:p w14:paraId="7BD320F1">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技术要求</w:t>
            </w:r>
          </w:p>
        </w:tc>
        <w:tc>
          <w:tcPr>
            <w:tcW w:w="843" w:type="dxa"/>
            <w:vAlign w:val="center"/>
          </w:tcPr>
          <w:p w14:paraId="75070027">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30</w:t>
            </w:r>
          </w:p>
        </w:tc>
        <w:tc>
          <w:tcPr>
            <w:tcW w:w="5611" w:type="dxa"/>
          </w:tcPr>
          <w:p w14:paraId="1EBA5CC2">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根据投标人对招标文件采购需求中</w:t>
            </w:r>
            <w:r>
              <w:rPr>
                <w:rFonts w:hint="eastAsia" w:ascii="仿宋" w:hAnsi="仿宋" w:eastAsia="仿宋" w:cs="仿宋"/>
                <w:color w:val="auto"/>
                <w:sz w:val="21"/>
                <w:szCs w:val="21"/>
                <w:highlight w:val="none"/>
                <w:vertAlign w:val="baseline"/>
                <w:lang w:val="en-US" w:eastAsia="zh-CN"/>
              </w:rPr>
              <w:t>试剂耗材参数及用途</w:t>
            </w:r>
            <w:r>
              <w:rPr>
                <w:rFonts w:hint="eastAsia" w:ascii="仿宋" w:hAnsi="仿宋" w:eastAsia="仿宋" w:cs="仿宋"/>
                <w:color w:val="auto"/>
                <w:sz w:val="21"/>
                <w:szCs w:val="21"/>
                <w:highlight w:val="none"/>
                <w:vertAlign w:val="baseline"/>
              </w:rPr>
              <w:t>响应情况进行评分。</w:t>
            </w:r>
          </w:p>
          <w:p w14:paraId="4AC35A85">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完全响应招标文件要求得满分</w:t>
            </w:r>
            <w:r>
              <w:rPr>
                <w:rFonts w:hint="eastAsia" w:ascii="仿宋" w:hAnsi="仿宋" w:eastAsia="仿宋" w:cs="仿宋"/>
                <w:color w:val="auto"/>
                <w:sz w:val="21"/>
                <w:szCs w:val="21"/>
                <w:highlight w:val="none"/>
                <w:vertAlign w:val="baseline"/>
                <w:lang w:val="en-US" w:eastAsia="zh-CN"/>
              </w:rPr>
              <w:t>30分</w:t>
            </w:r>
            <w:r>
              <w:rPr>
                <w:rFonts w:hint="eastAsia" w:ascii="仿宋" w:hAnsi="仿宋" w:eastAsia="仿宋" w:cs="仿宋"/>
                <w:color w:val="auto"/>
                <w:sz w:val="21"/>
                <w:szCs w:val="21"/>
                <w:highlight w:val="none"/>
                <w:vertAlign w:val="baseline"/>
              </w:rPr>
              <w:t>；一般技术条款(即非实质性要求)偏离在</w:t>
            </w:r>
            <w:r>
              <w:rPr>
                <w:rFonts w:hint="eastAsia" w:ascii="仿宋" w:hAnsi="仿宋" w:eastAsia="仿宋" w:cs="仿宋"/>
                <w:color w:val="auto"/>
                <w:sz w:val="21"/>
                <w:szCs w:val="21"/>
                <w:highlight w:val="none"/>
                <w:vertAlign w:val="baseline"/>
                <w:lang w:val="en-US" w:eastAsia="zh-CN"/>
              </w:rPr>
              <w:t>3</w:t>
            </w:r>
            <w:r>
              <w:rPr>
                <w:rFonts w:hint="eastAsia" w:ascii="仿宋" w:hAnsi="仿宋" w:eastAsia="仿宋" w:cs="仿宋"/>
                <w:color w:val="auto"/>
                <w:sz w:val="21"/>
                <w:szCs w:val="21"/>
                <w:highlight w:val="none"/>
                <w:vertAlign w:val="baseline"/>
              </w:rPr>
              <w:t>0项以内(含</w:t>
            </w:r>
            <w:r>
              <w:rPr>
                <w:rFonts w:hint="eastAsia" w:ascii="仿宋" w:hAnsi="仿宋" w:eastAsia="仿宋" w:cs="仿宋"/>
                <w:color w:val="auto"/>
                <w:sz w:val="21"/>
                <w:szCs w:val="21"/>
                <w:highlight w:val="none"/>
                <w:vertAlign w:val="baseline"/>
                <w:lang w:val="en-US" w:eastAsia="zh-CN"/>
              </w:rPr>
              <w:t>3</w:t>
            </w:r>
            <w:r>
              <w:rPr>
                <w:rFonts w:hint="eastAsia" w:ascii="仿宋" w:hAnsi="仿宋" w:eastAsia="仿宋" w:cs="仿宋"/>
                <w:color w:val="auto"/>
                <w:sz w:val="21"/>
                <w:szCs w:val="21"/>
                <w:highlight w:val="none"/>
                <w:vertAlign w:val="baseline"/>
              </w:rPr>
              <w:t>0项)</w:t>
            </w:r>
            <w:r>
              <w:rPr>
                <w:rFonts w:hint="eastAsia" w:ascii="仿宋" w:hAnsi="仿宋" w:eastAsia="仿宋" w:cs="仿宋"/>
                <w:color w:val="auto"/>
                <w:sz w:val="21"/>
                <w:szCs w:val="21"/>
                <w:highlight w:val="none"/>
                <w:vertAlign w:val="baseline"/>
                <w:lang w:eastAsia="zh-CN"/>
              </w:rPr>
              <w:t>，</w:t>
            </w:r>
            <w:r>
              <w:rPr>
                <w:rFonts w:hint="eastAsia" w:ascii="仿宋" w:hAnsi="仿宋" w:eastAsia="仿宋" w:cs="仿宋"/>
                <w:color w:val="auto"/>
                <w:sz w:val="21"/>
                <w:szCs w:val="21"/>
                <w:highlight w:val="none"/>
                <w:vertAlign w:val="baseline"/>
              </w:rPr>
              <w:t>有 1 项</w:t>
            </w:r>
            <w:r>
              <w:rPr>
                <w:rFonts w:hint="eastAsia" w:ascii="仿宋" w:hAnsi="仿宋" w:eastAsia="仿宋" w:cs="仿宋"/>
                <w:color w:val="auto"/>
                <w:sz w:val="21"/>
                <w:szCs w:val="21"/>
                <w:highlight w:val="none"/>
                <w:vertAlign w:val="baseline"/>
                <w:lang w:val="en-US" w:eastAsia="zh-CN"/>
              </w:rPr>
              <w:t>一般</w:t>
            </w:r>
            <w:r>
              <w:rPr>
                <w:rFonts w:hint="eastAsia" w:ascii="仿宋" w:hAnsi="仿宋" w:eastAsia="仿宋" w:cs="仿宋"/>
                <w:color w:val="auto"/>
                <w:sz w:val="21"/>
                <w:szCs w:val="21"/>
                <w:highlight w:val="none"/>
                <w:vertAlign w:val="baseline"/>
              </w:rPr>
              <w:t xml:space="preserve">条款负偏离，扣 </w:t>
            </w:r>
            <w:r>
              <w:rPr>
                <w:rFonts w:hint="eastAsia" w:ascii="仿宋" w:hAnsi="仿宋" w:eastAsia="仿宋" w:cs="仿宋"/>
                <w:color w:val="auto"/>
                <w:sz w:val="21"/>
                <w:szCs w:val="21"/>
                <w:highlight w:val="none"/>
                <w:vertAlign w:val="baseline"/>
                <w:lang w:val="en-US" w:eastAsia="zh-CN"/>
              </w:rPr>
              <w:t>1</w:t>
            </w:r>
            <w:r>
              <w:rPr>
                <w:rFonts w:hint="eastAsia" w:ascii="仿宋" w:hAnsi="仿宋" w:eastAsia="仿宋" w:cs="仿宋"/>
                <w:color w:val="auto"/>
                <w:sz w:val="21"/>
                <w:szCs w:val="21"/>
                <w:highlight w:val="none"/>
                <w:vertAlign w:val="baseline"/>
              </w:rPr>
              <w:t xml:space="preserve"> 分； 一般技术条款(即非实质性要求)偏离超过</w:t>
            </w:r>
            <w:r>
              <w:rPr>
                <w:rFonts w:hint="eastAsia" w:ascii="仿宋" w:hAnsi="仿宋" w:eastAsia="仿宋" w:cs="仿宋"/>
                <w:color w:val="auto"/>
                <w:sz w:val="21"/>
                <w:szCs w:val="21"/>
                <w:highlight w:val="none"/>
                <w:vertAlign w:val="baseline"/>
                <w:lang w:val="en-US" w:eastAsia="zh-CN"/>
              </w:rPr>
              <w:t>31</w:t>
            </w:r>
            <w:r>
              <w:rPr>
                <w:rFonts w:hint="eastAsia" w:ascii="仿宋" w:hAnsi="仿宋" w:eastAsia="仿宋" w:cs="仿宋"/>
                <w:color w:val="auto"/>
                <w:sz w:val="21"/>
                <w:szCs w:val="21"/>
                <w:highlight w:val="none"/>
                <w:vertAlign w:val="baseline"/>
              </w:rPr>
              <w:t>项(含</w:t>
            </w:r>
            <w:r>
              <w:rPr>
                <w:rFonts w:hint="eastAsia" w:ascii="仿宋" w:hAnsi="仿宋" w:eastAsia="仿宋" w:cs="仿宋"/>
                <w:color w:val="auto"/>
                <w:sz w:val="21"/>
                <w:szCs w:val="21"/>
                <w:highlight w:val="none"/>
                <w:vertAlign w:val="baseline"/>
                <w:lang w:val="en-US" w:eastAsia="zh-CN"/>
              </w:rPr>
              <w:t>31</w:t>
            </w:r>
            <w:r>
              <w:rPr>
                <w:rFonts w:hint="eastAsia" w:ascii="仿宋" w:hAnsi="仿宋" w:eastAsia="仿宋" w:cs="仿宋"/>
                <w:color w:val="auto"/>
                <w:sz w:val="21"/>
                <w:szCs w:val="21"/>
                <w:highlight w:val="none"/>
                <w:vertAlign w:val="baseline"/>
              </w:rPr>
              <w:t>项)，</w:t>
            </w:r>
            <w:r>
              <w:rPr>
                <w:rFonts w:hint="eastAsia" w:ascii="仿宋" w:hAnsi="仿宋" w:eastAsia="仿宋" w:cs="仿宋"/>
                <w:color w:val="auto"/>
                <w:sz w:val="21"/>
                <w:szCs w:val="21"/>
                <w:highlight w:val="none"/>
                <w:vertAlign w:val="baseline"/>
                <w:lang w:val="en-US" w:eastAsia="zh-CN"/>
              </w:rPr>
              <w:t>技术要求不得分。</w:t>
            </w:r>
          </w:p>
          <w:p w14:paraId="20BDD068">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注：</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须对本</w:t>
            </w:r>
            <w:r>
              <w:rPr>
                <w:rFonts w:hint="eastAsia" w:ascii="仿宋" w:hAnsi="仿宋" w:eastAsia="仿宋" w:cs="仿宋"/>
                <w:color w:val="auto"/>
                <w:sz w:val="21"/>
                <w:szCs w:val="21"/>
                <w:highlight w:val="none"/>
                <w:vertAlign w:val="baseline"/>
                <w:lang w:val="en-US" w:eastAsia="zh-CN"/>
              </w:rPr>
              <w:t>招标</w:t>
            </w:r>
            <w:r>
              <w:rPr>
                <w:rFonts w:hint="eastAsia" w:ascii="仿宋" w:hAnsi="仿宋" w:eastAsia="仿宋" w:cs="仿宋"/>
                <w:color w:val="auto"/>
                <w:sz w:val="21"/>
                <w:szCs w:val="21"/>
                <w:highlight w:val="none"/>
                <w:vertAlign w:val="baseline"/>
              </w:rPr>
              <w:t>文件技术要求进行点对点应答，必须在引用本采购文件的基础上,进行逐条逐项答复、说明和解释,特别对有具体参数要求的指标，</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必须提供所投</w:t>
            </w:r>
            <w:r>
              <w:rPr>
                <w:rFonts w:hint="eastAsia" w:ascii="仿宋" w:hAnsi="仿宋" w:eastAsia="仿宋" w:cs="仿宋"/>
                <w:color w:val="auto"/>
                <w:sz w:val="21"/>
                <w:szCs w:val="21"/>
                <w:highlight w:val="none"/>
                <w:vertAlign w:val="baseline"/>
                <w:lang w:val="en-US" w:eastAsia="zh-CN"/>
              </w:rPr>
              <w:t>货物</w:t>
            </w:r>
            <w:r>
              <w:rPr>
                <w:rFonts w:hint="eastAsia" w:ascii="仿宋" w:hAnsi="仿宋" w:eastAsia="仿宋" w:cs="仿宋"/>
                <w:color w:val="auto"/>
                <w:sz w:val="21"/>
                <w:szCs w:val="21"/>
                <w:highlight w:val="none"/>
                <w:vertAlign w:val="baseline"/>
              </w:rPr>
              <w:t>的具体参数值。</w:t>
            </w:r>
          </w:p>
        </w:tc>
      </w:tr>
      <w:tr w14:paraId="56BDD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1074" w:type="dxa"/>
            <w:vMerge w:val="continue"/>
            <w:tcBorders>
              <w:right w:val="single" w:color="000000" w:sz="4" w:space="0"/>
            </w:tcBorders>
            <w:vAlign w:val="center"/>
          </w:tcPr>
          <w:p w14:paraId="21C48F36">
            <w:pPr>
              <w:pStyle w:val="2"/>
              <w:spacing w:line="240" w:lineRule="auto"/>
              <w:ind w:right="-19" w:rightChars="-9"/>
              <w:jc w:val="center"/>
              <w:rPr>
                <w:rFonts w:hint="eastAsia" w:ascii="仿宋" w:hAnsi="仿宋" w:eastAsia="仿宋" w:cs="仿宋"/>
                <w:color w:val="auto"/>
                <w:sz w:val="21"/>
                <w:szCs w:val="21"/>
                <w:highlight w:val="none"/>
                <w:vertAlign w:val="baseline"/>
              </w:rPr>
            </w:pPr>
          </w:p>
        </w:tc>
        <w:tc>
          <w:tcPr>
            <w:tcW w:w="994" w:type="dxa"/>
            <w:tcBorders>
              <w:left w:val="single" w:color="000000" w:sz="4" w:space="0"/>
            </w:tcBorders>
            <w:vAlign w:val="center"/>
          </w:tcPr>
          <w:p w14:paraId="1C391337">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质量要求</w:t>
            </w:r>
          </w:p>
        </w:tc>
        <w:tc>
          <w:tcPr>
            <w:tcW w:w="843" w:type="dxa"/>
            <w:vAlign w:val="center"/>
          </w:tcPr>
          <w:p w14:paraId="71DDE215">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4</w:t>
            </w:r>
          </w:p>
        </w:tc>
        <w:tc>
          <w:tcPr>
            <w:tcW w:w="5611" w:type="dxa"/>
          </w:tcPr>
          <w:p w14:paraId="61D0DD6C">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根据投标人按照招标文件采购需求中“三、其他技术要求-</w:t>
            </w:r>
            <w:r>
              <w:rPr>
                <w:rFonts w:hint="eastAsia" w:ascii="仿宋" w:hAnsi="仿宋" w:eastAsia="仿宋" w:cs="仿宋"/>
                <w:color w:val="auto"/>
                <w:sz w:val="21"/>
                <w:szCs w:val="21"/>
                <w:highlight w:val="none"/>
                <w:vertAlign w:val="baseline"/>
                <w:lang w:val="en-US" w:eastAsia="zh-CN"/>
              </w:rPr>
              <w:t>1</w:t>
            </w:r>
            <w:r>
              <w:rPr>
                <w:rFonts w:hint="eastAsia" w:ascii="仿宋" w:hAnsi="仿宋" w:eastAsia="仿宋" w:cs="仿宋"/>
                <w:color w:val="auto"/>
                <w:sz w:val="21"/>
                <w:szCs w:val="21"/>
                <w:highlight w:val="none"/>
                <w:vertAlign w:val="baseline"/>
              </w:rPr>
              <w:t>.</w:t>
            </w:r>
            <w:r>
              <w:rPr>
                <w:rFonts w:hint="eastAsia" w:ascii="仿宋" w:hAnsi="仿宋" w:eastAsia="仿宋" w:cs="仿宋"/>
                <w:color w:val="auto"/>
                <w:sz w:val="21"/>
                <w:szCs w:val="21"/>
                <w:highlight w:val="none"/>
                <w:vertAlign w:val="baseline"/>
                <w:lang w:val="en-US" w:eastAsia="zh-CN"/>
              </w:rPr>
              <w:t>质量要求</w:t>
            </w:r>
            <w:r>
              <w:rPr>
                <w:rFonts w:hint="eastAsia" w:ascii="仿宋" w:hAnsi="仿宋" w:eastAsia="仿宋" w:cs="仿宋"/>
                <w:color w:val="auto"/>
                <w:sz w:val="21"/>
                <w:szCs w:val="21"/>
                <w:highlight w:val="none"/>
                <w:vertAlign w:val="baseline"/>
              </w:rPr>
              <w:t>”逐条响应情况进行打分。</w:t>
            </w:r>
          </w:p>
          <w:p w14:paraId="2953BBCA">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完全响应招标文件要求得满分</w:t>
            </w:r>
            <w:r>
              <w:rPr>
                <w:rFonts w:hint="eastAsia" w:ascii="仿宋" w:hAnsi="仿宋" w:eastAsia="仿宋" w:cs="仿宋"/>
                <w:color w:val="auto"/>
                <w:sz w:val="21"/>
                <w:szCs w:val="21"/>
                <w:highlight w:val="none"/>
                <w:vertAlign w:val="baseline"/>
                <w:lang w:val="en-US" w:eastAsia="zh-CN"/>
              </w:rPr>
              <w:t>4</w:t>
            </w:r>
            <w:r>
              <w:rPr>
                <w:rFonts w:hint="eastAsia" w:ascii="仿宋" w:hAnsi="仿宋" w:eastAsia="仿宋" w:cs="仿宋"/>
                <w:color w:val="auto"/>
                <w:sz w:val="21"/>
                <w:szCs w:val="21"/>
                <w:highlight w:val="none"/>
                <w:vertAlign w:val="baseline"/>
              </w:rPr>
              <w:t>分；</w:t>
            </w:r>
          </w:p>
          <w:p w14:paraId="7E669E21">
            <w:pPr>
              <w:pStyle w:val="2"/>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有 1 项条款负偏离，扣 1 分；</w:t>
            </w:r>
          </w:p>
        </w:tc>
      </w:tr>
      <w:tr w14:paraId="5E9C2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jc w:val="center"/>
        </w:trPr>
        <w:tc>
          <w:tcPr>
            <w:tcW w:w="1074" w:type="dxa"/>
            <w:vMerge w:val="continue"/>
            <w:tcBorders>
              <w:right w:val="single" w:color="000000" w:sz="4" w:space="0"/>
            </w:tcBorders>
            <w:vAlign w:val="center"/>
          </w:tcPr>
          <w:p w14:paraId="3DFBF3AE">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restart"/>
            <w:tcBorders>
              <w:left w:val="single" w:color="000000" w:sz="4" w:space="0"/>
            </w:tcBorders>
            <w:vAlign w:val="center"/>
          </w:tcPr>
          <w:p w14:paraId="49927B19">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配送和运输</w:t>
            </w:r>
          </w:p>
        </w:tc>
        <w:tc>
          <w:tcPr>
            <w:tcW w:w="843" w:type="dxa"/>
            <w:vAlign w:val="center"/>
          </w:tcPr>
          <w:p w14:paraId="3B948231">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w:t>
            </w:r>
          </w:p>
        </w:tc>
        <w:tc>
          <w:tcPr>
            <w:tcW w:w="5611" w:type="dxa"/>
          </w:tcPr>
          <w:p w14:paraId="30C1B867">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 根据投标人按照招标文件采购需求中“三、其他技术要求-2.配送和运输”逐条响应情况进行打分。</w:t>
            </w:r>
          </w:p>
          <w:p w14:paraId="0C5284AE">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完全响应招标文件要求得满分3分；</w:t>
            </w:r>
          </w:p>
          <w:p w14:paraId="4DC8C6D4">
            <w:pPr>
              <w:pStyle w:val="2"/>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有 1 项条款负偏离，扣 1.5 分；</w:t>
            </w:r>
          </w:p>
        </w:tc>
      </w:tr>
      <w:tr w14:paraId="44AFD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jc w:val="center"/>
        </w:trPr>
        <w:tc>
          <w:tcPr>
            <w:tcW w:w="1074" w:type="dxa"/>
            <w:vMerge w:val="continue"/>
            <w:tcBorders>
              <w:right w:val="single" w:color="000000" w:sz="4" w:space="0"/>
            </w:tcBorders>
            <w:vAlign w:val="center"/>
          </w:tcPr>
          <w:p w14:paraId="759EB128">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continue"/>
            <w:tcBorders>
              <w:left w:val="single" w:color="000000" w:sz="4" w:space="0"/>
            </w:tcBorders>
            <w:vAlign w:val="center"/>
          </w:tcPr>
          <w:p w14:paraId="1AB25B17">
            <w:pPr>
              <w:pStyle w:val="2"/>
              <w:spacing w:line="240" w:lineRule="auto"/>
              <w:ind w:right="31" w:rightChars="15"/>
              <w:jc w:val="center"/>
              <w:rPr>
                <w:rFonts w:hint="eastAsia" w:ascii="仿宋" w:hAnsi="仿宋" w:eastAsia="仿宋" w:cs="仿宋"/>
                <w:color w:val="auto"/>
                <w:sz w:val="21"/>
                <w:szCs w:val="21"/>
                <w:highlight w:val="none"/>
                <w:vertAlign w:val="baseline"/>
              </w:rPr>
            </w:pPr>
          </w:p>
        </w:tc>
        <w:tc>
          <w:tcPr>
            <w:tcW w:w="843" w:type="dxa"/>
            <w:vAlign w:val="center"/>
          </w:tcPr>
          <w:p w14:paraId="53BC6C2C">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6</w:t>
            </w:r>
          </w:p>
        </w:tc>
        <w:tc>
          <w:tcPr>
            <w:tcW w:w="5611" w:type="dxa"/>
          </w:tcPr>
          <w:p w14:paraId="55E227C6">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2.根据投标人按照上述要求提供的配送方案进行打分。</w:t>
            </w:r>
          </w:p>
          <w:p w14:paraId="27CAB0D3">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方案细致合理，贴合技术需求得 6 分；</w:t>
            </w:r>
          </w:p>
          <w:p w14:paraId="4E048F45">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方案较细致合理，基本贴合技术需求得 4 分；</w:t>
            </w:r>
          </w:p>
          <w:p w14:paraId="456FC5DC">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方案简单，部分贴合技术需求得 2 分；</w:t>
            </w:r>
          </w:p>
          <w:p w14:paraId="1CF590C9">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未单独提供该方案不得分。</w:t>
            </w:r>
          </w:p>
        </w:tc>
      </w:tr>
      <w:tr w14:paraId="33722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jc w:val="center"/>
        </w:trPr>
        <w:tc>
          <w:tcPr>
            <w:tcW w:w="1074" w:type="dxa"/>
            <w:vMerge w:val="continue"/>
            <w:tcBorders>
              <w:right w:val="single" w:color="000000" w:sz="4" w:space="0"/>
            </w:tcBorders>
            <w:vAlign w:val="center"/>
          </w:tcPr>
          <w:p w14:paraId="45C61AAC">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continue"/>
            <w:tcBorders>
              <w:left w:val="single" w:color="000000" w:sz="4" w:space="0"/>
            </w:tcBorders>
            <w:vAlign w:val="center"/>
          </w:tcPr>
          <w:p w14:paraId="2AFDB31E">
            <w:pPr>
              <w:pStyle w:val="2"/>
              <w:spacing w:line="240" w:lineRule="auto"/>
              <w:ind w:right="31" w:rightChars="15"/>
              <w:jc w:val="center"/>
              <w:rPr>
                <w:rFonts w:hint="eastAsia" w:ascii="仿宋" w:hAnsi="仿宋" w:eastAsia="仿宋" w:cs="仿宋"/>
                <w:color w:val="auto"/>
                <w:sz w:val="21"/>
                <w:szCs w:val="21"/>
                <w:highlight w:val="none"/>
                <w:vertAlign w:val="baseline"/>
              </w:rPr>
            </w:pPr>
          </w:p>
        </w:tc>
        <w:tc>
          <w:tcPr>
            <w:tcW w:w="843" w:type="dxa"/>
            <w:vAlign w:val="center"/>
          </w:tcPr>
          <w:p w14:paraId="5A0E6982">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6</w:t>
            </w:r>
          </w:p>
        </w:tc>
        <w:tc>
          <w:tcPr>
            <w:tcW w:w="5611" w:type="dxa"/>
          </w:tcPr>
          <w:p w14:paraId="20BB7F1F">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3.根据投标人按照上述要求提供的应急预案进行打分。</w:t>
            </w:r>
          </w:p>
          <w:p w14:paraId="2F12AF71">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方案细致合理，贴合技术需求得 6 分；</w:t>
            </w:r>
          </w:p>
          <w:p w14:paraId="70163463">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方案较细致合理，基本贴合技术需求得 4 分；</w:t>
            </w:r>
          </w:p>
          <w:p w14:paraId="083A0D29">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方案简单，部分贴合技术需求得 2 分；</w:t>
            </w:r>
          </w:p>
          <w:p w14:paraId="523DF71C">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未单独提供该方案不得分。</w:t>
            </w:r>
          </w:p>
        </w:tc>
      </w:tr>
      <w:tr w14:paraId="17C0A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1074" w:type="dxa"/>
            <w:vMerge w:val="continue"/>
            <w:tcBorders>
              <w:right w:val="single" w:color="000000" w:sz="4" w:space="0"/>
            </w:tcBorders>
            <w:vAlign w:val="center"/>
          </w:tcPr>
          <w:p w14:paraId="20628F2C">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restart"/>
            <w:tcBorders>
              <w:left w:val="single" w:color="000000" w:sz="4" w:space="0"/>
            </w:tcBorders>
            <w:vAlign w:val="center"/>
          </w:tcPr>
          <w:p w14:paraId="70669D93">
            <w:pPr>
              <w:pStyle w:val="2"/>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售后服务</w:t>
            </w:r>
          </w:p>
        </w:tc>
        <w:tc>
          <w:tcPr>
            <w:tcW w:w="843" w:type="dxa"/>
            <w:vAlign w:val="center"/>
          </w:tcPr>
          <w:p w14:paraId="2CF69FAF">
            <w:pPr>
              <w:pStyle w:val="2"/>
              <w:spacing w:line="240" w:lineRule="auto"/>
              <w:ind w:right="0" w:right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6</w:t>
            </w:r>
          </w:p>
        </w:tc>
        <w:tc>
          <w:tcPr>
            <w:tcW w:w="5611" w:type="dxa"/>
          </w:tcPr>
          <w:p w14:paraId="20E261EA">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 根据投标人按照招标文件采购需求中“三、其他技术要求-3.售后服务”逐条响应情况进行打分。</w:t>
            </w:r>
          </w:p>
          <w:p w14:paraId="1BAD882B">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完全响应招标文件要求得满分6分；</w:t>
            </w:r>
          </w:p>
          <w:p w14:paraId="7D89D07D">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有 1 项条款负偏离，扣 1 分；</w:t>
            </w:r>
          </w:p>
        </w:tc>
      </w:tr>
      <w:tr w14:paraId="4C61C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1074" w:type="dxa"/>
            <w:vMerge w:val="continue"/>
            <w:tcBorders>
              <w:right w:val="single" w:color="000000" w:sz="4" w:space="0"/>
            </w:tcBorders>
            <w:vAlign w:val="center"/>
          </w:tcPr>
          <w:p w14:paraId="2D72583F">
            <w:pPr>
              <w:pStyle w:val="2"/>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vMerge w:val="continue"/>
            <w:tcBorders>
              <w:left w:val="single" w:color="000000" w:sz="4" w:space="0"/>
            </w:tcBorders>
            <w:vAlign w:val="center"/>
          </w:tcPr>
          <w:p w14:paraId="79A324FA">
            <w:pPr>
              <w:pStyle w:val="2"/>
              <w:spacing w:line="240" w:lineRule="auto"/>
              <w:ind w:right="31" w:rightChars="15"/>
              <w:jc w:val="center"/>
              <w:rPr>
                <w:rFonts w:hint="eastAsia" w:ascii="仿宋" w:hAnsi="仿宋" w:eastAsia="仿宋" w:cs="仿宋"/>
                <w:color w:val="auto"/>
                <w:sz w:val="21"/>
                <w:szCs w:val="21"/>
                <w:highlight w:val="none"/>
                <w:vertAlign w:val="baseline"/>
              </w:rPr>
            </w:pPr>
          </w:p>
        </w:tc>
        <w:tc>
          <w:tcPr>
            <w:tcW w:w="843" w:type="dxa"/>
            <w:vAlign w:val="center"/>
          </w:tcPr>
          <w:p w14:paraId="3BEE59E9">
            <w:pPr>
              <w:pStyle w:val="2"/>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10</w:t>
            </w:r>
          </w:p>
        </w:tc>
        <w:tc>
          <w:tcPr>
            <w:tcW w:w="5611" w:type="dxa"/>
          </w:tcPr>
          <w:p w14:paraId="5A94AD5A">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2.根据投标人按照上述要求提供的服务团队方案进行打分。</w:t>
            </w:r>
          </w:p>
          <w:p w14:paraId="05B29966">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方案细致合理，贴合技术需求得 10 分；</w:t>
            </w:r>
          </w:p>
          <w:p w14:paraId="096F8D5F">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方案较细致合理，基本贴合技术需求得 7 分；</w:t>
            </w:r>
          </w:p>
          <w:p w14:paraId="44819F01">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方案简单，部分贴合技术需求得 4 分；</w:t>
            </w:r>
          </w:p>
          <w:p w14:paraId="4F6B5674">
            <w:pPr>
              <w:pStyle w:val="2"/>
              <w:numPr>
                <w:ilvl w:val="0"/>
                <w:numId w:val="0"/>
              </w:numPr>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未单独提供该方案不得分。</w:t>
            </w:r>
          </w:p>
        </w:tc>
      </w:tr>
    </w:tbl>
    <w:p w14:paraId="607D9C4D">
      <w:pPr>
        <w:rPr>
          <w:rFonts w:hint="eastAsia"/>
          <w:lang w:val="en-US" w:eastAsia="zh-CN"/>
        </w:rPr>
      </w:pPr>
    </w:p>
    <w:p w14:paraId="664E4A85">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14:paraId="754B7C7E">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落实中小企业政府采购政策的价格调整：</w:t>
      </w:r>
    </w:p>
    <w:p w14:paraId="659D9E1B">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Pr>
          <w:rFonts w:hint="eastAsia" w:ascii="仿宋" w:hAnsi="仿宋" w:eastAsia="仿宋" w:cs="仿宋"/>
          <w:b w:val="0"/>
          <w:bCs w:val="0"/>
          <w:color w:val="auto"/>
          <w:sz w:val="24"/>
          <w:szCs w:val="24"/>
          <w:highlight w:val="none"/>
          <w:u w:val="single"/>
          <w:lang w:val="en-US" w:eastAsia="zh-CN"/>
        </w:rPr>
        <w:t xml:space="preserve"> 10 % </w:t>
      </w:r>
      <w:r>
        <w:rPr>
          <w:rFonts w:hint="eastAsia" w:ascii="仿宋" w:hAnsi="仿宋" w:eastAsia="仿宋" w:cs="仿宋"/>
          <w:b w:val="0"/>
          <w:bCs w:val="0"/>
          <w:color w:val="auto"/>
          <w:sz w:val="24"/>
          <w:szCs w:val="24"/>
          <w:highlight w:val="none"/>
          <w:lang w:val="en-US" w:eastAsia="zh-CN"/>
        </w:rPr>
        <w:t>后参与评审。对于同时属于小微企业、监狱企业或残疾人福利性单位的，不重复进行投标报价扣除。</w:t>
      </w:r>
    </w:p>
    <w:p w14:paraId="08BD9625">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仿宋" w:hAnsi="仿宋" w:eastAsia="仿宋" w:cs="仿宋"/>
          <w:b w:val="0"/>
          <w:bCs w:val="0"/>
          <w:color w:val="auto"/>
          <w:sz w:val="24"/>
          <w:szCs w:val="24"/>
          <w:highlight w:val="none"/>
          <w:u w:val="single"/>
          <w:lang w:val="en-US" w:eastAsia="zh-CN"/>
        </w:rPr>
        <w:t xml:space="preserve"> 30 %</w:t>
      </w:r>
      <w:r>
        <w:rPr>
          <w:rFonts w:hint="eastAsia" w:ascii="仿宋" w:hAnsi="仿宋" w:eastAsia="仿宋" w:cs="仿宋"/>
          <w:b w:val="0"/>
          <w:bCs w:val="0"/>
          <w:color w:val="auto"/>
          <w:sz w:val="24"/>
          <w:szCs w:val="24"/>
          <w:highlight w:val="none"/>
          <w:lang w:val="en-US" w:eastAsia="zh-CN"/>
        </w:rPr>
        <w:t>以上的联合体或者大中型企业的报价给予</w:t>
      </w:r>
      <w:r>
        <w:rPr>
          <w:rFonts w:hint="eastAsia" w:ascii="仿宋" w:hAnsi="仿宋" w:eastAsia="仿宋" w:cs="仿宋"/>
          <w:b w:val="0"/>
          <w:bCs w:val="0"/>
          <w:color w:val="auto"/>
          <w:sz w:val="24"/>
          <w:szCs w:val="24"/>
          <w:highlight w:val="none"/>
          <w:u w:val="single"/>
          <w:lang w:val="en-US" w:eastAsia="zh-CN"/>
        </w:rPr>
        <w:t xml:space="preserve"> 4% </w:t>
      </w:r>
      <w:r>
        <w:rPr>
          <w:rFonts w:hint="eastAsia" w:ascii="仿宋" w:hAnsi="仿宋" w:eastAsia="仿宋" w:cs="仿宋"/>
          <w:b w:val="0"/>
          <w:bCs w:val="0"/>
          <w:color w:val="auto"/>
          <w:sz w:val="24"/>
          <w:szCs w:val="24"/>
          <w:highlight w:val="none"/>
          <w:lang w:val="en-US" w:eastAsia="zh-CN"/>
        </w:rPr>
        <w:t>的扣除，用扣除后的价格参加评审。</w:t>
      </w:r>
    </w:p>
    <w:p w14:paraId="555EC242">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组成联合体或者接受分包的小微企业与联合体内其他企业、分包企业之间存在直接控股、管理关系的，不享受价格扣除优惠政策。</w:t>
      </w:r>
    </w:p>
    <w:p w14:paraId="50B2D15F">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价格扣除比例对小型企业和微型企业同等对待，不作区分。</w:t>
      </w:r>
    </w:p>
    <w:p w14:paraId="1E3EB2C1">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中小企业参加政府采购活动，应当按照招标文件给定的格式出具《中小企业声明函》，否则不得享受相关中小企业扶持政策。</w:t>
      </w:r>
    </w:p>
    <w:p w14:paraId="14B4167C">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监狱企业提供了由省级以上监狱管理局、戒毒管理局（含新疆生产建设兵团）出具的属于监狱企业的证明文件的，视同小微企业。</w:t>
      </w:r>
    </w:p>
    <w:p w14:paraId="78478ACB">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残疾人福利性单位按招标文件要求提供了《残疾人福利性单位声明函》（见附件）的，视同小微企业。</w:t>
      </w:r>
    </w:p>
    <w:p w14:paraId="087EE32B">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若投标人同时属于小型或微型企业、监狱企业、残疾人福利性单位中的两种及以上，将不重复享受小微企业价格扣减的优惠政策。</w:t>
      </w:r>
    </w:p>
    <w:p w14:paraId="2221245F">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lang w:val="en-US" w:eastAsia="zh-CN"/>
        </w:rPr>
        <w:t>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b w:val="0"/>
          <w:bCs w:val="0"/>
          <w:color w:val="auto"/>
          <w:sz w:val="24"/>
          <w:szCs w:val="24"/>
          <w:highlight w:val="none"/>
          <w:u w:val="single"/>
          <w:lang w:val="en-US" w:eastAsia="zh-CN"/>
        </w:rPr>
        <w:t>综合得分相同时排名优先。</w:t>
      </w:r>
    </w:p>
    <w:p w14:paraId="0F8D771C">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u w:val="none"/>
          <w:lang w:val="en-US" w:eastAsia="zh-CN"/>
        </w:rPr>
        <w:t>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u w:val="none"/>
          <w:lang w:val="en-US" w:eastAsia="zh-CN"/>
        </w:rPr>
        <w:t>无效投标</w:t>
      </w:r>
      <w:r>
        <w:rPr>
          <w:rFonts w:hint="eastAsia" w:ascii="仿宋" w:hAnsi="仿宋" w:eastAsia="仿宋" w:cs="仿宋"/>
          <w:b w:val="0"/>
          <w:bCs w:val="0"/>
          <w:color w:val="auto"/>
          <w:sz w:val="24"/>
          <w:szCs w:val="24"/>
          <w:highlight w:val="none"/>
          <w:u w:val="none"/>
          <w:lang w:val="en-US" w:eastAsia="zh-CN"/>
        </w:rPr>
        <w:t>被拒绝。</w:t>
      </w:r>
    </w:p>
    <w:p w14:paraId="3EAA2328">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投标人所投产品列入无线局域网产品清单，应提供相关证明，在评标时予以优先采购，具体优惠措施为：</w:t>
      </w:r>
      <w:r>
        <w:rPr>
          <w:rFonts w:hint="eastAsia" w:ascii="仿宋" w:hAnsi="仿宋" w:eastAsia="仿宋" w:cs="仿宋"/>
          <w:b w:val="0"/>
          <w:bCs w:val="0"/>
          <w:color w:val="auto"/>
          <w:sz w:val="24"/>
          <w:szCs w:val="24"/>
          <w:highlight w:val="none"/>
          <w:u w:val="single"/>
          <w:lang w:val="en-US" w:eastAsia="zh-CN"/>
        </w:rPr>
        <w:t>综合得分相同时排名优先 。</w:t>
      </w:r>
    </w:p>
    <w:p w14:paraId="1A4AC570">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同品牌处理办法：</w:t>
      </w:r>
    </w:p>
    <w:p w14:paraId="764B7511">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如采用最低评标办法，则：</w:t>
      </w:r>
      <w:r>
        <w:rPr>
          <w:rFonts w:hint="eastAsia" w:ascii="仿宋" w:hAnsi="仿宋" w:eastAsia="仿宋" w:cs="仿宋"/>
          <w:b w:val="0"/>
          <w:bCs w:val="0"/>
          <w:color w:val="auto"/>
          <w:sz w:val="24"/>
          <w:szCs w:val="24"/>
          <w:highlight w:val="none"/>
          <w:u w:val="single"/>
          <w:lang w:val="en-US" w:eastAsia="zh-CN"/>
        </w:rPr>
        <w:t>提供相同品牌产品（单一产品或核心产品品牌相同）的不同投标人以其中通过资格审查、符合性审查且报价最低的参加评标；报价相同的，由采购人或者采购人委托评标委员会采取随机抽取方式确定，其他同品牌投标人不作为中标候选人。</w:t>
      </w:r>
    </w:p>
    <w:p w14:paraId="7A98BCA9">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如采用综合评标法，则：</w:t>
      </w:r>
      <w:r>
        <w:rPr>
          <w:rFonts w:hint="eastAsia" w:ascii="仿宋" w:hAnsi="仿宋" w:eastAsia="仿宋" w:cs="仿宋"/>
          <w:b w:val="0"/>
          <w:bCs w:val="0"/>
          <w:color w:val="auto"/>
          <w:sz w:val="24"/>
          <w:szCs w:val="24"/>
          <w:highlight w:val="none"/>
          <w:u w:val="single"/>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3EEE64C2">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如一个分包内包含多种产品的，采购人或采购代理机构将在</w:t>
      </w:r>
      <w:r>
        <w:rPr>
          <w:rFonts w:hint="eastAsia" w:ascii="仿宋" w:hAnsi="仿宋" w:eastAsia="仿宋" w:cs="仿宋"/>
          <w:b w:val="0"/>
          <w:bCs w:val="0"/>
          <w:color w:val="auto"/>
          <w:sz w:val="24"/>
          <w:szCs w:val="24"/>
          <w:highlight w:val="none"/>
          <w:u w:val="single"/>
          <w:lang w:val="en-US" w:eastAsia="zh-CN"/>
        </w:rPr>
        <w:t>投标人须知前附表</w:t>
      </w:r>
      <w:r>
        <w:rPr>
          <w:rFonts w:hint="eastAsia" w:ascii="仿宋" w:hAnsi="仿宋" w:eastAsia="仿宋" w:cs="仿宋"/>
          <w:b w:val="0"/>
          <w:bCs w:val="0"/>
          <w:color w:val="auto"/>
          <w:sz w:val="24"/>
          <w:szCs w:val="24"/>
          <w:highlight w:val="none"/>
          <w:u w:val="none"/>
          <w:lang w:val="en-US" w:eastAsia="zh-CN"/>
        </w:rPr>
        <w:t xml:space="preserve">中载明核心产品，多家投标人提供的所有核心产品品牌均相同的，按前两条规定处理。 </w:t>
      </w:r>
    </w:p>
    <w:p w14:paraId="04130979">
      <w:pPr>
        <w:keepNext w:val="0"/>
        <w:keepLines w:val="0"/>
        <w:pageBreakBefore w:val="0"/>
        <w:widowControl w:val="0"/>
        <w:numPr>
          <w:ilvl w:val="1"/>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确定中标候选人名单</w:t>
      </w:r>
    </w:p>
    <w:p w14:paraId="029B0CD5">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09809AD7">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采用最低评标价法的，评标结果按投标报价由低到高顺序排列。投标报价相同的并列。投标文件满足招标文件全部实质性要求且投标报价最低的投标人为排名第一的中标候选人。</w:t>
      </w:r>
    </w:p>
    <w:p w14:paraId="020769D8">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评标委员会要对评分汇总情况进行复核，特别是对排名第一的、报价最低的、投标或响应文件被认定为无效的情形进行重点复核。</w:t>
      </w:r>
    </w:p>
    <w:p w14:paraId="0FB2A944">
      <w:pPr>
        <w:keepNext w:val="0"/>
        <w:keepLines w:val="0"/>
        <w:pageBreakBefore w:val="0"/>
        <w:widowControl w:val="0"/>
        <w:numPr>
          <w:ilvl w:val="2"/>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评标委员会将根据各投标人的评标排序，依次推荐本项目（各采购包/标项）的中标候选人，起草并签署评标报告。本项目（各采购包/标项）评标委员会共（各）推荐</w:t>
      </w:r>
      <w:r>
        <w:rPr>
          <w:rFonts w:hint="eastAsia" w:ascii="仿宋" w:hAnsi="仿宋" w:eastAsia="仿宋" w:cs="仿宋"/>
          <w:b w:val="0"/>
          <w:bCs w:val="0"/>
          <w:color w:val="auto"/>
          <w:sz w:val="24"/>
          <w:szCs w:val="24"/>
          <w:highlight w:val="none"/>
          <w:u w:val="single"/>
          <w:lang w:val="en-US" w:eastAsia="zh-CN"/>
        </w:rPr>
        <w:t xml:space="preserve"> 1 </w:t>
      </w:r>
      <w:r>
        <w:rPr>
          <w:rFonts w:hint="eastAsia" w:ascii="仿宋" w:hAnsi="仿宋" w:eastAsia="仿宋" w:cs="仿宋"/>
          <w:b w:val="0"/>
          <w:bCs w:val="0"/>
          <w:color w:val="auto"/>
          <w:sz w:val="24"/>
          <w:szCs w:val="24"/>
          <w:highlight w:val="none"/>
          <w:u w:val="none"/>
          <w:lang w:val="en-US" w:eastAsia="zh-CN"/>
        </w:rPr>
        <w:t>名中标候选人。</w:t>
      </w:r>
    </w:p>
    <w:p w14:paraId="5397F3B0">
      <w:pP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br w:type="page"/>
      </w:r>
    </w:p>
    <w:p w14:paraId="3935EFD2">
      <w:pPr>
        <w:pStyle w:val="3"/>
        <w:numPr>
          <w:ilvl w:val="0"/>
          <w:numId w:val="1"/>
        </w:numPr>
        <w:bidi w:val="0"/>
        <w:jc w:val="center"/>
        <w:rPr>
          <w:rFonts w:hint="eastAsia" w:ascii="仿宋" w:hAnsi="仿宋" w:eastAsia="仿宋" w:cs="仿宋"/>
          <w:color w:val="auto"/>
          <w:sz w:val="32"/>
          <w:szCs w:val="32"/>
          <w:highlight w:val="none"/>
          <w:lang w:val="en-US" w:eastAsia="zh-CN"/>
        </w:rPr>
      </w:pPr>
      <w:bookmarkStart w:id="29" w:name="_Toc19259"/>
      <w:r>
        <w:rPr>
          <w:rFonts w:hint="eastAsia" w:ascii="仿宋" w:hAnsi="仿宋" w:eastAsia="仿宋" w:cs="仿宋"/>
          <w:color w:val="auto"/>
          <w:sz w:val="32"/>
          <w:szCs w:val="32"/>
          <w:highlight w:val="none"/>
          <w:lang w:val="en-US" w:eastAsia="zh-CN"/>
        </w:rPr>
        <w:t>投标文件格式</w:t>
      </w:r>
      <w:bookmarkEnd w:id="29"/>
    </w:p>
    <w:p w14:paraId="3F59B58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u w:val="none"/>
          <w:lang w:val="en-US" w:eastAsia="zh-CN"/>
        </w:rPr>
      </w:pPr>
    </w:p>
    <w:p w14:paraId="38B2F26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u w:val="none"/>
          <w:lang w:val="en-US" w:eastAsia="zh-CN"/>
        </w:rPr>
      </w:pPr>
      <w:r>
        <w:rPr>
          <w:rFonts w:hint="eastAsia" w:ascii="仿宋" w:hAnsi="仿宋" w:eastAsia="仿宋" w:cs="仿宋"/>
          <w:b/>
          <w:bCs/>
          <w:color w:val="auto"/>
          <w:sz w:val="24"/>
          <w:szCs w:val="24"/>
          <w:highlight w:val="none"/>
          <w:u w:val="none"/>
          <w:lang w:val="en-US" w:eastAsia="zh-CN"/>
        </w:rPr>
        <w:t>投标人编制文件须知</w:t>
      </w:r>
    </w:p>
    <w:p w14:paraId="5E8AFFA4">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为保证评标工作的顺利进行，各投标人需参照如下的格式，认真进行投标文件的编写工作。需建立详细的目录。</w:t>
      </w:r>
    </w:p>
    <w:p w14:paraId="6BBB0567">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各投标人提交文件中涉及商业机密的，应明确标明，采购人及最终用户将给予保密处理，否则视为公开资料。</w:t>
      </w:r>
    </w:p>
    <w:p w14:paraId="1FA3B2EA">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全部声明和问题的回答及所附材料必须是真实的、准确的和完整的。</w:t>
      </w:r>
    </w:p>
    <w:p w14:paraId="29E2CE33">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本采购文件中所要求加盖的投标人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14:paraId="4DC44873">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“法定代表人（单位负责人）”指供应商营业执照或登记证书载明的“法定代表人”、“负责人”、“执行事务合伙人”、“投资人”等。</w:t>
      </w:r>
    </w:p>
    <w:p w14:paraId="2908ABBA">
      <w:pPr>
        <w:keepNext w:val="0"/>
        <w:keepLines w:val="0"/>
        <w:pageBreakBefore w:val="0"/>
        <w:widowControl w:val="0"/>
        <w:numPr>
          <w:ilvl w:val="0"/>
          <w:numId w:val="15"/>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以联合体参加的，除采购文件格式中要求外，采购文件要求的供应商盖章处应按加盖联合体协议中约定的联合体牵头人公章或所有联合体成员公章。</w:t>
      </w:r>
    </w:p>
    <w:p w14:paraId="6A9FE870">
      <w:pP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br w:type="page"/>
      </w:r>
    </w:p>
    <w:p w14:paraId="16485C21">
      <w:pPr>
        <w:keepNext w:val="0"/>
        <w:keepLines w:val="0"/>
        <w:widowControl/>
        <w:suppressLineNumbers w:val="0"/>
        <w:jc w:val="left"/>
        <w:rPr>
          <w:rFonts w:hint="eastAsia" w:ascii="仿宋" w:hAnsi="仿宋" w:eastAsia="仿宋" w:cs="仿宋"/>
          <w:b/>
          <w:bCs/>
          <w:color w:val="auto"/>
          <w:kern w:val="0"/>
          <w:sz w:val="24"/>
          <w:szCs w:val="24"/>
          <w:highlight w:val="none"/>
          <w:lang w:val="en-US" w:eastAsia="zh-CN" w:bidi="ar"/>
        </w:rPr>
      </w:pPr>
    </w:p>
    <w:p w14:paraId="73CF5591">
      <w:pPr>
        <w:keepNext w:val="0"/>
        <w:keepLines w:val="0"/>
        <w:widowControl/>
        <w:suppressLineNumbers w:val="0"/>
        <w:jc w:val="left"/>
        <w:outlineLvl w:val="1"/>
        <w:rPr>
          <w:rFonts w:hint="eastAsia" w:ascii="仿宋" w:hAnsi="仿宋" w:eastAsia="仿宋" w:cs="仿宋"/>
          <w:b/>
          <w:bCs/>
          <w:color w:val="auto"/>
          <w:kern w:val="0"/>
          <w:sz w:val="24"/>
          <w:szCs w:val="24"/>
          <w:highlight w:val="none"/>
          <w:lang w:val="en-US" w:eastAsia="zh-CN" w:bidi="ar"/>
        </w:rPr>
      </w:pPr>
      <w:bookmarkStart w:id="30" w:name="_Toc10196"/>
      <w:bookmarkStart w:id="31" w:name="_Toc29616"/>
      <w:r>
        <w:rPr>
          <w:rFonts w:hint="eastAsia" w:ascii="仿宋" w:hAnsi="仿宋" w:eastAsia="仿宋" w:cs="仿宋"/>
          <w:b/>
          <w:bCs/>
          <w:color w:val="auto"/>
          <w:kern w:val="0"/>
          <w:sz w:val="24"/>
          <w:szCs w:val="24"/>
          <w:highlight w:val="none"/>
          <w:lang w:val="en-US" w:eastAsia="zh-CN" w:bidi="ar"/>
        </w:rPr>
        <w:t>投标文件封面（参考格式）</w:t>
      </w:r>
      <w:bookmarkEnd w:id="30"/>
      <w:bookmarkEnd w:id="31"/>
    </w:p>
    <w:p w14:paraId="247AAA24">
      <w:pPr>
        <w:keepNext w:val="0"/>
        <w:keepLines w:val="0"/>
        <w:widowControl/>
        <w:suppressLineNumbers w:val="0"/>
        <w:jc w:val="left"/>
        <w:rPr>
          <w:rFonts w:hint="eastAsia" w:ascii="仿宋" w:hAnsi="仿宋" w:eastAsia="仿宋" w:cs="仿宋"/>
          <w:b/>
          <w:bCs/>
          <w:color w:val="auto"/>
          <w:kern w:val="0"/>
          <w:sz w:val="84"/>
          <w:szCs w:val="84"/>
          <w:highlight w:val="none"/>
          <w:lang w:val="en-US" w:eastAsia="zh-CN" w:bidi="ar"/>
        </w:rPr>
      </w:pPr>
    </w:p>
    <w:p w14:paraId="4DF1D9E9">
      <w:pPr>
        <w:keepNext w:val="0"/>
        <w:keepLines w:val="0"/>
        <w:widowControl/>
        <w:suppressLineNumbers w:val="0"/>
        <w:jc w:val="left"/>
        <w:rPr>
          <w:rFonts w:hint="eastAsia" w:ascii="仿宋" w:hAnsi="仿宋" w:eastAsia="仿宋" w:cs="仿宋"/>
          <w:b/>
          <w:bCs/>
          <w:color w:val="auto"/>
          <w:kern w:val="0"/>
          <w:sz w:val="84"/>
          <w:szCs w:val="84"/>
          <w:highlight w:val="none"/>
          <w:lang w:val="en-US" w:eastAsia="zh-CN" w:bidi="ar"/>
        </w:rPr>
      </w:pPr>
    </w:p>
    <w:p w14:paraId="50CB3ECF">
      <w:pPr>
        <w:keepNext w:val="0"/>
        <w:keepLines w:val="0"/>
        <w:widowControl/>
        <w:suppressLineNumbers w:val="0"/>
        <w:jc w:val="center"/>
        <w:rPr>
          <w:rFonts w:hint="eastAsia" w:ascii="仿宋" w:hAnsi="仿宋" w:eastAsia="仿宋" w:cs="仿宋"/>
          <w:color w:val="auto"/>
          <w:highlight w:val="none"/>
        </w:rPr>
      </w:pPr>
      <w:r>
        <w:rPr>
          <w:rFonts w:hint="eastAsia" w:ascii="仿宋" w:hAnsi="仿宋" w:eastAsia="仿宋" w:cs="仿宋"/>
          <w:b/>
          <w:bCs/>
          <w:color w:val="auto"/>
          <w:kern w:val="0"/>
          <w:sz w:val="84"/>
          <w:szCs w:val="84"/>
          <w:highlight w:val="none"/>
          <w:lang w:val="en-US" w:eastAsia="zh-CN" w:bidi="ar"/>
        </w:rPr>
        <w:t>投标文件</w:t>
      </w:r>
    </w:p>
    <w:p w14:paraId="07EBFF10">
      <w:pPr>
        <w:keepNext w:val="0"/>
        <w:keepLines w:val="0"/>
        <w:widowControl/>
        <w:suppressLineNumbers w:val="0"/>
        <w:jc w:val="left"/>
        <w:rPr>
          <w:rFonts w:hint="eastAsia" w:ascii="仿宋" w:hAnsi="仿宋" w:eastAsia="仿宋" w:cs="仿宋"/>
          <w:b/>
          <w:bCs/>
          <w:color w:val="auto"/>
          <w:kern w:val="0"/>
          <w:sz w:val="52"/>
          <w:szCs w:val="52"/>
          <w:highlight w:val="none"/>
          <w:lang w:val="en-US" w:eastAsia="zh-CN" w:bidi="ar"/>
        </w:rPr>
      </w:pPr>
    </w:p>
    <w:p w14:paraId="0E6FE510">
      <w:pPr>
        <w:keepNext w:val="0"/>
        <w:keepLines w:val="0"/>
        <w:widowControl/>
        <w:suppressLineNumbers w:val="0"/>
        <w:jc w:val="left"/>
        <w:rPr>
          <w:rFonts w:hint="eastAsia" w:ascii="仿宋" w:hAnsi="仿宋" w:eastAsia="仿宋" w:cs="仿宋"/>
          <w:b/>
          <w:bCs/>
          <w:color w:val="auto"/>
          <w:kern w:val="0"/>
          <w:sz w:val="52"/>
          <w:szCs w:val="52"/>
          <w:highlight w:val="none"/>
          <w:lang w:val="en-US" w:eastAsia="zh-CN" w:bidi="ar"/>
        </w:rPr>
      </w:pPr>
    </w:p>
    <w:p w14:paraId="13F9ABA4">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52"/>
          <w:szCs w:val="52"/>
          <w:highlight w:val="none"/>
          <w:lang w:val="en-US" w:eastAsia="zh-CN" w:bidi="ar"/>
        </w:rPr>
        <w:t xml:space="preserve"> </w:t>
      </w:r>
    </w:p>
    <w:p w14:paraId="48FB273E">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315BBE71">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2AE0AECA">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1D34F40E">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31"/>
          <w:szCs w:val="31"/>
          <w:highlight w:val="none"/>
          <w:lang w:val="en-US" w:eastAsia="zh-CN" w:bidi="ar"/>
        </w:rPr>
        <w:t xml:space="preserve">项目名称: </w:t>
      </w:r>
    </w:p>
    <w:p w14:paraId="26FF1D5E">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31"/>
          <w:szCs w:val="31"/>
          <w:highlight w:val="none"/>
          <w:lang w:val="en-US" w:eastAsia="zh-CN" w:bidi="ar"/>
        </w:rPr>
        <w:t xml:space="preserve">项目编号/包号： </w:t>
      </w:r>
    </w:p>
    <w:p w14:paraId="7A24EC7B">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7ADF9125">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6FD3CEAC">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7A674CC8">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r>
        <w:rPr>
          <w:rFonts w:hint="eastAsia" w:ascii="仿宋" w:hAnsi="仿宋" w:eastAsia="仿宋" w:cs="仿宋"/>
          <w:b/>
          <w:bCs/>
          <w:color w:val="auto"/>
          <w:kern w:val="0"/>
          <w:sz w:val="31"/>
          <w:szCs w:val="31"/>
          <w:highlight w:val="none"/>
          <w:lang w:val="en-US" w:eastAsia="zh-CN" w:bidi="ar"/>
        </w:rPr>
        <w:t>投标人名称（盖公章）：</w:t>
      </w:r>
    </w:p>
    <w:p w14:paraId="59A89D8D">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r>
        <w:rPr>
          <w:rFonts w:hint="eastAsia" w:ascii="仿宋" w:hAnsi="仿宋" w:eastAsia="仿宋" w:cs="仿宋"/>
          <w:b/>
          <w:bCs/>
          <w:color w:val="auto"/>
          <w:kern w:val="0"/>
          <w:sz w:val="31"/>
          <w:szCs w:val="31"/>
          <w:highlight w:val="none"/>
          <w:lang w:val="en-US" w:eastAsia="zh-CN" w:bidi="ar"/>
        </w:rPr>
        <w:t>法定代表人或其授权代表（签字或印鉴）：</w:t>
      </w:r>
    </w:p>
    <w:p w14:paraId="7C003EE6">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78FC101A">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0EC835B6">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1   满足《中华人民共和国政府采购法》第二十二条规定及法律法规的其他规定 </w:t>
      </w:r>
    </w:p>
    <w:p w14:paraId="77469DFA">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lang w:val="en-US" w:eastAsia="zh-CN" w:bidi="ar"/>
        </w:rPr>
      </w:pPr>
    </w:p>
    <w:p w14:paraId="1A00169D">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附件 1-1 法人或者其他组织的营业执照等证明文件或自然人的身份证明复印件;</w:t>
      </w:r>
    </w:p>
    <w:p w14:paraId="61890BFD">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7176564C">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5DF77971">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1CF782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 xml:space="preserve">附件 </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2</w:t>
      </w:r>
      <w:r>
        <w:rPr>
          <w:rFonts w:hint="eastAsia" w:ascii="仿宋" w:hAnsi="仿宋" w:eastAsia="仿宋" w:cs="仿宋"/>
          <w:color w:val="auto"/>
          <w:kern w:val="0"/>
          <w:sz w:val="24"/>
          <w:highlight w:val="none"/>
          <w:u w:val="none"/>
          <w:lang w:bidi="ar"/>
        </w:rPr>
        <w:t xml:space="preserve"> 投标人具有良好的商业信誉和健全的财务会计制度的证明文件</w:t>
      </w:r>
    </w:p>
    <w:p w14:paraId="74E92EB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7416C6F6">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2" w:name="_Toc16703"/>
      <w:bookmarkStart w:id="33" w:name="_Toc26001"/>
      <w:r>
        <w:rPr>
          <w:rFonts w:hint="eastAsia" w:ascii="仿宋" w:hAnsi="仿宋" w:eastAsia="仿宋" w:cs="仿宋"/>
          <w:color w:val="auto"/>
          <w:kern w:val="0"/>
          <w:sz w:val="24"/>
          <w:highlight w:val="none"/>
          <w:u w:val="none"/>
          <w:lang w:bidi="ar"/>
        </w:rPr>
        <w:t>1、复印件并加盖本单位公章</w:t>
      </w:r>
      <w:bookmarkEnd w:id="32"/>
      <w:bookmarkEnd w:id="33"/>
    </w:p>
    <w:p w14:paraId="304687F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668486CE">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4" w:name="_Toc12642"/>
      <w:bookmarkStart w:id="35" w:name="_Toc32425"/>
      <w:r>
        <w:rPr>
          <w:rFonts w:hint="eastAsia" w:ascii="仿宋" w:hAnsi="仿宋" w:eastAsia="仿宋" w:cs="仿宋"/>
          <w:color w:val="auto"/>
          <w:kern w:val="0"/>
          <w:sz w:val="24"/>
          <w:highlight w:val="none"/>
          <w:u w:val="none"/>
          <w:lang w:bidi="ar"/>
        </w:rPr>
        <w:t>3、如果是联合体投标，联合体各方均需提供上述证明。</w:t>
      </w:r>
      <w:bookmarkEnd w:id="34"/>
      <w:bookmarkEnd w:id="35"/>
    </w:p>
    <w:p w14:paraId="22C49FC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p>
    <w:p w14:paraId="13CEF8C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br w:type="page"/>
      </w:r>
    </w:p>
    <w:p w14:paraId="0A4FC27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附件</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3</w:t>
      </w:r>
      <w:r>
        <w:rPr>
          <w:rFonts w:hint="eastAsia" w:ascii="仿宋" w:hAnsi="仿宋" w:eastAsia="仿宋" w:cs="仿宋"/>
          <w:color w:val="auto"/>
          <w:kern w:val="0"/>
          <w:sz w:val="24"/>
          <w:highlight w:val="none"/>
          <w:u w:val="none"/>
          <w:lang w:bidi="ar"/>
        </w:rPr>
        <w:t xml:space="preserve"> </w:t>
      </w:r>
      <w:r>
        <w:rPr>
          <w:rFonts w:hint="eastAsia" w:ascii="仿宋" w:hAnsi="仿宋" w:eastAsia="仿宋" w:cs="仿宋"/>
          <w:color w:val="auto"/>
          <w:kern w:val="0"/>
          <w:sz w:val="24"/>
          <w:highlight w:val="none"/>
          <w:u w:val="none"/>
          <w:lang w:val="en-US" w:eastAsia="zh-CN" w:bidi="ar"/>
        </w:rPr>
        <w:t xml:space="preserve"> </w:t>
      </w:r>
      <w:r>
        <w:rPr>
          <w:rFonts w:hint="eastAsia" w:ascii="仿宋" w:hAnsi="仿宋" w:eastAsia="仿宋" w:cs="仿宋"/>
          <w:color w:val="auto"/>
          <w:kern w:val="0"/>
          <w:sz w:val="24"/>
          <w:highlight w:val="none"/>
          <w:u w:val="none"/>
          <w:lang w:bidi="ar"/>
        </w:rPr>
        <w:t>投标人缴纳税收的证明</w:t>
      </w:r>
    </w:p>
    <w:p w14:paraId="22E55C3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6878BEF4">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6" w:name="_Toc7512"/>
      <w:bookmarkStart w:id="37" w:name="_Toc6"/>
      <w:r>
        <w:rPr>
          <w:rFonts w:hint="eastAsia" w:ascii="仿宋" w:hAnsi="仿宋" w:eastAsia="仿宋" w:cs="仿宋"/>
          <w:color w:val="auto"/>
          <w:kern w:val="0"/>
          <w:sz w:val="24"/>
          <w:highlight w:val="none"/>
          <w:u w:val="none"/>
          <w:lang w:bidi="ar"/>
        </w:rPr>
        <w:t>1、复印件并加盖本单位公章</w:t>
      </w:r>
      <w:bookmarkEnd w:id="36"/>
      <w:bookmarkEnd w:id="37"/>
    </w:p>
    <w:p w14:paraId="32759A4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5BB60FC9">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8" w:name="_Toc8376"/>
      <w:bookmarkStart w:id="39" w:name="_Toc31362"/>
      <w:r>
        <w:rPr>
          <w:rFonts w:hint="eastAsia" w:ascii="仿宋" w:hAnsi="仿宋" w:eastAsia="仿宋" w:cs="仿宋"/>
          <w:color w:val="auto"/>
          <w:kern w:val="0"/>
          <w:sz w:val="24"/>
          <w:highlight w:val="none"/>
          <w:u w:val="none"/>
          <w:lang w:bidi="ar"/>
        </w:rPr>
        <w:t>3、如果是联合体投标，联合体各方均需提供上述证明。</w:t>
      </w:r>
      <w:r>
        <w:rPr>
          <w:rFonts w:hint="eastAsia" w:ascii="仿宋" w:hAnsi="仿宋" w:eastAsia="仿宋" w:cs="仿宋"/>
          <w:color w:val="auto"/>
          <w:kern w:val="0"/>
          <w:sz w:val="24"/>
          <w:highlight w:val="none"/>
          <w:u w:val="none"/>
          <w:lang w:bidi="ar"/>
        </w:rPr>
        <w:br w:type="page"/>
      </w:r>
      <w:bookmarkEnd w:id="38"/>
      <w:bookmarkEnd w:id="39"/>
    </w:p>
    <w:p w14:paraId="36B9735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附件</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4</w:t>
      </w:r>
      <w:r>
        <w:rPr>
          <w:rFonts w:hint="eastAsia" w:ascii="仿宋" w:hAnsi="仿宋" w:eastAsia="仿宋" w:cs="仿宋"/>
          <w:color w:val="auto"/>
          <w:kern w:val="0"/>
          <w:sz w:val="24"/>
          <w:highlight w:val="none"/>
          <w:u w:val="none"/>
          <w:lang w:bidi="ar"/>
        </w:rPr>
        <w:t xml:space="preserve"> </w:t>
      </w:r>
      <w:r>
        <w:rPr>
          <w:rFonts w:hint="eastAsia" w:ascii="仿宋" w:hAnsi="仿宋" w:eastAsia="仿宋" w:cs="仿宋"/>
          <w:color w:val="auto"/>
          <w:kern w:val="0"/>
          <w:sz w:val="24"/>
          <w:highlight w:val="none"/>
          <w:u w:val="none"/>
          <w:lang w:val="en-US" w:eastAsia="zh-CN" w:bidi="ar"/>
        </w:rPr>
        <w:t xml:space="preserve"> </w:t>
      </w:r>
      <w:r>
        <w:rPr>
          <w:rFonts w:hint="eastAsia" w:ascii="仿宋" w:hAnsi="仿宋" w:eastAsia="仿宋" w:cs="仿宋"/>
          <w:color w:val="auto"/>
          <w:kern w:val="0"/>
          <w:sz w:val="24"/>
          <w:highlight w:val="none"/>
          <w:u w:val="none"/>
          <w:lang w:bidi="ar"/>
        </w:rPr>
        <w:t>投标人为职工缴纳社会保险的证明</w:t>
      </w:r>
    </w:p>
    <w:p w14:paraId="145AE4B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724FF372">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40" w:name="_Toc8642"/>
      <w:bookmarkStart w:id="41" w:name="_Toc3006"/>
      <w:r>
        <w:rPr>
          <w:rFonts w:hint="eastAsia" w:ascii="仿宋" w:hAnsi="仿宋" w:eastAsia="仿宋" w:cs="仿宋"/>
          <w:color w:val="auto"/>
          <w:kern w:val="0"/>
          <w:sz w:val="24"/>
          <w:highlight w:val="none"/>
          <w:u w:val="none"/>
          <w:lang w:bidi="ar"/>
        </w:rPr>
        <w:t>1、复印件并加盖本单位公章</w:t>
      </w:r>
      <w:bookmarkEnd w:id="40"/>
      <w:bookmarkEnd w:id="41"/>
    </w:p>
    <w:p w14:paraId="1449B81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1E3B877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42" w:name="_Toc28907"/>
      <w:bookmarkStart w:id="43" w:name="_Toc18970"/>
      <w:r>
        <w:rPr>
          <w:rFonts w:hint="eastAsia" w:ascii="仿宋" w:hAnsi="仿宋" w:eastAsia="仿宋" w:cs="仿宋"/>
          <w:color w:val="auto"/>
          <w:kern w:val="0"/>
          <w:sz w:val="24"/>
          <w:highlight w:val="none"/>
          <w:u w:val="none"/>
          <w:lang w:bidi="ar"/>
        </w:rPr>
        <w:t>3、如果是联合体投标，联合体各方均需提供上述证明。</w:t>
      </w:r>
      <w:bookmarkEnd w:id="42"/>
      <w:bookmarkEnd w:id="43"/>
    </w:p>
    <w:p w14:paraId="4BD89BB8">
      <w:pPr>
        <w:rPr>
          <w:rFonts w:hint="eastAsia" w:ascii="仿宋" w:hAnsi="仿宋" w:eastAsia="仿宋" w:cs="仿宋"/>
          <w:color w:val="auto"/>
          <w:kern w:val="0"/>
          <w:sz w:val="24"/>
          <w:highlight w:val="none"/>
          <w:u w:val="none"/>
          <w:lang w:bidi="ar"/>
        </w:rPr>
      </w:pPr>
    </w:p>
    <w:p w14:paraId="3CD4466B">
      <w:pP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br w:type="page"/>
      </w:r>
    </w:p>
    <w:p w14:paraId="49A6387A">
      <w:pP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 xml:space="preserve">附件 </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5</w:t>
      </w:r>
      <w:r>
        <w:rPr>
          <w:rFonts w:hint="eastAsia" w:ascii="仿宋" w:hAnsi="仿宋" w:eastAsia="仿宋" w:cs="仿宋"/>
          <w:color w:val="auto"/>
          <w:kern w:val="0"/>
          <w:sz w:val="24"/>
          <w:highlight w:val="none"/>
          <w:u w:val="none"/>
          <w:lang w:bidi="ar"/>
        </w:rPr>
        <w:t xml:space="preserve"> 投标人资格声明书</w:t>
      </w:r>
    </w:p>
    <w:p w14:paraId="326D2D8F">
      <w:pPr>
        <w:rPr>
          <w:rFonts w:hint="eastAsia" w:ascii="仿宋" w:hAnsi="仿宋" w:eastAsia="仿宋" w:cs="仿宋"/>
          <w:color w:val="auto"/>
          <w:kern w:val="0"/>
          <w:sz w:val="24"/>
          <w:highlight w:val="none"/>
          <w:u w:val="none"/>
          <w:lang w:bidi="ar"/>
        </w:rPr>
      </w:pPr>
    </w:p>
    <w:p w14:paraId="5569EC69">
      <w:pPr>
        <w:keepNext w:val="0"/>
        <w:keepLines w:val="0"/>
        <w:widowControl/>
        <w:suppressLineNumbers w:val="0"/>
        <w:jc w:val="center"/>
        <w:rPr>
          <w:rFonts w:hint="eastAsia" w:ascii="仿宋" w:hAnsi="仿宋" w:eastAsia="仿宋" w:cs="仿宋"/>
          <w:b w:val="0"/>
          <w:bCs w:val="0"/>
          <w:color w:val="auto"/>
          <w:sz w:val="32"/>
          <w:szCs w:val="32"/>
          <w:highlight w:val="none"/>
        </w:rPr>
      </w:pPr>
      <w:r>
        <w:rPr>
          <w:rFonts w:hint="eastAsia" w:ascii="仿宋" w:hAnsi="仿宋" w:eastAsia="仿宋" w:cs="仿宋"/>
          <w:b w:val="0"/>
          <w:bCs w:val="0"/>
          <w:color w:val="auto"/>
          <w:kern w:val="0"/>
          <w:sz w:val="32"/>
          <w:szCs w:val="32"/>
          <w:highlight w:val="none"/>
          <w:lang w:val="en-US" w:eastAsia="zh-CN" w:bidi="ar"/>
        </w:rPr>
        <w:t>投标人资格声明书</w:t>
      </w:r>
    </w:p>
    <w:p w14:paraId="08492617">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5F2519C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 xml:space="preserve">采购人或采购代理机构 </w:t>
      </w:r>
    </w:p>
    <w:p w14:paraId="0E049D3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在参与本次项目投标中，我单位承诺： </w:t>
      </w:r>
    </w:p>
    <w:p w14:paraId="2BA4E26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（一）具有良好的商业信誉和健全的财务会计制度； </w:t>
      </w:r>
    </w:p>
    <w:p w14:paraId="484FA3D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（二）具有履行合同所必需的设备和专业技术能力； </w:t>
      </w:r>
    </w:p>
    <w:p w14:paraId="564A8CF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（三）有依法缴纳税收和社会保障资金的良好记录； </w:t>
      </w:r>
    </w:p>
    <w:p w14:paraId="145EB3C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6223756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14:paraId="6465BDA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14:paraId="1ACAC11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20C6F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5CA7E47">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序号</w:t>
            </w:r>
          </w:p>
        </w:tc>
        <w:tc>
          <w:tcPr>
            <w:tcW w:w="3798" w:type="dxa"/>
            <w:vAlign w:val="center"/>
          </w:tcPr>
          <w:p w14:paraId="2A7326E0">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单位名称</w:t>
            </w:r>
          </w:p>
        </w:tc>
        <w:tc>
          <w:tcPr>
            <w:tcW w:w="3406" w:type="dxa"/>
            <w:vAlign w:val="center"/>
          </w:tcPr>
          <w:p w14:paraId="6FB3BE6B">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相互关系</w:t>
            </w:r>
          </w:p>
        </w:tc>
      </w:tr>
      <w:tr w14:paraId="67B1E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C857467">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1</w:t>
            </w:r>
          </w:p>
        </w:tc>
        <w:tc>
          <w:tcPr>
            <w:tcW w:w="3798" w:type="dxa"/>
          </w:tcPr>
          <w:p w14:paraId="15D36C2A">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5CF2F6DA">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r w14:paraId="49E17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2DB5229">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2</w:t>
            </w:r>
          </w:p>
        </w:tc>
        <w:tc>
          <w:tcPr>
            <w:tcW w:w="3798" w:type="dxa"/>
          </w:tcPr>
          <w:p w14:paraId="4DC16BAB">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12266A81">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r w14:paraId="036D2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26EF7B83">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w:t>
            </w:r>
          </w:p>
        </w:tc>
        <w:tc>
          <w:tcPr>
            <w:tcW w:w="3798" w:type="dxa"/>
          </w:tcPr>
          <w:p w14:paraId="0E4E45A7">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2A53CE78">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bl>
    <w:p w14:paraId="08B1AC2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上述声明真实有效，否则我方负全部责任。 </w:t>
      </w:r>
    </w:p>
    <w:p w14:paraId="30806E9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3223F5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2E606D8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投标人名称：  </w:t>
      </w:r>
      <w:r>
        <w:rPr>
          <w:rFonts w:hint="eastAsia" w:ascii="仿宋" w:hAnsi="仿宋" w:eastAsia="仿宋" w:cs="仿宋"/>
          <w:i w:val="0"/>
          <w:iCs w:val="0"/>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val="en-US" w:eastAsia="zh-CN" w:bidi="ar"/>
        </w:rPr>
        <w:t>（加盖公章）</w:t>
      </w:r>
    </w:p>
    <w:p w14:paraId="126ED90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法定代表人或其授权代理人：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val="en-US" w:eastAsia="zh-CN" w:bidi="ar"/>
        </w:rPr>
        <w:tab/>
      </w:r>
      <w:r>
        <w:rPr>
          <w:rFonts w:hint="eastAsia" w:ascii="仿宋" w:hAnsi="仿宋" w:eastAsia="仿宋" w:cs="仿宋"/>
          <w:color w:val="auto"/>
          <w:kern w:val="0"/>
          <w:sz w:val="24"/>
          <w:szCs w:val="24"/>
          <w:highlight w:val="none"/>
          <w:u w:val="single"/>
          <w:lang w:val="en-US" w:eastAsia="zh-CN" w:bidi="ar"/>
        </w:rPr>
        <w:t>（签字或印鉴）</w:t>
      </w:r>
      <w:r>
        <w:rPr>
          <w:rFonts w:hint="eastAsia" w:ascii="仿宋" w:hAnsi="仿宋" w:eastAsia="仿宋" w:cs="仿宋"/>
          <w:color w:val="auto"/>
          <w:kern w:val="0"/>
          <w:sz w:val="24"/>
          <w:szCs w:val="24"/>
          <w:highlight w:val="none"/>
          <w:lang w:val="en-US" w:eastAsia="zh-CN" w:bidi="ar"/>
        </w:rPr>
        <w:tab/>
      </w:r>
    </w:p>
    <w:p w14:paraId="5848FF7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30A06F0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p>
    <w:p w14:paraId="0BE11B1E">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说明：（1）单位负责人为同一人或者存在直接控股、管理关系的不同供应商，不得参加同一合同项下的政府采购活动。</w:t>
      </w:r>
    </w:p>
    <w:p w14:paraId="545CC0F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（2）本条所指单位负责人为同一人指单位法定代表人或者法律、行政法规规定代表单位行使职权的主要负责人。</w:t>
      </w:r>
    </w:p>
    <w:p w14:paraId="3FA3F63C">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（3）本条所指控股关系指单位或股东的控股关系。控股股东指:</w:t>
      </w:r>
    </w:p>
    <w:p w14:paraId="152AD437">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a.出资额占有限责任公司资本总额百分之五十以上或者其持有的股份占股份有限公司股本总额百分之五十以上的股东；</w:t>
      </w:r>
    </w:p>
    <w:p w14:paraId="4AFEF1F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b.出资额或者持有股份的比例不足百分之五十，但其出资额或者持有的股份所享有的表决权已足以对股东会、股东大会的决议产生重大影响的股东。</w:t>
      </w:r>
    </w:p>
    <w:p w14:paraId="1BFD6CE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（4）本条所指管理关系指不具有出资持股关系的其他单位之间存在的管理与被管理关系。</w:t>
      </w:r>
    </w:p>
    <w:p w14:paraId="429F7F63">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（5）本条所指的控股、管理关系仅限于直接控股、直接管理关系，不包括间接控股或管理关系。</w:t>
      </w:r>
    </w:p>
    <w:p w14:paraId="5F84ACB6">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（6）如无相关情况，请在相应栏填写“无”。</w:t>
      </w:r>
    </w:p>
    <w:p w14:paraId="430E0DB8">
      <w:pPr>
        <w:rPr>
          <w:rFonts w:hint="eastAsia" w:ascii="仿宋" w:hAnsi="仿宋" w:eastAsia="仿宋" w:cs="仿宋"/>
          <w:color w:val="auto"/>
          <w:kern w:val="0"/>
          <w:sz w:val="24"/>
          <w:szCs w:val="24"/>
          <w:highlight w:val="none"/>
          <w:lang w:val="en-US" w:eastAsia="zh-CN" w:bidi="ar"/>
        </w:rPr>
      </w:pPr>
    </w:p>
    <w:p w14:paraId="67CCE308">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EA90B3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44" w:name="_Toc4156"/>
      <w:bookmarkStart w:id="45" w:name="_Toc32152"/>
      <w:r>
        <w:rPr>
          <w:rFonts w:hint="eastAsia" w:ascii="仿宋" w:hAnsi="仿宋" w:eastAsia="仿宋" w:cs="仿宋"/>
          <w:color w:val="auto"/>
          <w:kern w:val="0"/>
          <w:sz w:val="24"/>
          <w:szCs w:val="24"/>
          <w:highlight w:val="none"/>
          <w:lang w:val="en-US" w:eastAsia="zh-CN" w:bidi="ar"/>
        </w:rPr>
        <w:t>2 落实政府采购政策需满足的资格要求（如有）</w:t>
      </w:r>
      <w:bookmarkEnd w:id="44"/>
      <w:bookmarkEnd w:id="45"/>
      <w:r>
        <w:rPr>
          <w:rFonts w:hint="eastAsia" w:ascii="仿宋" w:hAnsi="仿宋" w:eastAsia="仿宋" w:cs="仿宋"/>
          <w:color w:val="auto"/>
          <w:kern w:val="0"/>
          <w:sz w:val="24"/>
          <w:szCs w:val="24"/>
          <w:highlight w:val="none"/>
          <w:lang w:val="en-US" w:eastAsia="zh-CN" w:bidi="ar"/>
        </w:rPr>
        <w:t xml:space="preserve"> </w:t>
      </w:r>
    </w:p>
    <w:p w14:paraId="02712CE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2-1 中小企业声明函 </w:t>
      </w:r>
    </w:p>
    <w:p w14:paraId="3E41A72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 </w:t>
      </w:r>
    </w:p>
    <w:p w14:paraId="4791065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（1）如本项目（包）不专门面向中小企业预留采购份额，资格证明文件部分无需提供《中小企业声明函》。 </w:t>
      </w:r>
    </w:p>
    <w:p w14:paraId="0154A0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6D69053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60108F3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级以上监狱管理局、戒毒管理局（含新疆生产建设兵团）出具的属于监狱企业</w:t>
      </w:r>
    </w:p>
    <w:p w14:paraId="12B6F9D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的证明文件，还须同时提供《拟分包情况说明》及《分包意向协议》，且建议</w:t>
      </w:r>
    </w:p>
    <w:p w14:paraId="29FF97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 xml:space="preserve">在资格证明文件部分提供。 </w:t>
      </w:r>
    </w:p>
    <w:p w14:paraId="4D5D9F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14:paraId="27C9BEC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（5）中小企业声明函填写注意事项 </w:t>
      </w:r>
    </w:p>
    <w:p w14:paraId="6A9405B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1）中小企业参加政府采购活动，应当出具此格式文件。《中小企业声明函》由参加政府采购活动的投标人出具。联合体投标的，《中小企业声明函》由牵头人出具。 </w:t>
      </w:r>
    </w:p>
    <w:p w14:paraId="0C58D4B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2）对于联合体中由中小企业承担的部分，或者分包给中小企业的部分，必须全</w:t>
      </w:r>
    </w:p>
    <w:p w14:paraId="4F284C1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部由中小企业制造、承建或者承接。供应商应当在声明函“标的名称”部分标明</w:t>
      </w:r>
    </w:p>
    <w:p w14:paraId="5745FE0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联合体中中小企业承担的具体内容或者中小企业的具体分包内容。 </w:t>
      </w:r>
    </w:p>
    <w:p w14:paraId="01A00DF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3）对于多标的的采购项目，供应商应充分、准确地了解所投产品制造企业、提供服务的承接企业、工程承接企业信息。对相关情况了解不清楚的，不建议填报本声明函。 </w:t>
      </w:r>
    </w:p>
    <w:p w14:paraId="7394A4D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68378749">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16621088">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auto"/>
          <w:spacing w:val="0"/>
          <w:sz w:val="32"/>
          <w:szCs w:val="32"/>
          <w:highlight w:val="none"/>
          <w:lang w:val="en-US" w:eastAsia="zh-CN"/>
        </w:rPr>
      </w:pPr>
      <w:r>
        <w:rPr>
          <w:rStyle w:val="25"/>
          <w:rFonts w:hint="eastAsia" w:ascii="仿宋" w:hAnsi="仿宋" w:eastAsia="仿宋" w:cs="仿宋"/>
          <w:i w:val="0"/>
          <w:iCs w:val="0"/>
          <w:caps w:val="0"/>
          <w:color w:val="auto"/>
          <w:spacing w:val="0"/>
          <w:sz w:val="32"/>
          <w:szCs w:val="32"/>
          <w:highlight w:val="none"/>
        </w:rPr>
        <w:t>中小企业声明函</w:t>
      </w:r>
      <w:r>
        <w:rPr>
          <w:rStyle w:val="25"/>
          <w:rFonts w:hint="eastAsia" w:ascii="仿宋" w:hAnsi="仿宋" w:eastAsia="仿宋" w:cs="仿宋"/>
          <w:i w:val="0"/>
          <w:iCs w:val="0"/>
          <w:caps w:val="0"/>
          <w:color w:val="auto"/>
          <w:spacing w:val="0"/>
          <w:sz w:val="32"/>
          <w:szCs w:val="32"/>
          <w:highlight w:val="none"/>
          <w:lang w:eastAsia="zh-CN"/>
        </w:rPr>
        <w:t>（</w:t>
      </w:r>
      <w:r>
        <w:rPr>
          <w:rStyle w:val="25"/>
          <w:rFonts w:hint="eastAsia" w:ascii="仿宋" w:hAnsi="仿宋" w:eastAsia="仿宋" w:cs="仿宋"/>
          <w:i w:val="0"/>
          <w:iCs w:val="0"/>
          <w:caps w:val="0"/>
          <w:color w:val="auto"/>
          <w:spacing w:val="0"/>
          <w:sz w:val="32"/>
          <w:szCs w:val="32"/>
          <w:highlight w:val="none"/>
        </w:rPr>
        <w:t>货物</w:t>
      </w:r>
      <w:r>
        <w:rPr>
          <w:rStyle w:val="25"/>
          <w:rFonts w:hint="eastAsia" w:ascii="仿宋" w:hAnsi="仿宋" w:eastAsia="仿宋" w:cs="仿宋"/>
          <w:i w:val="0"/>
          <w:iCs w:val="0"/>
          <w:caps w:val="0"/>
          <w:color w:val="auto"/>
          <w:spacing w:val="0"/>
          <w:sz w:val="32"/>
          <w:szCs w:val="32"/>
          <w:highlight w:val="none"/>
          <w:lang w:eastAsia="zh-CN"/>
        </w:rPr>
        <w:t>）</w:t>
      </w:r>
    </w:p>
    <w:p w14:paraId="2A1217E5">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7"/>
          <w:szCs w:val="27"/>
          <w:highlight w:val="none"/>
        </w:rPr>
      </w:pPr>
      <w:r>
        <w:rPr>
          <w:rFonts w:hint="eastAsia" w:ascii="仿宋" w:hAnsi="仿宋" w:eastAsia="仿宋" w:cs="仿宋"/>
          <w:i w:val="0"/>
          <w:iCs w:val="0"/>
          <w:caps w:val="0"/>
          <w:color w:val="auto"/>
          <w:spacing w:val="0"/>
          <w:sz w:val="27"/>
          <w:szCs w:val="27"/>
          <w:highlight w:val="none"/>
        </w:rPr>
        <w:t> </w:t>
      </w:r>
    </w:p>
    <w:p w14:paraId="471247E8">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720" w:firstLineChars="30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本公司（联合体）郑重声明，根据《政府采购促进中小企业发展管理办法》（财库〔2020〕[2020]46号）的规定，本公司（联合体）参加</w:t>
      </w:r>
      <w:r>
        <w:rPr>
          <w:rFonts w:hint="eastAsia" w:ascii="仿宋" w:hAnsi="仿宋" w:eastAsia="仿宋" w:cs="仿宋"/>
          <w:i/>
          <w:iCs/>
          <w:caps w:val="0"/>
          <w:color w:val="auto"/>
          <w:spacing w:val="0"/>
          <w:sz w:val="24"/>
          <w:szCs w:val="24"/>
          <w:highlight w:val="none"/>
          <w:u w:val="single"/>
        </w:rPr>
        <w:t>（单位名称）</w:t>
      </w:r>
      <w:r>
        <w:rPr>
          <w:rFonts w:hint="eastAsia" w:ascii="仿宋" w:hAnsi="仿宋" w:eastAsia="仿宋" w:cs="仿宋"/>
          <w:i w:val="0"/>
          <w:iCs w:val="0"/>
          <w:caps w:val="0"/>
          <w:color w:val="auto"/>
          <w:spacing w:val="0"/>
          <w:sz w:val="24"/>
          <w:szCs w:val="24"/>
          <w:highlight w:val="none"/>
        </w:rPr>
        <w:t>的</w:t>
      </w:r>
      <w:r>
        <w:rPr>
          <w:rFonts w:hint="eastAsia" w:ascii="仿宋" w:hAnsi="仿宋" w:eastAsia="仿宋" w:cs="仿宋"/>
          <w:i/>
          <w:iCs/>
          <w:caps w:val="0"/>
          <w:color w:val="auto"/>
          <w:spacing w:val="0"/>
          <w:sz w:val="24"/>
          <w:szCs w:val="24"/>
          <w:highlight w:val="none"/>
          <w:u w:val="single"/>
        </w:rPr>
        <w:t>（项目名称）</w:t>
      </w:r>
      <w:r>
        <w:rPr>
          <w:rFonts w:hint="eastAsia" w:ascii="仿宋" w:hAnsi="仿宋" w:eastAsia="仿宋" w:cs="仿宋"/>
          <w:i w:val="0"/>
          <w:iCs w:val="0"/>
          <w:caps w:val="0"/>
          <w:color w:val="auto"/>
          <w:spacing w:val="0"/>
          <w:sz w:val="24"/>
          <w:szCs w:val="24"/>
          <w:highlight w:val="none"/>
        </w:rPr>
        <w:t>采购活动，提供的货物全部由符合政策要求的中小企业制造。相关企业（含联合体中的中小企业、签订分包意向协议的中小企业）的具体情况如下：</w:t>
      </w:r>
    </w:p>
    <w:p w14:paraId="5CFD0171">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w:t>
      </w:r>
      <w:r>
        <w:rPr>
          <w:rFonts w:hint="eastAsia" w:ascii="仿宋" w:hAnsi="仿宋" w:eastAsia="仿宋" w:cs="仿宋"/>
          <w:i/>
          <w:iCs/>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iCs/>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；制造商为</w:t>
      </w:r>
      <w:r>
        <w:rPr>
          <w:rFonts w:hint="eastAsia" w:ascii="仿宋" w:hAnsi="仿宋" w:eastAsia="仿宋" w:cs="仿宋"/>
          <w:i/>
          <w:iCs/>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人，营业收入为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万元，资产总额为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万元，属于</w:t>
      </w:r>
      <w:r>
        <w:rPr>
          <w:rFonts w:hint="eastAsia" w:ascii="仿宋" w:hAnsi="仿宋" w:eastAsia="仿宋" w:cs="仿宋"/>
          <w:i/>
          <w:iCs/>
          <w:caps w:val="0"/>
          <w:color w:val="auto"/>
          <w:spacing w:val="0"/>
          <w:sz w:val="24"/>
          <w:szCs w:val="24"/>
          <w:highlight w:val="none"/>
          <w:u w:val="single"/>
        </w:rPr>
        <w:t>（中型企业、小型企业、微型企业）</w:t>
      </w:r>
      <w:r>
        <w:rPr>
          <w:rFonts w:hint="eastAsia" w:ascii="仿宋" w:hAnsi="仿宋" w:eastAsia="仿宋" w:cs="仿宋"/>
          <w:i w:val="0"/>
          <w:iCs w:val="0"/>
          <w:caps w:val="0"/>
          <w:color w:val="auto"/>
          <w:spacing w:val="0"/>
          <w:sz w:val="24"/>
          <w:szCs w:val="24"/>
          <w:highlight w:val="none"/>
        </w:rPr>
        <w:t>；</w:t>
      </w:r>
    </w:p>
    <w:p w14:paraId="50513236">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w:t>
      </w:r>
      <w:r>
        <w:rPr>
          <w:rFonts w:hint="eastAsia" w:ascii="仿宋" w:hAnsi="仿宋" w:eastAsia="仿宋" w:cs="仿宋"/>
          <w:i/>
          <w:iCs/>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iCs/>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；制造商为</w:t>
      </w:r>
      <w:r>
        <w:rPr>
          <w:rFonts w:hint="eastAsia" w:ascii="仿宋" w:hAnsi="仿宋" w:eastAsia="仿宋" w:cs="仿宋"/>
          <w:i/>
          <w:iCs/>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人，营业收入为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万元，资产总额为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万元，属于</w:t>
      </w:r>
      <w:r>
        <w:rPr>
          <w:rFonts w:hint="eastAsia" w:ascii="仿宋" w:hAnsi="仿宋" w:eastAsia="仿宋" w:cs="仿宋"/>
          <w:i/>
          <w:iCs/>
          <w:caps w:val="0"/>
          <w:color w:val="auto"/>
          <w:spacing w:val="0"/>
          <w:sz w:val="24"/>
          <w:szCs w:val="24"/>
          <w:highlight w:val="none"/>
          <w:u w:val="single"/>
        </w:rPr>
        <w:t>（中型企业、小型企业、微型企业）</w:t>
      </w:r>
      <w:r>
        <w:rPr>
          <w:rFonts w:hint="eastAsia" w:ascii="仿宋" w:hAnsi="仿宋" w:eastAsia="仿宋" w:cs="仿宋"/>
          <w:i w:val="0"/>
          <w:iCs w:val="0"/>
          <w:caps w:val="0"/>
          <w:color w:val="auto"/>
          <w:spacing w:val="0"/>
          <w:sz w:val="24"/>
          <w:szCs w:val="24"/>
          <w:highlight w:val="none"/>
        </w:rPr>
        <w:t>；</w:t>
      </w:r>
    </w:p>
    <w:p w14:paraId="5417DD40">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w:t>
      </w:r>
    </w:p>
    <w:p w14:paraId="05587BA7">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以上企业，不属于大企业的分支机构，不存在控股股东为大企业的情形，也不存在与大企业的负责人为同一人的情形。</w:t>
      </w:r>
    </w:p>
    <w:p w14:paraId="04BEAE41">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本企业对上述声明内容的真实性负责。如有虚假，将依法承担相应责任。</w:t>
      </w:r>
    </w:p>
    <w:p w14:paraId="29E81398">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w:t>
      </w:r>
    </w:p>
    <w:p w14:paraId="421806AF">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auto"/>
          <w:spacing w:val="0"/>
          <w:sz w:val="24"/>
          <w:szCs w:val="24"/>
          <w:highlight w:val="none"/>
          <w:u w:val="single"/>
          <w:lang w:val="en-US"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企业名称（盖章）：</w:t>
      </w:r>
      <w:r>
        <w:rPr>
          <w:rFonts w:hint="eastAsia" w:ascii="仿宋" w:hAnsi="仿宋" w:eastAsia="仿宋" w:cs="仿宋"/>
          <w:i w:val="0"/>
          <w:iCs w:val="0"/>
          <w:caps w:val="0"/>
          <w:color w:val="auto"/>
          <w:spacing w:val="0"/>
          <w:sz w:val="24"/>
          <w:szCs w:val="24"/>
          <w:highlight w:val="none"/>
          <w:u w:val="single"/>
          <w:lang w:val="en-US" w:eastAsia="zh-CN"/>
        </w:rPr>
        <w:t xml:space="preserve">          </w:t>
      </w:r>
    </w:p>
    <w:p w14:paraId="0740CA46">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auto"/>
          <w:spacing w:val="0"/>
          <w:sz w:val="27"/>
          <w:szCs w:val="27"/>
          <w:highlight w:val="none"/>
          <w:u w:val="single"/>
          <w:lang w:val="en-US" w:eastAsia="zh-CN"/>
        </w:rPr>
      </w:pPr>
      <w:r>
        <w:rPr>
          <w:rFonts w:hint="eastAsia" w:ascii="仿宋" w:hAnsi="仿宋" w:eastAsia="仿宋" w:cs="仿宋"/>
          <w:i w:val="0"/>
          <w:iCs w:val="0"/>
          <w:caps w:val="0"/>
          <w:color w:val="auto"/>
          <w:spacing w:val="0"/>
          <w:sz w:val="24"/>
          <w:szCs w:val="24"/>
          <w:highlight w:val="none"/>
        </w:rPr>
        <w:t>日期：</w:t>
      </w:r>
      <w:r>
        <w:rPr>
          <w:rFonts w:hint="eastAsia" w:ascii="仿宋" w:hAnsi="仿宋" w:eastAsia="仿宋" w:cs="仿宋"/>
          <w:i w:val="0"/>
          <w:iCs w:val="0"/>
          <w:caps w:val="0"/>
          <w:color w:val="auto"/>
          <w:spacing w:val="0"/>
          <w:sz w:val="24"/>
          <w:szCs w:val="24"/>
          <w:highlight w:val="none"/>
          <w:u w:val="single"/>
          <w:lang w:val="en-US" w:eastAsia="zh-CN"/>
        </w:rPr>
        <w:t xml:space="preserve">         </w:t>
      </w:r>
    </w:p>
    <w:p w14:paraId="53BA21A7">
      <w:pPr>
        <w:rPr>
          <w:rFonts w:hint="eastAsia" w:ascii="仿宋" w:hAnsi="仿宋" w:eastAsia="仿宋" w:cs="仿宋"/>
          <w:b w:val="0"/>
          <w:bCs w:val="0"/>
          <w:color w:val="auto"/>
          <w:kern w:val="0"/>
          <w:sz w:val="21"/>
          <w:szCs w:val="21"/>
          <w:highlight w:val="none"/>
          <w:lang w:val="en-US" w:eastAsia="zh-CN" w:bidi="ar"/>
        </w:rPr>
      </w:pPr>
    </w:p>
    <w:p w14:paraId="2E26ADEB">
      <w:pPr>
        <w:rPr>
          <w:rFonts w:hint="eastAsia" w:ascii="仿宋" w:hAnsi="仿宋" w:eastAsia="仿宋" w:cs="仿宋"/>
          <w:b w:val="0"/>
          <w:bCs w:val="0"/>
          <w:color w:val="auto"/>
          <w:kern w:val="0"/>
          <w:sz w:val="21"/>
          <w:szCs w:val="21"/>
          <w:highlight w:val="none"/>
          <w:lang w:val="en-US" w:eastAsia="zh-CN" w:bidi="ar"/>
        </w:rPr>
      </w:pPr>
    </w:p>
    <w:p w14:paraId="57E27F5F">
      <w:pPr>
        <w:rPr>
          <w:rFonts w:hint="eastAsia" w:ascii="仿宋" w:hAnsi="仿宋" w:eastAsia="仿宋" w:cs="仿宋"/>
          <w:b w:val="0"/>
          <w:bCs w:val="0"/>
          <w:color w:val="auto"/>
          <w:kern w:val="0"/>
          <w:sz w:val="21"/>
          <w:szCs w:val="21"/>
          <w:highlight w:val="none"/>
          <w:lang w:val="en-US" w:eastAsia="zh-CN" w:bidi="ar"/>
        </w:rPr>
      </w:pPr>
    </w:p>
    <w:p w14:paraId="57D1878E">
      <w:pPr>
        <w:rPr>
          <w:rFonts w:hint="eastAsia" w:ascii="仿宋" w:hAnsi="仿宋" w:eastAsia="仿宋" w:cs="仿宋"/>
          <w:b w:val="0"/>
          <w:bCs w:val="0"/>
          <w:color w:val="auto"/>
          <w:kern w:val="0"/>
          <w:sz w:val="21"/>
          <w:szCs w:val="21"/>
          <w:highlight w:val="none"/>
          <w:lang w:val="en-US" w:eastAsia="zh-CN" w:bidi="ar"/>
        </w:rPr>
      </w:pPr>
    </w:p>
    <w:p w14:paraId="59161E8C">
      <w:pPr>
        <w:rPr>
          <w:rFonts w:hint="eastAsia" w:ascii="仿宋" w:hAnsi="仿宋" w:eastAsia="仿宋" w:cs="仿宋"/>
          <w:b w:val="0"/>
          <w:bCs w:val="0"/>
          <w:color w:val="auto"/>
          <w:kern w:val="0"/>
          <w:sz w:val="21"/>
          <w:szCs w:val="21"/>
          <w:highlight w:val="none"/>
          <w:lang w:val="en-US" w:eastAsia="zh-CN" w:bidi="ar"/>
        </w:rPr>
      </w:pPr>
    </w:p>
    <w:p w14:paraId="07149EC3">
      <w:pPr>
        <w:rPr>
          <w:rFonts w:hint="eastAsia" w:ascii="仿宋" w:hAnsi="仿宋" w:eastAsia="仿宋" w:cs="仿宋"/>
          <w:b w:val="0"/>
          <w:bCs w:val="0"/>
          <w:color w:val="auto"/>
          <w:kern w:val="0"/>
          <w:sz w:val="21"/>
          <w:szCs w:val="21"/>
          <w:highlight w:val="none"/>
          <w:lang w:val="en-US" w:eastAsia="zh-CN" w:bidi="ar"/>
        </w:rPr>
      </w:pPr>
    </w:p>
    <w:p w14:paraId="6BE43315">
      <w:pPr>
        <w:rPr>
          <w:rFonts w:hint="eastAsia" w:ascii="仿宋" w:hAnsi="仿宋" w:eastAsia="仿宋" w:cs="仿宋"/>
          <w:b w:val="0"/>
          <w:bCs w:val="0"/>
          <w:color w:val="auto"/>
          <w:kern w:val="0"/>
          <w:sz w:val="21"/>
          <w:szCs w:val="21"/>
          <w:highlight w:val="none"/>
          <w:lang w:val="en-US" w:eastAsia="zh-CN" w:bidi="ar"/>
        </w:rPr>
      </w:pPr>
    </w:p>
    <w:p w14:paraId="0658E8BF">
      <w:pPr>
        <w:rPr>
          <w:rFonts w:hint="eastAsia" w:ascii="仿宋" w:hAnsi="仿宋" w:eastAsia="仿宋" w:cs="仿宋"/>
          <w:b w:val="0"/>
          <w:bCs w:val="0"/>
          <w:color w:val="auto"/>
          <w:kern w:val="0"/>
          <w:sz w:val="21"/>
          <w:szCs w:val="21"/>
          <w:highlight w:val="none"/>
          <w:lang w:val="en-US" w:eastAsia="zh-CN" w:bidi="ar"/>
        </w:rPr>
      </w:pPr>
      <w:r>
        <w:rPr>
          <w:rFonts w:hint="eastAsia" w:ascii="仿宋" w:hAnsi="仿宋" w:eastAsia="仿宋" w:cs="仿宋"/>
          <w:b w:val="0"/>
          <w:bCs w:val="0"/>
          <w:color w:val="auto"/>
          <w:kern w:val="0"/>
          <w:sz w:val="21"/>
          <w:szCs w:val="21"/>
          <w:highlight w:val="none"/>
          <w:lang w:val="en-US" w:eastAsia="zh-CN" w:bidi="ar"/>
        </w:rPr>
        <w:t>从业人员、营业收入、资产总额填报上一年度数据，无上一年度数据的新成立企业可不填报。</w:t>
      </w:r>
    </w:p>
    <w:p w14:paraId="151C4625">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3547F42E">
      <w:pPr>
        <w:keepNext w:val="0"/>
        <w:keepLines w:val="0"/>
        <w:widowControl/>
        <w:suppressLineNumbers w:val="0"/>
        <w:jc w:val="center"/>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残疾人福利性单位声明函格式</w:t>
      </w:r>
    </w:p>
    <w:p w14:paraId="1ACA6C61">
      <w:pPr>
        <w:keepNext w:val="0"/>
        <w:keepLines w:val="0"/>
        <w:widowControl/>
        <w:suppressLineNumbers w:val="0"/>
        <w:jc w:val="center"/>
        <w:rPr>
          <w:rFonts w:hint="eastAsia" w:ascii="仿宋" w:hAnsi="仿宋" w:eastAsia="仿宋" w:cs="仿宋"/>
          <w:b/>
          <w:bCs/>
          <w:color w:val="auto"/>
          <w:kern w:val="0"/>
          <w:sz w:val="32"/>
          <w:szCs w:val="32"/>
          <w:highlight w:val="none"/>
          <w:lang w:val="en-US" w:eastAsia="zh-CN" w:bidi="ar"/>
        </w:rPr>
      </w:pPr>
    </w:p>
    <w:p w14:paraId="29599510">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auto"/>
          <w:kern w:val="0"/>
          <w:sz w:val="24"/>
          <w:szCs w:val="24"/>
          <w:highlight w:val="none"/>
          <w:lang w:val="en-US" w:eastAsia="zh-CN" w:bidi="ar"/>
        </w:rPr>
        <w:t>（请进行勾选）</w:t>
      </w:r>
      <w:r>
        <w:rPr>
          <w:rFonts w:hint="eastAsia" w:ascii="仿宋" w:hAnsi="仿宋" w:eastAsia="仿宋" w:cs="仿宋"/>
          <w:color w:val="auto"/>
          <w:kern w:val="0"/>
          <w:sz w:val="24"/>
          <w:szCs w:val="24"/>
          <w:highlight w:val="none"/>
          <w:lang w:val="en-US" w:eastAsia="zh-CN" w:bidi="ar"/>
        </w:rPr>
        <w:t xml:space="preserve">： </w:t>
      </w:r>
    </w:p>
    <w:p w14:paraId="33981612">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 xml:space="preserve">□不属于符合条件的残疾人福利性单位。 </w:t>
      </w:r>
    </w:p>
    <w:p w14:paraId="311989C2">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□属于符合条件的残疾人福利性单位，</w:t>
      </w:r>
      <w:r>
        <w:rPr>
          <w:rFonts w:hint="eastAsia" w:ascii="仿宋" w:hAnsi="仿宋" w:eastAsia="仿宋" w:cs="仿宋"/>
          <w:color w:val="auto"/>
          <w:kern w:val="0"/>
          <w:sz w:val="24"/>
          <w:szCs w:val="24"/>
          <w:highlight w:val="none"/>
          <w:lang w:val="en-US" w:eastAsia="zh-CN" w:bidi="ar"/>
        </w:rPr>
        <w:t>且本单位参加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单位的</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568F6132">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 xml:space="preserve">本单位对上述声明的真实性负责。如有虚假，将依法承担相应责任。 </w:t>
      </w:r>
    </w:p>
    <w:p w14:paraId="636388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7C3559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395F1DCE">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             单位名称（盖章）：</w:t>
      </w:r>
    </w:p>
    <w:p w14:paraId="688FA96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                         日期：</w:t>
      </w:r>
    </w:p>
    <w:p w14:paraId="01037B35">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26F1197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2-2 拟分包情况说明及分包意向协议 </w:t>
      </w:r>
    </w:p>
    <w:p w14:paraId="00838380">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D94415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拟分包情况说明</w:t>
      </w:r>
    </w:p>
    <w:p w14:paraId="6C0CF3E3">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EAA45B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（采购人或采购代理机构）</w:t>
      </w:r>
      <w:r>
        <w:rPr>
          <w:rFonts w:hint="eastAsia" w:ascii="仿宋" w:hAnsi="仿宋" w:eastAsia="仿宋" w:cs="仿宋"/>
          <w:color w:val="auto"/>
          <w:kern w:val="0"/>
          <w:sz w:val="24"/>
          <w:szCs w:val="24"/>
          <w:highlight w:val="none"/>
          <w:lang w:val="en-US" w:eastAsia="zh-CN" w:bidi="ar"/>
        </w:rPr>
        <w:t xml:space="preserve"> </w:t>
      </w:r>
    </w:p>
    <w:p w14:paraId="4DA74E9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我单位参加贵单位组织采购的项目编号为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的</w:t>
      </w:r>
      <w:r>
        <w:rPr>
          <w:rFonts w:hint="eastAsia" w:ascii="仿宋" w:hAnsi="仿宋" w:eastAsia="仿宋" w:cs="仿宋"/>
          <w:color w:val="auto"/>
          <w:kern w:val="0"/>
          <w:sz w:val="24"/>
          <w:szCs w:val="24"/>
          <w:highlight w:val="none"/>
          <w:u w:val="single"/>
          <w:lang w:val="en-US" w:eastAsia="zh-CN" w:bidi="ar"/>
        </w:rPr>
        <w:t xml:space="preserve"> （填写采购项目名称）  </w:t>
      </w:r>
      <w:r>
        <w:rPr>
          <w:rFonts w:hint="eastAsia" w:ascii="仿宋" w:hAnsi="仿宋" w:eastAsia="仿宋" w:cs="仿宋"/>
          <w:color w:val="auto"/>
          <w:kern w:val="0"/>
          <w:sz w:val="24"/>
          <w:szCs w:val="24"/>
          <w:highlight w:val="none"/>
          <w:lang w:val="en-US" w:eastAsia="zh-CN" w:bidi="ar"/>
        </w:rPr>
        <w:t>项目中</w:t>
      </w:r>
      <w:r>
        <w:rPr>
          <w:rFonts w:hint="eastAsia" w:ascii="仿宋" w:hAnsi="仿宋" w:eastAsia="仿宋" w:cs="仿宋"/>
          <w:color w:val="auto"/>
          <w:kern w:val="0"/>
          <w:sz w:val="24"/>
          <w:szCs w:val="24"/>
          <w:highlight w:val="none"/>
          <w:u w:val="single"/>
          <w:lang w:val="en-US" w:eastAsia="zh-CN" w:bidi="ar"/>
        </w:rPr>
        <w:t xml:space="preserve"> （填写包号） </w:t>
      </w:r>
      <w:r>
        <w:rPr>
          <w:rFonts w:hint="eastAsia" w:ascii="仿宋" w:hAnsi="仿宋" w:eastAsia="仿宋" w:cs="仿宋"/>
          <w:color w:val="auto"/>
          <w:kern w:val="0"/>
          <w:sz w:val="24"/>
          <w:szCs w:val="24"/>
          <w:highlight w:val="none"/>
          <w:lang w:val="en-US" w:eastAsia="zh-CN" w:bidi="ar"/>
        </w:rPr>
        <w:t xml:space="preserve">包的投标。拟签订分包合同的单位情况如下表所示，我单 </w:t>
      </w:r>
    </w:p>
    <w:p w14:paraId="22698DD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位承诺一旦在该项目中获得采购合同将按下表所列情况进行分包，同时承诺分包承担主体不再次分包。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1323"/>
        <w:gridCol w:w="1338"/>
        <w:gridCol w:w="1123"/>
        <w:gridCol w:w="1154"/>
        <w:gridCol w:w="1439"/>
        <w:gridCol w:w="1422"/>
      </w:tblGrid>
      <w:tr w14:paraId="72FF8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1058642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序号</w:t>
            </w:r>
          </w:p>
        </w:tc>
        <w:tc>
          <w:tcPr>
            <w:tcW w:w="1323" w:type="dxa"/>
            <w:vAlign w:val="center"/>
          </w:tcPr>
          <w:p w14:paraId="20F2528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分包承担</w:t>
            </w:r>
          </w:p>
          <w:p w14:paraId="6692A44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主体名称</w:t>
            </w:r>
          </w:p>
        </w:tc>
        <w:tc>
          <w:tcPr>
            <w:tcW w:w="1338" w:type="dxa"/>
            <w:vAlign w:val="center"/>
          </w:tcPr>
          <w:p w14:paraId="10F09F0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分包承担</w:t>
            </w:r>
          </w:p>
          <w:p w14:paraId="761A5E6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主体类型</w:t>
            </w:r>
          </w:p>
          <w:p w14:paraId="4E31208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（勾选）</w:t>
            </w:r>
          </w:p>
        </w:tc>
        <w:tc>
          <w:tcPr>
            <w:tcW w:w="1123" w:type="dxa"/>
            <w:vAlign w:val="center"/>
          </w:tcPr>
          <w:p w14:paraId="4F75B13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资质等级</w:t>
            </w:r>
          </w:p>
        </w:tc>
        <w:tc>
          <w:tcPr>
            <w:tcW w:w="1154" w:type="dxa"/>
            <w:vAlign w:val="center"/>
          </w:tcPr>
          <w:p w14:paraId="5AC41F5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拟分包</w:t>
            </w:r>
          </w:p>
          <w:p w14:paraId="481D2B9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合同内容</w:t>
            </w:r>
          </w:p>
        </w:tc>
        <w:tc>
          <w:tcPr>
            <w:tcW w:w="1439" w:type="dxa"/>
            <w:vAlign w:val="center"/>
          </w:tcPr>
          <w:p w14:paraId="2074121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拟分包</w:t>
            </w:r>
          </w:p>
          <w:p w14:paraId="5245CD2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合同金额</w:t>
            </w:r>
          </w:p>
          <w:p w14:paraId="2B43233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（人民币元）</w:t>
            </w:r>
          </w:p>
        </w:tc>
        <w:tc>
          <w:tcPr>
            <w:tcW w:w="1422" w:type="dxa"/>
            <w:vAlign w:val="center"/>
          </w:tcPr>
          <w:p w14:paraId="7358DB3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占该采购包</w:t>
            </w:r>
            <w:r>
              <w:rPr>
                <w:rFonts w:hint="eastAsia" w:ascii="仿宋" w:hAnsi="仿宋" w:eastAsia="仿宋" w:cs="仿宋"/>
                <w:b/>
                <w:bCs/>
                <w:color w:val="auto"/>
                <w:kern w:val="0"/>
                <w:sz w:val="21"/>
                <w:szCs w:val="21"/>
                <w:highlight w:val="none"/>
                <w:lang w:val="en-US" w:eastAsia="zh-CN" w:bidi="ar"/>
              </w:rPr>
              <w:t>预算金额的</w:t>
            </w:r>
            <w:r>
              <w:rPr>
                <w:rFonts w:hint="eastAsia" w:ascii="仿宋" w:hAnsi="仿宋" w:eastAsia="仿宋" w:cs="仿宋"/>
                <w:color w:val="auto"/>
                <w:kern w:val="0"/>
                <w:sz w:val="21"/>
                <w:szCs w:val="21"/>
                <w:highlight w:val="none"/>
                <w:lang w:val="en-US" w:eastAsia="zh-CN" w:bidi="ar"/>
              </w:rPr>
              <w:t>比例（%）</w:t>
            </w:r>
          </w:p>
        </w:tc>
      </w:tr>
      <w:tr w14:paraId="20B31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52A37995">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1</w:t>
            </w:r>
          </w:p>
        </w:tc>
        <w:tc>
          <w:tcPr>
            <w:tcW w:w="1323" w:type="dxa"/>
            <w:vAlign w:val="center"/>
          </w:tcPr>
          <w:p w14:paraId="6B44B6C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687C3FEC">
            <w:pPr>
              <w:keepNext w:val="0"/>
              <w:keepLines w:val="0"/>
              <w:widowControl/>
              <w:suppressLineNumbers w:val="0"/>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□中型企业</w:t>
            </w:r>
          </w:p>
          <w:p w14:paraId="44530835">
            <w:pPr>
              <w:keepNext w:val="0"/>
              <w:keepLines w:val="0"/>
              <w:widowControl/>
              <w:suppressLineNumbers w:val="0"/>
              <w:jc w:val="center"/>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□小微企业</w:t>
            </w:r>
          </w:p>
        </w:tc>
        <w:tc>
          <w:tcPr>
            <w:tcW w:w="1123" w:type="dxa"/>
            <w:vAlign w:val="center"/>
          </w:tcPr>
          <w:p w14:paraId="55B51BE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369B444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36AC1BF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05499B2A">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0C135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11E16B3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2</w:t>
            </w:r>
          </w:p>
        </w:tc>
        <w:tc>
          <w:tcPr>
            <w:tcW w:w="1323" w:type="dxa"/>
            <w:vAlign w:val="center"/>
          </w:tcPr>
          <w:p w14:paraId="6C6A6E30">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36DE4DDD">
            <w:pPr>
              <w:keepNext w:val="0"/>
              <w:keepLines w:val="0"/>
              <w:widowControl/>
              <w:suppressLineNumbers w:val="0"/>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□中型企业</w:t>
            </w:r>
          </w:p>
          <w:p w14:paraId="510CAF84">
            <w:pPr>
              <w:keepNext w:val="0"/>
              <w:keepLines w:val="0"/>
              <w:widowControl/>
              <w:suppressLineNumbers w:val="0"/>
              <w:jc w:val="center"/>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□小微企业</w:t>
            </w:r>
          </w:p>
        </w:tc>
        <w:tc>
          <w:tcPr>
            <w:tcW w:w="1123" w:type="dxa"/>
            <w:vAlign w:val="center"/>
          </w:tcPr>
          <w:p w14:paraId="39D0ED3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1F163AF9">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632CA03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30B16FD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11516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53DA1BAA">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w:t>
            </w:r>
          </w:p>
        </w:tc>
        <w:tc>
          <w:tcPr>
            <w:tcW w:w="1323" w:type="dxa"/>
            <w:vAlign w:val="center"/>
          </w:tcPr>
          <w:p w14:paraId="27A9409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556E29E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23" w:type="dxa"/>
            <w:vAlign w:val="center"/>
          </w:tcPr>
          <w:p w14:paraId="27EB3EA7">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6919DC4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573CE6D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75CFE12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25313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61" w:type="dxa"/>
            <w:gridSpan w:val="5"/>
            <w:vAlign w:val="center"/>
          </w:tcPr>
          <w:p w14:paraId="0E11183C">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合计</w:t>
            </w:r>
          </w:p>
        </w:tc>
        <w:tc>
          <w:tcPr>
            <w:tcW w:w="1439" w:type="dxa"/>
            <w:vAlign w:val="center"/>
          </w:tcPr>
          <w:p w14:paraId="073002B3">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769B597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bl>
    <w:p w14:paraId="072E52C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2B10177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u w:val="single"/>
          <w:lang w:val="en-US"/>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p>
    <w:p w14:paraId="5CFBAA4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5F64BA2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6003273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 </w:t>
      </w:r>
    </w:p>
    <w:p w14:paraId="6FFE81EF">
      <w:pPr>
        <w:keepNext w:val="0"/>
        <w:keepLines w:val="0"/>
        <w:pageBreakBefore w:val="0"/>
        <w:widowControl/>
        <w:numPr>
          <w:ilvl w:val="0"/>
          <w:numId w:val="16"/>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本表仅在投标人“为落实政府采购政策”而向中小企业分包时填写。</w:t>
      </w:r>
    </w:p>
    <w:p w14:paraId="6F8EDB20">
      <w:pPr>
        <w:keepNext w:val="0"/>
        <w:keepLines w:val="0"/>
        <w:pageBreakBefore w:val="0"/>
        <w:widowControl/>
        <w:numPr>
          <w:ilvl w:val="0"/>
          <w:numId w:val="16"/>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如本招标文件《投标人须知资料表》载明本项目分包承担主体应具备的相应资质条件，则投标人须在本表中列明分包承担主体的资质等级，并后附资质证书复印件加盖投标人公章，否则</w:t>
      </w:r>
      <w:r>
        <w:rPr>
          <w:rFonts w:hint="eastAsia" w:ascii="仿宋" w:hAnsi="仿宋" w:eastAsia="仿宋" w:cs="仿宋"/>
          <w:b/>
          <w:bCs/>
          <w:color w:val="auto"/>
          <w:kern w:val="0"/>
          <w:sz w:val="24"/>
          <w:szCs w:val="24"/>
          <w:highlight w:val="none"/>
          <w:lang w:val="en-US" w:eastAsia="zh-CN" w:bidi="ar"/>
        </w:rPr>
        <w:t>投标无效</w:t>
      </w:r>
      <w:r>
        <w:rPr>
          <w:rFonts w:hint="eastAsia" w:ascii="仿宋" w:hAnsi="仿宋" w:eastAsia="仿宋" w:cs="仿宋"/>
          <w:color w:val="auto"/>
          <w:kern w:val="0"/>
          <w:sz w:val="24"/>
          <w:szCs w:val="24"/>
          <w:highlight w:val="none"/>
          <w:lang w:val="en-US" w:eastAsia="zh-CN" w:bidi="ar"/>
        </w:rPr>
        <w:t xml:space="preserve">。 </w:t>
      </w:r>
    </w:p>
    <w:p w14:paraId="7B6C01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（3）投标人与上述拟分包承担主体签署的《分包意向协议》后附。</w:t>
      </w:r>
    </w:p>
    <w:p w14:paraId="044C0D8A">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0A410CD5">
      <w:pPr>
        <w:keepNext w:val="0"/>
        <w:keepLines w:val="0"/>
        <w:widowControl/>
        <w:suppressLineNumbers w:val="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bidi="ar"/>
        </w:rPr>
        <w:t xml:space="preserve">附：分包意向协议（参考格式） </w:t>
      </w:r>
    </w:p>
    <w:p w14:paraId="54F6ED70">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3739A0F8">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4F50A7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甲方（投标人）：</w:t>
      </w:r>
      <w:r>
        <w:rPr>
          <w:rFonts w:hint="eastAsia" w:ascii="仿宋" w:hAnsi="仿宋" w:eastAsia="仿宋" w:cs="仿宋"/>
          <w:color w:val="auto"/>
          <w:kern w:val="0"/>
          <w:sz w:val="24"/>
          <w:szCs w:val="24"/>
          <w:highlight w:val="none"/>
          <w:u w:val="single"/>
          <w:lang w:val="en-US" w:eastAsia="zh-CN" w:bidi="ar"/>
        </w:rPr>
        <w:t xml:space="preserve">                 </w:t>
      </w:r>
    </w:p>
    <w:p w14:paraId="4859A7B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乙方（拟分包单位）：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EF6683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甲方承诺，一旦在</w:t>
      </w:r>
      <w:r>
        <w:rPr>
          <w:rFonts w:hint="eastAsia" w:ascii="仿宋" w:hAnsi="仿宋" w:eastAsia="仿宋" w:cs="仿宋"/>
          <w:color w:val="auto"/>
          <w:kern w:val="0"/>
          <w:sz w:val="24"/>
          <w:szCs w:val="24"/>
          <w:highlight w:val="none"/>
          <w:u w:val="single"/>
          <w:lang w:val="en-US" w:eastAsia="zh-CN" w:bidi="ar"/>
        </w:rPr>
        <w:t xml:space="preserve">（采购项目名称）（项目编号/包号为：     </w:t>
      </w:r>
      <w:r>
        <w:rPr>
          <w:rFonts w:hint="eastAsia" w:ascii="仿宋" w:hAnsi="仿宋" w:eastAsia="仿宋" w:cs="仿宋"/>
          <w:color w:val="auto"/>
          <w:kern w:val="0"/>
          <w:sz w:val="24"/>
          <w:szCs w:val="24"/>
          <w:highlight w:val="none"/>
          <w:lang w:val="en-US" w:eastAsia="zh-CN" w:bidi="ar"/>
        </w:rPr>
        <w:t xml:space="preserve">）招标采购项目中获得采购合同，将按照下述约定将合同项下部分内容分包给乙方： </w:t>
      </w:r>
    </w:p>
    <w:p w14:paraId="256A7DB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46" w:name="_Toc22054"/>
      <w:bookmarkStart w:id="47" w:name="_Toc29705"/>
      <w:r>
        <w:rPr>
          <w:rFonts w:hint="eastAsia" w:ascii="仿宋" w:hAnsi="仿宋" w:eastAsia="仿宋" w:cs="仿宋"/>
          <w:color w:val="auto"/>
          <w:kern w:val="0"/>
          <w:sz w:val="24"/>
          <w:szCs w:val="24"/>
          <w:highlight w:val="none"/>
          <w:lang w:val="en-US" w:eastAsia="zh-CN" w:bidi="ar"/>
        </w:rPr>
        <w:t>1.分包内容：</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w:t>
      </w:r>
      <w:bookmarkEnd w:id="46"/>
      <w:bookmarkEnd w:id="47"/>
      <w:r>
        <w:rPr>
          <w:rFonts w:hint="eastAsia" w:ascii="仿宋" w:hAnsi="仿宋" w:eastAsia="仿宋" w:cs="仿宋"/>
          <w:color w:val="auto"/>
          <w:kern w:val="0"/>
          <w:sz w:val="24"/>
          <w:szCs w:val="24"/>
          <w:highlight w:val="none"/>
          <w:lang w:val="en-US" w:eastAsia="zh-CN" w:bidi="ar"/>
        </w:rPr>
        <w:t xml:space="preserve"> </w:t>
      </w:r>
    </w:p>
    <w:p w14:paraId="6CEE9E8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2.分包金额：</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，该金额占该采购包预算总金额的比例为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78151C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乙方承诺将在上述情况下与甲方签订分包合同。 </w:t>
      </w:r>
    </w:p>
    <w:p w14:paraId="1AA64DA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本协议自各方盖章之日起生效，如甲方未在该项目（采购包）中标，本协议自动终止。 </w:t>
      </w:r>
    </w:p>
    <w:p w14:paraId="3BA6A3D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DCEAED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甲方（盖章）：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乙方（盖章）：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2A329B1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日期： </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58A075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441FA3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说明：本协议仅在投标人“为落实政府采购政策”而向中小企业分包时必须提供，否则投标无效；且投标人须与所有拟分包单位分别签订《分包意向协议》，每单位签订一份，并在投标文件中提交全部协议原件的电子件，否则投标无效。</w:t>
      </w:r>
    </w:p>
    <w:p w14:paraId="17C2BB4E">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5BE68C75">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2-3 其它落实政府采购政策的资格要求（如有）</w:t>
      </w:r>
    </w:p>
    <w:p w14:paraId="7A64F61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06306C1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6C1C6D0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06BAD2AD">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  本项目的特定资格要求（如有） </w:t>
      </w:r>
    </w:p>
    <w:p w14:paraId="749A4DB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62EF86E1">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1270DA6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484BD35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776EC51D">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4  投标保证金凭证/交款单据电子件</w:t>
      </w:r>
    </w:p>
    <w:p w14:paraId="56BC5B9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2D1ECF9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35A7536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41C80CB4">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702D27E0">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5  投标书 </w:t>
      </w:r>
    </w:p>
    <w:p w14:paraId="21380BB5">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2544EE93">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kern w:val="0"/>
          <w:sz w:val="32"/>
          <w:szCs w:val="32"/>
          <w:highlight w:val="none"/>
          <w:lang w:val="en-US" w:eastAsia="zh-CN" w:bidi="ar"/>
        </w:rPr>
        <w:t>投标书</w:t>
      </w:r>
    </w:p>
    <w:p w14:paraId="0BD550A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09534B6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（采购人或采购代理机构）</w:t>
      </w:r>
      <w:r>
        <w:rPr>
          <w:rFonts w:hint="eastAsia" w:ascii="仿宋" w:hAnsi="仿宋" w:eastAsia="仿宋" w:cs="仿宋"/>
          <w:color w:val="auto"/>
          <w:kern w:val="0"/>
          <w:sz w:val="24"/>
          <w:szCs w:val="24"/>
          <w:highlight w:val="none"/>
          <w:lang w:val="en-US" w:eastAsia="zh-CN" w:bidi="ar"/>
        </w:rPr>
        <w:t xml:space="preserve"> </w:t>
      </w:r>
    </w:p>
    <w:p w14:paraId="635E811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我方参加你方就</w:t>
      </w:r>
      <w:r>
        <w:rPr>
          <w:rFonts w:hint="eastAsia" w:ascii="仿宋" w:hAnsi="仿宋" w:eastAsia="仿宋" w:cs="仿宋"/>
          <w:color w:val="auto"/>
          <w:kern w:val="0"/>
          <w:sz w:val="24"/>
          <w:szCs w:val="24"/>
          <w:highlight w:val="none"/>
          <w:u w:val="single"/>
          <w:lang w:val="en-US" w:eastAsia="zh-CN" w:bidi="ar"/>
        </w:rPr>
        <w:t>（项目名称，项目编号/包号）</w:t>
      </w:r>
      <w:r>
        <w:rPr>
          <w:rFonts w:hint="eastAsia" w:ascii="仿宋" w:hAnsi="仿宋" w:eastAsia="仿宋" w:cs="仿宋"/>
          <w:color w:val="auto"/>
          <w:kern w:val="0"/>
          <w:sz w:val="24"/>
          <w:szCs w:val="24"/>
          <w:highlight w:val="none"/>
          <w:lang w:val="en-US" w:eastAsia="zh-CN" w:bidi="ar"/>
        </w:rPr>
        <w:t xml:space="preserve">组织的招标活动，并对 </w:t>
      </w:r>
    </w:p>
    <w:p w14:paraId="15191D4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此项目进行投标。 </w:t>
      </w:r>
    </w:p>
    <w:p w14:paraId="2B8C8C4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48" w:name="_Toc2806"/>
      <w:bookmarkStart w:id="49" w:name="_Toc30504"/>
      <w:r>
        <w:rPr>
          <w:rFonts w:hint="eastAsia" w:ascii="仿宋" w:hAnsi="仿宋" w:eastAsia="仿宋" w:cs="仿宋"/>
          <w:color w:val="auto"/>
          <w:kern w:val="0"/>
          <w:sz w:val="24"/>
          <w:szCs w:val="24"/>
          <w:highlight w:val="none"/>
          <w:lang w:val="en-US" w:eastAsia="zh-CN" w:bidi="ar"/>
        </w:rPr>
        <w:t>1. 我方已详细审查全部招标文件，自愿参与投标并承诺如下：</w:t>
      </w:r>
      <w:bookmarkEnd w:id="48"/>
      <w:bookmarkEnd w:id="49"/>
      <w:r>
        <w:rPr>
          <w:rFonts w:hint="eastAsia" w:ascii="仿宋" w:hAnsi="仿宋" w:eastAsia="仿宋" w:cs="仿宋"/>
          <w:color w:val="auto"/>
          <w:kern w:val="0"/>
          <w:sz w:val="24"/>
          <w:szCs w:val="24"/>
          <w:highlight w:val="none"/>
          <w:lang w:val="en-US" w:eastAsia="zh-CN" w:bidi="ar"/>
        </w:rPr>
        <w:t xml:space="preserve"> </w:t>
      </w:r>
    </w:p>
    <w:p w14:paraId="33562CF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（1）本投标有效期为自提交投标文件的截止之日起</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个日历日。 </w:t>
      </w:r>
    </w:p>
    <w:p w14:paraId="3E0B729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（2）除合同条款及采购需求偏离表列出的偏离外，我方响应招标文件的全部要求。 </w:t>
      </w:r>
    </w:p>
    <w:p w14:paraId="0C3A9EE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（3）我方已提供的全部文件资料是真实、准确的，并对此承担一切法律后果。 </w:t>
      </w:r>
    </w:p>
    <w:p w14:paraId="415B9FA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（4）如我方中标，我方将在法律规定的期限内与你方签订合同，按照招标文件要求提交履约保证金，并在合同约定的期限内完成合同规定的全部义务。 </w:t>
      </w:r>
    </w:p>
    <w:p w14:paraId="65F5A53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50" w:name="_Toc24785"/>
      <w:bookmarkStart w:id="51" w:name="_Toc4199"/>
      <w:r>
        <w:rPr>
          <w:rFonts w:hint="eastAsia" w:ascii="仿宋" w:hAnsi="仿宋" w:eastAsia="仿宋" w:cs="仿宋"/>
          <w:color w:val="auto"/>
          <w:kern w:val="0"/>
          <w:sz w:val="24"/>
          <w:szCs w:val="24"/>
          <w:highlight w:val="none"/>
          <w:lang w:val="en-US" w:eastAsia="zh-CN" w:bidi="ar"/>
        </w:rPr>
        <w:t>2. 其他补充条款（如有）：</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w:t>
      </w:r>
      <w:bookmarkEnd w:id="50"/>
      <w:bookmarkEnd w:id="51"/>
      <w:r>
        <w:rPr>
          <w:rFonts w:hint="eastAsia" w:ascii="仿宋" w:hAnsi="仿宋" w:eastAsia="仿宋" w:cs="仿宋"/>
          <w:color w:val="auto"/>
          <w:kern w:val="0"/>
          <w:sz w:val="24"/>
          <w:szCs w:val="24"/>
          <w:highlight w:val="none"/>
          <w:lang w:val="en-US" w:eastAsia="zh-CN" w:bidi="ar"/>
        </w:rPr>
        <w:t xml:space="preserve"> </w:t>
      </w:r>
    </w:p>
    <w:p w14:paraId="25D66D2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与本投标有关的一切正式往来信函请寄： </w:t>
      </w:r>
    </w:p>
    <w:p w14:paraId="3E3CC7E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地址</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传真</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6AB2FBE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电话</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电子函件</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4AB1B1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投标人名称（加盖公章） </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4DB3A23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5395FCB3">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7FAB710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52" w:name="_Toc11739"/>
      <w:bookmarkStart w:id="53" w:name="_Toc6076"/>
      <w:r>
        <w:rPr>
          <w:rFonts w:hint="eastAsia" w:ascii="仿宋" w:hAnsi="仿宋" w:eastAsia="仿宋" w:cs="仿宋"/>
          <w:color w:val="auto"/>
          <w:kern w:val="0"/>
          <w:sz w:val="24"/>
          <w:szCs w:val="24"/>
          <w:highlight w:val="none"/>
          <w:lang w:val="en-US" w:eastAsia="zh-CN" w:bidi="ar"/>
        </w:rPr>
        <w:t>6  授权委托书</w:t>
      </w:r>
      <w:bookmarkEnd w:id="52"/>
      <w:bookmarkEnd w:id="53"/>
      <w:r>
        <w:rPr>
          <w:rFonts w:hint="eastAsia" w:ascii="仿宋" w:hAnsi="仿宋" w:eastAsia="仿宋" w:cs="仿宋"/>
          <w:color w:val="auto"/>
          <w:kern w:val="0"/>
          <w:sz w:val="24"/>
          <w:szCs w:val="24"/>
          <w:highlight w:val="none"/>
          <w:lang w:val="en-US" w:eastAsia="zh-CN" w:bidi="ar"/>
        </w:rPr>
        <w:t xml:space="preserve"> </w:t>
      </w:r>
    </w:p>
    <w:p w14:paraId="77AE4BB3">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kern w:val="0"/>
          <w:sz w:val="32"/>
          <w:szCs w:val="32"/>
          <w:highlight w:val="none"/>
          <w:lang w:val="en-US" w:eastAsia="zh-CN" w:bidi="ar"/>
        </w:rPr>
      </w:pPr>
    </w:p>
    <w:p w14:paraId="3CD3703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授权委托书</w:t>
      </w:r>
    </w:p>
    <w:p w14:paraId="0ADCD61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B2E7F7D">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（姓名）系</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（投标人名称）的法定代表人（单位负责人），现委托</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auto"/>
          <w:kern w:val="0"/>
          <w:sz w:val="24"/>
          <w:szCs w:val="24"/>
          <w:highlight w:val="none"/>
          <w:u w:val="single"/>
          <w:lang w:val="en-US" w:eastAsia="zh-CN" w:bidi="ar"/>
        </w:rPr>
        <w:t xml:space="preserve">           （项目名称）</w:t>
      </w:r>
      <w:r>
        <w:rPr>
          <w:rFonts w:hint="eastAsia" w:ascii="仿宋" w:hAnsi="仿宋" w:eastAsia="仿宋" w:cs="仿宋"/>
          <w:color w:val="auto"/>
          <w:kern w:val="0"/>
          <w:sz w:val="24"/>
          <w:szCs w:val="24"/>
          <w:highlight w:val="none"/>
          <w:lang w:val="en-US" w:eastAsia="zh-CN" w:bidi="ar"/>
        </w:rPr>
        <w:t xml:space="preserve">投标文件和处理有关事宜，其法律后果由我方承担。 </w:t>
      </w:r>
    </w:p>
    <w:p w14:paraId="6428921F">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委托期限：自本授权委托书签署之日起至响应有效期届满之日止。 </w:t>
      </w:r>
    </w:p>
    <w:p w14:paraId="17EF01A7">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代理人无转委托权。 </w:t>
      </w:r>
    </w:p>
    <w:p w14:paraId="1961BCA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4E707E9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1C472FC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0AAEF89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委托代理人（签字或印鉴）：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0EB7FF1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306042C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14197E4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1279A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07" w:hRule="atLeast"/>
        </w:trPr>
        <w:tc>
          <w:tcPr>
            <w:tcW w:w="4261" w:type="dxa"/>
          </w:tcPr>
          <w:p w14:paraId="5A50298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c>
          <w:tcPr>
            <w:tcW w:w="4261" w:type="dxa"/>
          </w:tcPr>
          <w:p w14:paraId="4B9B7BC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r>
    </w:tbl>
    <w:p w14:paraId="4B9456A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委托代理人有效期内的身份证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6C22A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6B42880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c>
          <w:tcPr>
            <w:tcW w:w="4261" w:type="dxa"/>
          </w:tcPr>
          <w:p w14:paraId="14AB6EC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r>
    </w:tbl>
    <w:p w14:paraId="5E1E22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说明：1.若供应商为事业单位或其他组织或分支机构（仅当招标文件注明允许分支机构投标的），则法定代表人（单位负责人）处的签署人可为单位负责人。 </w:t>
      </w:r>
    </w:p>
    <w:p w14:paraId="0340972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2.若投标文件中签字之处均为法定代表人（单位负责人）本人签署，则可不提供本《授权委托书》，但须提供《法定代表人（单位负责人）身份证明》。 </w:t>
      </w:r>
    </w:p>
    <w:p w14:paraId="71B6799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54" w:name="_Toc26331"/>
      <w:bookmarkStart w:id="55" w:name="_Toc18807"/>
      <w:r>
        <w:rPr>
          <w:rFonts w:hint="eastAsia" w:ascii="仿宋" w:hAnsi="仿宋" w:eastAsia="仿宋" w:cs="仿宋"/>
          <w:color w:val="auto"/>
          <w:kern w:val="0"/>
          <w:sz w:val="24"/>
          <w:szCs w:val="24"/>
          <w:highlight w:val="none"/>
          <w:lang w:val="en-US" w:eastAsia="zh-CN" w:bidi="ar"/>
        </w:rPr>
        <w:t>3.供应商为自然人的情形，可不提供本《授权委托书》。</w:t>
      </w:r>
      <w:bookmarkEnd w:id="54"/>
      <w:bookmarkEnd w:id="55"/>
    </w:p>
    <w:p w14:paraId="73369A21">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BE89385">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kern w:val="0"/>
          <w:sz w:val="32"/>
          <w:szCs w:val="32"/>
          <w:highlight w:val="none"/>
          <w:lang w:val="en-US" w:eastAsia="zh-CN" w:bidi="ar"/>
        </w:rPr>
        <w:t>附：法定代表人（单位负责人）身份证明</w:t>
      </w:r>
    </w:p>
    <w:p w14:paraId="785921D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2E1A29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 xml:space="preserve">（采购人或采购代理机构） </w:t>
      </w:r>
    </w:p>
    <w:p w14:paraId="397F9F10">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兹证明， </w:t>
      </w:r>
    </w:p>
    <w:p w14:paraId="7B447986">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姓名：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性别：</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年龄：</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职务：</w:t>
      </w:r>
      <w:r>
        <w:rPr>
          <w:rFonts w:hint="eastAsia" w:ascii="仿宋" w:hAnsi="仿宋" w:eastAsia="仿宋" w:cs="仿宋"/>
          <w:color w:val="auto"/>
          <w:kern w:val="0"/>
          <w:sz w:val="24"/>
          <w:szCs w:val="24"/>
          <w:highlight w:val="none"/>
          <w:u w:val="single"/>
          <w:lang w:val="en-US" w:eastAsia="zh-CN" w:bidi="ar"/>
        </w:rPr>
        <w:t xml:space="preserve">     </w:t>
      </w:r>
    </w:p>
    <w:p w14:paraId="31B1477D">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系</w:t>
      </w:r>
      <w:r>
        <w:rPr>
          <w:rFonts w:hint="eastAsia" w:ascii="仿宋" w:hAnsi="仿宋" w:eastAsia="仿宋" w:cs="仿宋"/>
          <w:color w:val="auto"/>
          <w:kern w:val="0"/>
          <w:sz w:val="24"/>
          <w:szCs w:val="24"/>
          <w:highlight w:val="none"/>
          <w:u w:val="single"/>
          <w:lang w:val="en-US" w:eastAsia="zh-CN" w:bidi="ar"/>
        </w:rPr>
        <w:t xml:space="preserve">       （投标人名称）</w:t>
      </w:r>
      <w:r>
        <w:rPr>
          <w:rFonts w:hint="eastAsia" w:ascii="仿宋" w:hAnsi="仿宋" w:eastAsia="仿宋" w:cs="仿宋"/>
          <w:color w:val="auto"/>
          <w:kern w:val="0"/>
          <w:sz w:val="24"/>
          <w:szCs w:val="24"/>
          <w:highlight w:val="none"/>
          <w:lang w:val="en-US" w:eastAsia="zh-CN" w:bidi="ar"/>
        </w:rPr>
        <w:t xml:space="preserve">的法定代表人（单位负责人）。 </w:t>
      </w:r>
    </w:p>
    <w:p w14:paraId="3B2A0E3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34FF74B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1EE067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附：法定代表人（单位负责人）有效期内的身份证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6D071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16" w:hRule="atLeast"/>
        </w:trPr>
        <w:tc>
          <w:tcPr>
            <w:tcW w:w="4261" w:type="dxa"/>
          </w:tcPr>
          <w:p w14:paraId="1B617A7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4261" w:type="dxa"/>
          </w:tcPr>
          <w:p w14:paraId="122F7AF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bl>
    <w:p w14:paraId="4031EEF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0DDD269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06C8393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6D732DF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24498AE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512F276C">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17ECF365">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283825E6">
      <w:pPr>
        <w:outlineLvl w:val="1"/>
        <w:rPr>
          <w:rFonts w:hint="eastAsia" w:ascii="仿宋" w:hAnsi="仿宋" w:eastAsia="仿宋" w:cs="仿宋"/>
          <w:color w:val="auto"/>
          <w:sz w:val="24"/>
          <w:szCs w:val="24"/>
          <w:highlight w:val="none"/>
          <w:lang w:val="en-US" w:eastAsia="zh-CN"/>
        </w:rPr>
      </w:pPr>
      <w:bookmarkStart w:id="56" w:name="_Toc23107"/>
      <w:bookmarkStart w:id="57" w:name="_Toc30649"/>
      <w:r>
        <w:rPr>
          <w:rFonts w:hint="eastAsia" w:ascii="仿宋" w:hAnsi="仿宋" w:eastAsia="仿宋" w:cs="仿宋"/>
          <w:color w:val="auto"/>
          <w:sz w:val="24"/>
          <w:szCs w:val="24"/>
          <w:highlight w:val="none"/>
          <w:lang w:val="en-US" w:eastAsia="zh-CN"/>
        </w:rPr>
        <w:t>7  开标一览表</w:t>
      </w:r>
      <w:bookmarkEnd w:id="56"/>
      <w:bookmarkEnd w:id="57"/>
    </w:p>
    <w:p w14:paraId="740470B3">
      <w:pPr>
        <w:rPr>
          <w:rFonts w:hint="eastAsia" w:ascii="仿宋" w:hAnsi="仿宋" w:eastAsia="仿宋" w:cs="仿宋"/>
          <w:color w:val="auto"/>
          <w:highlight w:val="none"/>
          <w:lang w:val="en-US" w:eastAsia="zh-CN"/>
        </w:rPr>
      </w:pPr>
    </w:p>
    <w:p w14:paraId="1AABB49A">
      <w:pPr>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开标一览表</w:t>
      </w:r>
    </w:p>
    <w:p w14:paraId="4C1F2F45">
      <w:pPr>
        <w:rPr>
          <w:rFonts w:hint="eastAsia" w:ascii="仿宋" w:hAnsi="仿宋" w:eastAsia="仿宋" w:cs="仿宋"/>
          <w:color w:val="auto"/>
          <w:highlight w:val="none"/>
          <w:lang w:val="en-US" w:eastAsia="zh-CN"/>
        </w:rPr>
      </w:pPr>
    </w:p>
    <w:p w14:paraId="5EB51DCE">
      <w:pPr>
        <w:rPr>
          <w:rFonts w:hint="eastAsia" w:ascii="仿宋" w:hAnsi="仿宋" w:eastAsia="仿宋" w:cs="仿宋"/>
          <w:color w:val="auto"/>
          <w:highlight w:val="none"/>
          <w:lang w:val="en-US" w:eastAsia="zh-CN"/>
        </w:rPr>
      </w:pPr>
    </w:p>
    <w:p w14:paraId="7FE8CC6A">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14:paraId="59EC0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vAlign w:val="center"/>
          </w:tcPr>
          <w:p w14:paraId="110427A5">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序号</w:t>
            </w:r>
          </w:p>
        </w:tc>
        <w:tc>
          <w:tcPr>
            <w:tcW w:w="2130" w:type="dxa"/>
            <w:vMerge w:val="restart"/>
            <w:vAlign w:val="center"/>
          </w:tcPr>
          <w:p w14:paraId="11B3BDB5">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投标人名称</w:t>
            </w:r>
          </w:p>
        </w:tc>
        <w:tc>
          <w:tcPr>
            <w:tcW w:w="4262" w:type="dxa"/>
            <w:gridSpan w:val="2"/>
            <w:vAlign w:val="center"/>
          </w:tcPr>
          <w:p w14:paraId="5B340C4F">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投标报价（元）</w:t>
            </w:r>
          </w:p>
        </w:tc>
      </w:tr>
      <w:tr w14:paraId="331A4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vAlign w:val="center"/>
          </w:tcPr>
          <w:p w14:paraId="091C65B8">
            <w:pPr>
              <w:pStyle w:val="21"/>
              <w:jc w:val="center"/>
              <w:rPr>
                <w:rFonts w:hint="eastAsia" w:ascii="仿宋" w:hAnsi="仿宋" w:eastAsia="仿宋" w:cs="仿宋"/>
                <w:b/>
                <w:bCs/>
                <w:color w:val="auto"/>
                <w:highlight w:val="none"/>
                <w:vertAlign w:val="baseline"/>
                <w:lang w:val="en-US" w:eastAsia="zh-CN"/>
              </w:rPr>
            </w:pPr>
          </w:p>
        </w:tc>
        <w:tc>
          <w:tcPr>
            <w:tcW w:w="2130" w:type="dxa"/>
            <w:vMerge w:val="continue"/>
            <w:vAlign w:val="center"/>
          </w:tcPr>
          <w:p w14:paraId="44AFAA7D">
            <w:pPr>
              <w:pStyle w:val="21"/>
              <w:jc w:val="center"/>
              <w:rPr>
                <w:rFonts w:hint="eastAsia" w:ascii="仿宋" w:hAnsi="仿宋" w:eastAsia="仿宋" w:cs="仿宋"/>
                <w:b/>
                <w:bCs/>
                <w:color w:val="auto"/>
                <w:highlight w:val="none"/>
                <w:vertAlign w:val="baseline"/>
                <w:lang w:val="en-US" w:eastAsia="zh-CN"/>
              </w:rPr>
            </w:pPr>
          </w:p>
        </w:tc>
        <w:tc>
          <w:tcPr>
            <w:tcW w:w="2131" w:type="dxa"/>
            <w:vAlign w:val="center"/>
          </w:tcPr>
          <w:p w14:paraId="2BE2D0E6">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大写</w:t>
            </w:r>
          </w:p>
        </w:tc>
        <w:tc>
          <w:tcPr>
            <w:tcW w:w="2131" w:type="dxa"/>
            <w:vAlign w:val="center"/>
          </w:tcPr>
          <w:p w14:paraId="19384D75">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小写</w:t>
            </w:r>
          </w:p>
        </w:tc>
      </w:tr>
      <w:tr w14:paraId="737E1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30" w:type="dxa"/>
            <w:vAlign w:val="center"/>
          </w:tcPr>
          <w:p w14:paraId="4B31DA8E">
            <w:pPr>
              <w:pStyle w:val="21"/>
              <w:jc w:val="center"/>
              <w:rPr>
                <w:rFonts w:hint="eastAsia" w:ascii="仿宋" w:hAnsi="仿宋" w:eastAsia="仿宋" w:cs="仿宋"/>
                <w:color w:val="auto"/>
                <w:highlight w:val="none"/>
                <w:vertAlign w:val="baseline"/>
                <w:lang w:val="en-US" w:eastAsia="zh-CN"/>
              </w:rPr>
            </w:pPr>
          </w:p>
        </w:tc>
        <w:tc>
          <w:tcPr>
            <w:tcW w:w="2130" w:type="dxa"/>
            <w:vAlign w:val="center"/>
          </w:tcPr>
          <w:p w14:paraId="55E611FA">
            <w:pPr>
              <w:pStyle w:val="21"/>
              <w:jc w:val="center"/>
              <w:rPr>
                <w:rFonts w:hint="eastAsia" w:ascii="仿宋" w:hAnsi="仿宋" w:eastAsia="仿宋" w:cs="仿宋"/>
                <w:color w:val="auto"/>
                <w:highlight w:val="none"/>
                <w:vertAlign w:val="baseline"/>
                <w:lang w:val="en-US" w:eastAsia="zh-CN"/>
              </w:rPr>
            </w:pPr>
          </w:p>
        </w:tc>
        <w:tc>
          <w:tcPr>
            <w:tcW w:w="2131" w:type="dxa"/>
            <w:vAlign w:val="center"/>
          </w:tcPr>
          <w:p w14:paraId="23CD508A">
            <w:pPr>
              <w:pStyle w:val="21"/>
              <w:jc w:val="center"/>
              <w:rPr>
                <w:rFonts w:hint="eastAsia" w:ascii="仿宋" w:hAnsi="仿宋" w:eastAsia="仿宋" w:cs="仿宋"/>
                <w:color w:val="auto"/>
                <w:highlight w:val="none"/>
                <w:vertAlign w:val="baseline"/>
                <w:lang w:val="en-US" w:eastAsia="zh-CN"/>
              </w:rPr>
            </w:pPr>
          </w:p>
        </w:tc>
        <w:tc>
          <w:tcPr>
            <w:tcW w:w="2131" w:type="dxa"/>
            <w:vAlign w:val="center"/>
          </w:tcPr>
          <w:p w14:paraId="7B0EAA04">
            <w:pPr>
              <w:pStyle w:val="21"/>
              <w:jc w:val="center"/>
              <w:rPr>
                <w:rFonts w:hint="eastAsia" w:ascii="仿宋" w:hAnsi="仿宋" w:eastAsia="仿宋" w:cs="仿宋"/>
                <w:color w:val="auto"/>
                <w:highlight w:val="none"/>
                <w:vertAlign w:val="baseline"/>
                <w:lang w:val="en-US" w:eastAsia="zh-CN"/>
              </w:rPr>
            </w:pPr>
          </w:p>
        </w:tc>
      </w:tr>
      <w:tr w14:paraId="07905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522" w:type="dxa"/>
            <w:gridSpan w:val="4"/>
            <w:vAlign w:val="center"/>
          </w:tcPr>
          <w:p w14:paraId="0B464A45">
            <w:pPr>
              <w:pStyle w:val="21"/>
              <w:jc w:val="left"/>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交货期：</w:t>
            </w:r>
          </w:p>
        </w:tc>
      </w:tr>
      <w:tr w14:paraId="50923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522" w:type="dxa"/>
            <w:gridSpan w:val="4"/>
            <w:vAlign w:val="center"/>
          </w:tcPr>
          <w:p w14:paraId="110AC336">
            <w:pPr>
              <w:pStyle w:val="21"/>
              <w:jc w:val="left"/>
              <w:rPr>
                <w:rFonts w:hint="default"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备注：投标报价为各品目最小单位单价合计金额。</w:t>
            </w:r>
          </w:p>
        </w:tc>
      </w:tr>
    </w:tbl>
    <w:p w14:paraId="2A5BE59A">
      <w:pPr>
        <w:pStyle w:val="21"/>
        <w:ind w:left="0" w:leftChars="0" w:firstLine="0" w:firstLineChars="0"/>
        <w:rPr>
          <w:rFonts w:hint="eastAsia" w:ascii="仿宋" w:hAnsi="仿宋" w:eastAsia="仿宋" w:cs="仿宋"/>
          <w:color w:val="auto"/>
          <w:highlight w:val="none"/>
          <w:lang w:val="en-US" w:eastAsia="zh-CN"/>
        </w:rPr>
      </w:pPr>
    </w:p>
    <w:p w14:paraId="050BF6FB">
      <w:pPr>
        <w:pStyle w:val="2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注：1.此表中，每包的投标报价应和《投标分项报价表》中的总价相一致。</w:t>
      </w:r>
    </w:p>
    <w:p w14:paraId="115F5ACC">
      <w:pPr>
        <w:pStyle w:val="20"/>
        <w:ind w:firstLine="630" w:firstLineChars="300"/>
        <w:rPr>
          <w:rFonts w:hint="eastAsia" w:ascii="仿宋" w:hAnsi="仿宋" w:eastAsia="仿宋" w:cs="仿宋"/>
          <w:color w:val="auto"/>
          <w:highlight w:val="none"/>
          <w:lang w:val="en-US" w:eastAsia="zh-CN"/>
        </w:rPr>
      </w:pPr>
      <w:bookmarkStart w:id="58" w:name="_Toc31128"/>
      <w:r>
        <w:rPr>
          <w:rFonts w:hint="eastAsia" w:ascii="仿宋" w:hAnsi="仿宋" w:eastAsia="仿宋" w:cs="仿宋"/>
          <w:color w:val="auto"/>
          <w:highlight w:val="none"/>
          <w:lang w:val="en-US" w:eastAsia="zh-CN"/>
        </w:rPr>
        <w:t>2.本表必须按包分别填写。</w:t>
      </w:r>
      <w:bookmarkEnd w:id="58"/>
    </w:p>
    <w:p w14:paraId="555CD405">
      <w:pPr>
        <w:pStyle w:val="20"/>
        <w:ind w:firstLine="632" w:firstLineChars="3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3.本表中投标报价为每包各品目单价合计，合计金额与投标分项报价表中的合计金额一致。</w:t>
      </w:r>
    </w:p>
    <w:p w14:paraId="30F92329">
      <w:pPr>
        <w:pStyle w:val="20"/>
        <w:rPr>
          <w:rFonts w:hint="eastAsia" w:ascii="仿宋" w:hAnsi="仿宋" w:eastAsia="仿宋" w:cs="仿宋"/>
          <w:color w:val="auto"/>
          <w:highlight w:val="none"/>
          <w:lang w:val="en-US" w:eastAsia="zh-CN"/>
        </w:rPr>
      </w:pPr>
    </w:p>
    <w:p w14:paraId="673AE24A">
      <w:pPr>
        <w:pStyle w:val="20"/>
        <w:rPr>
          <w:rFonts w:hint="eastAsia" w:ascii="仿宋" w:hAnsi="仿宋" w:eastAsia="仿宋" w:cs="仿宋"/>
          <w:color w:val="auto"/>
          <w:highlight w:val="none"/>
          <w:lang w:val="en-US" w:eastAsia="zh-CN"/>
        </w:rPr>
      </w:pPr>
    </w:p>
    <w:p w14:paraId="75652031">
      <w:pPr>
        <w:pStyle w:val="10"/>
        <w:tabs>
          <w:tab w:val="left" w:pos="1920"/>
          <w:tab w:val="left" w:pos="3840"/>
        </w:tabs>
        <w:ind w:left="360" w:firstLine="422"/>
        <w:rPr>
          <w:rFonts w:ascii="仿宋" w:hAnsi="仿宋" w:eastAsia="仿宋" w:cs="仿宋"/>
          <w:sz w:val="21"/>
          <w:szCs w:val="21"/>
          <w:highlight w:val="none"/>
        </w:rPr>
      </w:pPr>
      <w:r>
        <w:rPr>
          <w:rFonts w:hint="eastAsia" w:ascii="仿宋" w:hAnsi="仿宋" w:eastAsia="仿宋" w:cs="仿宋"/>
          <w:sz w:val="21"/>
          <w:szCs w:val="21"/>
          <w:highlight w:val="none"/>
          <w:lang w:val="en-US"/>
        </w:rPr>
        <w:t>投标人</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（公章）</w:t>
      </w:r>
      <w:r>
        <w:rPr>
          <w:rFonts w:hint="eastAsia" w:ascii="仿宋" w:hAnsi="仿宋" w:eastAsia="仿宋" w:cs="仿宋"/>
          <w:sz w:val="21"/>
          <w:szCs w:val="21"/>
          <w:highlight w:val="none"/>
          <w:u w:val="single"/>
        </w:rPr>
        <w:tab/>
      </w:r>
    </w:p>
    <w:p w14:paraId="4DCEC060">
      <w:pPr>
        <w:pStyle w:val="10"/>
        <w:tabs>
          <w:tab w:val="left" w:pos="1920"/>
          <w:tab w:val="left" w:pos="3840"/>
        </w:tabs>
        <w:ind w:left="360" w:firstLine="422"/>
        <w:rPr>
          <w:rFonts w:hint="eastAsia" w:ascii="仿宋" w:hAnsi="仿宋" w:eastAsia="仿宋" w:cs="仿宋"/>
          <w:sz w:val="21"/>
          <w:szCs w:val="21"/>
          <w:highlight w:val="none"/>
          <w:lang w:val="en-US"/>
        </w:rPr>
      </w:pPr>
    </w:p>
    <w:p w14:paraId="6E633149">
      <w:pPr>
        <w:pStyle w:val="10"/>
        <w:tabs>
          <w:tab w:val="left" w:pos="1920"/>
          <w:tab w:val="left" w:pos="3840"/>
        </w:tabs>
        <w:ind w:left="360" w:firstLine="422"/>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 xml:space="preserve">法人代表或其授权人： </w:t>
      </w:r>
      <w:r>
        <w:rPr>
          <w:rFonts w:hint="eastAsia" w:ascii="仿宋" w:hAnsi="仿宋" w:eastAsia="仿宋" w:cs="仿宋"/>
          <w:sz w:val="21"/>
          <w:szCs w:val="21"/>
          <w:highlight w:val="none"/>
          <w:u w:val="single"/>
          <w:lang w:val="en-US"/>
        </w:rPr>
        <w:tab/>
      </w:r>
      <w:r>
        <w:rPr>
          <w:rFonts w:hint="eastAsia" w:ascii="仿宋" w:hAnsi="仿宋" w:eastAsia="仿宋" w:cs="仿宋"/>
          <w:sz w:val="21"/>
          <w:szCs w:val="21"/>
          <w:highlight w:val="none"/>
          <w:u w:val="single"/>
          <w:lang w:val="en-US"/>
        </w:rPr>
        <w:t xml:space="preserve">      （</w:t>
      </w:r>
      <w:r>
        <w:rPr>
          <w:rFonts w:hint="eastAsia" w:ascii="仿宋" w:hAnsi="仿宋" w:eastAsia="仿宋" w:cs="仿宋"/>
          <w:sz w:val="21"/>
          <w:szCs w:val="21"/>
          <w:highlight w:val="none"/>
          <w:lang w:val="en-US"/>
        </w:rPr>
        <w:t>签字或盖章）</w:t>
      </w:r>
      <w:r>
        <w:rPr>
          <w:rFonts w:hint="eastAsia" w:ascii="仿宋" w:hAnsi="仿宋" w:eastAsia="仿宋" w:cs="仿宋"/>
          <w:sz w:val="21"/>
          <w:szCs w:val="21"/>
          <w:highlight w:val="none"/>
          <w:lang w:val="en-US"/>
        </w:rPr>
        <w:tab/>
      </w:r>
    </w:p>
    <w:p w14:paraId="01887B42">
      <w:pPr>
        <w:pStyle w:val="10"/>
        <w:keepNext w:val="0"/>
        <w:keepLines w:val="0"/>
        <w:pageBreakBefore w:val="0"/>
        <w:widowControl w:val="0"/>
        <w:tabs>
          <w:tab w:val="left" w:pos="1560"/>
          <w:tab w:val="left" w:pos="2160"/>
          <w:tab w:val="left" w:pos="4320"/>
          <w:tab w:val="left" w:pos="6841"/>
        </w:tabs>
        <w:kinsoku/>
        <w:wordWrap/>
        <w:overflowPunct/>
        <w:topLinePunct w:val="0"/>
        <w:autoSpaceDE/>
        <w:autoSpaceDN/>
        <w:bidi w:val="0"/>
        <w:adjustRightInd/>
        <w:snapToGrid/>
        <w:spacing w:before="161" w:line="363" w:lineRule="auto"/>
        <w:ind w:left="779" w:leftChars="371" w:right="3061" w:firstLine="0" w:firstLineChars="0"/>
        <w:jc w:val="left"/>
        <w:textAlignment w:val="auto"/>
        <w:rPr>
          <w:rFonts w:ascii="仿宋" w:hAnsi="仿宋" w:eastAsia="仿宋" w:cs="仿宋"/>
          <w:sz w:val="21"/>
          <w:szCs w:val="21"/>
          <w:highlight w:val="none"/>
        </w:rPr>
      </w:pPr>
      <w:r>
        <w:rPr>
          <w:rFonts w:hint="eastAsia" w:ascii="仿宋" w:hAnsi="仿宋" w:eastAsia="仿宋" w:cs="仿宋"/>
          <w:sz w:val="21"/>
          <w:szCs w:val="21"/>
          <w:highlight w:val="none"/>
        </w:rPr>
        <w:t>日期：</w:t>
      </w:r>
      <w:r>
        <w:rPr>
          <w:rFonts w:hint="eastAsia" w:ascii="仿宋" w:hAnsi="仿宋" w:eastAsia="仿宋" w:cs="仿宋"/>
          <w:sz w:val="21"/>
          <w:szCs w:val="21"/>
          <w:highlight w:val="none"/>
          <w:lang w:val="en-US" w:eastAsia="zh-CN"/>
        </w:rPr>
        <w:t xml:space="preserve"> </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rPr>
        <w:t>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rPr>
        <w:t>月</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rPr>
        <w:t xml:space="preserve">   </w:t>
      </w:r>
      <w:r>
        <w:rPr>
          <w:rFonts w:hint="eastAsia" w:ascii="仿宋" w:hAnsi="仿宋" w:eastAsia="仿宋" w:cs="仿宋"/>
          <w:sz w:val="21"/>
          <w:szCs w:val="21"/>
          <w:highlight w:val="none"/>
        </w:rPr>
        <w:t>日</w:t>
      </w:r>
    </w:p>
    <w:p w14:paraId="1BFC7260">
      <w:pPr>
        <w:pStyle w:val="17"/>
        <w:rPr>
          <w:rFonts w:hint="eastAsia" w:ascii="仿宋" w:hAnsi="仿宋" w:eastAsia="仿宋" w:cs="仿宋"/>
          <w:color w:val="auto"/>
          <w:highlight w:val="none"/>
          <w:lang w:val="en-US" w:eastAsia="zh-CN"/>
        </w:rPr>
      </w:pPr>
    </w:p>
    <w:p w14:paraId="6F681FAB">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0BBCDFC2">
      <w:pPr>
        <w:pStyle w:val="21"/>
        <w:ind w:left="0" w:leftChars="0" w:firstLine="0" w:firstLineChars="0"/>
        <w:outlineLvl w:val="1"/>
        <w:rPr>
          <w:rFonts w:hint="eastAsia" w:ascii="仿宋" w:hAnsi="仿宋" w:eastAsia="仿宋" w:cs="仿宋"/>
          <w:color w:val="auto"/>
          <w:sz w:val="24"/>
          <w:szCs w:val="24"/>
          <w:highlight w:val="none"/>
          <w:lang w:val="en-US" w:eastAsia="zh-CN"/>
        </w:rPr>
      </w:pPr>
      <w:bookmarkStart w:id="59" w:name="_Toc7007"/>
      <w:bookmarkStart w:id="60" w:name="_Toc435"/>
      <w:r>
        <w:rPr>
          <w:rFonts w:hint="eastAsia" w:ascii="仿宋" w:hAnsi="仿宋" w:eastAsia="仿宋" w:cs="仿宋"/>
          <w:color w:val="auto"/>
          <w:sz w:val="24"/>
          <w:szCs w:val="24"/>
          <w:highlight w:val="none"/>
          <w:lang w:val="en-US" w:eastAsia="zh-CN"/>
        </w:rPr>
        <w:t>7  投标分项报价表</w:t>
      </w:r>
      <w:bookmarkEnd w:id="59"/>
      <w:bookmarkEnd w:id="60"/>
      <w:r>
        <w:rPr>
          <w:rFonts w:hint="eastAsia" w:ascii="仿宋" w:hAnsi="仿宋" w:eastAsia="仿宋" w:cs="仿宋"/>
          <w:b/>
          <w:bCs/>
          <w:color w:val="auto"/>
          <w:kern w:val="0"/>
          <w:sz w:val="24"/>
          <w:szCs w:val="24"/>
          <w:highlight w:val="none"/>
          <w:lang w:val="en-US" w:eastAsia="zh-CN" w:bidi="ar-SA"/>
        </w:rPr>
        <w:t>（投标人根据所投标项，按标项对应填写分项报价表）</w:t>
      </w:r>
    </w:p>
    <w:p w14:paraId="63A97E88">
      <w:pPr>
        <w:pStyle w:val="21"/>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投标分项报价表</w:t>
      </w:r>
    </w:p>
    <w:p w14:paraId="35E7A4BD">
      <w:pPr>
        <w:pStyle w:val="21"/>
        <w:ind w:left="0" w:leftChars="0"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kern w:val="0"/>
          <w:sz w:val="24"/>
          <w:szCs w:val="24"/>
          <w:highlight w:val="none"/>
          <w:lang w:val="en-US" w:eastAsia="zh-CN" w:bidi="ar-SA"/>
        </w:rPr>
        <w:t>标项1：新疆医科大学第六附属医院全自动生化分析仪、全自动化学发光免疫分析仪检验试剂采购项目（二次）1包</w:t>
      </w:r>
      <w:r>
        <w:rPr>
          <w:rFonts w:hint="eastAsia" w:ascii="仿宋" w:hAnsi="仿宋" w:eastAsia="仿宋" w:cs="仿宋"/>
          <w:b/>
          <w:bCs/>
          <w:color w:val="auto"/>
          <w:sz w:val="24"/>
          <w:szCs w:val="24"/>
          <w:highlight w:val="none"/>
          <w:lang w:val="en-US" w:eastAsia="zh-CN"/>
        </w:rPr>
        <w:t>）</w:t>
      </w:r>
    </w:p>
    <w:p w14:paraId="4B01A68C">
      <w:pPr>
        <w:pStyle w:val="21"/>
        <w:ind w:left="0" w:leftChars="0"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报价单位：人民币元</w:t>
      </w:r>
    </w:p>
    <w:tbl>
      <w:tblPr>
        <w:tblStyle w:val="23"/>
        <w:tblW w:w="116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2"/>
        <w:gridCol w:w="409"/>
        <w:gridCol w:w="855"/>
        <w:gridCol w:w="1071"/>
        <w:gridCol w:w="1071"/>
        <w:gridCol w:w="761"/>
        <w:gridCol w:w="1327"/>
        <w:gridCol w:w="678"/>
        <w:gridCol w:w="1600"/>
        <w:gridCol w:w="2265"/>
        <w:gridCol w:w="947"/>
      </w:tblGrid>
      <w:tr w14:paraId="00301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62" w:type="dxa"/>
            <w:vAlign w:val="center"/>
          </w:tcPr>
          <w:p w14:paraId="283EB527">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序号</w:t>
            </w:r>
          </w:p>
        </w:tc>
        <w:tc>
          <w:tcPr>
            <w:tcW w:w="1264" w:type="dxa"/>
            <w:gridSpan w:val="2"/>
            <w:vAlign w:val="center"/>
          </w:tcPr>
          <w:p w14:paraId="5677E94F">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品目名称（标的名称）</w:t>
            </w:r>
          </w:p>
        </w:tc>
        <w:tc>
          <w:tcPr>
            <w:tcW w:w="1071" w:type="dxa"/>
            <w:vAlign w:val="center"/>
          </w:tcPr>
          <w:p w14:paraId="23A12B7C">
            <w:pPr>
              <w:pStyle w:val="20"/>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所属行业</w:t>
            </w:r>
          </w:p>
        </w:tc>
        <w:tc>
          <w:tcPr>
            <w:tcW w:w="1071" w:type="dxa"/>
            <w:vAlign w:val="center"/>
          </w:tcPr>
          <w:p w14:paraId="022DC7D3">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制造商</w:t>
            </w:r>
          </w:p>
        </w:tc>
        <w:tc>
          <w:tcPr>
            <w:tcW w:w="761" w:type="dxa"/>
            <w:vAlign w:val="center"/>
          </w:tcPr>
          <w:p w14:paraId="43D73300">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品牌</w:t>
            </w:r>
          </w:p>
        </w:tc>
        <w:tc>
          <w:tcPr>
            <w:tcW w:w="1327" w:type="dxa"/>
            <w:vAlign w:val="center"/>
          </w:tcPr>
          <w:p w14:paraId="378FE7D7">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产地/国别</w:t>
            </w:r>
          </w:p>
        </w:tc>
        <w:tc>
          <w:tcPr>
            <w:tcW w:w="678" w:type="dxa"/>
            <w:vAlign w:val="center"/>
          </w:tcPr>
          <w:p w14:paraId="54096CD0">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最小单位</w:t>
            </w:r>
          </w:p>
        </w:tc>
        <w:tc>
          <w:tcPr>
            <w:tcW w:w="1600" w:type="dxa"/>
            <w:vAlign w:val="center"/>
          </w:tcPr>
          <w:p w14:paraId="23CF42A7">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入库规格</w:t>
            </w:r>
          </w:p>
        </w:tc>
        <w:tc>
          <w:tcPr>
            <w:tcW w:w="2265" w:type="dxa"/>
            <w:vAlign w:val="center"/>
          </w:tcPr>
          <w:p w14:paraId="49CFB04D">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单价（元/最小单位）</w:t>
            </w:r>
          </w:p>
        </w:tc>
        <w:tc>
          <w:tcPr>
            <w:tcW w:w="947" w:type="dxa"/>
            <w:vAlign w:val="center"/>
          </w:tcPr>
          <w:p w14:paraId="0A869897">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备注/说明</w:t>
            </w:r>
          </w:p>
        </w:tc>
      </w:tr>
      <w:tr w14:paraId="5A9B3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62" w:type="dxa"/>
            <w:vAlign w:val="center"/>
          </w:tcPr>
          <w:p w14:paraId="2B11895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w:t>
            </w:r>
          </w:p>
        </w:tc>
        <w:tc>
          <w:tcPr>
            <w:tcW w:w="1264" w:type="dxa"/>
            <w:gridSpan w:val="2"/>
            <w:vAlign w:val="center"/>
          </w:tcPr>
          <w:p w14:paraId="0259DBBE">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r-谷氨酰基转酶测定试剂盒（速率法）</w:t>
            </w:r>
          </w:p>
        </w:tc>
        <w:tc>
          <w:tcPr>
            <w:tcW w:w="1071" w:type="dxa"/>
            <w:vAlign w:val="center"/>
          </w:tcPr>
          <w:p w14:paraId="53C1E46D">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56F79F45">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4108AF4A">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3B1342F0">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34DDD12F">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05835BF7">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2D026191">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175D0A7A">
            <w:pPr>
              <w:pStyle w:val="20"/>
              <w:jc w:val="center"/>
              <w:rPr>
                <w:rFonts w:hint="eastAsia" w:ascii="仿宋" w:hAnsi="仿宋" w:eastAsia="仿宋" w:cs="仿宋"/>
                <w:color w:val="auto"/>
                <w:sz w:val="21"/>
                <w:szCs w:val="21"/>
                <w:highlight w:val="none"/>
                <w:vertAlign w:val="baseline"/>
                <w:lang w:val="en-US" w:eastAsia="zh-CN"/>
              </w:rPr>
            </w:pPr>
          </w:p>
        </w:tc>
      </w:tr>
      <w:tr w14:paraId="47ECC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62" w:type="dxa"/>
            <w:vAlign w:val="center"/>
          </w:tcPr>
          <w:p w14:paraId="50418C8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w:t>
            </w:r>
          </w:p>
        </w:tc>
        <w:tc>
          <w:tcPr>
            <w:tcW w:w="1264" w:type="dxa"/>
            <w:gridSpan w:val="2"/>
            <w:vAlign w:val="center"/>
          </w:tcPr>
          <w:p w14:paraId="57DEE26C">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乳酸脱氢酶测定试剂盒（乳酸底物法)</w:t>
            </w:r>
          </w:p>
        </w:tc>
        <w:tc>
          <w:tcPr>
            <w:tcW w:w="1071" w:type="dxa"/>
            <w:vAlign w:val="center"/>
          </w:tcPr>
          <w:p w14:paraId="245FCBBB">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31B6AB73">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46772735">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0FC64872">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17DBD01D">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03B0D0BB">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274A00F2">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0212DC47">
            <w:pPr>
              <w:pStyle w:val="20"/>
              <w:jc w:val="center"/>
              <w:rPr>
                <w:rFonts w:hint="eastAsia" w:ascii="仿宋" w:hAnsi="仿宋" w:eastAsia="仿宋" w:cs="仿宋"/>
                <w:color w:val="auto"/>
                <w:sz w:val="21"/>
                <w:szCs w:val="21"/>
                <w:highlight w:val="none"/>
                <w:vertAlign w:val="baseline"/>
                <w:lang w:val="en-US" w:eastAsia="zh-CN"/>
              </w:rPr>
            </w:pPr>
          </w:p>
        </w:tc>
      </w:tr>
      <w:tr w14:paraId="458C1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62" w:type="dxa"/>
            <w:vAlign w:val="center"/>
          </w:tcPr>
          <w:p w14:paraId="0E3C59F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w:t>
            </w:r>
          </w:p>
        </w:tc>
        <w:tc>
          <w:tcPr>
            <w:tcW w:w="1264" w:type="dxa"/>
            <w:gridSpan w:val="2"/>
            <w:vAlign w:val="center"/>
          </w:tcPr>
          <w:p w14:paraId="56395E0B">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葡萄糖测定试剂盒（己糖激酶法）</w:t>
            </w:r>
          </w:p>
        </w:tc>
        <w:tc>
          <w:tcPr>
            <w:tcW w:w="1071" w:type="dxa"/>
            <w:vAlign w:val="center"/>
          </w:tcPr>
          <w:p w14:paraId="019045A3">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120CA982">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71835571">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5C1A4107">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05E439AF">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51E17634">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4F5BF84B">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6EA0B23C">
            <w:pPr>
              <w:pStyle w:val="20"/>
              <w:jc w:val="center"/>
              <w:rPr>
                <w:rFonts w:hint="eastAsia" w:ascii="仿宋" w:hAnsi="仿宋" w:eastAsia="仿宋" w:cs="仿宋"/>
                <w:color w:val="auto"/>
                <w:sz w:val="21"/>
                <w:szCs w:val="21"/>
                <w:highlight w:val="none"/>
                <w:vertAlign w:val="baseline"/>
                <w:lang w:val="en-US" w:eastAsia="zh-CN"/>
              </w:rPr>
            </w:pPr>
          </w:p>
        </w:tc>
      </w:tr>
      <w:tr w14:paraId="625B7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580A42F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w:t>
            </w:r>
          </w:p>
        </w:tc>
        <w:tc>
          <w:tcPr>
            <w:tcW w:w="1264" w:type="dxa"/>
            <w:gridSpan w:val="2"/>
            <w:vAlign w:val="center"/>
          </w:tcPr>
          <w:p w14:paraId="45387D47">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铁测定试剂盒（TPTZ法）</w:t>
            </w:r>
          </w:p>
        </w:tc>
        <w:tc>
          <w:tcPr>
            <w:tcW w:w="1071" w:type="dxa"/>
            <w:vAlign w:val="center"/>
          </w:tcPr>
          <w:p w14:paraId="487227E0">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63E1DE25">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608FD14F">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17F2D4FE">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3FC3917F">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48212F98">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24667998">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1975401C">
            <w:pPr>
              <w:pStyle w:val="20"/>
              <w:jc w:val="center"/>
              <w:rPr>
                <w:rFonts w:hint="eastAsia" w:ascii="仿宋" w:hAnsi="仿宋" w:eastAsia="仿宋" w:cs="仿宋"/>
                <w:color w:val="auto"/>
                <w:sz w:val="21"/>
                <w:szCs w:val="21"/>
                <w:highlight w:val="none"/>
                <w:vertAlign w:val="baseline"/>
                <w:lang w:val="en-US" w:eastAsia="zh-CN"/>
              </w:rPr>
            </w:pPr>
          </w:p>
        </w:tc>
      </w:tr>
      <w:tr w14:paraId="134B1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7BD4A15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w:t>
            </w:r>
          </w:p>
        </w:tc>
        <w:tc>
          <w:tcPr>
            <w:tcW w:w="1264" w:type="dxa"/>
            <w:gridSpan w:val="2"/>
            <w:vAlign w:val="center"/>
          </w:tcPr>
          <w:p w14:paraId="24DB205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钙测定试剂盒（偶氮砷III法）</w:t>
            </w:r>
          </w:p>
        </w:tc>
        <w:tc>
          <w:tcPr>
            <w:tcW w:w="1071" w:type="dxa"/>
            <w:vAlign w:val="center"/>
          </w:tcPr>
          <w:p w14:paraId="14B2D971">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7BC4833C">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643C3F9D">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2B54EA59">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58389C42">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1C85492C">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6C53D4A9">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0A041DA4">
            <w:pPr>
              <w:pStyle w:val="20"/>
              <w:jc w:val="center"/>
              <w:rPr>
                <w:rFonts w:hint="eastAsia" w:ascii="仿宋" w:hAnsi="仿宋" w:eastAsia="仿宋" w:cs="仿宋"/>
                <w:color w:val="auto"/>
                <w:sz w:val="21"/>
                <w:szCs w:val="21"/>
                <w:highlight w:val="none"/>
                <w:vertAlign w:val="baseline"/>
                <w:lang w:val="en-US" w:eastAsia="zh-CN"/>
              </w:rPr>
            </w:pPr>
          </w:p>
        </w:tc>
      </w:tr>
      <w:tr w14:paraId="3D1E7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0A4F101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w:t>
            </w:r>
          </w:p>
        </w:tc>
        <w:tc>
          <w:tcPr>
            <w:tcW w:w="1264" w:type="dxa"/>
            <w:gridSpan w:val="2"/>
            <w:vAlign w:val="center"/>
          </w:tcPr>
          <w:p w14:paraId="0E41E0E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镁测定试剂盒（二甲苯胺蓝法）</w:t>
            </w:r>
          </w:p>
        </w:tc>
        <w:tc>
          <w:tcPr>
            <w:tcW w:w="1071" w:type="dxa"/>
            <w:vAlign w:val="center"/>
          </w:tcPr>
          <w:p w14:paraId="108BC51B">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793FF158">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539D20B7">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32616313">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3B85CD5C">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2CBB95EC">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62EBE41D">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45576AE6">
            <w:pPr>
              <w:pStyle w:val="20"/>
              <w:jc w:val="center"/>
              <w:rPr>
                <w:rFonts w:hint="eastAsia" w:ascii="仿宋" w:hAnsi="仿宋" w:eastAsia="仿宋" w:cs="仿宋"/>
                <w:color w:val="auto"/>
                <w:sz w:val="21"/>
                <w:szCs w:val="21"/>
                <w:highlight w:val="none"/>
                <w:vertAlign w:val="baseline"/>
                <w:lang w:val="en-US" w:eastAsia="zh-CN"/>
              </w:rPr>
            </w:pPr>
          </w:p>
        </w:tc>
      </w:tr>
      <w:tr w14:paraId="3A86C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5FE4DB4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w:t>
            </w:r>
          </w:p>
        </w:tc>
        <w:tc>
          <w:tcPr>
            <w:tcW w:w="1264" w:type="dxa"/>
            <w:gridSpan w:val="2"/>
            <w:vAlign w:val="center"/>
          </w:tcPr>
          <w:p w14:paraId="2D5017FE">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AU生化分析系统专用试剂-电解质参比液</w:t>
            </w:r>
          </w:p>
        </w:tc>
        <w:tc>
          <w:tcPr>
            <w:tcW w:w="1071" w:type="dxa"/>
            <w:vAlign w:val="center"/>
          </w:tcPr>
          <w:p w14:paraId="2322F14E">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19C1EA76">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7AD723CC">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15C0CDD7">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15E0031C">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2CFF32CD">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5562D0A8">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71647DE2">
            <w:pPr>
              <w:pStyle w:val="20"/>
              <w:jc w:val="center"/>
              <w:rPr>
                <w:rFonts w:hint="eastAsia" w:ascii="仿宋" w:hAnsi="仿宋" w:eastAsia="仿宋" w:cs="仿宋"/>
                <w:color w:val="auto"/>
                <w:sz w:val="21"/>
                <w:szCs w:val="21"/>
                <w:highlight w:val="none"/>
                <w:vertAlign w:val="baseline"/>
                <w:lang w:val="en-US" w:eastAsia="zh-CN"/>
              </w:rPr>
            </w:pPr>
          </w:p>
        </w:tc>
      </w:tr>
      <w:tr w14:paraId="54AE4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3045A40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264" w:type="dxa"/>
            <w:gridSpan w:val="2"/>
            <w:vAlign w:val="center"/>
          </w:tcPr>
          <w:p w14:paraId="412903BF">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AU生化分析系统专用试剂-电解质内标液</w:t>
            </w:r>
          </w:p>
        </w:tc>
        <w:tc>
          <w:tcPr>
            <w:tcW w:w="1071" w:type="dxa"/>
            <w:vAlign w:val="center"/>
          </w:tcPr>
          <w:p w14:paraId="2224C386">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6AADAAFF">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069FD952">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300A9444">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11D7C747">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4DD03BB0">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47B008BE">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2E531B76">
            <w:pPr>
              <w:pStyle w:val="20"/>
              <w:jc w:val="center"/>
              <w:rPr>
                <w:rFonts w:hint="eastAsia" w:ascii="仿宋" w:hAnsi="仿宋" w:eastAsia="仿宋" w:cs="仿宋"/>
                <w:color w:val="auto"/>
                <w:sz w:val="21"/>
                <w:szCs w:val="21"/>
                <w:highlight w:val="none"/>
                <w:vertAlign w:val="baseline"/>
                <w:lang w:val="en-US" w:eastAsia="zh-CN"/>
              </w:rPr>
            </w:pPr>
          </w:p>
        </w:tc>
      </w:tr>
      <w:tr w14:paraId="3B6AA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4E3C414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9</w:t>
            </w:r>
          </w:p>
        </w:tc>
        <w:tc>
          <w:tcPr>
            <w:tcW w:w="1264" w:type="dxa"/>
            <w:gridSpan w:val="2"/>
            <w:vAlign w:val="center"/>
          </w:tcPr>
          <w:p w14:paraId="31F693A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总胆汁酸测定试剂盒（酶循环法）</w:t>
            </w:r>
          </w:p>
        </w:tc>
        <w:tc>
          <w:tcPr>
            <w:tcW w:w="1071" w:type="dxa"/>
            <w:vAlign w:val="center"/>
          </w:tcPr>
          <w:p w14:paraId="13293407">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0F8F9215">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67ECB55E">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30271A58">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563C5F60">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7DAEA239">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7FB85A3E">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347756E6">
            <w:pPr>
              <w:pStyle w:val="20"/>
              <w:jc w:val="center"/>
              <w:rPr>
                <w:rFonts w:hint="eastAsia" w:ascii="仿宋" w:hAnsi="仿宋" w:eastAsia="仿宋" w:cs="仿宋"/>
                <w:color w:val="auto"/>
                <w:sz w:val="21"/>
                <w:szCs w:val="21"/>
                <w:highlight w:val="none"/>
                <w:vertAlign w:val="baseline"/>
                <w:lang w:val="en-US" w:eastAsia="zh-CN"/>
              </w:rPr>
            </w:pPr>
          </w:p>
        </w:tc>
      </w:tr>
      <w:tr w14:paraId="4BC60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2BA84BD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264" w:type="dxa"/>
            <w:gridSpan w:val="2"/>
            <w:vAlign w:val="center"/>
          </w:tcPr>
          <w:p w14:paraId="4393AAE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脂蛋白（a）检测试剂盒（乳胶增强免疫比浊法）</w:t>
            </w:r>
          </w:p>
        </w:tc>
        <w:tc>
          <w:tcPr>
            <w:tcW w:w="1071" w:type="dxa"/>
            <w:vAlign w:val="center"/>
          </w:tcPr>
          <w:p w14:paraId="175BBAC2">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30D2C529">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7A86E4B1">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609E909A">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1045D266">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32431F8B">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0CD72F10">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642D808D">
            <w:pPr>
              <w:pStyle w:val="20"/>
              <w:jc w:val="center"/>
              <w:rPr>
                <w:rFonts w:hint="eastAsia" w:ascii="仿宋" w:hAnsi="仿宋" w:eastAsia="仿宋" w:cs="仿宋"/>
                <w:color w:val="auto"/>
                <w:sz w:val="21"/>
                <w:szCs w:val="21"/>
                <w:highlight w:val="none"/>
                <w:vertAlign w:val="baseline"/>
                <w:lang w:val="en-US" w:eastAsia="zh-CN"/>
              </w:rPr>
            </w:pPr>
          </w:p>
        </w:tc>
      </w:tr>
      <w:tr w14:paraId="74648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261AB03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11</w:t>
            </w:r>
          </w:p>
        </w:tc>
        <w:tc>
          <w:tcPr>
            <w:tcW w:w="1264" w:type="dxa"/>
            <w:gridSpan w:val="2"/>
            <w:vAlign w:val="center"/>
          </w:tcPr>
          <w:p w14:paraId="0B89B08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电解质缓冲液</w:t>
            </w:r>
          </w:p>
        </w:tc>
        <w:tc>
          <w:tcPr>
            <w:tcW w:w="1071" w:type="dxa"/>
            <w:vAlign w:val="center"/>
          </w:tcPr>
          <w:p w14:paraId="7F7D8AF4">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60C5EBF2">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2984E551">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322A4E25">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1CD592E8">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08D115C0">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35D5D002">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1256E678">
            <w:pPr>
              <w:pStyle w:val="20"/>
              <w:jc w:val="center"/>
              <w:rPr>
                <w:rFonts w:hint="eastAsia" w:ascii="仿宋" w:hAnsi="仿宋" w:eastAsia="仿宋" w:cs="仿宋"/>
                <w:color w:val="auto"/>
                <w:sz w:val="21"/>
                <w:szCs w:val="21"/>
                <w:highlight w:val="none"/>
                <w:vertAlign w:val="baseline"/>
                <w:lang w:val="en-US" w:eastAsia="zh-CN"/>
              </w:rPr>
            </w:pPr>
          </w:p>
        </w:tc>
      </w:tr>
      <w:tr w14:paraId="466ED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67B09EE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12</w:t>
            </w:r>
          </w:p>
        </w:tc>
        <w:tc>
          <w:tcPr>
            <w:tcW w:w="1264" w:type="dxa"/>
            <w:gridSpan w:val="2"/>
            <w:vAlign w:val="center"/>
          </w:tcPr>
          <w:p w14:paraId="504D8F97">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系统冲洗液</w:t>
            </w:r>
          </w:p>
        </w:tc>
        <w:tc>
          <w:tcPr>
            <w:tcW w:w="1071" w:type="dxa"/>
            <w:vAlign w:val="center"/>
          </w:tcPr>
          <w:p w14:paraId="544C3522">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4ACF0004">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598C660E">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483F6F9A">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799BE1CB">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129306C1">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2D95E317">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07CB451B">
            <w:pPr>
              <w:pStyle w:val="20"/>
              <w:jc w:val="center"/>
              <w:rPr>
                <w:rFonts w:hint="eastAsia" w:ascii="仿宋" w:hAnsi="仿宋" w:eastAsia="仿宋" w:cs="仿宋"/>
                <w:color w:val="auto"/>
                <w:sz w:val="21"/>
                <w:szCs w:val="21"/>
                <w:highlight w:val="none"/>
                <w:vertAlign w:val="baseline"/>
                <w:lang w:val="en-US" w:eastAsia="zh-CN"/>
              </w:rPr>
            </w:pPr>
          </w:p>
        </w:tc>
      </w:tr>
      <w:tr w14:paraId="525D4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7C57A87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13</w:t>
            </w:r>
          </w:p>
        </w:tc>
        <w:tc>
          <w:tcPr>
            <w:tcW w:w="1264" w:type="dxa"/>
            <w:gridSpan w:val="2"/>
            <w:vAlign w:val="center"/>
          </w:tcPr>
          <w:p w14:paraId="0B78737E">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不饱和铁结合力测定试剂盒</w:t>
            </w:r>
          </w:p>
        </w:tc>
        <w:tc>
          <w:tcPr>
            <w:tcW w:w="1071" w:type="dxa"/>
            <w:vAlign w:val="center"/>
          </w:tcPr>
          <w:p w14:paraId="1E4590F4">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5032A871">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21F2FC0D">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36DCAFBE">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060F8B73">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0F4663D1">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0DC8766A">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70738E34">
            <w:pPr>
              <w:pStyle w:val="20"/>
              <w:jc w:val="center"/>
              <w:rPr>
                <w:rFonts w:hint="eastAsia" w:ascii="仿宋" w:hAnsi="仿宋" w:eastAsia="仿宋" w:cs="仿宋"/>
                <w:color w:val="auto"/>
                <w:sz w:val="21"/>
                <w:szCs w:val="21"/>
                <w:highlight w:val="none"/>
                <w:vertAlign w:val="baseline"/>
                <w:lang w:val="en-US" w:eastAsia="zh-CN"/>
              </w:rPr>
            </w:pPr>
          </w:p>
        </w:tc>
      </w:tr>
      <w:tr w14:paraId="11BEF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75AFF86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14</w:t>
            </w:r>
          </w:p>
        </w:tc>
        <w:tc>
          <w:tcPr>
            <w:tcW w:w="1264" w:type="dxa"/>
            <w:gridSpan w:val="2"/>
            <w:vAlign w:val="center"/>
          </w:tcPr>
          <w:p w14:paraId="67F43E93">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α-淀粉酶测定试剂盒（PNP-G7底物法）</w:t>
            </w:r>
          </w:p>
        </w:tc>
        <w:tc>
          <w:tcPr>
            <w:tcW w:w="1071" w:type="dxa"/>
            <w:vAlign w:val="center"/>
          </w:tcPr>
          <w:p w14:paraId="33AFE6F4">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58375C9A">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16A0B0DD">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43C9469D">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3074FCF3">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14F4216C">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7F37D699">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73FE597D">
            <w:pPr>
              <w:pStyle w:val="20"/>
              <w:jc w:val="center"/>
              <w:rPr>
                <w:rFonts w:hint="eastAsia" w:ascii="仿宋" w:hAnsi="仿宋" w:eastAsia="仿宋" w:cs="仿宋"/>
                <w:color w:val="auto"/>
                <w:sz w:val="21"/>
                <w:szCs w:val="21"/>
                <w:highlight w:val="none"/>
                <w:vertAlign w:val="baseline"/>
                <w:lang w:val="en-US" w:eastAsia="zh-CN"/>
              </w:rPr>
            </w:pPr>
          </w:p>
        </w:tc>
      </w:tr>
      <w:tr w14:paraId="0B503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34D1741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15</w:t>
            </w:r>
          </w:p>
        </w:tc>
        <w:tc>
          <w:tcPr>
            <w:tcW w:w="1264" w:type="dxa"/>
            <w:gridSpan w:val="2"/>
            <w:vAlign w:val="center"/>
          </w:tcPr>
          <w:p w14:paraId="5FCBA43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胱抑素C校准品</w:t>
            </w:r>
          </w:p>
        </w:tc>
        <w:tc>
          <w:tcPr>
            <w:tcW w:w="1071" w:type="dxa"/>
            <w:vAlign w:val="center"/>
          </w:tcPr>
          <w:p w14:paraId="570ED0D0">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220C0B70">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58CE88A7">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4D00A2E2">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32243FB5">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7C1B4B8F">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1117E904">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07556888">
            <w:pPr>
              <w:pStyle w:val="20"/>
              <w:jc w:val="center"/>
              <w:rPr>
                <w:rFonts w:hint="eastAsia" w:ascii="仿宋" w:hAnsi="仿宋" w:eastAsia="仿宋" w:cs="仿宋"/>
                <w:color w:val="auto"/>
                <w:sz w:val="21"/>
                <w:szCs w:val="21"/>
                <w:highlight w:val="none"/>
                <w:vertAlign w:val="baseline"/>
                <w:lang w:val="en-US" w:eastAsia="zh-CN"/>
              </w:rPr>
            </w:pPr>
          </w:p>
        </w:tc>
      </w:tr>
      <w:tr w14:paraId="0D767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6D00039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16</w:t>
            </w:r>
          </w:p>
        </w:tc>
        <w:tc>
          <w:tcPr>
            <w:tcW w:w="1264" w:type="dxa"/>
            <w:gridSpan w:val="2"/>
            <w:vAlign w:val="center"/>
          </w:tcPr>
          <w:p w14:paraId="53FFE4D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总胆汁酸校准品</w:t>
            </w:r>
          </w:p>
        </w:tc>
        <w:tc>
          <w:tcPr>
            <w:tcW w:w="1071" w:type="dxa"/>
            <w:vAlign w:val="center"/>
          </w:tcPr>
          <w:p w14:paraId="33EF6701">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3A1CD182">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7D686DDB">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772D480D">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651092F4">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5F222A15">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124F9501">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2BCC6F58">
            <w:pPr>
              <w:pStyle w:val="20"/>
              <w:jc w:val="center"/>
              <w:rPr>
                <w:rFonts w:hint="eastAsia" w:ascii="仿宋" w:hAnsi="仿宋" w:eastAsia="仿宋" w:cs="仿宋"/>
                <w:color w:val="auto"/>
                <w:sz w:val="21"/>
                <w:szCs w:val="21"/>
                <w:highlight w:val="none"/>
                <w:vertAlign w:val="baseline"/>
                <w:lang w:val="en-US" w:eastAsia="zh-CN"/>
              </w:rPr>
            </w:pPr>
          </w:p>
        </w:tc>
      </w:tr>
      <w:tr w14:paraId="1B207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2" w:type="dxa"/>
            <w:vAlign w:val="center"/>
          </w:tcPr>
          <w:p w14:paraId="295793F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17</w:t>
            </w:r>
          </w:p>
        </w:tc>
        <w:tc>
          <w:tcPr>
            <w:tcW w:w="1264" w:type="dxa"/>
            <w:gridSpan w:val="2"/>
            <w:vAlign w:val="center"/>
          </w:tcPr>
          <w:p w14:paraId="6BB4DDFC">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磷测定试剂盒（磷钼酸盐法）</w:t>
            </w:r>
          </w:p>
        </w:tc>
        <w:tc>
          <w:tcPr>
            <w:tcW w:w="1071" w:type="dxa"/>
            <w:vAlign w:val="center"/>
          </w:tcPr>
          <w:p w14:paraId="2D0B6E23">
            <w:pPr>
              <w:pStyle w:val="20"/>
              <w:jc w:val="center"/>
              <w:rPr>
                <w:rFonts w:hint="eastAsia" w:ascii="仿宋" w:hAnsi="仿宋" w:eastAsia="仿宋" w:cs="仿宋"/>
                <w:color w:val="auto"/>
                <w:sz w:val="21"/>
                <w:szCs w:val="21"/>
                <w:highlight w:val="none"/>
                <w:vertAlign w:val="baseline"/>
                <w:lang w:val="en-US" w:eastAsia="zh-CN"/>
              </w:rPr>
            </w:pPr>
          </w:p>
        </w:tc>
        <w:tc>
          <w:tcPr>
            <w:tcW w:w="1071" w:type="dxa"/>
            <w:vAlign w:val="center"/>
          </w:tcPr>
          <w:p w14:paraId="5B76CE08">
            <w:pPr>
              <w:pStyle w:val="20"/>
              <w:jc w:val="center"/>
              <w:rPr>
                <w:rFonts w:hint="eastAsia" w:ascii="仿宋" w:hAnsi="仿宋" w:eastAsia="仿宋" w:cs="仿宋"/>
                <w:color w:val="auto"/>
                <w:sz w:val="21"/>
                <w:szCs w:val="21"/>
                <w:highlight w:val="none"/>
                <w:vertAlign w:val="baseline"/>
                <w:lang w:val="en-US" w:eastAsia="zh-CN"/>
              </w:rPr>
            </w:pPr>
          </w:p>
        </w:tc>
        <w:tc>
          <w:tcPr>
            <w:tcW w:w="761" w:type="dxa"/>
            <w:vAlign w:val="center"/>
          </w:tcPr>
          <w:p w14:paraId="6CD71639">
            <w:pPr>
              <w:pStyle w:val="20"/>
              <w:jc w:val="center"/>
              <w:rPr>
                <w:rFonts w:hint="eastAsia" w:ascii="仿宋" w:hAnsi="仿宋" w:eastAsia="仿宋" w:cs="仿宋"/>
                <w:color w:val="auto"/>
                <w:sz w:val="21"/>
                <w:szCs w:val="21"/>
                <w:highlight w:val="none"/>
                <w:vertAlign w:val="baseline"/>
                <w:lang w:val="en-US" w:eastAsia="zh-CN"/>
              </w:rPr>
            </w:pPr>
          </w:p>
        </w:tc>
        <w:tc>
          <w:tcPr>
            <w:tcW w:w="1327" w:type="dxa"/>
            <w:vAlign w:val="center"/>
          </w:tcPr>
          <w:p w14:paraId="08611C03">
            <w:pPr>
              <w:pStyle w:val="20"/>
              <w:jc w:val="center"/>
              <w:rPr>
                <w:rFonts w:hint="eastAsia" w:ascii="仿宋" w:hAnsi="仿宋" w:eastAsia="仿宋" w:cs="仿宋"/>
                <w:color w:val="auto"/>
                <w:sz w:val="21"/>
                <w:szCs w:val="21"/>
                <w:highlight w:val="none"/>
                <w:vertAlign w:val="baseline"/>
                <w:lang w:val="en-US" w:eastAsia="zh-CN"/>
              </w:rPr>
            </w:pPr>
          </w:p>
        </w:tc>
        <w:tc>
          <w:tcPr>
            <w:tcW w:w="678" w:type="dxa"/>
            <w:vAlign w:val="center"/>
          </w:tcPr>
          <w:p w14:paraId="793C6236">
            <w:pPr>
              <w:keepNext w:val="0"/>
              <w:keepLines w:val="0"/>
              <w:widowControl/>
              <w:suppressLineNumbers w:val="0"/>
              <w:jc w:val="center"/>
              <w:textAlignment w:val="center"/>
              <w:rPr>
                <w:rFonts w:hint="eastAsia" w:ascii="仿宋" w:hAnsi="仿宋" w:eastAsia="仿宋" w:cs="仿宋"/>
                <w:i w:val="0"/>
                <w:iCs w:val="0"/>
                <w:color w:val="000000"/>
                <w:kern w:val="0"/>
                <w:sz w:val="18"/>
                <w:szCs w:val="18"/>
                <w:u w:val="none"/>
                <w:lang w:val="en-US" w:eastAsia="zh-CN" w:bidi="ar"/>
              </w:rPr>
            </w:pPr>
            <w:r>
              <w:rPr>
                <w:rFonts w:hint="eastAsia" w:ascii="仿宋" w:hAnsi="仿宋" w:eastAsia="仿宋" w:cs="仿宋"/>
                <w:i w:val="0"/>
                <w:iCs w:val="0"/>
                <w:color w:val="000000"/>
                <w:kern w:val="0"/>
                <w:sz w:val="18"/>
                <w:szCs w:val="18"/>
                <w:u w:val="none"/>
                <w:lang w:val="en-US" w:eastAsia="zh-CN" w:bidi="ar"/>
              </w:rPr>
              <w:t>ml</w:t>
            </w:r>
          </w:p>
        </w:tc>
        <w:tc>
          <w:tcPr>
            <w:tcW w:w="1600" w:type="dxa"/>
            <w:vAlign w:val="center"/>
          </w:tcPr>
          <w:p w14:paraId="4D5974D8">
            <w:pPr>
              <w:pStyle w:val="20"/>
              <w:jc w:val="center"/>
              <w:rPr>
                <w:rFonts w:hint="eastAsia" w:ascii="仿宋" w:hAnsi="仿宋" w:eastAsia="仿宋" w:cs="仿宋"/>
                <w:color w:val="auto"/>
                <w:sz w:val="21"/>
                <w:szCs w:val="21"/>
                <w:highlight w:val="none"/>
                <w:vertAlign w:val="baseline"/>
                <w:lang w:val="en-US" w:eastAsia="zh-CN"/>
              </w:rPr>
            </w:pPr>
          </w:p>
        </w:tc>
        <w:tc>
          <w:tcPr>
            <w:tcW w:w="2265" w:type="dxa"/>
            <w:vAlign w:val="center"/>
          </w:tcPr>
          <w:p w14:paraId="364C4C3B">
            <w:pPr>
              <w:pStyle w:val="20"/>
              <w:jc w:val="center"/>
              <w:rPr>
                <w:rFonts w:hint="eastAsia" w:ascii="仿宋" w:hAnsi="仿宋" w:eastAsia="仿宋" w:cs="仿宋"/>
                <w:color w:val="auto"/>
                <w:sz w:val="21"/>
                <w:szCs w:val="21"/>
                <w:highlight w:val="none"/>
                <w:vertAlign w:val="baseline"/>
                <w:lang w:val="en-US" w:eastAsia="zh-CN"/>
              </w:rPr>
            </w:pPr>
          </w:p>
        </w:tc>
        <w:tc>
          <w:tcPr>
            <w:tcW w:w="947" w:type="dxa"/>
            <w:vAlign w:val="center"/>
          </w:tcPr>
          <w:p w14:paraId="506AE8AE">
            <w:pPr>
              <w:pStyle w:val="20"/>
              <w:jc w:val="center"/>
              <w:rPr>
                <w:rFonts w:hint="eastAsia" w:ascii="仿宋" w:hAnsi="仿宋" w:eastAsia="仿宋" w:cs="仿宋"/>
                <w:color w:val="auto"/>
                <w:sz w:val="21"/>
                <w:szCs w:val="21"/>
                <w:highlight w:val="none"/>
                <w:vertAlign w:val="baseline"/>
                <w:lang w:val="en-US" w:eastAsia="zh-CN"/>
              </w:rPr>
            </w:pPr>
          </w:p>
        </w:tc>
      </w:tr>
      <w:tr w14:paraId="4DDA5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071" w:type="dxa"/>
            <w:gridSpan w:val="2"/>
            <w:vAlign w:val="center"/>
          </w:tcPr>
          <w:p w14:paraId="3BBB4C57">
            <w:pPr>
              <w:pStyle w:val="20"/>
              <w:jc w:val="center"/>
              <w:rPr>
                <w:rFonts w:hint="eastAsia" w:ascii="仿宋" w:hAnsi="仿宋" w:eastAsia="仿宋" w:cs="仿宋"/>
                <w:color w:val="auto"/>
                <w:sz w:val="21"/>
                <w:szCs w:val="21"/>
                <w:highlight w:val="none"/>
                <w:vertAlign w:val="baseline"/>
                <w:lang w:val="en-US" w:eastAsia="zh-CN"/>
              </w:rPr>
            </w:pPr>
          </w:p>
        </w:tc>
        <w:tc>
          <w:tcPr>
            <w:tcW w:w="7363" w:type="dxa"/>
            <w:gridSpan w:val="7"/>
            <w:vAlign w:val="center"/>
          </w:tcPr>
          <w:p w14:paraId="757D44AD">
            <w:pPr>
              <w:pStyle w:val="2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合计（元）</w:t>
            </w:r>
          </w:p>
        </w:tc>
        <w:tc>
          <w:tcPr>
            <w:tcW w:w="3212" w:type="dxa"/>
            <w:gridSpan w:val="2"/>
            <w:vAlign w:val="center"/>
          </w:tcPr>
          <w:p w14:paraId="35F6EC4F">
            <w:pPr>
              <w:pStyle w:val="20"/>
              <w:jc w:val="center"/>
              <w:rPr>
                <w:rFonts w:hint="eastAsia" w:ascii="仿宋" w:hAnsi="仿宋" w:eastAsia="仿宋" w:cs="仿宋"/>
                <w:color w:val="auto"/>
                <w:sz w:val="21"/>
                <w:szCs w:val="21"/>
                <w:highlight w:val="none"/>
                <w:vertAlign w:val="baseline"/>
                <w:lang w:val="en-US" w:eastAsia="zh-CN"/>
              </w:rPr>
            </w:pPr>
          </w:p>
        </w:tc>
      </w:tr>
    </w:tbl>
    <w:p w14:paraId="4EAD33AC">
      <w:pPr>
        <w:pStyle w:val="20"/>
        <w:ind w:left="0" w:leftChars="0" w:firstLine="0" w:firstLineChars="0"/>
        <w:rPr>
          <w:rFonts w:hint="eastAsia" w:ascii="仿宋" w:hAnsi="仿宋" w:eastAsia="仿宋" w:cs="仿宋"/>
          <w:color w:val="auto"/>
          <w:highlight w:val="none"/>
          <w:lang w:val="en-US" w:eastAsia="zh-CN"/>
        </w:rPr>
      </w:pPr>
    </w:p>
    <w:p w14:paraId="6015F51E">
      <w:pPr>
        <w:pStyle w:val="17"/>
        <w:rPr>
          <w:rFonts w:hint="eastAsia" w:ascii="仿宋" w:hAnsi="仿宋" w:eastAsia="仿宋" w:cs="仿宋"/>
          <w:color w:val="auto"/>
          <w:highlight w:val="none"/>
          <w:lang w:val="en-US" w:eastAsia="zh-CN"/>
        </w:rPr>
      </w:pPr>
    </w:p>
    <w:p w14:paraId="51B8DE6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注：1.本表应按包分别填写，本表中的序号、品目名称、最小单位与采购需求中的相对应，投标人不得改变、调整。</w:t>
      </w:r>
    </w:p>
    <w:p w14:paraId="30BC886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2.如果不提供分项报价将视为没有实质性响应招标文件。</w:t>
      </w:r>
    </w:p>
    <w:p w14:paraId="5990DAF0">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3.上述各项的详细规格（如有），可另页描述。</w:t>
      </w:r>
    </w:p>
    <w:p w14:paraId="4943B133">
      <w:pPr>
        <w:spacing w:line="360" w:lineRule="auto"/>
        <w:rPr>
          <w:rFonts w:hint="eastAsia" w:ascii="仿宋" w:hAnsi="仿宋" w:eastAsia="仿宋" w:cs="仿宋"/>
          <w:color w:val="auto"/>
          <w:sz w:val="24"/>
          <w:szCs w:val="24"/>
          <w:highlight w:val="none"/>
          <w:lang w:val="en-US" w:eastAsia="zh-CN"/>
        </w:rPr>
      </w:pPr>
    </w:p>
    <w:p w14:paraId="4D3D95FC">
      <w:pPr>
        <w:pStyle w:val="10"/>
        <w:tabs>
          <w:tab w:val="left" w:pos="1920"/>
          <w:tab w:val="left" w:pos="3840"/>
        </w:tabs>
        <w:rPr>
          <w:rFonts w:ascii="仿宋" w:hAnsi="仿宋" w:eastAsia="仿宋" w:cs="仿宋"/>
          <w:sz w:val="21"/>
          <w:szCs w:val="21"/>
          <w:highlight w:val="none"/>
        </w:rPr>
      </w:pPr>
      <w:r>
        <w:rPr>
          <w:rFonts w:hint="eastAsia" w:ascii="仿宋" w:hAnsi="仿宋" w:eastAsia="仿宋" w:cs="仿宋"/>
          <w:sz w:val="21"/>
          <w:szCs w:val="21"/>
          <w:highlight w:val="none"/>
          <w:lang w:val="en-US"/>
        </w:rPr>
        <w:t>投标人</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（公章）</w:t>
      </w:r>
    </w:p>
    <w:p w14:paraId="539489AA">
      <w:pPr>
        <w:pStyle w:val="10"/>
        <w:tabs>
          <w:tab w:val="left" w:pos="1920"/>
          <w:tab w:val="left" w:pos="3840"/>
        </w:tabs>
        <w:ind w:left="360" w:firstLine="422"/>
        <w:rPr>
          <w:rFonts w:hint="eastAsia" w:ascii="仿宋" w:hAnsi="仿宋" w:eastAsia="仿宋" w:cs="仿宋"/>
          <w:sz w:val="21"/>
          <w:szCs w:val="21"/>
          <w:highlight w:val="none"/>
          <w:lang w:val="en-US"/>
        </w:rPr>
      </w:pPr>
    </w:p>
    <w:p w14:paraId="677E68BE">
      <w:pPr>
        <w:pStyle w:val="10"/>
        <w:tabs>
          <w:tab w:val="left" w:pos="1920"/>
          <w:tab w:val="left" w:pos="3840"/>
        </w:tabs>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 xml:space="preserve">法人代表或其授权人： </w:t>
      </w:r>
      <w:r>
        <w:rPr>
          <w:rFonts w:hint="eastAsia" w:ascii="仿宋" w:hAnsi="仿宋" w:eastAsia="仿宋" w:cs="仿宋"/>
          <w:sz w:val="21"/>
          <w:szCs w:val="21"/>
          <w:highlight w:val="none"/>
          <w:u w:val="single"/>
          <w:lang w:val="en-US"/>
        </w:rPr>
        <w:tab/>
      </w:r>
      <w:r>
        <w:rPr>
          <w:rFonts w:hint="eastAsia" w:ascii="仿宋" w:hAnsi="仿宋" w:eastAsia="仿宋" w:cs="仿宋"/>
          <w:sz w:val="21"/>
          <w:szCs w:val="21"/>
          <w:highlight w:val="none"/>
          <w:u w:val="single"/>
          <w:lang w:val="en-US"/>
        </w:rPr>
        <w:t xml:space="preserve">      （</w:t>
      </w:r>
      <w:r>
        <w:rPr>
          <w:rFonts w:hint="eastAsia" w:ascii="仿宋" w:hAnsi="仿宋" w:eastAsia="仿宋" w:cs="仿宋"/>
          <w:sz w:val="21"/>
          <w:szCs w:val="21"/>
          <w:highlight w:val="none"/>
          <w:lang w:val="en-US"/>
        </w:rPr>
        <w:t>签字或盖章）</w:t>
      </w:r>
      <w:r>
        <w:rPr>
          <w:rFonts w:hint="eastAsia" w:ascii="仿宋" w:hAnsi="仿宋" w:eastAsia="仿宋" w:cs="仿宋"/>
          <w:sz w:val="21"/>
          <w:szCs w:val="21"/>
          <w:highlight w:val="none"/>
          <w:lang w:val="en-US"/>
        </w:rPr>
        <w:tab/>
      </w:r>
    </w:p>
    <w:p w14:paraId="03BA9123">
      <w:pPr>
        <w:pStyle w:val="10"/>
        <w:keepNext w:val="0"/>
        <w:keepLines w:val="0"/>
        <w:pageBreakBefore w:val="0"/>
        <w:widowControl w:val="0"/>
        <w:tabs>
          <w:tab w:val="left" w:pos="1560"/>
          <w:tab w:val="left" w:pos="2160"/>
          <w:tab w:val="left" w:pos="4320"/>
          <w:tab w:val="left" w:pos="6841"/>
        </w:tabs>
        <w:kinsoku/>
        <w:wordWrap/>
        <w:overflowPunct/>
        <w:topLinePunct w:val="0"/>
        <w:autoSpaceDE/>
        <w:autoSpaceDN/>
        <w:bidi w:val="0"/>
        <w:adjustRightInd/>
        <w:snapToGrid/>
        <w:spacing w:before="161" w:line="363" w:lineRule="auto"/>
        <w:ind w:right="3061"/>
        <w:jc w:val="left"/>
        <w:textAlignment w:val="auto"/>
        <w:rPr>
          <w:rFonts w:ascii="仿宋" w:hAnsi="仿宋" w:eastAsia="仿宋" w:cs="仿宋"/>
          <w:sz w:val="21"/>
          <w:szCs w:val="21"/>
          <w:highlight w:val="none"/>
        </w:rPr>
      </w:pPr>
      <w:r>
        <w:rPr>
          <w:rFonts w:hint="eastAsia" w:ascii="仿宋" w:hAnsi="仿宋" w:eastAsia="仿宋" w:cs="仿宋"/>
          <w:sz w:val="21"/>
          <w:szCs w:val="21"/>
          <w:highlight w:val="none"/>
        </w:rPr>
        <w:t>日期：</w:t>
      </w:r>
      <w:r>
        <w:rPr>
          <w:rFonts w:hint="eastAsia" w:ascii="仿宋" w:hAnsi="仿宋" w:eastAsia="仿宋" w:cs="仿宋"/>
          <w:sz w:val="21"/>
          <w:szCs w:val="21"/>
          <w:highlight w:val="none"/>
          <w:lang w:val="en-US" w:eastAsia="zh-CN"/>
        </w:rPr>
        <w:t xml:space="preserve"> </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rPr>
        <w:t>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rPr>
        <w:t>月</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rPr>
        <w:t xml:space="preserve">   </w:t>
      </w:r>
      <w:r>
        <w:rPr>
          <w:rFonts w:hint="eastAsia" w:ascii="仿宋" w:hAnsi="仿宋" w:eastAsia="仿宋" w:cs="仿宋"/>
          <w:sz w:val="21"/>
          <w:szCs w:val="21"/>
          <w:highlight w:val="none"/>
        </w:rPr>
        <w:t>日</w:t>
      </w:r>
    </w:p>
    <w:p w14:paraId="1ED3D0CE">
      <w:pPr>
        <w:pStyle w:val="21"/>
        <w:rPr>
          <w:rFonts w:hint="eastAsia" w:ascii="仿宋" w:hAnsi="仿宋" w:eastAsia="仿宋" w:cs="仿宋"/>
          <w:color w:val="auto"/>
          <w:sz w:val="24"/>
          <w:szCs w:val="24"/>
          <w:highlight w:val="none"/>
          <w:lang w:val="en-US" w:eastAsia="zh-CN"/>
        </w:rPr>
      </w:pPr>
    </w:p>
    <w:p w14:paraId="2377CE96">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2B8A8B80">
      <w:pPr>
        <w:pStyle w:val="21"/>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投标分项报价表</w:t>
      </w:r>
    </w:p>
    <w:p w14:paraId="0D093354">
      <w:pPr>
        <w:pStyle w:val="20"/>
        <w:jc w:val="center"/>
        <w:rPr>
          <w:rFonts w:hint="eastAsia"/>
          <w:lang w:val="en-US" w:eastAsia="zh-CN"/>
        </w:rPr>
      </w:pP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kern w:val="0"/>
          <w:sz w:val="24"/>
          <w:szCs w:val="24"/>
          <w:highlight w:val="none"/>
          <w:lang w:val="en-US" w:eastAsia="zh-CN" w:bidi="ar-SA"/>
        </w:rPr>
        <w:t>标项2：新疆医科大学第六附属医院全自动生化分析仪、全自动化学发光免疫分析仪检验试剂采购项目（二次）2包）</w:t>
      </w:r>
    </w:p>
    <w:p w14:paraId="25892087">
      <w:pPr>
        <w:pStyle w:val="21"/>
        <w:ind w:left="0" w:leftChars="0" w:firstLine="0" w:firstLineChars="0"/>
        <w:jc w:val="center"/>
        <w:rPr>
          <w:rFonts w:hint="eastAsia" w:ascii="仿宋" w:hAnsi="仿宋" w:eastAsia="仿宋" w:cs="仿宋"/>
          <w:color w:val="auto"/>
          <w:highlight w:val="none"/>
          <w:lang w:val="en-US" w:eastAsia="zh-CN"/>
        </w:rPr>
      </w:pPr>
    </w:p>
    <w:p w14:paraId="7D7BAE9C">
      <w:pPr>
        <w:pStyle w:val="21"/>
        <w:ind w:left="0" w:leftChars="0"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报价单位：人民币元</w:t>
      </w:r>
    </w:p>
    <w:tbl>
      <w:tblPr>
        <w:tblStyle w:val="23"/>
        <w:tblW w:w="11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7"/>
        <w:gridCol w:w="1386"/>
        <w:gridCol w:w="1057"/>
        <w:gridCol w:w="1057"/>
        <w:gridCol w:w="754"/>
        <w:gridCol w:w="1214"/>
        <w:gridCol w:w="766"/>
        <w:gridCol w:w="518"/>
        <w:gridCol w:w="1057"/>
        <w:gridCol w:w="2230"/>
        <w:gridCol w:w="936"/>
      </w:tblGrid>
      <w:tr w14:paraId="242C2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57" w:type="dxa"/>
            <w:vAlign w:val="center"/>
          </w:tcPr>
          <w:p w14:paraId="07973412">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序号</w:t>
            </w:r>
          </w:p>
        </w:tc>
        <w:tc>
          <w:tcPr>
            <w:tcW w:w="1386" w:type="dxa"/>
            <w:vAlign w:val="center"/>
          </w:tcPr>
          <w:p w14:paraId="17BFD88E">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品目名称（标的名称）</w:t>
            </w:r>
          </w:p>
        </w:tc>
        <w:tc>
          <w:tcPr>
            <w:tcW w:w="1057" w:type="dxa"/>
            <w:vAlign w:val="center"/>
          </w:tcPr>
          <w:p w14:paraId="7BFFDF10">
            <w:pPr>
              <w:pStyle w:val="20"/>
              <w:ind w:left="0" w:leftChars="0" w:firstLine="0" w:firstLineChars="0"/>
              <w:jc w:val="center"/>
              <w:rPr>
                <w:rFonts w:hint="default"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所属行业</w:t>
            </w:r>
          </w:p>
        </w:tc>
        <w:tc>
          <w:tcPr>
            <w:tcW w:w="1057" w:type="dxa"/>
            <w:vAlign w:val="center"/>
          </w:tcPr>
          <w:p w14:paraId="52148A69">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制造商</w:t>
            </w:r>
          </w:p>
        </w:tc>
        <w:tc>
          <w:tcPr>
            <w:tcW w:w="754" w:type="dxa"/>
            <w:vAlign w:val="center"/>
          </w:tcPr>
          <w:p w14:paraId="3D677330">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品牌</w:t>
            </w:r>
          </w:p>
        </w:tc>
        <w:tc>
          <w:tcPr>
            <w:tcW w:w="1214" w:type="dxa"/>
            <w:vAlign w:val="center"/>
          </w:tcPr>
          <w:p w14:paraId="33B511FC">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产地/国别</w:t>
            </w:r>
          </w:p>
        </w:tc>
        <w:tc>
          <w:tcPr>
            <w:tcW w:w="766" w:type="dxa"/>
            <w:vAlign w:val="center"/>
          </w:tcPr>
          <w:p w14:paraId="7D9484C2">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最小单位</w:t>
            </w:r>
          </w:p>
        </w:tc>
        <w:tc>
          <w:tcPr>
            <w:tcW w:w="1575" w:type="dxa"/>
            <w:gridSpan w:val="2"/>
            <w:vAlign w:val="center"/>
          </w:tcPr>
          <w:p w14:paraId="3069D3D5">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入库规格</w:t>
            </w:r>
          </w:p>
        </w:tc>
        <w:tc>
          <w:tcPr>
            <w:tcW w:w="2230" w:type="dxa"/>
            <w:vAlign w:val="center"/>
          </w:tcPr>
          <w:p w14:paraId="5F7D4DF2">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单价（元/最小单位）</w:t>
            </w:r>
          </w:p>
        </w:tc>
        <w:tc>
          <w:tcPr>
            <w:tcW w:w="936" w:type="dxa"/>
            <w:vAlign w:val="center"/>
          </w:tcPr>
          <w:p w14:paraId="286D8697">
            <w:pPr>
              <w:pStyle w:val="20"/>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备注/说明</w:t>
            </w:r>
          </w:p>
        </w:tc>
      </w:tr>
      <w:tr w14:paraId="761AF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57" w:type="dxa"/>
            <w:vAlign w:val="center"/>
          </w:tcPr>
          <w:p w14:paraId="59FC3FB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w:t>
            </w:r>
          </w:p>
        </w:tc>
        <w:tc>
          <w:tcPr>
            <w:tcW w:w="1386" w:type="dxa"/>
            <w:vAlign w:val="center"/>
          </w:tcPr>
          <w:p w14:paraId="6A7C4B3B">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肌酸激酶同工酶检测试剂盒（化学发光法）</w:t>
            </w:r>
          </w:p>
        </w:tc>
        <w:tc>
          <w:tcPr>
            <w:tcW w:w="1057" w:type="dxa"/>
            <w:vAlign w:val="center"/>
          </w:tcPr>
          <w:p w14:paraId="0B03EC5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3F82B79">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53152B3">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E4240BB">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EC915E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5ECE0607">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56CA787">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F2E6C30">
            <w:pPr>
              <w:pStyle w:val="20"/>
              <w:jc w:val="center"/>
              <w:rPr>
                <w:rFonts w:hint="eastAsia" w:ascii="仿宋" w:hAnsi="仿宋" w:eastAsia="仿宋" w:cs="仿宋"/>
                <w:color w:val="auto"/>
                <w:sz w:val="21"/>
                <w:szCs w:val="21"/>
                <w:highlight w:val="none"/>
                <w:vertAlign w:val="baseline"/>
                <w:lang w:val="en-US" w:eastAsia="zh-CN"/>
              </w:rPr>
            </w:pPr>
          </w:p>
        </w:tc>
      </w:tr>
      <w:tr w14:paraId="68C8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57" w:type="dxa"/>
            <w:vAlign w:val="center"/>
          </w:tcPr>
          <w:p w14:paraId="17ED58C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w:t>
            </w:r>
          </w:p>
        </w:tc>
        <w:tc>
          <w:tcPr>
            <w:tcW w:w="1386" w:type="dxa"/>
            <w:vAlign w:val="center"/>
          </w:tcPr>
          <w:p w14:paraId="5BF43AA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肌酸激酶同工酶校准品</w:t>
            </w:r>
          </w:p>
        </w:tc>
        <w:tc>
          <w:tcPr>
            <w:tcW w:w="1057" w:type="dxa"/>
            <w:vAlign w:val="center"/>
          </w:tcPr>
          <w:p w14:paraId="6CEED002">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A85FEC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33E20075">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DE1564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E2F30E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796559E">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26B63EB">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B1D7A7F">
            <w:pPr>
              <w:pStyle w:val="20"/>
              <w:jc w:val="center"/>
              <w:rPr>
                <w:rFonts w:hint="eastAsia" w:ascii="仿宋" w:hAnsi="仿宋" w:eastAsia="仿宋" w:cs="仿宋"/>
                <w:color w:val="auto"/>
                <w:sz w:val="21"/>
                <w:szCs w:val="21"/>
                <w:highlight w:val="none"/>
                <w:vertAlign w:val="baseline"/>
                <w:lang w:val="en-US" w:eastAsia="zh-CN"/>
              </w:rPr>
            </w:pPr>
          </w:p>
        </w:tc>
      </w:tr>
      <w:tr w14:paraId="0EC9F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57" w:type="dxa"/>
            <w:vAlign w:val="center"/>
          </w:tcPr>
          <w:p w14:paraId="6C23627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w:t>
            </w:r>
          </w:p>
        </w:tc>
        <w:tc>
          <w:tcPr>
            <w:tcW w:w="1386" w:type="dxa"/>
            <w:vAlign w:val="center"/>
          </w:tcPr>
          <w:p w14:paraId="44E30BB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肌红蛋白检测试剂盒（化学发光法）</w:t>
            </w:r>
          </w:p>
        </w:tc>
        <w:tc>
          <w:tcPr>
            <w:tcW w:w="1057" w:type="dxa"/>
            <w:vAlign w:val="center"/>
          </w:tcPr>
          <w:p w14:paraId="33BE35EE">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A9BEB0E">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5A557CA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7D940D1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43520A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7949C40C">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2953DF9A">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60C04C4">
            <w:pPr>
              <w:pStyle w:val="20"/>
              <w:jc w:val="center"/>
              <w:rPr>
                <w:rFonts w:hint="eastAsia" w:ascii="仿宋" w:hAnsi="仿宋" w:eastAsia="仿宋" w:cs="仿宋"/>
                <w:color w:val="auto"/>
                <w:sz w:val="21"/>
                <w:szCs w:val="21"/>
                <w:highlight w:val="none"/>
                <w:vertAlign w:val="baseline"/>
                <w:lang w:val="en-US" w:eastAsia="zh-CN"/>
              </w:rPr>
            </w:pPr>
          </w:p>
        </w:tc>
      </w:tr>
      <w:tr w14:paraId="1CD62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17F467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w:t>
            </w:r>
          </w:p>
        </w:tc>
        <w:tc>
          <w:tcPr>
            <w:tcW w:w="1386" w:type="dxa"/>
            <w:vAlign w:val="center"/>
          </w:tcPr>
          <w:p w14:paraId="48FDD5AE">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肌红蛋白校准品</w:t>
            </w:r>
          </w:p>
        </w:tc>
        <w:tc>
          <w:tcPr>
            <w:tcW w:w="1057" w:type="dxa"/>
            <w:vAlign w:val="center"/>
          </w:tcPr>
          <w:p w14:paraId="7034B819">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3DF81CF">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DC3073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CFBAC93">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6B4ED8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C7133AA">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2ABEE2A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6D6A8C1">
            <w:pPr>
              <w:pStyle w:val="20"/>
              <w:jc w:val="center"/>
              <w:rPr>
                <w:rFonts w:hint="eastAsia" w:ascii="仿宋" w:hAnsi="仿宋" w:eastAsia="仿宋" w:cs="仿宋"/>
                <w:color w:val="auto"/>
                <w:sz w:val="21"/>
                <w:szCs w:val="21"/>
                <w:highlight w:val="none"/>
                <w:vertAlign w:val="baseline"/>
                <w:lang w:val="en-US" w:eastAsia="zh-CN"/>
              </w:rPr>
            </w:pPr>
          </w:p>
        </w:tc>
      </w:tr>
      <w:tr w14:paraId="7C5E4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42EBA6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w:t>
            </w:r>
          </w:p>
        </w:tc>
        <w:tc>
          <w:tcPr>
            <w:tcW w:w="1386" w:type="dxa"/>
            <w:vAlign w:val="center"/>
          </w:tcPr>
          <w:p w14:paraId="67E29BDE">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降钙素原检测试剂盒（化学发光法）</w:t>
            </w:r>
          </w:p>
        </w:tc>
        <w:tc>
          <w:tcPr>
            <w:tcW w:w="1057" w:type="dxa"/>
            <w:vAlign w:val="center"/>
          </w:tcPr>
          <w:p w14:paraId="0532DBA1">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5F89B8D">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F68D4B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E3E6B63">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33D99D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3227462F">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5A899E1">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4EA275E4">
            <w:pPr>
              <w:pStyle w:val="20"/>
              <w:jc w:val="center"/>
              <w:rPr>
                <w:rFonts w:hint="eastAsia" w:ascii="仿宋" w:hAnsi="仿宋" w:eastAsia="仿宋" w:cs="仿宋"/>
                <w:color w:val="auto"/>
                <w:sz w:val="21"/>
                <w:szCs w:val="21"/>
                <w:highlight w:val="none"/>
                <w:vertAlign w:val="baseline"/>
                <w:lang w:val="en-US" w:eastAsia="zh-CN"/>
              </w:rPr>
            </w:pPr>
          </w:p>
        </w:tc>
      </w:tr>
      <w:tr w14:paraId="1687D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B85EB5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w:t>
            </w:r>
          </w:p>
        </w:tc>
        <w:tc>
          <w:tcPr>
            <w:tcW w:w="1386" w:type="dxa"/>
            <w:vAlign w:val="center"/>
          </w:tcPr>
          <w:p w14:paraId="1C6B03D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降钙素原校准品</w:t>
            </w:r>
          </w:p>
        </w:tc>
        <w:tc>
          <w:tcPr>
            <w:tcW w:w="1057" w:type="dxa"/>
            <w:vAlign w:val="center"/>
          </w:tcPr>
          <w:p w14:paraId="00460BEF">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640BE5B">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B1D4EC8">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58C8A46">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9CF456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19372E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E60A29E">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630F971">
            <w:pPr>
              <w:pStyle w:val="20"/>
              <w:jc w:val="center"/>
              <w:rPr>
                <w:rFonts w:hint="eastAsia" w:ascii="仿宋" w:hAnsi="仿宋" w:eastAsia="仿宋" w:cs="仿宋"/>
                <w:color w:val="auto"/>
                <w:sz w:val="21"/>
                <w:szCs w:val="21"/>
                <w:highlight w:val="none"/>
                <w:vertAlign w:val="baseline"/>
                <w:lang w:val="en-US" w:eastAsia="zh-CN"/>
              </w:rPr>
            </w:pPr>
          </w:p>
        </w:tc>
      </w:tr>
      <w:tr w14:paraId="1B787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B4477D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w:t>
            </w:r>
          </w:p>
        </w:tc>
        <w:tc>
          <w:tcPr>
            <w:tcW w:w="1386" w:type="dxa"/>
            <w:vAlign w:val="center"/>
          </w:tcPr>
          <w:p w14:paraId="2BF2756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降钙素原质控品</w:t>
            </w:r>
          </w:p>
        </w:tc>
        <w:tc>
          <w:tcPr>
            <w:tcW w:w="1057" w:type="dxa"/>
            <w:vAlign w:val="center"/>
          </w:tcPr>
          <w:p w14:paraId="1F8F9151">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5E3A53C5">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B59DC67">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A4C1056">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84F49B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E9C0692">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017D45F">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0736C07">
            <w:pPr>
              <w:pStyle w:val="20"/>
              <w:jc w:val="center"/>
              <w:rPr>
                <w:rFonts w:hint="eastAsia" w:ascii="仿宋" w:hAnsi="仿宋" w:eastAsia="仿宋" w:cs="仿宋"/>
                <w:color w:val="auto"/>
                <w:sz w:val="21"/>
                <w:szCs w:val="21"/>
                <w:highlight w:val="none"/>
                <w:vertAlign w:val="baseline"/>
                <w:lang w:val="en-US" w:eastAsia="zh-CN"/>
              </w:rPr>
            </w:pPr>
          </w:p>
        </w:tc>
      </w:tr>
      <w:tr w14:paraId="0B843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21890F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386" w:type="dxa"/>
            <w:vAlign w:val="center"/>
          </w:tcPr>
          <w:p w14:paraId="553C0AB2">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癌抗原15-3检测试剂盒（磁微粒化学发光法）</w:t>
            </w:r>
          </w:p>
        </w:tc>
        <w:tc>
          <w:tcPr>
            <w:tcW w:w="1057" w:type="dxa"/>
            <w:vAlign w:val="center"/>
          </w:tcPr>
          <w:p w14:paraId="7C38197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526F7F2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E63108C">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0E97C45">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4949EC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62CCAA4C">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DB959C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476B2A17">
            <w:pPr>
              <w:pStyle w:val="20"/>
              <w:jc w:val="center"/>
              <w:rPr>
                <w:rFonts w:hint="eastAsia" w:ascii="仿宋" w:hAnsi="仿宋" w:eastAsia="仿宋" w:cs="仿宋"/>
                <w:color w:val="auto"/>
                <w:sz w:val="21"/>
                <w:szCs w:val="21"/>
                <w:highlight w:val="none"/>
                <w:vertAlign w:val="baseline"/>
                <w:lang w:val="en-US" w:eastAsia="zh-CN"/>
              </w:rPr>
            </w:pPr>
          </w:p>
        </w:tc>
      </w:tr>
      <w:tr w14:paraId="7025A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81D6FE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9</w:t>
            </w:r>
          </w:p>
        </w:tc>
        <w:tc>
          <w:tcPr>
            <w:tcW w:w="1386" w:type="dxa"/>
            <w:vAlign w:val="center"/>
          </w:tcPr>
          <w:p w14:paraId="3EA6C334">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糖类抗原19-9检测试剂盒（磁微粒化学发光法）</w:t>
            </w:r>
          </w:p>
        </w:tc>
        <w:tc>
          <w:tcPr>
            <w:tcW w:w="1057" w:type="dxa"/>
            <w:vAlign w:val="center"/>
          </w:tcPr>
          <w:p w14:paraId="7722F7E3">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8385AFB">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7B21BBF">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59F4618">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A74B6B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3D60A965">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5DB792A">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5B16A5F">
            <w:pPr>
              <w:pStyle w:val="20"/>
              <w:jc w:val="center"/>
              <w:rPr>
                <w:rFonts w:hint="eastAsia" w:ascii="仿宋" w:hAnsi="仿宋" w:eastAsia="仿宋" w:cs="仿宋"/>
                <w:color w:val="auto"/>
                <w:sz w:val="21"/>
                <w:szCs w:val="21"/>
                <w:highlight w:val="none"/>
                <w:vertAlign w:val="baseline"/>
                <w:lang w:val="en-US" w:eastAsia="zh-CN"/>
              </w:rPr>
            </w:pPr>
          </w:p>
        </w:tc>
      </w:tr>
      <w:tr w14:paraId="4586E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8F9B93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386" w:type="dxa"/>
            <w:vAlign w:val="center"/>
          </w:tcPr>
          <w:p w14:paraId="188669D2">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糖类抗原50 检测试剂盒（化学发光法）</w:t>
            </w:r>
          </w:p>
        </w:tc>
        <w:tc>
          <w:tcPr>
            <w:tcW w:w="1057" w:type="dxa"/>
            <w:vAlign w:val="center"/>
          </w:tcPr>
          <w:p w14:paraId="1D528AAB">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38E3879">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4E78D2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732D980">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D34873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2EFCBEE9">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2D5E7E7">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7F901EC">
            <w:pPr>
              <w:pStyle w:val="20"/>
              <w:jc w:val="center"/>
              <w:rPr>
                <w:rFonts w:hint="eastAsia" w:ascii="仿宋" w:hAnsi="仿宋" w:eastAsia="仿宋" w:cs="仿宋"/>
                <w:color w:val="auto"/>
                <w:sz w:val="21"/>
                <w:szCs w:val="21"/>
                <w:highlight w:val="none"/>
                <w:vertAlign w:val="baseline"/>
                <w:lang w:val="en-US" w:eastAsia="zh-CN"/>
              </w:rPr>
            </w:pPr>
          </w:p>
        </w:tc>
      </w:tr>
      <w:tr w14:paraId="7C5B9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D91475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11</w:t>
            </w:r>
          </w:p>
        </w:tc>
        <w:tc>
          <w:tcPr>
            <w:tcW w:w="1386" w:type="dxa"/>
            <w:vAlign w:val="center"/>
          </w:tcPr>
          <w:p w14:paraId="462985FB">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糖类抗原50校准品</w:t>
            </w:r>
          </w:p>
        </w:tc>
        <w:tc>
          <w:tcPr>
            <w:tcW w:w="1057" w:type="dxa"/>
            <w:vAlign w:val="center"/>
          </w:tcPr>
          <w:p w14:paraId="3FD0CA6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951B3D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F3008A1">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8D7D20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A81226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D6D06FD">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C985BB8">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442FB54F">
            <w:pPr>
              <w:pStyle w:val="20"/>
              <w:jc w:val="center"/>
              <w:rPr>
                <w:rFonts w:hint="eastAsia" w:ascii="仿宋" w:hAnsi="仿宋" w:eastAsia="仿宋" w:cs="仿宋"/>
                <w:color w:val="auto"/>
                <w:sz w:val="21"/>
                <w:szCs w:val="21"/>
                <w:highlight w:val="none"/>
                <w:vertAlign w:val="baseline"/>
                <w:lang w:val="en-US" w:eastAsia="zh-CN"/>
              </w:rPr>
            </w:pPr>
          </w:p>
        </w:tc>
      </w:tr>
      <w:tr w14:paraId="341A3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DFA756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12</w:t>
            </w:r>
          </w:p>
        </w:tc>
        <w:tc>
          <w:tcPr>
            <w:tcW w:w="1386" w:type="dxa"/>
            <w:vAlign w:val="center"/>
          </w:tcPr>
          <w:p w14:paraId="5928964B">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糖类抗原242检测试剂盒（化学发光法）</w:t>
            </w:r>
          </w:p>
        </w:tc>
        <w:tc>
          <w:tcPr>
            <w:tcW w:w="1057" w:type="dxa"/>
            <w:vAlign w:val="center"/>
          </w:tcPr>
          <w:p w14:paraId="5C709610">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1221C5F">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D260CC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07FDAD2">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6A34A1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48D2758F">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A925153">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DEF10B9">
            <w:pPr>
              <w:pStyle w:val="20"/>
              <w:jc w:val="center"/>
              <w:rPr>
                <w:rFonts w:hint="eastAsia" w:ascii="仿宋" w:hAnsi="仿宋" w:eastAsia="仿宋" w:cs="仿宋"/>
                <w:color w:val="auto"/>
                <w:sz w:val="21"/>
                <w:szCs w:val="21"/>
                <w:highlight w:val="none"/>
                <w:vertAlign w:val="baseline"/>
                <w:lang w:val="en-US" w:eastAsia="zh-CN"/>
              </w:rPr>
            </w:pPr>
          </w:p>
        </w:tc>
      </w:tr>
      <w:tr w14:paraId="191AE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48C56E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13</w:t>
            </w:r>
          </w:p>
        </w:tc>
        <w:tc>
          <w:tcPr>
            <w:tcW w:w="1386" w:type="dxa"/>
            <w:vAlign w:val="center"/>
          </w:tcPr>
          <w:p w14:paraId="0CA125B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糖类抗原242 校准品</w:t>
            </w:r>
          </w:p>
        </w:tc>
        <w:tc>
          <w:tcPr>
            <w:tcW w:w="1057" w:type="dxa"/>
            <w:vAlign w:val="center"/>
          </w:tcPr>
          <w:p w14:paraId="54A6DC4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BAF7839">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B8074E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E10BA0A">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12178A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CA23285">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84C33D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9D22C83">
            <w:pPr>
              <w:pStyle w:val="20"/>
              <w:jc w:val="center"/>
              <w:rPr>
                <w:rFonts w:hint="eastAsia" w:ascii="仿宋" w:hAnsi="仿宋" w:eastAsia="仿宋" w:cs="仿宋"/>
                <w:color w:val="auto"/>
                <w:sz w:val="21"/>
                <w:szCs w:val="21"/>
                <w:highlight w:val="none"/>
                <w:vertAlign w:val="baseline"/>
                <w:lang w:val="en-US" w:eastAsia="zh-CN"/>
              </w:rPr>
            </w:pPr>
          </w:p>
        </w:tc>
      </w:tr>
      <w:tr w14:paraId="228D5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B66312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14</w:t>
            </w:r>
          </w:p>
        </w:tc>
        <w:tc>
          <w:tcPr>
            <w:tcW w:w="1386" w:type="dxa"/>
            <w:vAlign w:val="center"/>
          </w:tcPr>
          <w:p w14:paraId="4F3FDF38">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糖类抗原72-4 检测试剂盒（化学发光法）</w:t>
            </w:r>
          </w:p>
        </w:tc>
        <w:tc>
          <w:tcPr>
            <w:tcW w:w="1057" w:type="dxa"/>
            <w:vAlign w:val="center"/>
          </w:tcPr>
          <w:p w14:paraId="1D74A0A3">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CA4B53A">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90CF1E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035E6B0">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9BC57B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3CC36D30">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8AD2663">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1C4EA4D">
            <w:pPr>
              <w:pStyle w:val="20"/>
              <w:jc w:val="center"/>
              <w:rPr>
                <w:rFonts w:hint="eastAsia" w:ascii="仿宋" w:hAnsi="仿宋" w:eastAsia="仿宋" w:cs="仿宋"/>
                <w:color w:val="auto"/>
                <w:sz w:val="21"/>
                <w:szCs w:val="21"/>
                <w:highlight w:val="none"/>
                <w:vertAlign w:val="baseline"/>
                <w:lang w:val="en-US" w:eastAsia="zh-CN"/>
              </w:rPr>
            </w:pPr>
          </w:p>
        </w:tc>
      </w:tr>
      <w:tr w14:paraId="5819E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7BA757D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15</w:t>
            </w:r>
          </w:p>
        </w:tc>
        <w:tc>
          <w:tcPr>
            <w:tcW w:w="1386" w:type="dxa"/>
            <w:vAlign w:val="center"/>
          </w:tcPr>
          <w:p w14:paraId="7345C4E9">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糖类抗原72-4 校准品</w:t>
            </w:r>
          </w:p>
        </w:tc>
        <w:tc>
          <w:tcPr>
            <w:tcW w:w="1057" w:type="dxa"/>
            <w:vAlign w:val="center"/>
          </w:tcPr>
          <w:p w14:paraId="6A083C5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D695191">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43BEB5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BA65126">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D6660E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49FBF726">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2F118B5">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0C14F88">
            <w:pPr>
              <w:pStyle w:val="20"/>
              <w:jc w:val="center"/>
              <w:rPr>
                <w:rFonts w:hint="eastAsia" w:ascii="仿宋" w:hAnsi="仿宋" w:eastAsia="仿宋" w:cs="仿宋"/>
                <w:color w:val="auto"/>
                <w:sz w:val="21"/>
                <w:szCs w:val="21"/>
                <w:highlight w:val="none"/>
                <w:vertAlign w:val="baseline"/>
                <w:lang w:val="en-US" w:eastAsia="zh-CN"/>
              </w:rPr>
            </w:pPr>
          </w:p>
        </w:tc>
      </w:tr>
      <w:tr w14:paraId="73B92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B9D755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16</w:t>
            </w:r>
          </w:p>
        </w:tc>
        <w:tc>
          <w:tcPr>
            <w:tcW w:w="1386" w:type="dxa"/>
            <w:vAlign w:val="center"/>
          </w:tcPr>
          <w:p w14:paraId="752C7C6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人附睾蛋白4 检测试剂盒（化学发光法）</w:t>
            </w:r>
          </w:p>
        </w:tc>
        <w:tc>
          <w:tcPr>
            <w:tcW w:w="1057" w:type="dxa"/>
            <w:vAlign w:val="center"/>
          </w:tcPr>
          <w:p w14:paraId="1D12432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44879AF">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87D665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7B55C4C5">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6BAC16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0A10AF1E">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2C469BC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7162813">
            <w:pPr>
              <w:pStyle w:val="20"/>
              <w:jc w:val="center"/>
              <w:rPr>
                <w:rFonts w:hint="eastAsia" w:ascii="仿宋" w:hAnsi="仿宋" w:eastAsia="仿宋" w:cs="仿宋"/>
                <w:color w:val="auto"/>
                <w:sz w:val="21"/>
                <w:szCs w:val="21"/>
                <w:highlight w:val="none"/>
                <w:vertAlign w:val="baseline"/>
                <w:lang w:val="en-US" w:eastAsia="zh-CN"/>
              </w:rPr>
            </w:pPr>
          </w:p>
        </w:tc>
      </w:tr>
      <w:tr w14:paraId="28BD0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E36E8E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17</w:t>
            </w:r>
          </w:p>
        </w:tc>
        <w:tc>
          <w:tcPr>
            <w:tcW w:w="1386" w:type="dxa"/>
            <w:vAlign w:val="center"/>
          </w:tcPr>
          <w:p w14:paraId="1495626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人附睾蛋白4 校准品</w:t>
            </w:r>
          </w:p>
        </w:tc>
        <w:tc>
          <w:tcPr>
            <w:tcW w:w="1057" w:type="dxa"/>
            <w:vAlign w:val="center"/>
          </w:tcPr>
          <w:p w14:paraId="4B744DEB">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FD85EE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5DC43EE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5A4322C">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8C4E91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5652E0C">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5A78D8B">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E480C00">
            <w:pPr>
              <w:pStyle w:val="20"/>
              <w:jc w:val="center"/>
              <w:rPr>
                <w:rFonts w:hint="eastAsia" w:ascii="仿宋" w:hAnsi="仿宋" w:eastAsia="仿宋" w:cs="仿宋"/>
                <w:color w:val="auto"/>
                <w:sz w:val="21"/>
                <w:szCs w:val="21"/>
                <w:highlight w:val="none"/>
                <w:vertAlign w:val="baseline"/>
                <w:lang w:val="en-US" w:eastAsia="zh-CN"/>
              </w:rPr>
            </w:pPr>
          </w:p>
        </w:tc>
      </w:tr>
      <w:tr w14:paraId="396A9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FB6FC5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18</w:t>
            </w:r>
          </w:p>
        </w:tc>
        <w:tc>
          <w:tcPr>
            <w:tcW w:w="1386" w:type="dxa"/>
            <w:vAlign w:val="center"/>
          </w:tcPr>
          <w:p w14:paraId="72DACB1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鳞状上皮细胞癌抗原检测试剂盒（磁微粒化学发光法）</w:t>
            </w:r>
          </w:p>
        </w:tc>
        <w:tc>
          <w:tcPr>
            <w:tcW w:w="1057" w:type="dxa"/>
            <w:vAlign w:val="center"/>
          </w:tcPr>
          <w:p w14:paraId="2AF32A04">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B465976">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9FF55EA">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605EBF9">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BD3A84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74091AD9">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563605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BD30DAD">
            <w:pPr>
              <w:pStyle w:val="20"/>
              <w:jc w:val="center"/>
              <w:rPr>
                <w:rFonts w:hint="eastAsia" w:ascii="仿宋" w:hAnsi="仿宋" w:eastAsia="仿宋" w:cs="仿宋"/>
                <w:color w:val="auto"/>
                <w:sz w:val="21"/>
                <w:szCs w:val="21"/>
                <w:highlight w:val="none"/>
                <w:vertAlign w:val="baseline"/>
                <w:lang w:val="en-US" w:eastAsia="zh-CN"/>
              </w:rPr>
            </w:pPr>
          </w:p>
        </w:tc>
      </w:tr>
      <w:tr w14:paraId="7C91E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99D71F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19</w:t>
            </w:r>
          </w:p>
        </w:tc>
        <w:tc>
          <w:tcPr>
            <w:tcW w:w="1386" w:type="dxa"/>
            <w:vAlign w:val="center"/>
          </w:tcPr>
          <w:p w14:paraId="1951497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神经元特异性烯醇化酶检测试剂盒（磁微粒化学发光法）</w:t>
            </w:r>
          </w:p>
        </w:tc>
        <w:tc>
          <w:tcPr>
            <w:tcW w:w="1057" w:type="dxa"/>
            <w:vAlign w:val="center"/>
          </w:tcPr>
          <w:p w14:paraId="6EDF49C4">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B52D24A">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8C068B4">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9FCDA2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131DAB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435FF766">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A284804">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5F10426">
            <w:pPr>
              <w:pStyle w:val="20"/>
              <w:jc w:val="center"/>
              <w:rPr>
                <w:rFonts w:hint="eastAsia" w:ascii="仿宋" w:hAnsi="仿宋" w:eastAsia="仿宋" w:cs="仿宋"/>
                <w:color w:val="auto"/>
                <w:sz w:val="21"/>
                <w:szCs w:val="21"/>
                <w:highlight w:val="none"/>
                <w:vertAlign w:val="baseline"/>
                <w:lang w:val="en-US" w:eastAsia="zh-CN"/>
              </w:rPr>
            </w:pPr>
          </w:p>
        </w:tc>
      </w:tr>
      <w:tr w14:paraId="1FD73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FC915C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20</w:t>
            </w:r>
          </w:p>
        </w:tc>
        <w:tc>
          <w:tcPr>
            <w:tcW w:w="1386" w:type="dxa"/>
            <w:vAlign w:val="center"/>
          </w:tcPr>
          <w:p w14:paraId="1CC4A1B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细胞角蛋白19片段检测试剂盒（磁微粒化学发光法）</w:t>
            </w:r>
          </w:p>
        </w:tc>
        <w:tc>
          <w:tcPr>
            <w:tcW w:w="1057" w:type="dxa"/>
            <w:vAlign w:val="center"/>
          </w:tcPr>
          <w:p w14:paraId="051C3D13">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352B756">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D4EDB2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402C6D8">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231FA1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1DB63C70">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C3F8688">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BFFF05A">
            <w:pPr>
              <w:pStyle w:val="20"/>
              <w:jc w:val="center"/>
              <w:rPr>
                <w:rFonts w:hint="eastAsia" w:ascii="仿宋" w:hAnsi="仿宋" w:eastAsia="仿宋" w:cs="仿宋"/>
                <w:color w:val="auto"/>
                <w:sz w:val="21"/>
                <w:szCs w:val="21"/>
                <w:highlight w:val="none"/>
                <w:vertAlign w:val="baseline"/>
                <w:lang w:val="en-US" w:eastAsia="zh-CN"/>
              </w:rPr>
            </w:pPr>
          </w:p>
        </w:tc>
      </w:tr>
      <w:tr w14:paraId="11127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E8620C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21</w:t>
            </w:r>
          </w:p>
        </w:tc>
        <w:tc>
          <w:tcPr>
            <w:tcW w:w="1386" w:type="dxa"/>
            <w:vAlign w:val="center"/>
          </w:tcPr>
          <w:p w14:paraId="1BE9E5D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胃泌素释放肽前体检测试剂盒（磁微粒化学发光法）</w:t>
            </w:r>
          </w:p>
        </w:tc>
        <w:tc>
          <w:tcPr>
            <w:tcW w:w="1057" w:type="dxa"/>
            <w:vAlign w:val="center"/>
          </w:tcPr>
          <w:p w14:paraId="18EAF47E">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A02460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EDC098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F175979">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12CEFD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44404CA0">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C74F14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2C6AA68">
            <w:pPr>
              <w:pStyle w:val="20"/>
              <w:jc w:val="center"/>
              <w:rPr>
                <w:rFonts w:hint="eastAsia" w:ascii="仿宋" w:hAnsi="仿宋" w:eastAsia="仿宋" w:cs="仿宋"/>
                <w:color w:val="auto"/>
                <w:sz w:val="21"/>
                <w:szCs w:val="21"/>
                <w:highlight w:val="none"/>
                <w:vertAlign w:val="baseline"/>
                <w:lang w:val="en-US" w:eastAsia="zh-CN"/>
              </w:rPr>
            </w:pPr>
          </w:p>
        </w:tc>
      </w:tr>
      <w:tr w14:paraId="00219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B827A4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22</w:t>
            </w:r>
          </w:p>
        </w:tc>
        <w:tc>
          <w:tcPr>
            <w:tcW w:w="1386" w:type="dxa"/>
            <w:vAlign w:val="center"/>
          </w:tcPr>
          <w:p w14:paraId="135692F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游离前列腺特异抗原检测试剂盒（磁微粒化学发光法）</w:t>
            </w:r>
          </w:p>
        </w:tc>
        <w:tc>
          <w:tcPr>
            <w:tcW w:w="1057" w:type="dxa"/>
            <w:vAlign w:val="center"/>
          </w:tcPr>
          <w:p w14:paraId="5DFBE9D2">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9641CC5">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77C8D61">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3A84104">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7E470D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36C02B3F">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881B612">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FEB656F">
            <w:pPr>
              <w:pStyle w:val="20"/>
              <w:jc w:val="center"/>
              <w:rPr>
                <w:rFonts w:hint="eastAsia" w:ascii="仿宋" w:hAnsi="仿宋" w:eastAsia="仿宋" w:cs="仿宋"/>
                <w:color w:val="auto"/>
                <w:sz w:val="21"/>
                <w:szCs w:val="21"/>
                <w:highlight w:val="none"/>
                <w:vertAlign w:val="baseline"/>
                <w:lang w:val="en-US" w:eastAsia="zh-CN"/>
              </w:rPr>
            </w:pPr>
          </w:p>
        </w:tc>
      </w:tr>
      <w:tr w14:paraId="4D009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D57677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23</w:t>
            </w:r>
          </w:p>
        </w:tc>
        <w:tc>
          <w:tcPr>
            <w:tcW w:w="1386" w:type="dxa"/>
            <w:vAlign w:val="center"/>
          </w:tcPr>
          <w:p w14:paraId="4A56828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铁蛋白检测试剂盒（磁微粒化学发光法）</w:t>
            </w:r>
          </w:p>
        </w:tc>
        <w:tc>
          <w:tcPr>
            <w:tcW w:w="1057" w:type="dxa"/>
            <w:vAlign w:val="center"/>
          </w:tcPr>
          <w:p w14:paraId="31F88BDA">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6CB7D0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04BFC1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E1D9404">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226420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2C31368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7AAD42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A557BA6">
            <w:pPr>
              <w:pStyle w:val="20"/>
              <w:jc w:val="center"/>
              <w:rPr>
                <w:rFonts w:hint="eastAsia" w:ascii="仿宋" w:hAnsi="仿宋" w:eastAsia="仿宋" w:cs="仿宋"/>
                <w:color w:val="auto"/>
                <w:sz w:val="21"/>
                <w:szCs w:val="21"/>
                <w:highlight w:val="none"/>
                <w:vertAlign w:val="baseline"/>
                <w:lang w:val="en-US" w:eastAsia="zh-CN"/>
              </w:rPr>
            </w:pPr>
          </w:p>
        </w:tc>
      </w:tr>
      <w:tr w14:paraId="5C19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EE93F2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24</w:t>
            </w:r>
          </w:p>
        </w:tc>
        <w:tc>
          <w:tcPr>
            <w:tcW w:w="1386" w:type="dxa"/>
            <w:vAlign w:val="center"/>
          </w:tcPr>
          <w:p w14:paraId="4C533EB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胃蛋白酶原I检测试剂盒（磁微粒化学发光法）</w:t>
            </w:r>
          </w:p>
        </w:tc>
        <w:tc>
          <w:tcPr>
            <w:tcW w:w="1057" w:type="dxa"/>
            <w:vAlign w:val="center"/>
          </w:tcPr>
          <w:p w14:paraId="32A2893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FFC785C">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0E062C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EE105AD">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0898BA3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0863B583">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A6452C1">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1AC6484">
            <w:pPr>
              <w:pStyle w:val="20"/>
              <w:jc w:val="center"/>
              <w:rPr>
                <w:rFonts w:hint="eastAsia" w:ascii="仿宋" w:hAnsi="仿宋" w:eastAsia="仿宋" w:cs="仿宋"/>
                <w:color w:val="auto"/>
                <w:sz w:val="21"/>
                <w:szCs w:val="21"/>
                <w:highlight w:val="none"/>
                <w:vertAlign w:val="baseline"/>
                <w:lang w:val="en-US" w:eastAsia="zh-CN"/>
              </w:rPr>
            </w:pPr>
          </w:p>
        </w:tc>
      </w:tr>
      <w:tr w14:paraId="12731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67A907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25</w:t>
            </w:r>
          </w:p>
        </w:tc>
        <w:tc>
          <w:tcPr>
            <w:tcW w:w="1386" w:type="dxa"/>
            <w:vAlign w:val="center"/>
          </w:tcPr>
          <w:p w14:paraId="1A67945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胃蛋白酶原Ⅱ检测试剂盒（磁微粒化学发光法）</w:t>
            </w:r>
          </w:p>
        </w:tc>
        <w:tc>
          <w:tcPr>
            <w:tcW w:w="1057" w:type="dxa"/>
            <w:vAlign w:val="center"/>
          </w:tcPr>
          <w:p w14:paraId="5A78C4E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CFB1005">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0D4B40C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D49960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0BFFE71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57D2F7E0">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2176F64A">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7D086C8">
            <w:pPr>
              <w:pStyle w:val="20"/>
              <w:jc w:val="center"/>
              <w:rPr>
                <w:rFonts w:hint="eastAsia" w:ascii="仿宋" w:hAnsi="仿宋" w:eastAsia="仿宋" w:cs="仿宋"/>
                <w:color w:val="auto"/>
                <w:sz w:val="21"/>
                <w:szCs w:val="21"/>
                <w:highlight w:val="none"/>
                <w:vertAlign w:val="baseline"/>
                <w:lang w:val="en-US" w:eastAsia="zh-CN"/>
              </w:rPr>
            </w:pPr>
          </w:p>
        </w:tc>
      </w:tr>
      <w:tr w14:paraId="718F4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997919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26</w:t>
            </w:r>
          </w:p>
        </w:tc>
        <w:tc>
          <w:tcPr>
            <w:tcW w:w="1386" w:type="dxa"/>
            <w:vAlign w:val="center"/>
          </w:tcPr>
          <w:p w14:paraId="0D8003AA">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游离人绒毛膜促性腺激素β亚单位检测试剂盒（磁微粒化学发光法）</w:t>
            </w:r>
          </w:p>
        </w:tc>
        <w:tc>
          <w:tcPr>
            <w:tcW w:w="1057" w:type="dxa"/>
            <w:vAlign w:val="center"/>
          </w:tcPr>
          <w:p w14:paraId="408B73D6">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F319EF4">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C30824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94A5B2A">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74A28B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69C94019">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A94DA8D">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7975087">
            <w:pPr>
              <w:pStyle w:val="20"/>
              <w:jc w:val="center"/>
              <w:rPr>
                <w:rFonts w:hint="eastAsia" w:ascii="仿宋" w:hAnsi="仿宋" w:eastAsia="仿宋" w:cs="仿宋"/>
                <w:color w:val="auto"/>
                <w:sz w:val="21"/>
                <w:szCs w:val="21"/>
                <w:highlight w:val="none"/>
                <w:vertAlign w:val="baseline"/>
                <w:lang w:val="en-US" w:eastAsia="zh-CN"/>
              </w:rPr>
            </w:pPr>
          </w:p>
        </w:tc>
      </w:tr>
      <w:tr w14:paraId="7C267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B09B4C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27</w:t>
            </w:r>
          </w:p>
        </w:tc>
        <w:tc>
          <w:tcPr>
            <w:tcW w:w="1386" w:type="dxa"/>
            <w:vAlign w:val="center"/>
          </w:tcPr>
          <w:p w14:paraId="4B1874DF">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性激素结合球蛋白检测试剂盒（磁微粒化学发光法）</w:t>
            </w:r>
          </w:p>
        </w:tc>
        <w:tc>
          <w:tcPr>
            <w:tcW w:w="1057" w:type="dxa"/>
            <w:vAlign w:val="center"/>
          </w:tcPr>
          <w:p w14:paraId="52CF75E3">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8DA4A61">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6286D6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37DE1EA">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0DCB6BE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7AEE4D2A">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A863655">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14B2604">
            <w:pPr>
              <w:pStyle w:val="20"/>
              <w:jc w:val="center"/>
              <w:rPr>
                <w:rFonts w:hint="eastAsia" w:ascii="仿宋" w:hAnsi="仿宋" w:eastAsia="仿宋" w:cs="仿宋"/>
                <w:color w:val="auto"/>
                <w:sz w:val="21"/>
                <w:szCs w:val="21"/>
                <w:highlight w:val="none"/>
                <w:vertAlign w:val="baseline"/>
                <w:lang w:val="en-US" w:eastAsia="zh-CN"/>
              </w:rPr>
            </w:pPr>
          </w:p>
        </w:tc>
      </w:tr>
      <w:tr w14:paraId="5A560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1919E3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28</w:t>
            </w:r>
          </w:p>
        </w:tc>
        <w:tc>
          <w:tcPr>
            <w:tcW w:w="1386" w:type="dxa"/>
            <w:vAlign w:val="center"/>
          </w:tcPr>
          <w:p w14:paraId="5C4AF539">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生长激素检测试剂盒（磁微粒化学发光法）</w:t>
            </w:r>
          </w:p>
        </w:tc>
        <w:tc>
          <w:tcPr>
            <w:tcW w:w="1057" w:type="dxa"/>
            <w:vAlign w:val="center"/>
          </w:tcPr>
          <w:p w14:paraId="46AD4E9F">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502263F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6D21CB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83C607B">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0A34433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2A411250">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E1035F7">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78306A9">
            <w:pPr>
              <w:pStyle w:val="20"/>
              <w:jc w:val="center"/>
              <w:rPr>
                <w:rFonts w:hint="eastAsia" w:ascii="仿宋" w:hAnsi="仿宋" w:eastAsia="仿宋" w:cs="仿宋"/>
                <w:color w:val="auto"/>
                <w:sz w:val="21"/>
                <w:szCs w:val="21"/>
                <w:highlight w:val="none"/>
                <w:vertAlign w:val="baseline"/>
                <w:lang w:val="en-US" w:eastAsia="zh-CN"/>
              </w:rPr>
            </w:pPr>
          </w:p>
        </w:tc>
      </w:tr>
      <w:tr w14:paraId="4E0F2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73A091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29</w:t>
            </w:r>
          </w:p>
        </w:tc>
        <w:tc>
          <w:tcPr>
            <w:tcW w:w="1386" w:type="dxa"/>
            <w:vAlign w:val="center"/>
          </w:tcPr>
          <w:p w14:paraId="2D58B2B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白介素6检测试剂盒（磁微粒化学发光法）</w:t>
            </w:r>
          </w:p>
        </w:tc>
        <w:tc>
          <w:tcPr>
            <w:tcW w:w="1057" w:type="dxa"/>
            <w:vAlign w:val="center"/>
          </w:tcPr>
          <w:p w14:paraId="45D0EC7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39A86A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383FCE5">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6FB0BD6">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56E5D3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57DAC8DD">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442CB3E">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02F985A">
            <w:pPr>
              <w:pStyle w:val="20"/>
              <w:jc w:val="center"/>
              <w:rPr>
                <w:rFonts w:hint="eastAsia" w:ascii="仿宋" w:hAnsi="仿宋" w:eastAsia="仿宋" w:cs="仿宋"/>
                <w:color w:val="auto"/>
                <w:sz w:val="21"/>
                <w:szCs w:val="21"/>
                <w:highlight w:val="none"/>
                <w:vertAlign w:val="baseline"/>
                <w:lang w:val="en-US" w:eastAsia="zh-CN"/>
              </w:rPr>
            </w:pPr>
          </w:p>
        </w:tc>
      </w:tr>
      <w:tr w14:paraId="22F98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D7D4B4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30</w:t>
            </w:r>
          </w:p>
        </w:tc>
        <w:tc>
          <w:tcPr>
            <w:tcW w:w="1386" w:type="dxa"/>
            <w:vAlign w:val="center"/>
          </w:tcPr>
          <w:p w14:paraId="4D65C1E3">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游离三碘甲状腺原氨酸检测试剂盒（磁微粒化学发光法）</w:t>
            </w:r>
          </w:p>
        </w:tc>
        <w:tc>
          <w:tcPr>
            <w:tcW w:w="1057" w:type="dxa"/>
            <w:vAlign w:val="center"/>
          </w:tcPr>
          <w:p w14:paraId="7FC34FD1">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1C4562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76C42CF">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CA16BB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CA7A1A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686457F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A0AF649">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30BA341">
            <w:pPr>
              <w:pStyle w:val="20"/>
              <w:jc w:val="center"/>
              <w:rPr>
                <w:rFonts w:hint="eastAsia" w:ascii="仿宋" w:hAnsi="仿宋" w:eastAsia="仿宋" w:cs="仿宋"/>
                <w:color w:val="auto"/>
                <w:sz w:val="21"/>
                <w:szCs w:val="21"/>
                <w:highlight w:val="none"/>
                <w:vertAlign w:val="baseline"/>
                <w:lang w:val="en-US" w:eastAsia="zh-CN"/>
              </w:rPr>
            </w:pPr>
          </w:p>
        </w:tc>
      </w:tr>
      <w:tr w14:paraId="35601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27A62B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31</w:t>
            </w:r>
          </w:p>
        </w:tc>
        <w:tc>
          <w:tcPr>
            <w:tcW w:w="1386" w:type="dxa"/>
            <w:vAlign w:val="center"/>
          </w:tcPr>
          <w:p w14:paraId="7C0EBE68">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游离甲状腺素检测试剂盒（磁微粒化学发光法）</w:t>
            </w:r>
          </w:p>
        </w:tc>
        <w:tc>
          <w:tcPr>
            <w:tcW w:w="1057" w:type="dxa"/>
            <w:vAlign w:val="center"/>
          </w:tcPr>
          <w:p w14:paraId="7BAA378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399268F">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312E9431">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0EC15D8">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202818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29EE750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4818D6A">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8EF2590">
            <w:pPr>
              <w:pStyle w:val="20"/>
              <w:jc w:val="center"/>
              <w:rPr>
                <w:rFonts w:hint="eastAsia" w:ascii="仿宋" w:hAnsi="仿宋" w:eastAsia="仿宋" w:cs="仿宋"/>
                <w:color w:val="auto"/>
                <w:sz w:val="21"/>
                <w:szCs w:val="21"/>
                <w:highlight w:val="none"/>
                <w:vertAlign w:val="baseline"/>
                <w:lang w:val="en-US" w:eastAsia="zh-CN"/>
              </w:rPr>
            </w:pPr>
          </w:p>
        </w:tc>
      </w:tr>
      <w:tr w14:paraId="66808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229A78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32</w:t>
            </w:r>
          </w:p>
        </w:tc>
        <w:tc>
          <w:tcPr>
            <w:tcW w:w="1386" w:type="dxa"/>
            <w:vAlign w:val="center"/>
          </w:tcPr>
          <w:p w14:paraId="18573BB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促甲状腺激素检测试剂盒（磁微粒化学发光法）</w:t>
            </w:r>
          </w:p>
        </w:tc>
        <w:tc>
          <w:tcPr>
            <w:tcW w:w="1057" w:type="dxa"/>
            <w:vAlign w:val="center"/>
          </w:tcPr>
          <w:p w14:paraId="4E122226">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55E4BB50">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4B71A9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71213858">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CBED12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07C4ED68">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7F1638E">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BFB142E">
            <w:pPr>
              <w:pStyle w:val="20"/>
              <w:jc w:val="center"/>
              <w:rPr>
                <w:rFonts w:hint="eastAsia" w:ascii="仿宋" w:hAnsi="仿宋" w:eastAsia="仿宋" w:cs="仿宋"/>
                <w:color w:val="auto"/>
                <w:sz w:val="21"/>
                <w:szCs w:val="21"/>
                <w:highlight w:val="none"/>
                <w:vertAlign w:val="baseline"/>
                <w:lang w:val="en-US" w:eastAsia="zh-CN"/>
              </w:rPr>
            </w:pPr>
          </w:p>
        </w:tc>
      </w:tr>
      <w:tr w14:paraId="50EBD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B9B339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33</w:t>
            </w:r>
          </w:p>
        </w:tc>
        <w:tc>
          <w:tcPr>
            <w:tcW w:w="1386" w:type="dxa"/>
            <w:vAlign w:val="center"/>
          </w:tcPr>
          <w:p w14:paraId="621B0859">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抗甲状腺球蛋白抗体检测试剂盒（磁微粒化学发光法）</w:t>
            </w:r>
          </w:p>
        </w:tc>
        <w:tc>
          <w:tcPr>
            <w:tcW w:w="1057" w:type="dxa"/>
            <w:vAlign w:val="center"/>
          </w:tcPr>
          <w:p w14:paraId="0B26D9C1">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D79040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7295480">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7A889377">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CA389F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3F92CC76">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5E716C5">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392CE7F">
            <w:pPr>
              <w:pStyle w:val="20"/>
              <w:jc w:val="center"/>
              <w:rPr>
                <w:rFonts w:hint="eastAsia" w:ascii="仿宋" w:hAnsi="仿宋" w:eastAsia="仿宋" w:cs="仿宋"/>
                <w:color w:val="auto"/>
                <w:sz w:val="21"/>
                <w:szCs w:val="21"/>
                <w:highlight w:val="none"/>
                <w:vertAlign w:val="baseline"/>
                <w:lang w:val="en-US" w:eastAsia="zh-CN"/>
              </w:rPr>
            </w:pPr>
          </w:p>
        </w:tc>
      </w:tr>
      <w:tr w14:paraId="5BB2A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44969D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34</w:t>
            </w:r>
          </w:p>
        </w:tc>
        <w:tc>
          <w:tcPr>
            <w:tcW w:w="1386" w:type="dxa"/>
            <w:vAlign w:val="center"/>
          </w:tcPr>
          <w:p w14:paraId="6BE7ECE3">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抗甲状腺过氧化物酶抗体检测试剂盒（磁微粒化学发光法）</w:t>
            </w:r>
          </w:p>
        </w:tc>
        <w:tc>
          <w:tcPr>
            <w:tcW w:w="1057" w:type="dxa"/>
            <w:vAlign w:val="center"/>
          </w:tcPr>
          <w:p w14:paraId="50BE9396">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6105C31">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97AB0B5">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D0FDF86">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DDE59F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4435C50E">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0FB47F8">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2FD5CD1">
            <w:pPr>
              <w:pStyle w:val="20"/>
              <w:jc w:val="center"/>
              <w:rPr>
                <w:rFonts w:hint="eastAsia" w:ascii="仿宋" w:hAnsi="仿宋" w:eastAsia="仿宋" w:cs="仿宋"/>
                <w:color w:val="auto"/>
                <w:sz w:val="21"/>
                <w:szCs w:val="21"/>
                <w:highlight w:val="none"/>
                <w:vertAlign w:val="baseline"/>
                <w:lang w:val="en-US" w:eastAsia="zh-CN"/>
              </w:rPr>
            </w:pPr>
          </w:p>
        </w:tc>
      </w:tr>
      <w:tr w14:paraId="0F91D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B66EF5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35</w:t>
            </w:r>
          </w:p>
        </w:tc>
        <w:tc>
          <w:tcPr>
            <w:tcW w:w="1386" w:type="dxa"/>
            <w:vAlign w:val="center"/>
          </w:tcPr>
          <w:p w14:paraId="21A90B6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促甲状腺激素受体抗体检测试剂盒（磁微粒化学发光法）</w:t>
            </w:r>
          </w:p>
        </w:tc>
        <w:tc>
          <w:tcPr>
            <w:tcW w:w="1057" w:type="dxa"/>
            <w:vAlign w:val="center"/>
          </w:tcPr>
          <w:p w14:paraId="4C8C16B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DDF7E9B">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717FCF5">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C61067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F26058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0A52A68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3309A39">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1376FEF">
            <w:pPr>
              <w:pStyle w:val="20"/>
              <w:jc w:val="center"/>
              <w:rPr>
                <w:rFonts w:hint="eastAsia" w:ascii="仿宋" w:hAnsi="仿宋" w:eastAsia="仿宋" w:cs="仿宋"/>
                <w:color w:val="auto"/>
                <w:sz w:val="21"/>
                <w:szCs w:val="21"/>
                <w:highlight w:val="none"/>
                <w:vertAlign w:val="baseline"/>
                <w:lang w:val="en-US" w:eastAsia="zh-CN"/>
              </w:rPr>
            </w:pPr>
          </w:p>
        </w:tc>
      </w:tr>
      <w:tr w14:paraId="465F5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5B0E6E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36</w:t>
            </w:r>
          </w:p>
        </w:tc>
        <w:tc>
          <w:tcPr>
            <w:tcW w:w="1386" w:type="dxa"/>
            <w:vAlign w:val="center"/>
          </w:tcPr>
          <w:p w14:paraId="030E3B39">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总三碘甲状腺原氨酸检测试剂盒（化学发光法）</w:t>
            </w:r>
          </w:p>
        </w:tc>
        <w:tc>
          <w:tcPr>
            <w:tcW w:w="1057" w:type="dxa"/>
            <w:vAlign w:val="center"/>
          </w:tcPr>
          <w:p w14:paraId="2452F57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3219DC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94A414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5422A0E">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F954C8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3F4A6762">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AB8BBD2">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7D3C2A7">
            <w:pPr>
              <w:pStyle w:val="20"/>
              <w:jc w:val="center"/>
              <w:rPr>
                <w:rFonts w:hint="eastAsia" w:ascii="仿宋" w:hAnsi="仿宋" w:eastAsia="仿宋" w:cs="仿宋"/>
                <w:color w:val="auto"/>
                <w:sz w:val="21"/>
                <w:szCs w:val="21"/>
                <w:highlight w:val="none"/>
                <w:vertAlign w:val="baseline"/>
                <w:lang w:val="en-US" w:eastAsia="zh-CN"/>
              </w:rPr>
            </w:pPr>
          </w:p>
        </w:tc>
      </w:tr>
      <w:tr w14:paraId="03F6F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75CDFD8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37</w:t>
            </w:r>
          </w:p>
        </w:tc>
        <w:tc>
          <w:tcPr>
            <w:tcW w:w="1386" w:type="dxa"/>
            <w:vAlign w:val="center"/>
          </w:tcPr>
          <w:p w14:paraId="030FFBBA">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总甲状腺素检测试剂盒（化学发光法）</w:t>
            </w:r>
          </w:p>
        </w:tc>
        <w:tc>
          <w:tcPr>
            <w:tcW w:w="1057" w:type="dxa"/>
            <w:vAlign w:val="center"/>
          </w:tcPr>
          <w:p w14:paraId="70470DBB">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ECCDAA6">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6A0CB0A">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4826185">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566BE5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6B3D4ED0">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2E532BD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7155261">
            <w:pPr>
              <w:pStyle w:val="20"/>
              <w:jc w:val="center"/>
              <w:rPr>
                <w:rFonts w:hint="eastAsia" w:ascii="仿宋" w:hAnsi="仿宋" w:eastAsia="仿宋" w:cs="仿宋"/>
                <w:color w:val="auto"/>
                <w:sz w:val="21"/>
                <w:szCs w:val="21"/>
                <w:highlight w:val="none"/>
                <w:vertAlign w:val="baseline"/>
                <w:lang w:val="en-US" w:eastAsia="zh-CN"/>
              </w:rPr>
            </w:pPr>
          </w:p>
        </w:tc>
      </w:tr>
      <w:tr w14:paraId="40CB0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78E2057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38</w:t>
            </w:r>
          </w:p>
        </w:tc>
        <w:tc>
          <w:tcPr>
            <w:tcW w:w="1386" w:type="dxa"/>
            <w:vAlign w:val="center"/>
          </w:tcPr>
          <w:p w14:paraId="1A562E3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总甲状腺素校准品</w:t>
            </w:r>
          </w:p>
        </w:tc>
        <w:tc>
          <w:tcPr>
            <w:tcW w:w="1057" w:type="dxa"/>
            <w:vAlign w:val="center"/>
          </w:tcPr>
          <w:p w14:paraId="18331940">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59597C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E3415EC">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BE070CC">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746345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A56C887">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82FD8F5">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9514D54">
            <w:pPr>
              <w:pStyle w:val="20"/>
              <w:jc w:val="center"/>
              <w:rPr>
                <w:rFonts w:hint="eastAsia" w:ascii="仿宋" w:hAnsi="仿宋" w:eastAsia="仿宋" w:cs="仿宋"/>
                <w:color w:val="auto"/>
                <w:sz w:val="21"/>
                <w:szCs w:val="21"/>
                <w:highlight w:val="none"/>
                <w:vertAlign w:val="baseline"/>
                <w:lang w:val="en-US" w:eastAsia="zh-CN"/>
              </w:rPr>
            </w:pPr>
          </w:p>
        </w:tc>
      </w:tr>
      <w:tr w14:paraId="657BC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34A2A9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39</w:t>
            </w:r>
          </w:p>
        </w:tc>
        <w:tc>
          <w:tcPr>
            <w:tcW w:w="1386" w:type="dxa"/>
            <w:vAlign w:val="center"/>
          </w:tcPr>
          <w:p w14:paraId="3CE4D1D4">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总三碘甲状腺原氨酸校准品</w:t>
            </w:r>
          </w:p>
        </w:tc>
        <w:tc>
          <w:tcPr>
            <w:tcW w:w="1057" w:type="dxa"/>
            <w:vAlign w:val="center"/>
          </w:tcPr>
          <w:p w14:paraId="363D5A00">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73FD34F">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8C961E1">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6223D7D">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D1CF0F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4022EF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4D556C1">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4951B11B">
            <w:pPr>
              <w:pStyle w:val="20"/>
              <w:jc w:val="center"/>
              <w:rPr>
                <w:rFonts w:hint="eastAsia" w:ascii="仿宋" w:hAnsi="仿宋" w:eastAsia="仿宋" w:cs="仿宋"/>
                <w:color w:val="auto"/>
                <w:sz w:val="21"/>
                <w:szCs w:val="21"/>
                <w:highlight w:val="none"/>
                <w:vertAlign w:val="baseline"/>
                <w:lang w:val="en-US" w:eastAsia="zh-CN"/>
              </w:rPr>
            </w:pPr>
          </w:p>
        </w:tc>
      </w:tr>
      <w:tr w14:paraId="4FD8D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941AAB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40</w:t>
            </w:r>
          </w:p>
        </w:tc>
        <w:tc>
          <w:tcPr>
            <w:tcW w:w="1386" w:type="dxa"/>
            <w:vAlign w:val="center"/>
          </w:tcPr>
          <w:p w14:paraId="7EF7D8E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雌二醇校准品</w:t>
            </w:r>
          </w:p>
        </w:tc>
        <w:tc>
          <w:tcPr>
            <w:tcW w:w="1057" w:type="dxa"/>
            <w:vAlign w:val="center"/>
          </w:tcPr>
          <w:p w14:paraId="533F759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0517AC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0A6C8BF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61729E6">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0F61A38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0E5B45C">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C60057F">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A50261B">
            <w:pPr>
              <w:pStyle w:val="20"/>
              <w:jc w:val="center"/>
              <w:rPr>
                <w:rFonts w:hint="eastAsia" w:ascii="仿宋" w:hAnsi="仿宋" w:eastAsia="仿宋" w:cs="仿宋"/>
                <w:color w:val="auto"/>
                <w:sz w:val="21"/>
                <w:szCs w:val="21"/>
                <w:highlight w:val="none"/>
                <w:vertAlign w:val="baseline"/>
                <w:lang w:val="en-US" w:eastAsia="zh-CN"/>
              </w:rPr>
            </w:pPr>
          </w:p>
        </w:tc>
      </w:tr>
      <w:tr w14:paraId="6FE22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888EBC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41</w:t>
            </w:r>
          </w:p>
        </w:tc>
        <w:tc>
          <w:tcPr>
            <w:tcW w:w="1386" w:type="dxa"/>
            <w:vAlign w:val="center"/>
          </w:tcPr>
          <w:p w14:paraId="6DADD8D9">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孕酮校准品</w:t>
            </w:r>
          </w:p>
        </w:tc>
        <w:tc>
          <w:tcPr>
            <w:tcW w:w="1057" w:type="dxa"/>
            <w:vAlign w:val="center"/>
          </w:tcPr>
          <w:p w14:paraId="10236B74">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6DC2A0A">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3A71F300">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040440A">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999F24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27E2109C">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20FA6D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DBA8920">
            <w:pPr>
              <w:pStyle w:val="20"/>
              <w:jc w:val="center"/>
              <w:rPr>
                <w:rFonts w:hint="eastAsia" w:ascii="仿宋" w:hAnsi="仿宋" w:eastAsia="仿宋" w:cs="仿宋"/>
                <w:color w:val="auto"/>
                <w:sz w:val="21"/>
                <w:szCs w:val="21"/>
                <w:highlight w:val="none"/>
                <w:vertAlign w:val="baseline"/>
                <w:lang w:val="en-US" w:eastAsia="zh-CN"/>
              </w:rPr>
            </w:pPr>
          </w:p>
        </w:tc>
      </w:tr>
      <w:tr w14:paraId="71284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D2FB28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42</w:t>
            </w:r>
          </w:p>
        </w:tc>
        <w:tc>
          <w:tcPr>
            <w:tcW w:w="1386" w:type="dxa"/>
            <w:vAlign w:val="center"/>
          </w:tcPr>
          <w:p w14:paraId="4AAF202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睾酮校准品</w:t>
            </w:r>
          </w:p>
        </w:tc>
        <w:tc>
          <w:tcPr>
            <w:tcW w:w="1057" w:type="dxa"/>
            <w:vAlign w:val="center"/>
          </w:tcPr>
          <w:p w14:paraId="42F9B53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3AE3E8A">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05818CC">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4896EB2">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D90A37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7A39DB2D">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864A00F">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288A9EF">
            <w:pPr>
              <w:pStyle w:val="20"/>
              <w:jc w:val="center"/>
              <w:rPr>
                <w:rFonts w:hint="eastAsia" w:ascii="仿宋" w:hAnsi="仿宋" w:eastAsia="仿宋" w:cs="仿宋"/>
                <w:color w:val="auto"/>
                <w:sz w:val="21"/>
                <w:szCs w:val="21"/>
                <w:highlight w:val="none"/>
                <w:vertAlign w:val="baseline"/>
                <w:lang w:val="en-US" w:eastAsia="zh-CN"/>
              </w:rPr>
            </w:pPr>
          </w:p>
        </w:tc>
      </w:tr>
      <w:tr w14:paraId="635DD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6A15BA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43</w:t>
            </w:r>
          </w:p>
        </w:tc>
        <w:tc>
          <w:tcPr>
            <w:tcW w:w="1386" w:type="dxa"/>
            <w:vAlign w:val="center"/>
          </w:tcPr>
          <w:p w14:paraId="503F13D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泌乳素校准品</w:t>
            </w:r>
          </w:p>
        </w:tc>
        <w:tc>
          <w:tcPr>
            <w:tcW w:w="1057" w:type="dxa"/>
            <w:vAlign w:val="center"/>
          </w:tcPr>
          <w:p w14:paraId="46FAED2A">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619031D">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66DDB6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95C5C18">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CA92F9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D28CAB1">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A5A6D1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3B4BF16">
            <w:pPr>
              <w:pStyle w:val="20"/>
              <w:jc w:val="center"/>
              <w:rPr>
                <w:rFonts w:hint="eastAsia" w:ascii="仿宋" w:hAnsi="仿宋" w:eastAsia="仿宋" w:cs="仿宋"/>
                <w:color w:val="auto"/>
                <w:sz w:val="21"/>
                <w:szCs w:val="21"/>
                <w:highlight w:val="none"/>
                <w:vertAlign w:val="baseline"/>
                <w:lang w:val="en-US" w:eastAsia="zh-CN"/>
              </w:rPr>
            </w:pPr>
          </w:p>
        </w:tc>
      </w:tr>
      <w:tr w14:paraId="7A9E6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5D9BD9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44</w:t>
            </w:r>
          </w:p>
        </w:tc>
        <w:tc>
          <w:tcPr>
            <w:tcW w:w="1386" w:type="dxa"/>
            <w:vAlign w:val="center"/>
          </w:tcPr>
          <w:p w14:paraId="7D0FF96F">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促黄体生成素校准品</w:t>
            </w:r>
          </w:p>
        </w:tc>
        <w:tc>
          <w:tcPr>
            <w:tcW w:w="1057" w:type="dxa"/>
            <w:vAlign w:val="center"/>
          </w:tcPr>
          <w:p w14:paraId="66E509C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D0955E8">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3B30A8DF">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C40455D">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E68B56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2A487AFE">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7D0E853">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6F4FC7B">
            <w:pPr>
              <w:pStyle w:val="20"/>
              <w:jc w:val="center"/>
              <w:rPr>
                <w:rFonts w:hint="eastAsia" w:ascii="仿宋" w:hAnsi="仿宋" w:eastAsia="仿宋" w:cs="仿宋"/>
                <w:color w:val="auto"/>
                <w:sz w:val="21"/>
                <w:szCs w:val="21"/>
                <w:highlight w:val="none"/>
                <w:vertAlign w:val="baseline"/>
                <w:lang w:val="en-US" w:eastAsia="zh-CN"/>
              </w:rPr>
            </w:pPr>
          </w:p>
        </w:tc>
      </w:tr>
      <w:tr w14:paraId="4F8C7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35A2FC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45</w:t>
            </w:r>
          </w:p>
        </w:tc>
        <w:tc>
          <w:tcPr>
            <w:tcW w:w="1386" w:type="dxa"/>
            <w:vAlign w:val="center"/>
          </w:tcPr>
          <w:p w14:paraId="237219BC">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促卵泡生成素校准品</w:t>
            </w:r>
          </w:p>
        </w:tc>
        <w:tc>
          <w:tcPr>
            <w:tcW w:w="1057" w:type="dxa"/>
            <w:vAlign w:val="center"/>
          </w:tcPr>
          <w:p w14:paraId="17DD82C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A1D235C">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5D54D5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FFAF36B">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ACEB48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52B5545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346A7E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FAD5255">
            <w:pPr>
              <w:pStyle w:val="20"/>
              <w:jc w:val="center"/>
              <w:rPr>
                <w:rFonts w:hint="eastAsia" w:ascii="仿宋" w:hAnsi="仿宋" w:eastAsia="仿宋" w:cs="仿宋"/>
                <w:color w:val="auto"/>
                <w:sz w:val="21"/>
                <w:szCs w:val="21"/>
                <w:highlight w:val="none"/>
                <w:vertAlign w:val="baseline"/>
                <w:lang w:val="en-US" w:eastAsia="zh-CN"/>
              </w:rPr>
            </w:pPr>
          </w:p>
        </w:tc>
      </w:tr>
      <w:tr w14:paraId="26C36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414BC5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46</w:t>
            </w:r>
          </w:p>
        </w:tc>
        <w:tc>
          <w:tcPr>
            <w:tcW w:w="1386" w:type="dxa"/>
            <w:vAlign w:val="center"/>
          </w:tcPr>
          <w:p w14:paraId="0EDFFBAA">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人绒毛膜促性腺激素校准品</w:t>
            </w:r>
          </w:p>
        </w:tc>
        <w:tc>
          <w:tcPr>
            <w:tcW w:w="1057" w:type="dxa"/>
            <w:vAlign w:val="center"/>
          </w:tcPr>
          <w:p w14:paraId="3E55A1B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4B4966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05EF85B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7428148">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6DBD38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26C5273C">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D5C636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3E9325E">
            <w:pPr>
              <w:pStyle w:val="20"/>
              <w:jc w:val="center"/>
              <w:rPr>
                <w:rFonts w:hint="eastAsia" w:ascii="仿宋" w:hAnsi="仿宋" w:eastAsia="仿宋" w:cs="仿宋"/>
                <w:color w:val="auto"/>
                <w:sz w:val="21"/>
                <w:szCs w:val="21"/>
                <w:highlight w:val="none"/>
                <w:vertAlign w:val="baseline"/>
                <w:lang w:val="en-US" w:eastAsia="zh-CN"/>
              </w:rPr>
            </w:pPr>
          </w:p>
        </w:tc>
      </w:tr>
      <w:tr w14:paraId="1DCB4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4AE4D0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47</w:t>
            </w:r>
          </w:p>
        </w:tc>
        <w:tc>
          <w:tcPr>
            <w:tcW w:w="1386" w:type="dxa"/>
            <w:vAlign w:val="center"/>
          </w:tcPr>
          <w:p w14:paraId="7038E16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胃蛋白酶原I校准品</w:t>
            </w:r>
          </w:p>
        </w:tc>
        <w:tc>
          <w:tcPr>
            <w:tcW w:w="1057" w:type="dxa"/>
            <w:vAlign w:val="center"/>
          </w:tcPr>
          <w:p w14:paraId="5AE1A6A0">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B4B3711">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54349303">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87B0C12">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8FB040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2D37BC83">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AB462F2">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5B65293">
            <w:pPr>
              <w:pStyle w:val="20"/>
              <w:jc w:val="center"/>
              <w:rPr>
                <w:rFonts w:hint="eastAsia" w:ascii="仿宋" w:hAnsi="仿宋" w:eastAsia="仿宋" w:cs="仿宋"/>
                <w:color w:val="auto"/>
                <w:sz w:val="21"/>
                <w:szCs w:val="21"/>
                <w:highlight w:val="none"/>
                <w:vertAlign w:val="baseline"/>
                <w:lang w:val="en-US" w:eastAsia="zh-CN"/>
              </w:rPr>
            </w:pPr>
          </w:p>
        </w:tc>
      </w:tr>
      <w:tr w14:paraId="75C55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8DE838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48</w:t>
            </w:r>
          </w:p>
        </w:tc>
        <w:tc>
          <w:tcPr>
            <w:tcW w:w="1386" w:type="dxa"/>
            <w:vAlign w:val="center"/>
          </w:tcPr>
          <w:p w14:paraId="1892F562">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胃蛋白酶原Ⅱ校准品</w:t>
            </w:r>
          </w:p>
        </w:tc>
        <w:tc>
          <w:tcPr>
            <w:tcW w:w="1057" w:type="dxa"/>
            <w:vAlign w:val="center"/>
          </w:tcPr>
          <w:p w14:paraId="7FBE6C90">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B7C4B41">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29D56D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AACBF6C">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002027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6098391">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7F927ED7">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6387C0C">
            <w:pPr>
              <w:pStyle w:val="20"/>
              <w:jc w:val="center"/>
              <w:rPr>
                <w:rFonts w:hint="eastAsia" w:ascii="仿宋" w:hAnsi="仿宋" w:eastAsia="仿宋" w:cs="仿宋"/>
                <w:color w:val="auto"/>
                <w:sz w:val="21"/>
                <w:szCs w:val="21"/>
                <w:highlight w:val="none"/>
                <w:vertAlign w:val="baseline"/>
                <w:lang w:val="en-US" w:eastAsia="zh-CN"/>
              </w:rPr>
            </w:pPr>
          </w:p>
        </w:tc>
      </w:tr>
      <w:tr w14:paraId="5D03A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1F53BE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49</w:t>
            </w:r>
          </w:p>
        </w:tc>
        <w:tc>
          <w:tcPr>
            <w:tcW w:w="1386" w:type="dxa"/>
            <w:vAlign w:val="center"/>
          </w:tcPr>
          <w:p w14:paraId="3113FCB3">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白介素6校准品</w:t>
            </w:r>
          </w:p>
        </w:tc>
        <w:tc>
          <w:tcPr>
            <w:tcW w:w="1057" w:type="dxa"/>
            <w:vAlign w:val="center"/>
          </w:tcPr>
          <w:p w14:paraId="04EA7FCA">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A0D3D98">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5EB00D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C71EB3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804F47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7E5A9C1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5701C93">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BE15E39">
            <w:pPr>
              <w:pStyle w:val="20"/>
              <w:jc w:val="center"/>
              <w:rPr>
                <w:rFonts w:hint="eastAsia" w:ascii="仿宋" w:hAnsi="仿宋" w:eastAsia="仿宋" w:cs="仿宋"/>
                <w:color w:val="auto"/>
                <w:sz w:val="21"/>
                <w:szCs w:val="21"/>
                <w:highlight w:val="none"/>
                <w:vertAlign w:val="baseline"/>
                <w:lang w:val="en-US" w:eastAsia="zh-CN"/>
              </w:rPr>
            </w:pPr>
          </w:p>
        </w:tc>
      </w:tr>
      <w:tr w14:paraId="21CAD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CE9EBB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50</w:t>
            </w:r>
          </w:p>
        </w:tc>
        <w:tc>
          <w:tcPr>
            <w:tcW w:w="1386" w:type="dxa"/>
            <w:vAlign w:val="center"/>
          </w:tcPr>
          <w:p w14:paraId="1D59A6A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铁蛋白校准品</w:t>
            </w:r>
          </w:p>
        </w:tc>
        <w:tc>
          <w:tcPr>
            <w:tcW w:w="1057" w:type="dxa"/>
            <w:vAlign w:val="center"/>
          </w:tcPr>
          <w:p w14:paraId="331C301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70E1536">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A2E0F87">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733659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DF1282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78D32D6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F7D5BEA">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5915407">
            <w:pPr>
              <w:pStyle w:val="20"/>
              <w:jc w:val="center"/>
              <w:rPr>
                <w:rFonts w:hint="eastAsia" w:ascii="仿宋" w:hAnsi="仿宋" w:eastAsia="仿宋" w:cs="仿宋"/>
                <w:color w:val="auto"/>
                <w:sz w:val="21"/>
                <w:szCs w:val="21"/>
                <w:highlight w:val="none"/>
                <w:vertAlign w:val="baseline"/>
                <w:lang w:val="en-US" w:eastAsia="zh-CN"/>
              </w:rPr>
            </w:pPr>
          </w:p>
        </w:tc>
      </w:tr>
      <w:tr w14:paraId="75300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2E59D1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51</w:t>
            </w:r>
          </w:p>
        </w:tc>
        <w:tc>
          <w:tcPr>
            <w:tcW w:w="1386" w:type="dxa"/>
            <w:vAlign w:val="center"/>
          </w:tcPr>
          <w:p w14:paraId="0F199E7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游离前列腺特异抗原(f-PSA)校准品</w:t>
            </w:r>
          </w:p>
        </w:tc>
        <w:tc>
          <w:tcPr>
            <w:tcW w:w="1057" w:type="dxa"/>
            <w:vAlign w:val="center"/>
          </w:tcPr>
          <w:p w14:paraId="7E959F9B">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90E5C1C">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0852CC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E2B4CC2">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3246C6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845C895">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AEC60BA">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22AE629D">
            <w:pPr>
              <w:pStyle w:val="20"/>
              <w:jc w:val="center"/>
              <w:rPr>
                <w:rFonts w:hint="eastAsia" w:ascii="仿宋" w:hAnsi="仿宋" w:eastAsia="仿宋" w:cs="仿宋"/>
                <w:color w:val="auto"/>
                <w:sz w:val="21"/>
                <w:szCs w:val="21"/>
                <w:highlight w:val="none"/>
                <w:vertAlign w:val="baseline"/>
                <w:lang w:val="en-US" w:eastAsia="zh-CN"/>
              </w:rPr>
            </w:pPr>
          </w:p>
        </w:tc>
      </w:tr>
      <w:tr w14:paraId="5A88B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8AE249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52</w:t>
            </w:r>
          </w:p>
        </w:tc>
        <w:tc>
          <w:tcPr>
            <w:tcW w:w="1386" w:type="dxa"/>
            <w:vAlign w:val="center"/>
          </w:tcPr>
          <w:p w14:paraId="79B64B3E">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糖类抗原19-9（CA19-9）校准品</w:t>
            </w:r>
          </w:p>
        </w:tc>
        <w:tc>
          <w:tcPr>
            <w:tcW w:w="1057" w:type="dxa"/>
            <w:vAlign w:val="center"/>
          </w:tcPr>
          <w:p w14:paraId="604C236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59BB79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55D287C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AD6A3A4">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89104E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AA11D0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7B07FFE">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BE17F21">
            <w:pPr>
              <w:pStyle w:val="20"/>
              <w:jc w:val="center"/>
              <w:rPr>
                <w:rFonts w:hint="eastAsia" w:ascii="仿宋" w:hAnsi="仿宋" w:eastAsia="仿宋" w:cs="仿宋"/>
                <w:color w:val="auto"/>
                <w:sz w:val="21"/>
                <w:szCs w:val="21"/>
                <w:highlight w:val="none"/>
                <w:vertAlign w:val="baseline"/>
                <w:lang w:val="en-US" w:eastAsia="zh-CN"/>
              </w:rPr>
            </w:pPr>
          </w:p>
        </w:tc>
      </w:tr>
      <w:tr w14:paraId="7CBA1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6B6B4D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53</w:t>
            </w:r>
          </w:p>
        </w:tc>
        <w:tc>
          <w:tcPr>
            <w:tcW w:w="1386" w:type="dxa"/>
            <w:vAlign w:val="center"/>
          </w:tcPr>
          <w:p w14:paraId="220CA7F1">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癌抗原15-3（CA15-3）校准品</w:t>
            </w:r>
          </w:p>
        </w:tc>
        <w:tc>
          <w:tcPr>
            <w:tcW w:w="1057" w:type="dxa"/>
            <w:vAlign w:val="center"/>
          </w:tcPr>
          <w:p w14:paraId="1A7AA8A3">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3B63830">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D61019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7865C68C">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4B6898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94D208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B10E461">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A4DA369">
            <w:pPr>
              <w:pStyle w:val="20"/>
              <w:jc w:val="center"/>
              <w:rPr>
                <w:rFonts w:hint="eastAsia" w:ascii="仿宋" w:hAnsi="仿宋" w:eastAsia="仿宋" w:cs="仿宋"/>
                <w:color w:val="auto"/>
                <w:sz w:val="21"/>
                <w:szCs w:val="21"/>
                <w:highlight w:val="none"/>
                <w:vertAlign w:val="baseline"/>
                <w:lang w:val="en-US" w:eastAsia="zh-CN"/>
              </w:rPr>
            </w:pPr>
          </w:p>
        </w:tc>
      </w:tr>
      <w:tr w14:paraId="21A18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5FDBE0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54</w:t>
            </w:r>
          </w:p>
        </w:tc>
        <w:tc>
          <w:tcPr>
            <w:tcW w:w="1386" w:type="dxa"/>
            <w:vAlign w:val="center"/>
          </w:tcPr>
          <w:p w14:paraId="2729F0F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神经元特异性烯醇化酶（NSE）校准品</w:t>
            </w:r>
          </w:p>
        </w:tc>
        <w:tc>
          <w:tcPr>
            <w:tcW w:w="1057" w:type="dxa"/>
            <w:vAlign w:val="center"/>
          </w:tcPr>
          <w:p w14:paraId="14F6A1F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5471A7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85F17E2">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F1BBC9B">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C54B16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1C28432">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504E214">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F1334E2">
            <w:pPr>
              <w:pStyle w:val="20"/>
              <w:jc w:val="center"/>
              <w:rPr>
                <w:rFonts w:hint="eastAsia" w:ascii="仿宋" w:hAnsi="仿宋" w:eastAsia="仿宋" w:cs="仿宋"/>
                <w:color w:val="auto"/>
                <w:sz w:val="21"/>
                <w:szCs w:val="21"/>
                <w:highlight w:val="none"/>
                <w:vertAlign w:val="baseline"/>
                <w:lang w:val="en-US" w:eastAsia="zh-CN"/>
              </w:rPr>
            </w:pPr>
          </w:p>
        </w:tc>
      </w:tr>
      <w:tr w14:paraId="7F78F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7D6323E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55</w:t>
            </w:r>
          </w:p>
        </w:tc>
        <w:tc>
          <w:tcPr>
            <w:tcW w:w="1386" w:type="dxa"/>
            <w:vAlign w:val="center"/>
          </w:tcPr>
          <w:p w14:paraId="49DDFC4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细胞角蛋白19片段（CYFRA21-1）校准品</w:t>
            </w:r>
          </w:p>
        </w:tc>
        <w:tc>
          <w:tcPr>
            <w:tcW w:w="1057" w:type="dxa"/>
            <w:vAlign w:val="center"/>
          </w:tcPr>
          <w:p w14:paraId="273B9774">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73B740DA">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58BA9C1">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58FC104">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0B8F25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4C5579DE">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2E884E4">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40AFD28">
            <w:pPr>
              <w:pStyle w:val="20"/>
              <w:jc w:val="center"/>
              <w:rPr>
                <w:rFonts w:hint="eastAsia" w:ascii="仿宋" w:hAnsi="仿宋" w:eastAsia="仿宋" w:cs="仿宋"/>
                <w:color w:val="auto"/>
                <w:sz w:val="21"/>
                <w:szCs w:val="21"/>
                <w:highlight w:val="none"/>
                <w:vertAlign w:val="baseline"/>
                <w:lang w:val="en-US" w:eastAsia="zh-CN"/>
              </w:rPr>
            </w:pPr>
          </w:p>
        </w:tc>
      </w:tr>
      <w:tr w14:paraId="7998D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2BF22C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56</w:t>
            </w:r>
          </w:p>
        </w:tc>
        <w:tc>
          <w:tcPr>
            <w:tcW w:w="1386" w:type="dxa"/>
            <w:vAlign w:val="center"/>
          </w:tcPr>
          <w:p w14:paraId="5C862C3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抗缪勒氏管激素（AMH)检测试剂盒（磁微粒化学发光法）</w:t>
            </w:r>
          </w:p>
        </w:tc>
        <w:tc>
          <w:tcPr>
            <w:tcW w:w="1057" w:type="dxa"/>
            <w:vAlign w:val="center"/>
          </w:tcPr>
          <w:p w14:paraId="5AA9925F">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57EFD08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A13921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2B05DA9">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7EDF1D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0672C33D">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E15C8F3">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0537850">
            <w:pPr>
              <w:pStyle w:val="20"/>
              <w:jc w:val="center"/>
              <w:rPr>
                <w:rFonts w:hint="eastAsia" w:ascii="仿宋" w:hAnsi="仿宋" w:eastAsia="仿宋" w:cs="仿宋"/>
                <w:color w:val="auto"/>
                <w:sz w:val="21"/>
                <w:szCs w:val="21"/>
                <w:highlight w:val="none"/>
                <w:vertAlign w:val="baseline"/>
                <w:lang w:val="en-US" w:eastAsia="zh-CN"/>
              </w:rPr>
            </w:pPr>
          </w:p>
        </w:tc>
      </w:tr>
      <w:tr w14:paraId="6731E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6B2B9E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57</w:t>
            </w:r>
          </w:p>
        </w:tc>
        <w:tc>
          <w:tcPr>
            <w:tcW w:w="1386" w:type="dxa"/>
            <w:vAlign w:val="center"/>
          </w:tcPr>
          <w:p w14:paraId="409B96DF">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游离人绒毛膜促性腺激素β亚单位校准品</w:t>
            </w:r>
          </w:p>
        </w:tc>
        <w:tc>
          <w:tcPr>
            <w:tcW w:w="1057" w:type="dxa"/>
            <w:vAlign w:val="center"/>
          </w:tcPr>
          <w:p w14:paraId="1B915732">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D38AD51">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9B5708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17EA24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7A0F3D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4E08E67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2E46B30D">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88942D6">
            <w:pPr>
              <w:pStyle w:val="20"/>
              <w:jc w:val="center"/>
              <w:rPr>
                <w:rFonts w:hint="eastAsia" w:ascii="仿宋" w:hAnsi="仿宋" w:eastAsia="仿宋" w:cs="仿宋"/>
                <w:color w:val="auto"/>
                <w:sz w:val="21"/>
                <w:szCs w:val="21"/>
                <w:highlight w:val="none"/>
                <w:vertAlign w:val="baseline"/>
                <w:lang w:val="en-US" w:eastAsia="zh-CN"/>
              </w:rPr>
            </w:pPr>
          </w:p>
        </w:tc>
      </w:tr>
      <w:tr w14:paraId="03C97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DF9190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58</w:t>
            </w:r>
          </w:p>
        </w:tc>
        <w:tc>
          <w:tcPr>
            <w:tcW w:w="1386" w:type="dxa"/>
            <w:vAlign w:val="center"/>
          </w:tcPr>
          <w:p w14:paraId="73DA639B">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性激素结合球蛋白校准品</w:t>
            </w:r>
          </w:p>
        </w:tc>
        <w:tc>
          <w:tcPr>
            <w:tcW w:w="1057" w:type="dxa"/>
            <w:vAlign w:val="center"/>
          </w:tcPr>
          <w:p w14:paraId="3BB45266">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6B6D127F">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5DA1F58">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D2C4455">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4374960">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980961B">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25F1333">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E615E9A">
            <w:pPr>
              <w:pStyle w:val="20"/>
              <w:jc w:val="center"/>
              <w:rPr>
                <w:rFonts w:hint="eastAsia" w:ascii="仿宋" w:hAnsi="仿宋" w:eastAsia="仿宋" w:cs="仿宋"/>
                <w:color w:val="auto"/>
                <w:sz w:val="21"/>
                <w:szCs w:val="21"/>
                <w:highlight w:val="none"/>
                <w:vertAlign w:val="baseline"/>
                <w:lang w:val="en-US" w:eastAsia="zh-CN"/>
              </w:rPr>
            </w:pPr>
          </w:p>
        </w:tc>
      </w:tr>
      <w:tr w14:paraId="0EC46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E4D4B8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59</w:t>
            </w:r>
          </w:p>
        </w:tc>
        <w:tc>
          <w:tcPr>
            <w:tcW w:w="1386" w:type="dxa"/>
            <w:vAlign w:val="center"/>
          </w:tcPr>
          <w:p w14:paraId="2C4C9ED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生长激素校准品</w:t>
            </w:r>
          </w:p>
        </w:tc>
        <w:tc>
          <w:tcPr>
            <w:tcW w:w="1057" w:type="dxa"/>
            <w:vAlign w:val="center"/>
          </w:tcPr>
          <w:p w14:paraId="51637182">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A662630">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8EC39A8">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71A4CDA7">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F1144E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6DF5327">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958ED85">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9F0F8B4">
            <w:pPr>
              <w:pStyle w:val="20"/>
              <w:jc w:val="center"/>
              <w:rPr>
                <w:rFonts w:hint="eastAsia" w:ascii="仿宋" w:hAnsi="仿宋" w:eastAsia="仿宋" w:cs="仿宋"/>
                <w:color w:val="auto"/>
                <w:sz w:val="21"/>
                <w:szCs w:val="21"/>
                <w:highlight w:val="none"/>
                <w:vertAlign w:val="baseline"/>
                <w:lang w:val="en-US" w:eastAsia="zh-CN"/>
              </w:rPr>
            </w:pPr>
          </w:p>
        </w:tc>
      </w:tr>
      <w:tr w14:paraId="06AB3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93D6FF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60</w:t>
            </w:r>
          </w:p>
        </w:tc>
        <w:tc>
          <w:tcPr>
            <w:tcW w:w="1386" w:type="dxa"/>
            <w:vAlign w:val="center"/>
          </w:tcPr>
          <w:p w14:paraId="3514D2D4">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促甲状腺激素校准品</w:t>
            </w:r>
          </w:p>
        </w:tc>
        <w:tc>
          <w:tcPr>
            <w:tcW w:w="1057" w:type="dxa"/>
            <w:vAlign w:val="center"/>
          </w:tcPr>
          <w:p w14:paraId="5CD4AD1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8DD8B5E">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46EF4B0">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55D5E77">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31F7FF4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7279955">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208867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8B8C552">
            <w:pPr>
              <w:pStyle w:val="20"/>
              <w:jc w:val="center"/>
              <w:rPr>
                <w:rFonts w:hint="eastAsia" w:ascii="仿宋" w:hAnsi="仿宋" w:eastAsia="仿宋" w:cs="仿宋"/>
                <w:color w:val="auto"/>
                <w:sz w:val="21"/>
                <w:szCs w:val="21"/>
                <w:highlight w:val="none"/>
                <w:vertAlign w:val="baseline"/>
                <w:lang w:val="en-US" w:eastAsia="zh-CN"/>
              </w:rPr>
            </w:pPr>
          </w:p>
        </w:tc>
      </w:tr>
      <w:tr w14:paraId="3DE7C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14260E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61</w:t>
            </w:r>
          </w:p>
        </w:tc>
        <w:tc>
          <w:tcPr>
            <w:tcW w:w="1386" w:type="dxa"/>
            <w:vAlign w:val="center"/>
          </w:tcPr>
          <w:p w14:paraId="46C091E0">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抗甲状腺过氧化物酶抗体校准品</w:t>
            </w:r>
          </w:p>
        </w:tc>
        <w:tc>
          <w:tcPr>
            <w:tcW w:w="1057" w:type="dxa"/>
            <w:vAlign w:val="center"/>
          </w:tcPr>
          <w:p w14:paraId="0B81FC8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13D31460">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0041A87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317B102">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019438D">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6C8FE561">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0862955">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62D2E95">
            <w:pPr>
              <w:pStyle w:val="20"/>
              <w:jc w:val="center"/>
              <w:rPr>
                <w:rFonts w:hint="eastAsia" w:ascii="仿宋" w:hAnsi="仿宋" w:eastAsia="仿宋" w:cs="仿宋"/>
                <w:color w:val="auto"/>
                <w:sz w:val="21"/>
                <w:szCs w:val="21"/>
                <w:highlight w:val="none"/>
                <w:vertAlign w:val="baseline"/>
                <w:lang w:val="en-US" w:eastAsia="zh-CN"/>
              </w:rPr>
            </w:pPr>
          </w:p>
        </w:tc>
      </w:tr>
      <w:tr w14:paraId="3BF2D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1A94D1A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62</w:t>
            </w:r>
          </w:p>
        </w:tc>
        <w:tc>
          <w:tcPr>
            <w:tcW w:w="1386" w:type="dxa"/>
            <w:vAlign w:val="center"/>
          </w:tcPr>
          <w:p w14:paraId="40F1DEEF">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抗甲状腺球蛋白抗体校准品</w:t>
            </w:r>
          </w:p>
        </w:tc>
        <w:tc>
          <w:tcPr>
            <w:tcW w:w="1057" w:type="dxa"/>
            <w:vAlign w:val="center"/>
          </w:tcPr>
          <w:p w14:paraId="73FAEC7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ACE11A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275D55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888D580">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F81D71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4DADDE36">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E0692F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4E969AFE">
            <w:pPr>
              <w:pStyle w:val="20"/>
              <w:jc w:val="center"/>
              <w:rPr>
                <w:rFonts w:hint="eastAsia" w:ascii="仿宋" w:hAnsi="仿宋" w:eastAsia="仿宋" w:cs="仿宋"/>
                <w:color w:val="auto"/>
                <w:sz w:val="21"/>
                <w:szCs w:val="21"/>
                <w:highlight w:val="none"/>
                <w:vertAlign w:val="baseline"/>
                <w:lang w:val="en-US" w:eastAsia="zh-CN"/>
              </w:rPr>
            </w:pPr>
          </w:p>
        </w:tc>
      </w:tr>
      <w:tr w14:paraId="43912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18AED9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63</w:t>
            </w:r>
          </w:p>
        </w:tc>
        <w:tc>
          <w:tcPr>
            <w:tcW w:w="1386" w:type="dxa"/>
            <w:vAlign w:val="center"/>
          </w:tcPr>
          <w:p w14:paraId="18BF445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促甲状腺激素受体抗体校准品</w:t>
            </w:r>
          </w:p>
        </w:tc>
        <w:tc>
          <w:tcPr>
            <w:tcW w:w="1057" w:type="dxa"/>
            <w:vAlign w:val="center"/>
          </w:tcPr>
          <w:p w14:paraId="0253A9B5">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C314EFD">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774EF85">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1691F23">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F88D21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21670D2E">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7D6C63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FF8FB84">
            <w:pPr>
              <w:pStyle w:val="20"/>
              <w:jc w:val="center"/>
              <w:rPr>
                <w:rFonts w:hint="eastAsia" w:ascii="仿宋" w:hAnsi="仿宋" w:eastAsia="仿宋" w:cs="仿宋"/>
                <w:color w:val="auto"/>
                <w:sz w:val="21"/>
                <w:szCs w:val="21"/>
                <w:highlight w:val="none"/>
                <w:vertAlign w:val="baseline"/>
                <w:lang w:val="en-US" w:eastAsia="zh-CN"/>
              </w:rPr>
            </w:pPr>
          </w:p>
        </w:tc>
      </w:tr>
      <w:tr w14:paraId="554C7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A1FB1B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64</w:t>
            </w:r>
          </w:p>
        </w:tc>
        <w:tc>
          <w:tcPr>
            <w:tcW w:w="1386" w:type="dxa"/>
            <w:vAlign w:val="center"/>
          </w:tcPr>
          <w:p w14:paraId="37CD4F9C">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乙型肝炎病毒表面抗原校准品</w:t>
            </w:r>
          </w:p>
        </w:tc>
        <w:tc>
          <w:tcPr>
            <w:tcW w:w="1057" w:type="dxa"/>
            <w:vAlign w:val="center"/>
          </w:tcPr>
          <w:p w14:paraId="1B6AF4C8">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52E08694">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E22A954">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F56FA6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72A15E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784A6BE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1D8CBDE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3F6A159A">
            <w:pPr>
              <w:pStyle w:val="20"/>
              <w:jc w:val="center"/>
              <w:rPr>
                <w:rFonts w:hint="eastAsia" w:ascii="仿宋" w:hAnsi="仿宋" w:eastAsia="仿宋" w:cs="仿宋"/>
                <w:color w:val="auto"/>
                <w:sz w:val="21"/>
                <w:szCs w:val="21"/>
                <w:highlight w:val="none"/>
                <w:vertAlign w:val="baseline"/>
                <w:lang w:val="en-US" w:eastAsia="zh-CN"/>
              </w:rPr>
            </w:pPr>
          </w:p>
        </w:tc>
      </w:tr>
      <w:tr w14:paraId="6C04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73FBD7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65</w:t>
            </w:r>
          </w:p>
        </w:tc>
        <w:tc>
          <w:tcPr>
            <w:tcW w:w="1386" w:type="dxa"/>
            <w:vAlign w:val="center"/>
          </w:tcPr>
          <w:p w14:paraId="2133B2C9">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C肽校准品</w:t>
            </w:r>
          </w:p>
        </w:tc>
        <w:tc>
          <w:tcPr>
            <w:tcW w:w="1057" w:type="dxa"/>
            <w:vAlign w:val="center"/>
          </w:tcPr>
          <w:p w14:paraId="0D17680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AD5ABF0">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5714BF3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4477F69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577078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7444FB37">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04FE0BC1">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2062034">
            <w:pPr>
              <w:pStyle w:val="20"/>
              <w:jc w:val="center"/>
              <w:rPr>
                <w:rFonts w:hint="eastAsia" w:ascii="仿宋" w:hAnsi="仿宋" w:eastAsia="仿宋" w:cs="仿宋"/>
                <w:color w:val="auto"/>
                <w:sz w:val="21"/>
                <w:szCs w:val="21"/>
                <w:highlight w:val="none"/>
                <w:vertAlign w:val="baseline"/>
                <w:lang w:val="en-US" w:eastAsia="zh-CN"/>
              </w:rPr>
            </w:pPr>
          </w:p>
        </w:tc>
      </w:tr>
      <w:tr w14:paraId="5DF26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23B67EC">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66</w:t>
            </w:r>
          </w:p>
        </w:tc>
        <w:tc>
          <w:tcPr>
            <w:tcW w:w="1386" w:type="dxa"/>
            <w:vAlign w:val="center"/>
          </w:tcPr>
          <w:p w14:paraId="7D617D3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清洗液</w:t>
            </w:r>
          </w:p>
        </w:tc>
        <w:tc>
          <w:tcPr>
            <w:tcW w:w="1057" w:type="dxa"/>
            <w:vAlign w:val="center"/>
          </w:tcPr>
          <w:p w14:paraId="45BBC107">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284671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09C9EB3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9042AC2">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60E58A8">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L</w:t>
            </w:r>
          </w:p>
        </w:tc>
        <w:tc>
          <w:tcPr>
            <w:tcW w:w="1575" w:type="dxa"/>
            <w:gridSpan w:val="2"/>
            <w:vAlign w:val="center"/>
          </w:tcPr>
          <w:p w14:paraId="605AE89A">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A17AD1D">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22A2FFE">
            <w:pPr>
              <w:pStyle w:val="20"/>
              <w:jc w:val="center"/>
              <w:rPr>
                <w:rFonts w:hint="eastAsia" w:ascii="仿宋" w:hAnsi="仿宋" w:eastAsia="仿宋" w:cs="仿宋"/>
                <w:color w:val="auto"/>
                <w:sz w:val="21"/>
                <w:szCs w:val="21"/>
                <w:highlight w:val="none"/>
                <w:vertAlign w:val="baseline"/>
                <w:lang w:val="en-US" w:eastAsia="zh-CN"/>
              </w:rPr>
            </w:pPr>
          </w:p>
        </w:tc>
      </w:tr>
      <w:tr w14:paraId="4146E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FE01DAE">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67</w:t>
            </w:r>
          </w:p>
        </w:tc>
        <w:tc>
          <w:tcPr>
            <w:tcW w:w="1386" w:type="dxa"/>
            <w:vAlign w:val="center"/>
          </w:tcPr>
          <w:p w14:paraId="490558EC">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管路清洗液</w:t>
            </w:r>
          </w:p>
        </w:tc>
        <w:tc>
          <w:tcPr>
            <w:tcW w:w="1057" w:type="dxa"/>
            <w:vAlign w:val="center"/>
          </w:tcPr>
          <w:p w14:paraId="73164A80">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2223FD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14A770C">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A1E0797">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D76F416">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L</w:t>
            </w:r>
          </w:p>
        </w:tc>
        <w:tc>
          <w:tcPr>
            <w:tcW w:w="1575" w:type="dxa"/>
            <w:gridSpan w:val="2"/>
            <w:vAlign w:val="center"/>
          </w:tcPr>
          <w:p w14:paraId="41BA98D6">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6995C4F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CDCB78D">
            <w:pPr>
              <w:pStyle w:val="20"/>
              <w:jc w:val="center"/>
              <w:rPr>
                <w:rFonts w:hint="eastAsia" w:ascii="仿宋" w:hAnsi="仿宋" w:eastAsia="仿宋" w:cs="仿宋"/>
                <w:color w:val="auto"/>
                <w:sz w:val="21"/>
                <w:szCs w:val="21"/>
                <w:highlight w:val="none"/>
                <w:vertAlign w:val="baseline"/>
                <w:lang w:val="en-US" w:eastAsia="zh-CN"/>
              </w:rPr>
            </w:pPr>
          </w:p>
        </w:tc>
      </w:tr>
      <w:tr w14:paraId="66CB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317D52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68</w:t>
            </w:r>
          </w:p>
        </w:tc>
        <w:tc>
          <w:tcPr>
            <w:tcW w:w="1386" w:type="dxa"/>
            <w:vAlign w:val="center"/>
          </w:tcPr>
          <w:p w14:paraId="5378A0D8">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探针清洗液</w:t>
            </w:r>
          </w:p>
        </w:tc>
        <w:tc>
          <w:tcPr>
            <w:tcW w:w="1057" w:type="dxa"/>
            <w:vAlign w:val="center"/>
          </w:tcPr>
          <w:p w14:paraId="0C07D13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F7D937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E2DD916">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3DF2275">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129A5A23">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15609D9F">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C03533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192AA94">
            <w:pPr>
              <w:pStyle w:val="20"/>
              <w:jc w:val="center"/>
              <w:rPr>
                <w:rFonts w:hint="eastAsia" w:ascii="仿宋" w:hAnsi="仿宋" w:eastAsia="仿宋" w:cs="仿宋"/>
                <w:color w:val="auto"/>
                <w:sz w:val="21"/>
                <w:szCs w:val="21"/>
                <w:highlight w:val="none"/>
                <w:vertAlign w:val="baseline"/>
                <w:lang w:val="en-US" w:eastAsia="zh-CN"/>
              </w:rPr>
            </w:pPr>
          </w:p>
        </w:tc>
      </w:tr>
      <w:tr w14:paraId="044E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5A051AF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69</w:t>
            </w:r>
          </w:p>
        </w:tc>
        <w:tc>
          <w:tcPr>
            <w:tcW w:w="1386" w:type="dxa"/>
            <w:vAlign w:val="center"/>
          </w:tcPr>
          <w:p w14:paraId="4F7771EB">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浓缩管路清洗液</w:t>
            </w:r>
          </w:p>
        </w:tc>
        <w:tc>
          <w:tcPr>
            <w:tcW w:w="1057" w:type="dxa"/>
            <w:vAlign w:val="center"/>
          </w:tcPr>
          <w:p w14:paraId="20C66CFE">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45B4F132">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4ABB467">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674CD15B">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3ACB2C5">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L</w:t>
            </w:r>
          </w:p>
        </w:tc>
        <w:tc>
          <w:tcPr>
            <w:tcW w:w="1575" w:type="dxa"/>
            <w:gridSpan w:val="2"/>
            <w:vAlign w:val="center"/>
          </w:tcPr>
          <w:p w14:paraId="32D1F921">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E3DB2D4">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12D9A08E">
            <w:pPr>
              <w:pStyle w:val="20"/>
              <w:jc w:val="center"/>
              <w:rPr>
                <w:rFonts w:hint="eastAsia" w:ascii="仿宋" w:hAnsi="仿宋" w:eastAsia="仿宋" w:cs="仿宋"/>
                <w:color w:val="auto"/>
                <w:sz w:val="21"/>
                <w:szCs w:val="21"/>
                <w:highlight w:val="none"/>
                <w:vertAlign w:val="baseline"/>
                <w:lang w:val="en-US" w:eastAsia="zh-CN"/>
              </w:rPr>
            </w:pPr>
          </w:p>
        </w:tc>
      </w:tr>
      <w:tr w14:paraId="7E889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62FC932">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70</w:t>
            </w:r>
          </w:p>
        </w:tc>
        <w:tc>
          <w:tcPr>
            <w:tcW w:w="1386" w:type="dxa"/>
            <w:vAlign w:val="center"/>
          </w:tcPr>
          <w:p w14:paraId="30CDEEF5">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癌抗原125检测试剂盒（磁微粒化学发光法）</w:t>
            </w:r>
          </w:p>
        </w:tc>
        <w:tc>
          <w:tcPr>
            <w:tcW w:w="1057" w:type="dxa"/>
            <w:vAlign w:val="center"/>
          </w:tcPr>
          <w:p w14:paraId="0BAE378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F3F0AE7">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1C3B9809">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6BD838C">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27C83BE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测试</w:t>
            </w:r>
          </w:p>
        </w:tc>
        <w:tc>
          <w:tcPr>
            <w:tcW w:w="1575" w:type="dxa"/>
            <w:gridSpan w:val="2"/>
            <w:vAlign w:val="center"/>
          </w:tcPr>
          <w:p w14:paraId="5C72AC02">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7E79D7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0F624CDD">
            <w:pPr>
              <w:pStyle w:val="20"/>
              <w:jc w:val="center"/>
              <w:rPr>
                <w:rFonts w:hint="eastAsia" w:ascii="仿宋" w:hAnsi="仿宋" w:eastAsia="仿宋" w:cs="仿宋"/>
                <w:color w:val="auto"/>
                <w:sz w:val="21"/>
                <w:szCs w:val="21"/>
                <w:highlight w:val="none"/>
                <w:vertAlign w:val="baseline"/>
                <w:lang w:val="en-US" w:eastAsia="zh-CN"/>
              </w:rPr>
            </w:pPr>
          </w:p>
        </w:tc>
      </w:tr>
      <w:tr w14:paraId="0C6AF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6A516C3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71</w:t>
            </w:r>
          </w:p>
        </w:tc>
        <w:tc>
          <w:tcPr>
            <w:tcW w:w="1386" w:type="dxa"/>
            <w:vAlign w:val="center"/>
          </w:tcPr>
          <w:p w14:paraId="4E575893">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癌胚抗原125校准品</w:t>
            </w:r>
          </w:p>
        </w:tc>
        <w:tc>
          <w:tcPr>
            <w:tcW w:w="1057" w:type="dxa"/>
            <w:vAlign w:val="center"/>
          </w:tcPr>
          <w:p w14:paraId="53A42B6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56E3655">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B3559CB">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23ED3B41">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0DEDA39">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2A7436D">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ADA90D0">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4007FB24">
            <w:pPr>
              <w:pStyle w:val="20"/>
              <w:jc w:val="center"/>
              <w:rPr>
                <w:rFonts w:hint="eastAsia" w:ascii="仿宋" w:hAnsi="仿宋" w:eastAsia="仿宋" w:cs="仿宋"/>
                <w:color w:val="auto"/>
                <w:sz w:val="21"/>
                <w:szCs w:val="21"/>
                <w:highlight w:val="none"/>
                <w:vertAlign w:val="baseline"/>
                <w:lang w:val="en-US" w:eastAsia="zh-CN"/>
              </w:rPr>
            </w:pPr>
          </w:p>
        </w:tc>
      </w:tr>
      <w:tr w14:paraId="23404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3F070594">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72</w:t>
            </w:r>
          </w:p>
        </w:tc>
        <w:tc>
          <w:tcPr>
            <w:tcW w:w="1386" w:type="dxa"/>
            <w:vAlign w:val="center"/>
          </w:tcPr>
          <w:p w14:paraId="1718B6EC">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鳞状上皮细胞癌抗原校准品</w:t>
            </w:r>
          </w:p>
        </w:tc>
        <w:tc>
          <w:tcPr>
            <w:tcW w:w="1057" w:type="dxa"/>
            <w:vAlign w:val="center"/>
          </w:tcPr>
          <w:p w14:paraId="1FE98BF4">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30B39816">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A1E8320">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0CB3B2FB">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4E3F76B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2DF3D0FD">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54B0FBC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2C8B094">
            <w:pPr>
              <w:pStyle w:val="20"/>
              <w:jc w:val="center"/>
              <w:rPr>
                <w:rFonts w:hint="eastAsia" w:ascii="仿宋" w:hAnsi="仿宋" w:eastAsia="仿宋" w:cs="仿宋"/>
                <w:color w:val="auto"/>
                <w:sz w:val="21"/>
                <w:szCs w:val="21"/>
                <w:highlight w:val="none"/>
                <w:vertAlign w:val="baseline"/>
                <w:lang w:val="en-US" w:eastAsia="zh-CN"/>
              </w:rPr>
            </w:pPr>
          </w:p>
        </w:tc>
      </w:tr>
      <w:tr w14:paraId="1E288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7B8A574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73</w:t>
            </w:r>
          </w:p>
        </w:tc>
        <w:tc>
          <w:tcPr>
            <w:tcW w:w="1386" w:type="dxa"/>
            <w:vAlign w:val="center"/>
          </w:tcPr>
          <w:p w14:paraId="538A0556">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胃泌素释放肽前体校准品</w:t>
            </w:r>
          </w:p>
        </w:tc>
        <w:tc>
          <w:tcPr>
            <w:tcW w:w="1057" w:type="dxa"/>
            <w:vAlign w:val="center"/>
          </w:tcPr>
          <w:p w14:paraId="262AC44C">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255397F0">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49B9538A">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5A7523F">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657BA40B">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02F1D7C1">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FBFB10E">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5035FB40">
            <w:pPr>
              <w:pStyle w:val="20"/>
              <w:jc w:val="center"/>
              <w:rPr>
                <w:rFonts w:hint="eastAsia" w:ascii="仿宋" w:hAnsi="仿宋" w:eastAsia="仿宋" w:cs="仿宋"/>
                <w:color w:val="auto"/>
                <w:sz w:val="21"/>
                <w:szCs w:val="21"/>
                <w:highlight w:val="none"/>
                <w:vertAlign w:val="baseline"/>
                <w:lang w:val="en-US" w:eastAsia="zh-CN"/>
              </w:rPr>
            </w:pPr>
          </w:p>
        </w:tc>
      </w:tr>
      <w:tr w14:paraId="31933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04E738E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74</w:t>
            </w:r>
          </w:p>
        </w:tc>
        <w:tc>
          <w:tcPr>
            <w:tcW w:w="1386" w:type="dxa"/>
            <w:vAlign w:val="center"/>
          </w:tcPr>
          <w:p w14:paraId="2BEF8204">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抗缪勒氏管激素校准品</w:t>
            </w:r>
          </w:p>
        </w:tc>
        <w:tc>
          <w:tcPr>
            <w:tcW w:w="1057" w:type="dxa"/>
            <w:vAlign w:val="center"/>
          </w:tcPr>
          <w:p w14:paraId="6E859EED">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0CDF425">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69A12AFF">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385D3AAC">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7705B6B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3B8DC79">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7113DF7">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FA47D22">
            <w:pPr>
              <w:pStyle w:val="20"/>
              <w:jc w:val="center"/>
              <w:rPr>
                <w:rFonts w:hint="eastAsia" w:ascii="仿宋" w:hAnsi="仿宋" w:eastAsia="仿宋" w:cs="仿宋"/>
                <w:color w:val="auto"/>
                <w:sz w:val="21"/>
                <w:szCs w:val="21"/>
                <w:highlight w:val="none"/>
                <w:vertAlign w:val="baseline"/>
                <w:lang w:val="en-US" w:eastAsia="zh-CN"/>
              </w:rPr>
            </w:pPr>
          </w:p>
        </w:tc>
      </w:tr>
      <w:tr w14:paraId="13EFD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251080C1">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75</w:t>
            </w:r>
          </w:p>
        </w:tc>
        <w:tc>
          <w:tcPr>
            <w:tcW w:w="1386" w:type="dxa"/>
            <w:vAlign w:val="center"/>
          </w:tcPr>
          <w:p w14:paraId="0AD7AC24">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游离三碘甲状腺原氨酸校准品</w:t>
            </w:r>
          </w:p>
        </w:tc>
        <w:tc>
          <w:tcPr>
            <w:tcW w:w="1057" w:type="dxa"/>
            <w:vAlign w:val="center"/>
          </w:tcPr>
          <w:p w14:paraId="6EB7F363">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E278C83">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744E3130">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10915630">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D4A103F">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3C2B1E6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38567A36">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7087213E">
            <w:pPr>
              <w:pStyle w:val="20"/>
              <w:jc w:val="center"/>
              <w:rPr>
                <w:rFonts w:hint="eastAsia" w:ascii="仿宋" w:hAnsi="仿宋" w:eastAsia="仿宋" w:cs="仿宋"/>
                <w:color w:val="auto"/>
                <w:sz w:val="21"/>
                <w:szCs w:val="21"/>
                <w:highlight w:val="none"/>
                <w:vertAlign w:val="baseline"/>
                <w:lang w:val="en-US" w:eastAsia="zh-CN"/>
              </w:rPr>
            </w:pPr>
          </w:p>
        </w:tc>
      </w:tr>
      <w:tr w14:paraId="4916C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57" w:type="dxa"/>
            <w:vAlign w:val="center"/>
          </w:tcPr>
          <w:p w14:paraId="4604A04A">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76</w:t>
            </w:r>
          </w:p>
        </w:tc>
        <w:tc>
          <w:tcPr>
            <w:tcW w:w="1386" w:type="dxa"/>
            <w:vAlign w:val="center"/>
          </w:tcPr>
          <w:p w14:paraId="5BA7D7AD">
            <w:pPr>
              <w:keepNext w:val="0"/>
              <w:keepLines w:val="0"/>
              <w:widowControl/>
              <w:suppressLineNumbers w:val="0"/>
              <w:jc w:val="left"/>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游离甲状腺素校准品（FT4 Calibrator）</w:t>
            </w:r>
          </w:p>
        </w:tc>
        <w:tc>
          <w:tcPr>
            <w:tcW w:w="1057" w:type="dxa"/>
            <w:vAlign w:val="center"/>
          </w:tcPr>
          <w:p w14:paraId="64BBBC0A">
            <w:pPr>
              <w:keepNext w:val="0"/>
              <w:keepLines w:val="0"/>
              <w:widowControl/>
              <w:suppressLineNumbers w:val="0"/>
              <w:jc w:val="left"/>
              <w:textAlignment w:val="center"/>
              <w:rPr>
                <w:rFonts w:hint="eastAsia" w:ascii="仿宋" w:hAnsi="仿宋" w:eastAsia="仿宋" w:cs="仿宋"/>
                <w:i w:val="0"/>
                <w:iCs w:val="0"/>
                <w:color w:val="000000"/>
                <w:kern w:val="0"/>
                <w:sz w:val="18"/>
                <w:szCs w:val="18"/>
                <w:u w:val="none"/>
                <w:lang w:val="en-US" w:eastAsia="zh-CN" w:bidi="ar"/>
              </w:rPr>
            </w:pPr>
          </w:p>
        </w:tc>
        <w:tc>
          <w:tcPr>
            <w:tcW w:w="1057" w:type="dxa"/>
            <w:vAlign w:val="center"/>
          </w:tcPr>
          <w:p w14:paraId="017A7E48">
            <w:pPr>
              <w:pStyle w:val="20"/>
              <w:jc w:val="center"/>
              <w:rPr>
                <w:rFonts w:hint="eastAsia" w:ascii="仿宋" w:hAnsi="仿宋" w:eastAsia="仿宋" w:cs="仿宋"/>
                <w:color w:val="auto"/>
                <w:sz w:val="21"/>
                <w:szCs w:val="21"/>
                <w:highlight w:val="none"/>
                <w:vertAlign w:val="baseline"/>
                <w:lang w:val="en-US" w:eastAsia="zh-CN"/>
              </w:rPr>
            </w:pPr>
          </w:p>
        </w:tc>
        <w:tc>
          <w:tcPr>
            <w:tcW w:w="754" w:type="dxa"/>
            <w:vAlign w:val="center"/>
          </w:tcPr>
          <w:p w14:paraId="237910FD">
            <w:pPr>
              <w:pStyle w:val="20"/>
              <w:jc w:val="center"/>
              <w:rPr>
                <w:rFonts w:hint="eastAsia" w:ascii="仿宋" w:hAnsi="仿宋" w:eastAsia="仿宋" w:cs="仿宋"/>
                <w:color w:val="auto"/>
                <w:sz w:val="21"/>
                <w:szCs w:val="21"/>
                <w:highlight w:val="none"/>
                <w:vertAlign w:val="baseline"/>
                <w:lang w:val="en-US" w:eastAsia="zh-CN"/>
              </w:rPr>
            </w:pPr>
          </w:p>
        </w:tc>
        <w:tc>
          <w:tcPr>
            <w:tcW w:w="1214" w:type="dxa"/>
            <w:vAlign w:val="center"/>
          </w:tcPr>
          <w:p w14:paraId="53933473">
            <w:pPr>
              <w:pStyle w:val="20"/>
              <w:jc w:val="center"/>
              <w:rPr>
                <w:rFonts w:hint="eastAsia" w:ascii="仿宋" w:hAnsi="仿宋" w:eastAsia="仿宋" w:cs="仿宋"/>
                <w:color w:val="auto"/>
                <w:sz w:val="21"/>
                <w:szCs w:val="21"/>
                <w:highlight w:val="none"/>
                <w:vertAlign w:val="baseline"/>
                <w:lang w:val="en-US" w:eastAsia="zh-CN"/>
              </w:rPr>
            </w:pPr>
          </w:p>
        </w:tc>
        <w:tc>
          <w:tcPr>
            <w:tcW w:w="766" w:type="dxa"/>
            <w:vAlign w:val="center"/>
          </w:tcPr>
          <w:p w14:paraId="51152817">
            <w:pPr>
              <w:keepNext w:val="0"/>
              <w:keepLines w:val="0"/>
              <w:widowControl/>
              <w:suppressLineNumbers w:val="0"/>
              <w:jc w:val="center"/>
              <w:textAlignment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i w:val="0"/>
                <w:iCs w:val="0"/>
                <w:color w:val="000000"/>
                <w:kern w:val="0"/>
                <w:sz w:val="18"/>
                <w:szCs w:val="18"/>
                <w:u w:val="none"/>
                <w:lang w:val="en-US" w:eastAsia="zh-CN" w:bidi="ar"/>
              </w:rPr>
              <w:t>mL</w:t>
            </w:r>
          </w:p>
        </w:tc>
        <w:tc>
          <w:tcPr>
            <w:tcW w:w="1575" w:type="dxa"/>
            <w:gridSpan w:val="2"/>
            <w:vAlign w:val="center"/>
          </w:tcPr>
          <w:p w14:paraId="462CB9A4">
            <w:pPr>
              <w:pStyle w:val="20"/>
              <w:jc w:val="center"/>
              <w:rPr>
                <w:rFonts w:hint="eastAsia" w:ascii="仿宋" w:hAnsi="仿宋" w:eastAsia="仿宋" w:cs="仿宋"/>
                <w:color w:val="auto"/>
                <w:sz w:val="21"/>
                <w:szCs w:val="21"/>
                <w:highlight w:val="none"/>
                <w:vertAlign w:val="baseline"/>
                <w:lang w:val="en-US" w:eastAsia="zh-CN"/>
              </w:rPr>
            </w:pPr>
          </w:p>
        </w:tc>
        <w:tc>
          <w:tcPr>
            <w:tcW w:w="2230" w:type="dxa"/>
            <w:vAlign w:val="center"/>
          </w:tcPr>
          <w:p w14:paraId="49B9BCDC">
            <w:pPr>
              <w:pStyle w:val="20"/>
              <w:jc w:val="center"/>
              <w:rPr>
                <w:rFonts w:hint="eastAsia" w:ascii="仿宋" w:hAnsi="仿宋" w:eastAsia="仿宋" w:cs="仿宋"/>
                <w:color w:val="auto"/>
                <w:sz w:val="21"/>
                <w:szCs w:val="21"/>
                <w:highlight w:val="none"/>
                <w:vertAlign w:val="baseline"/>
                <w:lang w:val="en-US" w:eastAsia="zh-CN"/>
              </w:rPr>
            </w:pPr>
          </w:p>
        </w:tc>
        <w:tc>
          <w:tcPr>
            <w:tcW w:w="936" w:type="dxa"/>
            <w:vAlign w:val="center"/>
          </w:tcPr>
          <w:p w14:paraId="6E7D7DFD">
            <w:pPr>
              <w:pStyle w:val="20"/>
              <w:jc w:val="center"/>
              <w:rPr>
                <w:rFonts w:hint="eastAsia" w:ascii="仿宋" w:hAnsi="仿宋" w:eastAsia="仿宋" w:cs="仿宋"/>
                <w:color w:val="auto"/>
                <w:sz w:val="21"/>
                <w:szCs w:val="21"/>
                <w:highlight w:val="none"/>
                <w:vertAlign w:val="baseline"/>
                <w:lang w:val="en-US" w:eastAsia="zh-CN"/>
              </w:rPr>
            </w:pPr>
          </w:p>
        </w:tc>
      </w:tr>
      <w:tr w14:paraId="41249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409" w:type="dxa"/>
            <w:gridSpan w:val="8"/>
            <w:vAlign w:val="center"/>
          </w:tcPr>
          <w:p w14:paraId="70DFA192">
            <w:pPr>
              <w:pStyle w:val="2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合计（元）</w:t>
            </w:r>
          </w:p>
        </w:tc>
        <w:tc>
          <w:tcPr>
            <w:tcW w:w="1057" w:type="dxa"/>
            <w:vAlign w:val="center"/>
          </w:tcPr>
          <w:p w14:paraId="2C2C0A30">
            <w:pPr>
              <w:pStyle w:val="20"/>
              <w:jc w:val="center"/>
              <w:rPr>
                <w:rFonts w:hint="eastAsia" w:ascii="仿宋" w:hAnsi="仿宋" w:eastAsia="仿宋" w:cs="仿宋"/>
                <w:color w:val="auto"/>
                <w:sz w:val="21"/>
                <w:szCs w:val="21"/>
                <w:highlight w:val="none"/>
                <w:vertAlign w:val="baseline"/>
                <w:lang w:val="en-US" w:eastAsia="zh-CN"/>
              </w:rPr>
            </w:pPr>
          </w:p>
        </w:tc>
        <w:tc>
          <w:tcPr>
            <w:tcW w:w="3166" w:type="dxa"/>
            <w:gridSpan w:val="2"/>
            <w:vAlign w:val="center"/>
          </w:tcPr>
          <w:p w14:paraId="3AEB968F">
            <w:pPr>
              <w:pStyle w:val="20"/>
              <w:jc w:val="center"/>
              <w:rPr>
                <w:rFonts w:hint="eastAsia" w:ascii="仿宋" w:hAnsi="仿宋" w:eastAsia="仿宋" w:cs="仿宋"/>
                <w:color w:val="auto"/>
                <w:sz w:val="21"/>
                <w:szCs w:val="21"/>
                <w:highlight w:val="none"/>
                <w:vertAlign w:val="baseline"/>
                <w:lang w:val="en-US" w:eastAsia="zh-CN"/>
              </w:rPr>
            </w:pPr>
          </w:p>
        </w:tc>
      </w:tr>
    </w:tbl>
    <w:p w14:paraId="0849C4C3">
      <w:pPr>
        <w:pStyle w:val="20"/>
        <w:ind w:left="0" w:leftChars="0" w:firstLine="0" w:firstLineChars="0"/>
        <w:rPr>
          <w:rFonts w:hint="eastAsia" w:ascii="仿宋" w:hAnsi="仿宋" w:eastAsia="仿宋" w:cs="仿宋"/>
          <w:color w:val="auto"/>
          <w:highlight w:val="none"/>
          <w:lang w:val="en-US" w:eastAsia="zh-CN"/>
        </w:rPr>
      </w:pPr>
    </w:p>
    <w:p w14:paraId="1B1463FA">
      <w:pPr>
        <w:pStyle w:val="17"/>
        <w:rPr>
          <w:rFonts w:hint="eastAsia" w:ascii="仿宋" w:hAnsi="仿宋" w:eastAsia="仿宋" w:cs="仿宋"/>
          <w:color w:val="auto"/>
          <w:highlight w:val="none"/>
          <w:lang w:val="en-US" w:eastAsia="zh-CN"/>
        </w:rPr>
      </w:pPr>
    </w:p>
    <w:p w14:paraId="57FBEA7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注：1.本表应按包分别填写，本表中的序号、品目名称、最小单位与采购需求中的相对应，投标人不得改变、调整。</w:t>
      </w:r>
    </w:p>
    <w:p w14:paraId="305D48E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2.如果不提供分项报价将视为没有实质性响应招标文件。</w:t>
      </w:r>
    </w:p>
    <w:p w14:paraId="2B84A4E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3.上述各项的详细规格（如有），可另页描述。</w:t>
      </w:r>
    </w:p>
    <w:p w14:paraId="511D7590">
      <w:pPr>
        <w:spacing w:line="360" w:lineRule="auto"/>
        <w:rPr>
          <w:rFonts w:hint="eastAsia" w:ascii="仿宋" w:hAnsi="仿宋" w:eastAsia="仿宋" w:cs="仿宋"/>
          <w:color w:val="auto"/>
          <w:sz w:val="24"/>
          <w:szCs w:val="24"/>
          <w:highlight w:val="none"/>
          <w:lang w:val="en-US" w:eastAsia="zh-CN"/>
        </w:rPr>
      </w:pPr>
    </w:p>
    <w:p w14:paraId="15AC4365">
      <w:pPr>
        <w:pStyle w:val="10"/>
        <w:tabs>
          <w:tab w:val="left" w:pos="1920"/>
          <w:tab w:val="left" w:pos="3840"/>
        </w:tabs>
        <w:rPr>
          <w:rFonts w:ascii="仿宋" w:hAnsi="仿宋" w:eastAsia="仿宋" w:cs="仿宋"/>
          <w:sz w:val="21"/>
          <w:szCs w:val="21"/>
          <w:highlight w:val="none"/>
        </w:rPr>
      </w:pPr>
      <w:r>
        <w:rPr>
          <w:rFonts w:hint="eastAsia" w:ascii="仿宋" w:hAnsi="仿宋" w:eastAsia="仿宋" w:cs="仿宋"/>
          <w:sz w:val="21"/>
          <w:szCs w:val="21"/>
          <w:highlight w:val="none"/>
          <w:lang w:val="en-US"/>
        </w:rPr>
        <w:t>投标人</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（公章）</w:t>
      </w:r>
    </w:p>
    <w:p w14:paraId="151A4294">
      <w:pPr>
        <w:pStyle w:val="10"/>
        <w:tabs>
          <w:tab w:val="left" w:pos="1920"/>
          <w:tab w:val="left" w:pos="3840"/>
        </w:tabs>
        <w:ind w:left="360" w:firstLine="422"/>
        <w:rPr>
          <w:rFonts w:hint="eastAsia" w:ascii="仿宋" w:hAnsi="仿宋" w:eastAsia="仿宋" w:cs="仿宋"/>
          <w:sz w:val="21"/>
          <w:szCs w:val="21"/>
          <w:highlight w:val="none"/>
          <w:lang w:val="en-US"/>
        </w:rPr>
      </w:pPr>
    </w:p>
    <w:p w14:paraId="5E4270B6">
      <w:pPr>
        <w:pStyle w:val="10"/>
        <w:tabs>
          <w:tab w:val="left" w:pos="1920"/>
          <w:tab w:val="left" w:pos="3840"/>
        </w:tabs>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 xml:space="preserve">法人代表或其授权人： </w:t>
      </w:r>
      <w:r>
        <w:rPr>
          <w:rFonts w:hint="eastAsia" w:ascii="仿宋" w:hAnsi="仿宋" w:eastAsia="仿宋" w:cs="仿宋"/>
          <w:sz w:val="21"/>
          <w:szCs w:val="21"/>
          <w:highlight w:val="none"/>
          <w:u w:val="single"/>
          <w:lang w:val="en-US"/>
        </w:rPr>
        <w:tab/>
      </w:r>
      <w:r>
        <w:rPr>
          <w:rFonts w:hint="eastAsia" w:ascii="仿宋" w:hAnsi="仿宋" w:eastAsia="仿宋" w:cs="仿宋"/>
          <w:sz w:val="21"/>
          <w:szCs w:val="21"/>
          <w:highlight w:val="none"/>
          <w:u w:val="single"/>
          <w:lang w:val="en-US"/>
        </w:rPr>
        <w:t xml:space="preserve">      （</w:t>
      </w:r>
      <w:r>
        <w:rPr>
          <w:rFonts w:hint="eastAsia" w:ascii="仿宋" w:hAnsi="仿宋" w:eastAsia="仿宋" w:cs="仿宋"/>
          <w:sz w:val="21"/>
          <w:szCs w:val="21"/>
          <w:highlight w:val="none"/>
          <w:lang w:val="en-US"/>
        </w:rPr>
        <w:t>签字或盖章）</w:t>
      </w:r>
      <w:r>
        <w:rPr>
          <w:rFonts w:hint="eastAsia" w:ascii="仿宋" w:hAnsi="仿宋" w:eastAsia="仿宋" w:cs="仿宋"/>
          <w:sz w:val="21"/>
          <w:szCs w:val="21"/>
          <w:highlight w:val="none"/>
          <w:lang w:val="en-US"/>
        </w:rPr>
        <w:tab/>
      </w:r>
    </w:p>
    <w:p w14:paraId="7DF5174F">
      <w:pPr>
        <w:rPr>
          <w:rFonts w:hint="eastAsia" w:ascii="仿宋" w:hAnsi="仿宋" w:eastAsia="仿宋" w:cs="仿宋"/>
          <w:color w:val="auto"/>
          <w:highlight w:val="none"/>
          <w:lang w:val="en-US" w:eastAsia="zh-CN"/>
        </w:rPr>
      </w:pPr>
      <w:r>
        <w:rPr>
          <w:rFonts w:hint="eastAsia" w:ascii="仿宋" w:hAnsi="仿宋" w:eastAsia="仿宋" w:cs="仿宋"/>
          <w:sz w:val="21"/>
          <w:szCs w:val="21"/>
          <w:highlight w:val="none"/>
        </w:rPr>
        <w:t>日期：</w:t>
      </w:r>
      <w:r>
        <w:rPr>
          <w:rFonts w:hint="eastAsia" w:ascii="仿宋" w:hAnsi="仿宋" w:eastAsia="仿宋" w:cs="仿宋"/>
          <w:sz w:val="21"/>
          <w:szCs w:val="21"/>
          <w:highlight w:val="none"/>
          <w:lang w:val="en-US" w:eastAsia="zh-CN"/>
        </w:rPr>
        <w:t xml:space="preserve"> </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rPr>
        <w:t>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rPr>
        <w:t>月</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rPr>
        <w:t xml:space="preserve">   </w:t>
      </w:r>
      <w:r>
        <w:rPr>
          <w:rFonts w:hint="eastAsia" w:ascii="仿宋" w:hAnsi="仿宋" w:eastAsia="仿宋" w:cs="仿宋"/>
          <w:sz w:val="21"/>
          <w:szCs w:val="21"/>
          <w:highlight w:val="none"/>
        </w:rPr>
        <w:t>日</w:t>
      </w:r>
      <w:r>
        <w:rPr>
          <w:rFonts w:hint="eastAsia" w:ascii="仿宋" w:hAnsi="仿宋" w:eastAsia="仿宋" w:cs="仿宋"/>
          <w:color w:val="auto"/>
          <w:highlight w:val="none"/>
          <w:lang w:val="en-US" w:eastAsia="zh-CN"/>
        </w:rPr>
        <w:br w:type="page"/>
      </w:r>
    </w:p>
    <w:p w14:paraId="29BE6E9B">
      <w:pPr>
        <w:pStyle w:val="17"/>
        <w:ind w:left="0" w:leftChars="0" w:firstLine="0" w:firstLineChars="0"/>
        <w:jc w:val="left"/>
        <w:outlineLvl w:val="1"/>
        <w:rPr>
          <w:rFonts w:hint="eastAsia" w:ascii="仿宋" w:hAnsi="仿宋" w:eastAsia="仿宋" w:cs="仿宋"/>
          <w:color w:val="auto"/>
          <w:sz w:val="24"/>
          <w:szCs w:val="24"/>
          <w:highlight w:val="none"/>
          <w:lang w:val="en-US" w:eastAsia="zh-CN"/>
        </w:rPr>
      </w:pPr>
      <w:bookmarkStart w:id="61" w:name="_Toc7543"/>
      <w:bookmarkStart w:id="62" w:name="_Toc6119"/>
      <w:r>
        <w:rPr>
          <w:rFonts w:hint="eastAsia" w:ascii="仿宋" w:hAnsi="仿宋" w:eastAsia="仿宋" w:cs="仿宋"/>
          <w:color w:val="auto"/>
          <w:sz w:val="24"/>
          <w:szCs w:val="24"/>
          <w:highlight w:val="none"/>
          <w:lang w:val="en-US" w:eastAsia="zh-CN"/>
        </w:rPr>
        <w:t>8  合同条款偏离表</w:t>
      </w:r>
      <w:bookmarkEnd w:id="61"/>
      <w:bookmarkEnd w:id="62"/>
    </w:p>
    <w:p w14:paraId="4354158D">
      <w:pPr>
        <w:pStyle w:val="17"/>
        <w:ind w:left="0" w:leftChars="0" w:firstLine="0" w:firstLineChars="0"/>
        <w:jc w:val="center"/>
        <w:rPr>
          <w:rFonts w:hint="eastAsia" w:ascii="仿宋" w:hAnsi="仿宋" w:eastAsia="仿宋" w:cs="仿宋"/>
          <w:color w:val="auto"/>
          <w:sz w:val="32"/>
          <w:szCs w:val="32"/>
          <w:highlight w:val="none"/>
          <w:lang w:val="en-US" w:eastAsia="zh-CN"/>
        </w:rPr>
      </w:pPr>
    </w:p>
    <w:p w14:paraId="247CB068">
      <w:pPr>
        <w:jc w:val="center"/>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合同条款偏离表</w:t>
      </w:r>
    </w:p>
    <w:p w14:paraId="05288059">
      <w:pPr>
        <w:pStyle w:val="21"/>
        <w:ind w:left="0" w:leftChars="0" w:firstLine="0" w:firstLineChars="0"/>
        <w:rPr>
          <w:rFonts w:hint="eastAsia" w:ascii="仿宋" w:hAnsi="仿宋" w:eastAsia="仿宋" w:cs="仿宋"/>
          <w:color w:val="auto"/>
          <w:highlight w:val="none"/>
          <w:lang w:val="en-US" w:eastAsia="zh-CN"/>
        </w:rPr>
      </w:pPr>
    </w:p>
    <w:p w14:paraId="332C42AB">
      <w:pPr>
        <w:pStyle w:val="17"/>
        <w:ind w:left="0" w:leftChars="0" w:firstLine="0" w:firstLineChars="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01C80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4ED9EACF">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对本项目合同条款的偏离情况（请进行勾选）：</w:t>
            </w:r>
          </w:p>
          <w:p w14:paraId="3529D153">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b/>
                <w:bCs/>
                <w:color w:val="auto"/>
                <w:sz w:val="24"/>
                <w:szCs w:val="24"/>
                <w:highlight w:val="none"/>
                <w:vertAlign w:val="baseline"/>
                <w:lang w:val="en-US" w:eastAsia="zh-CN"/>
              </w:rPr>
              <w:t>无偏离</w:t>
            </w:r>
            <w:r>
              <w:rPr>
                <w:rFonts w:hint="eastAsia" w:ascii="仿宋" w:hAnsi="仿宋" w:eastAsia="仿宋" w:cs="仿宋"/>
                <w:color w:val="auto"/>
                <w:sz w:val="24"/>
                <w:szCs w:val="24"/>
                <w:highlight w:val="none"/>
                <w:vertAlign w:val="baseline"/>
                <w:lang w:val="en-US" w:eastAsia="zh-CN"/>
              </w:rPr>
              <w:t>（如无偏离，仅选择无偏离即可；无偏离即为对合同条款中的所有要求，均视作供应商已对之理解和响应。）</w:t>
            </w:r>
          </w:p>
          <w:p w14:paraId="535A14E0">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b/>
                <w:bCs/>
                <w:color w:val="auto"/>
                <w:sz w:val="24"/>
                <w:szCs w:val="24"/>
                <w:highlight w:val="none"/>
                <w:vertAlign w:val="baseline"/>
                <w:lang w:val="en-US" w:eastAsia="zh-CN"/>
              </w:rPr>
              <w:t>有偏离</w:t>
            </w:r>
            <w:r>
              <w:rPr>
                <w:rFonts w:hint="eastAsia" w:ascii="仿宋" w:hAnsi="仿宋" w:eastAsia="仿宋" w:cs="仿宋"/>
                <w:color w:val="auto"/>
                <w:sz w:val="24"/>
                <w:szCs w:val="24"/>
                <w:highlight w:val="none"/>
                <w:vertAlign w:val="baseline"/>
                <w:lang w:val="en-US" w:eastAsia="zh-CN"/>
              </w:rPr>
              <w:t>（如有偏离，则应在本表中对偏离项逐一列明，否则投标无效；对合同条款中的所有要求，除本表列明的偏离外，均视作供应商已对之理解和响应。）</w:t>
            </w:r>
          </w:p>
        </w:tc>
      </w:tr>
      <w:tr w14:paraId="29650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63DB4138">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421" w:type="dxa"/>
            <w:vAlign w:val="center"/>
          </w:tcPr>
          <w:p w14:paraId="107A589C">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w:t>
            </w:r>
          </w:p>
          <w:p w14:paraId="64140DCC">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条目号</w:t>
            </w:r>
          </w:p>
          <w:p w14:paraId="085E2277">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（页码）</w:t>
            </w:r>
          </w:p>
        </w:tc>
        <w:tc>
          <w:tcPr>
            <w:tcW w:w="1901" w:type="dxa"/>
            <w:vAlign w:val="center"/>
          </w:tcPr>
          <w:p w14:paraId="1A2E1333">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招标文件要求</w:t>
            </w:r>
          </w:p>
        </w:tc>
        <w:tc>
          <w:tcPr>
            <w:tcW w:w="1753" w:type="dxa"/>
            <w:vAlign w:val="center"/>
          </w:tcPr>
          <w:p w14:paraId="4EEFCAD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投标文件内容</w:t>
            </w:r>
          </w:p>
        </w:tc>
        <w:tc>
          <w:tcPr>
            <w:tcW w:w="1561" w:type="dxa"/>
            <w:vAlign w:val="center"/>
          </w:tcPr>
          <w:p w14:paraId="4B088C9E">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偏离情况</w:t>
            </w:r>
          </w:p>
        </w:tc>
        <w:tc>
          <w:tcPr>
            <w:tcW w:w="1052" w:type="dxa"/>
            <w:vAlign w:val="center"/>
          </w:tcPr>
          <w:p w14:paraId="3047AE37">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说明</w:t>
            </w:r>
          </w:p>
        </w:tc>
      </w:tr>
      <w:tr w14:paraId="014BF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2B1A770B">
            <w:pPr>
              <w:rPr>
                <w:rFonts w:hint="eastAsia" w:ascii="仿宋" w:hAnsi="仿宋" w:eastAsia="仿宋" w:cs="仿宋"/>
                <w:color w:val="auto"/>
                <w:sz w:val="24"/>
                <w:szCs w:val="24"/>
                <w:highlight w:val="none"/>
                <w:vertAlign w:val="baseline"/>
                <w:lang w:val="en-US" w:eastAsia="zh-CN"/>
              </w:rPr>
            </w:pPr>
          </w:p>
        </w:tc>
        <w:tc>
          <w:tcPr>
            <w:tcW w:w="1421" w:type="dxa"/>
          </w:tcPr>
          <w:p w14:paraId="2C257511">
            <w:pPr>
              <w:rPr>
                <w:rFonts w:hint="eastAsia" w:ascii="仿宋" w:hAnsi="仿宋" w:eastAsia="仿宋" w:cs="仿宋"/>
                <w:color w:val="auto"/>
                <w:sz w:val="24"/>
                <w:szCs w:val="24"/>
                <w:highlight w:val="none"/>
                <w:vertAlign w:val="baseline"/>
                <w:lang w:val="en-US" w:eastAsia="zh-CN"/>
              </w:rPr>
            </w:pPr>
          </w:p>
        </w:tc>
        <w:tc>
          <w:tcPr>
            <w:tcW w:w="1901" w:type="dxa"/>
          </w:tcPr>
          <w:p w14:paraId="23907922">
            <w:pPr>
              <w:rPr>
                <w:rFonts w:hint="eastAsia" w:ascii="仿宋" w:hAnsi="仿宋" w:eastAsia="仿宋" w:cs="仿宋"/>
                <w:color w:val="auto"/>
                <w:sz w:val="24"/>
                <w:szCs w:val="24"/>
                <w:highlight w:val="none"/>
                <w:vertAlign w:val="baseline"/>
                <w:lang w:val="en-US" w:eastAsia="zh-CN"/>
              </w:rPr>
            </w:pPr>
          </w:p>
        </w:tc>
        <w:tc>
          <w:tcPr>
            <w:tcW w:w="1753" w:type="dxa"/>
          </w:tcPr>
          <w:p w14:paraId="09F3A4F0">
            <w:pPr>
              <w:rPr>
                <w:rFonts w:hint="eastAsia" w:ascii="仿宋" w:hAnsi="仿宋" w:eastAsia="仿宋" w:cs="仿宋"/>
                <w:color w:val="auto"/>
                <w:sz w:val="24"/>
                <w:szCs w:val="24"/>
                <w:highlight w:val="none"/>
                <w:vertAlign w:val="baseline"/>
                <w:lang w:val="en-US" w:eastAsia="zh-CN"/>
              </w:rPr>
            </w:pPr>
          </w:p>
        </w:tc>
        <w:tc>
          <w:tcPr>
            <w:tcW w:w="1561" w:type="dxa"/>
          </w:tcPr>
          <w:p w14:paraId="33D3FEC4">
            <w:pPr>
              <w:rPr>
                <w:rFonts w:hint="eastAsia" w:ascii="仿宋" w:hAnsi="仿宋" w:eastAsia="仿宋" w:cs="仿宋"/>
                <w:color w:val="auto"/>
                <w:sz w:val="24"/>
                <w:szCs w:val="24"/>
                <w:highlight w:val="none"/>
                <w:vertAlign w:val="baseline"/>
                <w:lang w:val="en-US" w:eastAsia="zh-CN"/>
              </w:rPr>
            </w:pPr>
          </w:p>
        </w:tc>
        <w:tc>
          <w:tcPr>
            <w:tcW w:w="1052" w:type="dxa"/>
          </w:tcPr>
          <w:p w14:paraId="2D229A39">
            <w:pPr>
              <w:rPr>
                <w:rFonts w:hint="eastAsia" w:ascii="仿宋" w:hAnsi="仿宋" w:eastAsia="仿宋" w:cs="仿宋"/>
                <w:color w:val="auto"/>
                <w:sz w:val="24"/>
                <w:szCs w:val="24"/>
                <w:highlight w:val="none"/>
                <w:vertAlign w:val="baseline"/>
                <w:lang w:val="en-US" w:eastAsia="zh-CN"/>
              </w:rPr>
            </w:pPr>
          </w:p>
        </w:tc>
      </w:tr>
      <w:tr w14:paraId="50579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519BFD5C">
            <w:pPr>
              <w:rPr>
                <w:rFonts w:hint="eastAsia" w:ascii="仿宋" w:hAnsi="仿宋" w:eastAsia="仿宋" w:cs="仿宋"/>
                <w:color w:val="auto"/>
                <w:sz w:val="24"/>
                <w:szCs w:val="24"/>
                <w:highlight w:val="none"/>
                <w:vertAlign w:val="baseline"/>
                <w:lang w:val="en-US" w:eastAsia="zh-CN"/>
              </w:rPr>
            </w:pPr>
          </w:p>
        </w:tc>
        <w:tc>
          <w:tcPr>
            <w:tcW w:w="1421" w:type="dxa"/>
          </w:tcPr>
          <w:p w14:paraId="21AEC941">
            <w:pPr>
              <w:rPr>
                <w:rFonts w:hint="eastAsia" w:ascii="仿宋" w:hAnsi="仿宋" w:eastAsia="仿宋" w:cs="仿宋"/>
                <w:color w:val="auto"/>
                <w:sz w:val="24"/>
                <w:szCs w:val="24"/>
                <w:highlight w:val="none"/>
                <w:vertAlign w:val="baseline"/>
                <w:lang w:val="en-US" w:eastAsia="zh-CN"/>
              </w:rPr>
            </w:pPr>
          </w:p>
        </w:tc>
        <w:tc>
          <w:tcPr>
            <w:tcW w:w="1901" w:type="dxa"/>
          </w:tcPr>
          <w:p w14:paraId="37C26B42">
            <w:pPr>
              <w:rPr>
                <w:rFonts w:hint="eastAsia" w:ascii="仿宋" w:hAnsi="仿宋" w:eastAsia="仿宋" w:cs="仿宋"/>
                <w:color w:val="auto"/>
                <w:sz w:val="24"/>
                <w:szCs w:val="24"/>
                <w:highlight w:val="none"/>
                <w:vertAlign w:val="baseline"/>
                <w:lang w:val="en-US" w:eastAsia="zh-CN"/>
              </w:rPr>
            </w:pPr>
          </w:p>
        </w:tc>
        <w:tc>
          <w:tcPr>
            <w:tcW w:w="1753" w:type="dxa"/>
          </w:tcPr>
          <w:p w14:paraId="2C53221C">
            <w:pPr>
              <w:rPr>
                <w:rFonts w:hint="eastAsia" w:ascii="仿宋" w:hAnsi="仿宋" w:eastAsia="仿宋" w:cs="仿宋"/>
                <w:color w:val="auto"/>
                <w:sz w:val="24"/>
                <w:szCs w:val="24"/>
                <w:highlight w:val="none"/>
                <w:vertAlign w:val="baseline"/>
                <w:lang w:val="en-US" w:eastAsia="zh-CN"/>
              </w:rPr>
            </w:pPr>
          </w:p>
        </w:tc>
        <w:tc>
          <w:tcPr>
            <w:tcW w:w="1561" w:type="dxa"/>
          </w:tcPr>
          <w:p w14:paraId="790C6C03">
            <w:pPr>
              <w:rPr>
                <w:rFonts w:hint="eastAsia" w:ascii="仿宋" w:hAnsi="仿宋" w:eastAsia="仿宋" w:cs="仿宋"/>
                <w:color w:val="auto"/>
                <w:sz w:val="24"/>
                <w:szCs w:val="24"/>
                <w:highlight w:val="none"/>
                <w:vertAlign w:val="baseline"/>
                <w:lang w:val="en-US" w:eastAsia="zh-CN"/>
              </w:rPr>
            </w:pPr>
          </w:p>
        </w:tc>
        <w:tc>
          <w:tcPr>
            <w:tcW w:w="1052" w:type="dxa"/>
          </w:tcPr>
          <w:p w14:paraId="10A3AD38">
            <w:pPr>
              <w:rPr>
                <w:rFonts w:hint="eastAsia" w:ascii="仿宋" w:hAnsi="仿宋" w:eastAsia="仿宋" w:cs="仿宋"/>
                <w:color w:val="auto"/>
                <w:sz w:val="24"/>
                <w:szCs w:val="24"/>
                <w:highlight w:val="none"/>
                <w:vertAlign w:val="baseline"/>
                <w:lang w:val="en-US" w:eastAsia="zh-CN"/>
              </w:rPr>
            </w:pPr>
          </w:p>
        </w:tc>
      </w:tr>
      <w:tr w14:paraId="20444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63AF3A9D">
            <w:pPr>
              <w:rPr>
                <w:rFonts w:hint="eastAsia" w:ascii="仿宋" w:hAnsi="仿宋" w:eastAsia="仿宋" w:cs="仿宋"/>
                <w:color w:val="auto"/>
                <w:sz w:val="24"/>
                <w:szCs w:val="24"/>
                <w:highlight w:val="none"/>
                <w:vertAlign w:val="baseline"/>
                <w:lang w:val="en-US" w:eastAsia="zh-CN"/>
              </w:rPr>
            </w:pPr>
          </w:p>
        </w:tc>
        <w:tc>
          <w:tcPr>
            <w:tcW w:w="1421" w:type="dxa"/>
          </w:tcPr>
          <w:p w14:paraId="1DEA09BA">
            <w:pPr>
              <w:rPr>
                <w:rFonts w:hint="eastAsia" w:ascii="仿宋" w:hAnsi="仿宋" w:eastAsia="仿宋" w:cs="仿宋"/>
                <w:color w:val="auto"/>
                <w:sz w:val="24"/>
                <w:szCs w:val="24"/>
                <w:highlight w:val="none"/>
                <w:vertAlign w:val="baseline"/>
                <w:lang w:val="en-US" w:eastAsia="zh-CN"/>
              </w:rPr>
            </w:pPr>
          </w:p>
        </w:tc>
        <w:tc>
          <w:tcPr>
            <w:tcW w:w="1901" w:type="dxa"/>
          </w:tcPr>
          <w:p w14:paraId="648BC7EF">
            <w:pPr>
              <w:rPr>
                <w:rFonts w:hint="eastAsia" w:ascii="仿宋" w:hAnsi="仿宋" w:eastAsia="仿宋" w:cs="仿宋"/>
                <w:color w:val="auto"/>
                <w:sz w:val="24"/>
                <w:szCs w:val="24"/>
                <w:highlight w:val="none"/>
                <w:vertAlign w:val="baseline"/>
                <w:lang w:val="en-US" w:eastAsia="zh-CN"/>
              </w:rPr>
            </w:pPr>
          </w:p>
        </w:tc>
        <w:tc>
          <w:tcPr>
            <w:tcW w:w="1753" w:type="dxa"/>
          </w:tcPr>
          <w:p w14:paraId="6271BB46">
            <w:pPr>
              <w:rPr>
                <w:rFonts w:hint="eastAsia" w:ascii="仿宋" w:hAnsi="仿宋" w:eastAsia="仿宋" w:cs="仿宋"/>
                <w:color w:val="auto"/>
                <w:sz w:val="24"/>
                <w:szCs w:val="24"/>
                <w:highlight w:val="none"/>
                <w:vertAlign w:val="baseline"/>
                <w:lang w:val="en-US" w:eastAsia="zh-CN"/>
              </w:rPr>
            </w:pPr>
          </w:p>
        </w:tc>
        <w:tc>
          <w:tcPr>
            <w:tcW w:w="1561" w:type="dxa"/>
          </w:tcPr>
          <w:p w14:paraId="0DC6084D">
            <w:pPr>
              <w:rPr>
                <w:rFonts w:hint="eastAsia" w:ascii="仿宋" w:hAnsi="仿宋" w:eastAsia="仿宋" w:cs="仿宋"/>
                <w:color w:val="auto"/>
                <w:sz w:val="24"/>
                <w:szCs w:val="24"/>
                <w:highlight w:val="none"/>
                <w:vertAlign w:val="baseline"/>
                <w:lang w:val="en-US" w:eastAsia="zh-CN"/>
              </w:rPr>
            </w:pPr>
          </w:p>
        </w:tc>
        <w:tc>
          <w:tcPr>
            <w:tcW w:w="1052" w:type="dxa"/>
          </w:tcPr>
          <w:p w14:paraId="564C0B1A">
            <w:pPr>
              <w:rPr>
                <w:rFonts w:hint="eastAsia" w:ascii="仿宋" w:hAnsi="仿宋" w:eastAsia="仿宋" w:cs="仿宋"/>
                <w:color w:val="auto"/>
                <w:sz w:val="24"/>
                <w:szCs w:val="24"/>
                <w:highlight w:val="none"/>
                <w:vertAlign w:val="baseline"/>
                <w:lang w:val="en-US" w:eastAsia="zh-CN"/>
              </w:rPr>
            </w:pPr>
          </w:p>
        </w:tc>
      </w:tr>
      <w:tr w14:paraId="420E2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5CE8536E">
            <w:pPr>
              <w:rPr>
                <w:rFonts w:hint="eastAsia" w:ascii="仿宋" w:hAnsi="仿宋" w:eastAsia="仿宋" w:cs="仿宋"/>
                <w:color w:val="auto"/>
                <w:sz w:val="24"/>
                <w:szCs w:val="24"/>
                <w:highlight w:val="none"/>
                <w:vertAlign w:val="baseline"/>
                <w:lang w:val="en-US" w:eastAsia="zh-CN"/>
              </w:rPr>
            </w:pPr>
          </w:p>
        </w:tc>
        <w:tc>
          <w:tcPr>
            <w:tcW w:w="1421" w:type="dxa"/>
          </w:tcPr>
          <w:p w14:paraId="46262CCF">
            <w:pPr>
              <w:rPr>
                <w:rFonts w:hint="eastAsia" w:ascii="仿宋" w:hAnsi="仿宋" w:eastAsia="仿宋" w:cs="仿宋"/>
                <w:color w:val="auto"/>
                <w:sz w:val="24"/>
                <w:szCs w:val="24"/>
                <w:highlight w:val="none"/>
                <w:vertAlign w:val="baseline"/>
                <w:lang w:val="en-US" w:eastAsia="zh-CN"/>
              </w:rPr>
            </w:pPr>
          </w:p>
        </w:tc>
        <w:tc>
          <w:tcPr>
            <w:tcW w:w="1901" w:type="dxa"/>
          </w:tcPr>
          <w:p w14:paraId="754F75A7">
            <w:pPr>
              <w:rPr>
                <w:rFonts w:hint="eastAsia" w:ascii="仿宋" w:hAnsi="仿宋" w:eastAsia="仿宋" w:cs="仿宋"/>
                <w:color w:val="auto"/>
                <w:sz w:val="24"/>
                <w:szCs w:val="24"/>
                <w:highlight w:val="none"/>
                <w:vertAlign w:val="baseline"/>
                <w:lang w:val="en-US" w:eastAsia="zh-CN"/>
              </w:rPr>
            </w:pPr>
          </w:p>
        </w:tc>
        <w:tc>
          <w:tcPr>
            <w:tcW w:w="1753" w:type="dxa"/>
          </w:tcPr>
          <w:p w14:paraId="3994EB18">
            <w:pPr>
              <w:rPr>
                <w:rFonts w:hint="eastAsia" w:ascii="仿宋" w:hAnsi="仿宋" w:eastAsia="仿宋" w:cs="仿宋"/>
                <w:color w:val="auto"/>
                <w:sz w:val="24"/>
                <w:szCs w:val="24"/>
                <w:highlight w:val="none"/>
                <w:vertAlign w:val="baseline"/>
                <w:lang w:val="en-US" w:eastAsia="zh-CN"/>
              </w:rPr>
            </w:pPr>
          </w:p>
        </w:tc>
        <w:tc>
          <w:tcPr>
            <w:tcW w:w="1561" w:type="dxa"/>
          </w:tcPr>
          <w:p w14:paraId="0AE5AEB6">
            <w:pPr>
              <w:rPr>
                <w:rFonts w:hint="eastAsia" w:ascii="仿宋" w:hAnsi="仿宋" w:eastAsia="仿宋" w:cs="仿宋"/>
                <w:color w:val="auto"/>
                <w:sz w:val="24"/>
                <w:szCs w:val="24"/>
                <w:highlight w:val="none"/>
                <w:vertAlign w:val="baseline"/>
                <w:lang w:val="en-US" w:eastAsia="zh-CN"/>
              </w:rPr>
            </w:pPr>
          </w:p>
        </w:tc>
        <w:tc>
          <w:tcPr>
            <w:tcW w:w="1052" w:type="dxa"/>
          </w:tcPr>
          <w:p w14:paraId="6750AE6F">
            <w:pPr>
              <w:rPr>
                <w:rFonts w:hint="eastAsia" w:ascii="仿宋" w:hAnsi="仿宋" w:eastAsia="仿宋" w:cs="仿宋"/>
                <w:color w:val="auto"/>
                <w:sz w:val="24"/>
                <w:szCs w:val="24"/>
                <w:highlight w:val="none"/>
                <w:vertAlign w:val="baseline"/>
                <w:lang w:val="en-US" w:eastAsia="zh-CN"/>
              </w:rPr>
            </w:pPr>
          </w:p>
        </w:tc>
      </w:tr>
      <w:tr w14:paraId="58D01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69304617">
            <w:pPr>
              <w:rPr>
                <w:rFonts w:hint="eastAsia" w:ascii="仿宋" w:hAnsi="仿宋" w:eastAsia="仿宋" w:cs="仿宋"/>
                <w:color w:val="auto"/>
                <w:sz w:val="24"/>
                <w:szCs w:val="24"/>
                <w:highlight w:val="none"/>
                <w:vertAlign w:val="baseline"/>
                <w:lang w:val="en-US" w:eastAsia="zh-CN"/>
              </w:rPr>
            </w:pPr>
          </w:p>
        </w:tc>
        <w:tc>
          <w:tcPr>
            <w:tcW w:w="1421" w:type="dxa"/>
          </w:tcPr>
          <w:p w14:paraId="038B7315">
            <w:pPr>
              <w:rPr>
                <w:rFonts w:hint="eastAsia" w:ascii="仿宋" w:hAnsi="仿宋" w:eastAsia="仿宋" w:cs="仿宋"/>
                <w:color w:val="auto"/>
                <w:sz w:val="24"/>
                <w:szCs w:val="24"/>
                <w:highlight w:val="none"/>
                <w:vertAlign w:val="baseline"/>
                <w:lang w:val="en-US" w:eastAsia="zh-CN"/>
              </w:rPr>
            </w:pPr>
          </w:p>
        </w:tc>
        <w:tc>
          <w:tcPr>
            <w:tcW w:w="1901" w:type="dxa"/>
          </w:tcPr>
          <w:p w14:paraId="369AEE1F">
            <w:pPr>
              <w:rPr>
                <w:rFonts w:hint="eastAsia" w:ascii="仿宋" w:hAnsi="仿宋" w:eastAsia="仿宋" w:cs="仿宋"/>
                <w:color w:val="auto"/>
                <w:sz w:val="24"/>
                <w:szCs w:val="24"/>
                <w:highlight w:val="none"/>
                <w:vertAlign w:val="baseline"/>
                <w:lang w:val="en-US" w:eastAsia="zh-CN"/>
              </w:rPr>
            </w:pPr>
          </w:p>
        </w:tc>
        <w:tc>
          <w:tcPr>
            <w:tcW w:w="1753" w:type="dxa"/>
          </w:tcPr>
          <w:p w14:paraId="47180F18">
            <w:pPr>
              <w:rPr>
                <w:rFonts w:hint="eastAsia" w:ascii="仿宋" w:hAnsi="仿宋" w:eastAsia="仿宋" w:cs="仿宋"/>
                <w:color w:val="auto"/>
                <w:sz w:val="24"/>
                <w:szCs w:val="24"/>
                <w:highlight w:val="none"/>
                <w:vertAlign w:val="baseline"/>
                <w:lang w:val="en-US" w:eastAsia="zh-CN"/>
              </w:rPr>
            </w:pPr>
          </w:p>
        </w:tc>
        <w:tc>
          <w:tcPr>
            <w:tcW w:w="1561" w:type="dxa"/>
          </w:tcPr>
          <w:p w14:paraId="0FB559FF">
            <w:pPr>
              <w:rPr>
                <w:rFonts w:hint="eastAsia" w:ascii="仿宋" w:hAnsi="仿宋" w:eastAsia="仿宋" w:cs="仿宋"/>
                <w:color w:val="auto"/>
                <w:sz w:val="24"/>
                <w:szCs w:val="24"/>
                <w:highlight w:val="none"/>
                <w:vertAlign w:val="baseline"/>
                <w:lang w:val="en-US" w:eastAsia="zh-CN"/>
              </w:rPr>
            </w:pPr>
          </w:p>
        </w:tc>
        <w:tc>
          <w:tcPr>
            <w:tcW w:w="1052" w:type="dxa"/>
          </w:tcPr>
          <w:p w14:paraId="0406EB77">
            <w:pPr>
              <w:rPr>
                <w:rFonts w:hint="eastAsia" w:ascii="仿宋" w:hAnsi="仿宋" w:eastAsia="仿宋" w:cs="仿宋"/>
                <w:color w:val="auto"/>
                <w:sz w:val="24"/>
                <w:szCs w:val="24"/>
                <w:highlight w:val="none"/>
                <w:vertAlign w:val="baseline"/>
                <w:lang w:val="en-US" w:eastAsia="zh-CN"/>
              </w:rPr>
            </w:pPr>
          </w:p>
        </w:tc>
      </w:tr>
    </w:tbl>
    <w:p w14:paraId="0CDFD0D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1EE71D9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 对合同条款中的所有要求，除本表所列明的所有偏离外，均视作供应商已对之理解和响应。</w:t>
      </w:r>
    </w:p>
    <w:p w14:paraId="0A350D4C">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sz w:val="24"/>
          <w:szCs w:val="24"/>
          <w:highlight w:val="none"/>
          <w:lang w:val="en-US" w:eastAsia="zh-CN"/>
        </w:rPr>
      </w:pPr>
      <w:bookmarkStart w:id="63" w:name="_Toc6441"/>
      <w:bookmarkStart w:id="64" w:name="_Toc3784"/>
      <w:r>
        <w:rPr>
          <w:rFonts w:hint="eastAsia" w:ascii="仿宋" w:hAnsi="仿宋" w:eastAsia="仿宋" w:cs="仿宋"/>
          <w:color w:val="auto"/>
          <w:sz w:val="24"/>
          <w:szCs w:val="24"/>
          <w:highlight w:val="none"/>
          <w:lang w:val="en-US" w:eastAsia="zh-CN"/>
        </w:rPr>
        <w:t>2. “偏离情况”列应据实填写“正偏离”或“负偏离”。</w:t>
      </w:r>
      <w:bookmarkEnd w:id="63"/>
      <w:bookmarkEnd w:id="64"/>
    </w:p>
    <w:p w14:paraId="26C614E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297C5B1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794094C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投标人名称（加盖公章）： </w:t>
      </w:r>
    </w:p>
    <w:p w14:paraId="7FD277F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    年   月   日</w:t>
      </w:r>
    </w:p>
    <w:p w14:paraId="1C6555BC">
      <w:pPr>
        <w:pStyle w:val="21"/>
        <w:rPr>
          <w:rFonts w:hint="eastAsia" w:ascii="仿宋" w:hAnsi="仿宋" w:eastAsia="仿宋" w:cs="仿宋"/>
          <w:color w:val="auto"/>
          <w:sz w:val="24"/>
          <w:szCs w:val="24"/>
          <w:highlight w:val="none"/>
          <w:lang w:val="en-US" w:eastAsia="zh-CN"/>
        </w:rPr>
      </w:pPr>
    </w:p>
    <w:p w14:paraId="15960865">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12D98716">
      <w:pPr>
        <w:pStyle w:val="17"/>
        <w:ind w:left="0" w:leftChars="0" w:firstLine="0" w:firstLineChars="0"/>
        <w:outlineLvl w:val="1"/>
        <w:rPr>
          <w:rFonts w:hint="eastAsia" w:ascii="仿宋" w:hAnsi="仿宋" w:eastAsia="仿宋" w:cs="仿宋"/>
          <w:color w:val="auto"/>
          <w:sz w:val="24"/>
          <w:szCs w:val="24"/>
          <w:highlight w:val="none"/>
          <w:lang w:val="en-US" w:eastAsia="zh-CN"/>
        </w:rPr>
      </w:pPr>
      <w:bookmarkStart w:id="65" w:name="_Toc7042"/>
      <w:bookmarkStart w:id="66" w:name="_Toc22506"/>
      <w:r>
        <w:rPr>
          <w:rFonts w:hint="eastAsia" w:ascii="仿宋" w:hAnsi="仿宋" w:eastAsia="仿宋" w:cs="仿宋"/>
          <w:color w:val="auto"/>
          <w:sz w:val="24"/>
          <w:szCs w:val="24"/>
          <w:highlight w:val="none"/>
          <w:lang w:val="en-US" w:eastAsia="zh-CN"/>
        </w:rPr>
        <w:t xml:space="preserve">9  </w:t>
      </w:r>
      <w:bookmarkEnd w:id="65"/>
      <w:r>
        <w:rPr>
          <w:rFonts w:hint="eastAsia" w:ascii="仿宋" w:hAnsi="仿宋" w:eastAsia="仿宋" w:cs="仿宋"/>
          <w:color w:val="auto"/>
          <w:sz w:val="24"/>
          <w:szCs w:val="24"/>
          <w:highlight w:val="none"/>
          <w:lang w:val="en-US" w:eastAsia="zh-CN"/>
        </w:rPr>
        <w:t>采购需求偏离表</w:t>
      </w:r>
      <w:bookmarkEnd w:id="66"/>
    </w:p>
    <w:p w14:paraId="2DBCE65F">
      <w:pPr>
        <w:pStyle w:val="17"/>
        <w:ind w:left="0" w:leftChars="0" w:firstLine="0" w:firstLineChars="0"/>
        <w:rPr>
          <w:rFonts w:hint="eastAsia" w:ascii="仿宋" w:hAnsi="仿宋" w:eastAsia="仿宋" w:cs="仿宋"/>
          <w:color w:val="auto"/>
          <w:sz w:val="24"/>
          <w:szCs w:val="24"/>
          <w:highlight w:val="none"/>
          <w:lang w:val="en-US" w:eastAsia="zh-CN"/>
        </w:rPr>
      </w:pPr>
    </w:p>
    <w:p w14:paraId="66B8A660">
      <w:pPr>
        <w:pStyle w:val="17"/>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采购需求偏离表</w:t>
      </w:r>
    </w:p>
    <w:p w14:paraId="51338661">
      <w:pPr>
        <w:pStyle w:val="17"/>
        <w:ind w:left="0" w:leftChars="0" w:firstLine="0" w:firstLineChars="0"/>
        <w:rPr>
          <w:rFonts w:hint="eastAsia" w:ascii="仿宋" w:hAnsi="仿宋" w:eastAsia="仿宋" w:cs="仿宋"/>
          <w:color w:val="auto"/>
          <w:sz w:val="24"/>
          <w:szCs w:val="24"/>
          <w:highlight w:val="none"/>
          <w:lang w:val="en-US" w:eastAsia="zh-CN"/>
        </w:rPr>
      </w:pPr>
    </w:p>
    <w:p w14:paraId="1D8AF9D9">
      <w:pPr>
        <w:pStyle w:val="17"/>
        <w:ind w:left="0" w:leftChars="0"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项目编号/包号：                 项目名称：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19693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327C53D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422" w:type="dxa"/>
            <w:vAlign w:val="center"/>
          </w:tcPr>
          <w:p w14:paraId="60B7AEAB">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招标文件条</w:t>
            </w:r>
          </w:p>
          <w:p w14:paraId="3E5FED5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目号(页码)</w:t>
            </w:r>
          </w:p>
        </w:tc>
        <w:tc>
          <w:tcPr>
            <w:tcW w:w="1805" w:type="dxa"/>
            <w:vAlign w:val="center"/>
          </w:tcPr>
          <w:p w14:paraId="226A75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招标文件要求</w:t>
            </w:r>
          </w:p>
        </w:tc>
        <w:tc>
          <w:tcPr>
            <w:tcW w:w="1672" w:type="dxa"/>
            <w:vAlign w:val="center"/>
          </w:tcPr>
          <w:p w14:paraId="366876B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投标响应内容</w:t>
            </w:r>
          </w:p>
        </w:tc>
        <w:tc>
          <w:tcPr>
            <w:tcW w:w="1421" w:type="dxa"/>
            <w:vAlign w:val="center"/>
          </w:tcPr>
          <w:p w14:paraId="3893872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偏离情况</w:t>
            </w:r>
          </w:p>
        </w:tc>
        <w:tc>
          <w:tcPr>
            <w:tcW w:w="1421" w:type="dxa"/>
            <w:vAlign w:val="center"/>
          </w:tcPr>
          <w:p w14:paraId="7D27093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说明</w:t>
            </w:r>
          </w:p>
        </w:tc>
      </w:tr>
      <w:tr w14:paraId="3AB95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5FC1DE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346604D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40E00A8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5D847FA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7923FB0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9AB9F1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1260F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C180E5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47A0BF9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56F2E60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37A9BE6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614DE86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C4ADD1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006CD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D88051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7A9DD7A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0B35271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1C35929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68EF992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5B8058D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23192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8066C4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29A27D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C959B8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383B0A6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060415A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0ABDC5E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312BC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97B975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37FCEE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784CE87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7FB71F7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6C3FD79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1710D9C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3E93F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1EB16F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2A26698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3613F4D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1466B18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07C6686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4BB7BFD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6FF2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C8FFA5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8BD3B9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FD2D39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256C913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4B8DA2E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0DBC5F9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bl>
    <w:p w14:paraId="6BD3F71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7C33212A">
      <w:pPr>
        <w:keepNext w:val="0"/>
        <w:keepLines w:val="0"/>
        <w:pageBreakBefore w:val="0"/>
        <w:widowControl w:val="0"/>
        <w:numPr>
          <w:ilvl w:val="0"/>
          <w:numId w:val="17"/>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投标人应对招标文件第五章采购需求的内容给予逐条响应，以投标产品和服务所能达到的内容予以填写，而不得复制招标的技术要求作为响应内容，有具体参数的应填写具体参数。</w:t>
      </w:r>
    </w:p>
    <w:p w14:paraId="2C100153">
      <w:pPr>
        <w:keepNext w:val="0"/>
        <w:keepLines w:val="0"/>
        <w:pageBreakBefore w:val="0"/>
        <w:widowControl w:val="0"/>
        <w:numPr>
          <w:ilvl w:val="0"/>
          <w:numId w:val="17"/>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14:paraId="2D48B3D3">
      <w:pPr>
        <w:keepNext w:val="0"/>
        <w:keepLines w:val="0"/>
        <w:pageBreakBefore w:val="0"/>
        <w:widowControl w:val="0"/>
        <w:numPr>
          <w:ilvl w:val="0"/>
          <w:numId w:val="17"/>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投标人应按照招标文件第五章采购需求中要求提供投标产品技术支持资料（或证明材料），并在采购需求响应及偏离表中给予文件名称、所处投标文件页码或位置等必要说明。</w:t>
      </w:r>
    </w:p>
    <w:p w14:paraId="1856EC16">
      <w:pPr>
        <w:keepNext w:val="0"/>
        <w:keepLines w:val="0"/>
        <w:pageBreakBefore w:val="0"/>
        <w:widowControl w:val="0"/>
        <w:numPr>
          <w:ilvl w:val="0"/>
          <w:numId w:val="17"/>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“偏离情况”列应据实填写“正偏离”、“负偏离”或“无偏离”。</w:t>
      </w:r>
    </w:p>
    <w:p w14:paraId="157F951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18CBEF1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2D3B99A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投标人名称（加盖公章）： ____________</w:t>
      </w:r>
    </w:p>
    <w:p w14:paraId="0E0A23A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日期：_____年______月______日</w:t>
      </w:r>
    </w:p>
    <w:p w14:paraId="6AACD52A">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61161D96">
      <w:pPr>
        <w:pStyle w:val="20"/>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   招标文件要求提供或投标人认为应附的其他材料</w:t>
      </w:r>
    </w:p>
    <w:p w14:paraId="7CDC2620">
      <w:pPr>
        <w:pStyle w:val="17"/>
        <w:rPr>
          <w:rFonts w:hint="eastAsia" w:ascii="仿宋" w:hAnsi="仿宋" w:eastAsia="仿宋" w:cs="仿宋"/>
          <w:color w:val="auto"/>
          <w:highlight w:val="none"/>
          <w:lang w:val="en-US" w:eastAsia="zh-CN"/>
        </w:rPr>
      </w:pPr>
    </w:p>
    <w:p w14:paraId="0C07FC38">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233EE198">
      <w:pPr>
        <w:keepNext/>
        <w:keepLines/>
        <w:widowControl w:val="0"/>
        <w:spacing w:before="0" w:after="260" w:line="240" w:lineRule="atLeast"/>
        <w:jc w:val="both"/>
        <w:outlineLvl w:val="1"/>
        <w:rPr>
          <w:rFonts w:hint="eastAsia" w:ascii="仿宋" w:hAnsi="仿宋" w:eastAsia="仿宋" w:cs="仿宋"/>
          <w:b w:val="0"/>
          <w:bCs/>
          <w:color w:val="auto"/>
          <w:kern w:val="2"/>
          <w:sz w:val="24"/>
          <w:szCs w:val="32"/>
          <w:highlight w:val="none"/>
          <w:lang w:val="en-US" w:eastAsia="zh-CN" w:bidi="ar-SA"/>
        </w:rPr>
      </w:pPr>
      <w:bookmarkStart w:id="67" w:name="_Toc520356224"/>
      <w:bookmarkStart w:id="68" w:name="_Ref467988543"/>
      <w:bookmarkStart w:id="69" w:name="_Toc480942355"/>
      <w:bookmarkStart w:id="70" w:name="_Toc216582819"/>
      <w:bookmarkStart w:id="71" w:name="_Toc17143"/>
      <w:bookmarkStart w:id="72" w:name="_Toc15963"/>
      <w:bookmarkStart w:id="73" w:name="_Toc507399535"/>
      <w:bookmarkStart w:id="74" w:name="_Toc9330"/>
      <w:bookmarkStart w:id="75" w:name="_Toc20238"/>
      <w:bookmarkStart w:id="76" w:name="_Toc4183"/>
      <w:bookmarkStart w:id="77" w:name="_Toc9592"/>
      <w:bookmarkStart w:id="78" w:name="_Toc522"/>
      <w:bookmarkStart w:id="79" w:name="_Toc21320"/>
      <w:bookmarkStart w:id="80" w:name="_Toc3420"/>
      <w:bookmarkStart w:id="81" w:name="_Toc8281"/>
      <w:r>
        <w:rPr>
          <w:rFonts w:hint="eastAsia" w:ascii="仿宋" w:hAnsi="仿宋" w:eastAsia="仿宋" w:cs="仿宋"/>
          <w:b/>
          <w:bCs/>
          <w:color w:val="auto"/>
          <w:kern w:val="2"/>
          <w:sz w:val="24"/>
          <w:szCs w:val="32"/>
          <w:highlight w:val="none"/>
          <w:lang w:val="en-US" w:eastAsia="zh-CN" w:bidi="ar-SA"/>
        </w:rPr>
        <w:t xml:space="preserve">11   </w:t>
      </w:r>
      <w:bookmarkEnd w:id="67"/>
      <w:bookmarkEnd w:id="68"/>
      <w:bookmarkEnd w:id="69"/>
      <w:bookmarkEnd w:id="70"/>
      <w:bookmarkStart w:id="82" w:name="_Hlt520274911"/>
      <w:bookmarkEnd w:id="82"/>
      <w:bookmarkStart w:id="83" w:name="_Hlt520271212"/>
      <w:bookmarkEnd w:id="83"/>
      <w:bookmarkStart w:id="84" w:name="_Hlt520273711"/>
      <w:bookmarkEnd w:id="84"/>
      <w:bookmarkStart w:id="85" w:name="_Hlt520274393"/>
      <w:bookmarkEnd w:id="85"/>
      <w:bookmarkStart w:id="86" w:name="_Hlt520274065"/>
      <w:bookmarkEnd w:id="86"/>
      <w:bookmarkStart w:id="87" w:name="_Hlt520350957"/>
      <w:bookmarkEnd w:id="87"/>
      <w:bookmarkStart w:id="88" w:name="_Hlt520274407"/>
      <w:bookmarkEnd w:id="88"/>
      <w:bookmarkStart w:id="89" w:name="_Hlt520350918"/>
      <w:bookmarkEnd w:id="89"/>
      <w:bookmarkStart w:id="90" w:name="_Hlt520273973"/>
      <w:bookmarkEnd w:id="90"/>
      <w:bookmarkStart w:id="91" w:name="_Hlt520343392"/>
      <w:bookmarkEnd w:id="91"/>
      <w:bookmarkStart w:id="92" w:name="_Hlt520343000"/>
      <w:bookmarkEnd w:id="92"/>
      <w:bookmarkStart w:id="93" w:name="_Toc216513801"/>
      <w:bookmarkStart w:id="94" w:name="_Toc216582821"/>
      <w:r>
        <w:rPr>
          <w:rFonts w:hint="eastAsia" w:ascii="仿宋" w:hAnsi="仿宋" w:eastAsia="仿宋" w:cs="仿宋"/>
          <w:b/>
          <w:bCs/>
          <w:color w:val="auto"/>
          <w:kern w:val="2"/>
          <w:sz w:val="24"/>
          <w:szCs w:val="32"/>
          <w:highlight w:val="none"/>
          <w:lang w:val="en-US" w:eastAsia="zh-CN" w:bidi="ar-SA"/>
        </w:rPr>
        <w:t>中标服务费承诺书</w:t>
      </w:r>
      <w:bookmarkEnd w:id="71"/>
      <w:bookmarkEnd w:id="72"/>
      <w:bookmarkEnd w:id="73"/>
      <w:bookmarkEnd w:id="74"/>
      <w:bookmarkEnd w:id="75"/>
      <w:bookmarkEnd w:id="76"/>
      <w:bookmarkEnd w:id="77"/>
      <w:bookmarkEnd w:id="78"/>
      <w:bookmarkEnd w:id="79"/>
    </w:p>
    <w:p w14:paraId="53ED66FA">
      <w:pPr>
        <w:spacing w:line="240" w:lineRule="atLeast"/>
        <w:ind w:left="1080" w:leftChars="257" w:hanging="540"/>
        <w:rPr>
          <w:rFonts w:hint="eastAsia" w:ascii="仿宋" w:hAnsi="仿宋" w:eastAsia="仿宋" w:cs="仿宋"/>
          <w:b/>
          <w:color w:val="auto"/>
          <w:sz w:val="24"/>
          <w:highlight w:val="none"/>
        </w:rPr>
      </w:pPr>
    </w:p>
    <w:p w14:paraId="77353D3D">
      <w:pPr>
        <w:spacing w:line="240" w:lineRule="atLeast"/>
        <w:ind w:left="1080" w:leftChars="257" w:hanging="54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中标服务费承诺书</w:t>
      </w:r>
    </w:p>
    <w:p w14:paraId="266AD4EF">
      <w:pPr>
        <w:spacing w:line="440" w:lineRule="exact"/>
        <w:ind w:left="1080" w:hanging="1080"/>
        <w:rPr>
          <w:rFonts w:hint="eastAsia" w:ascii="仿宋" w:hAnsi="仿宋" w:eastAsia="仿宋" w:cs="仿宋"/>
          <w:color w:val="auto"/>
          <w:sz w:val="24"/>
          <w:highlight w:val="none"/>
        </w:rPr>
      </w:pPr>
    </w:p>
    <w:p w14:paraId="5CD4AB75">
      <w:pPr>
        <w:spacing w:line="440" w:lineRule="exact"/>
        <w:ind w:left="1080" w:hanging="108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lang w:val="en-US" w:eastAsia="zh-CN"/>
        </w:rPr>
        <w:t>新疆世纪星工程咨询有限公司</w:t>
      </w:r>
    </w:p>
    <w:p w14:paraId="20A81FD8">
      <w:pPr>
        <w:spacing w:line="440" w:lineRule="exact"/>
        <w:ind w:left="1080" w:leftChars="257" w:hanging="540"/>
        <w:rPr>
          <w:rFonts w:hint="eastAsia" w:ascii="仿宋" w:hAnsi="仿宋" w:eastAsia="仿宋" w:cs="仿宋"/>
          <w:color w:val="auto"/>
          <w:sz w:val="24"/>
          <w:highlight w:val="none"/>
        </w:rPr>
      </w:pPr>
    </w:p>
    <w:p w14:paraId="79D045E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我们在贵公司组织的</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项目名称、项目编号</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项目招标中若获得中标资格，我们保证在领取中标通知书的同时按招标文件的规定，以支票、电汇等形式，向贵公司一次性支付应由我们交纳的中标服务费用。</w:t>
      </w:r>
    </w:p>
    <w:p w14:paraId="2FADDAB0">
      <w:pPr>
        <w:spacing w:line="440" w:lineRule="exac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特此承诺！</w:t>
      </w:r>
    </w:p>
    <w:p w14:paraId="6C1C1999">
      <w:pPr>
        <w:spacing w:line="440" w:lineRule="exact"/>
        <w:ind w:left="1080" w:leftChars="257" w:hanging="540"/>
        <w:rPr>
          <w:rFonts w:hint="eastAsia" w:ascii="仿宋" w:hAnsi="仿宋" w:eastAsia="仿宋" w:cs="仿宋"/>
          <w:color w:val="auto"/>
          <w:sz w:val="24"/>
          <w:highlight w:val="none"/>
        </w:rPr>
      </w:pPr>
    </w:p>
    <w:p w14:paraId="7A5BAFED">
      <w:pPr>
        <w:spacing w:line="440" w:lineRule="exact"/>
        <w:ind w:left="1080" w:leftChars="257" w:hanging="540"/>
        <w:rPr>
          <w:rFonts w:hint="eastAsia" w:ascii="仿宋" w:hAnsi="仿宋" w:eastAsia="仿宋" w:cs="仿宋"/>
          <w:color w:val="auto"/>
          <w:sz w:val="24"/>
          <w:highlight w:val="none"/>
        </w:rPr>
      </w:pPr>
    </w:p>
    <w:p w14:paraId="4B3387FA">
      <w:pPr>
        <w:spacing w:line="440" w:lineRule="exact"/>
        <w:ind w:left="1080" w:leftChars="257" w:hanging="540"/>
        <w:rPr>
          <w:rFonts w:hint="eastAsia" w:ascii="仿宋" w:hAnsi="仿宋" w:eastAsia="仿宋" w:cs="仿宋"/>
          <w:color w:val="auto"/>
          <w:sz w:val="24"/>
          <w:highlight w:val="none"/>
        </w:rPr>
      </w:pPr>
    </w:p>
    <w:p w14:paraId="4A05022A">
      <w:pPr>
        <w:spacing w:line="440" w:lineRule="exact"/>
        <w:ind w:left="1080" w:leftChars="257" w:hanging="540"/>
        <w:rPr>
          <w:rFonts w:hint="eastAsia" w:ascii="仿宋" w:hAnsi="仿宋" w:eastAsia="仿宋" w:cs="仿宋"/>
          <w:color w:val="auto"/>
          <w:sz w:val="24"/>
          <w:highlight w:val="none"/>
        </w:rPr>
      </w:pPr>
    </w:p>
    <w:p w14:paraId="1895C2E9">
      <w:pPr>
        <w:spacing w:line="440" w:lineRule="exact"/>
        <w:ind w:left="1080" w:hanging="1080"/>
        <w:rPr>
          <w:rFonts w:hint="eastAsia" w:ascii="仿宋" w:hAnsi="仿宋" w:eastAsia="仿宋" w:cs="仿宋"/>
          <w:color w:val="auto"/>
          <w:sz w:val="24"/>
          <w:highlight w:val="none"/>
        </w:rPr>
      </w:pPr>
    </w:p>
    <w:p w14:paraId="63215172">
      <w:pPr>
        <w:spacing w:line="440" w:lineRule="exact"/>
        <w:ind w:left="1413" w:leftChars="273"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承诺方法定名称：</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793D0559">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282AE0EF">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电话：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传真：</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7B2440B3">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电传：</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024F40D1">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承诺方授权代表签字：</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（承诺方盖章）</w:t>
      </w:r>
    </w:p>
    <w:p w14:paraId="0ACEE1D7">
      <w:pPr>
        <w:spacing w:line="440" w:lineRule="exact"/>
        <w:ind w:left="1620" w:leftChars="257" w:hanging="10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承诺日期：</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bookmarkEnd w:id="93"/>
      <w:bookmarkEnd w:id="94"/>
    </w:p>
    <w:p w14:paraId="44B7D155">
      <w:pPr>
        <w:rPr>
          <w:rFonts w:hint="eastAsia" w:ascii="仿宋" w:hAnsi="仿宋" w:eastAsia="仿宋" w:cs="仿宋"/>
          <w:b w:val="0"/>
          <w:bCs w:val="0"/>
          <w:color w:val="auto"/>
          <w:kern w:val="2"/>
          <w:sz w:val="24"/>
          <w:szCs w:val="24"/>
          <w:highlight w:val="none"/>
          <w:lang w:val="en-US" w:eastAsia="zh-CN" w:bidi="zh-CN"/>
        </w:rPr>
      </w:pPr>
      <w:r>
        <w:rPr>
          <w:rFonts w:hint="eastAsia" w:ascii="仿宋" w:hAnsi="仿宋" w:eastAsia="仿宋" w:cs="仿宋"/>
          <w:b w:val="0"/>
          <w:bCs w:val="0"/>
          <w:color w:val="auto"/>
          <w:kern w:val="2"/>
          <w:sz w:val="24"/>
          <w:szCs w:val="24"/>
          <w:highlight w:val="none"/>
          <w:lang w:val="en-US" w:eastAsia="zh-CN" w:bidi="zh-CN"/>
        </w:rPr>
        <w:br w:type="page"/>
      </w:r>
    </w:p>
    <w:p w14:paraId="6BA71235">
      <w:pPr>
        <w:widowControl w:val="0"/>
        <w:spacing w:before="1"/>
        <w:jc w:val="both"/>
        <w:outlineLvl w:val="1"/>
        <w:rPr>
          <w:rFonts w:hint="eastAsia" w:ascii="仿宋" w:hAnsi="仿宋" w:eastAsia="仿宋" w:cs="仿宋"/>
          <w:b w:val="0"/>
          <w:bCs w:val="0"/>
          <w:color w:val="auto"/>
          <w:kern w:val="2"/>
          <w:sz w:val="24"/>
          <w:szCs w:val="24"/>
          <w:highlight w:val="none"/>
          <w:lang w:val="zh-CN" w:eastAsia="zh-CN" w:bidi="zh-CN"/>
        </w:rPr>
      </w:pPr>
      <w:bookmarkStart w:id="95" w:name="_Toc8649"/>
      <w:bookmarkStart w:id="96" w:name="_Toc20782"/>
      <w:bookmarkStart w:id="97" w:name="_Toc17899"/>
      <w:bookmarkStart w:id="98" w:name="_Toc2433"/>
      <w:bookmarkStart w:id="99" w:name="_Toc15106"/>
      <w:bookmarkStart w:id="100" w:name="_Toc24678"/>
      <w:r>
        <w:rPr>
          <w:rFonts w:hint="eastAsia" w:ascii="仿宋" w:hAnsi="仿宋" w:eastAsia="仿宋" w:cs="仿宋"/>
          <w:b w:val="0"/>
          <w:bCs w:val="0"/>
          <w:color w:val="auto"/>
          <w:kern w:val="2"/>
          <w:sz w:val="24"/>
          <w:szCs w:val="24"/>
          <w:highlight w:val="none"/>
          <w:lang w:val="en-US" w:eastAsia="zh-CN" w:bidi="zh-CN"/>
        </w:rPr>
        <w:t xml:space="preserve">12   </w:t>
      </w:r>
      <w:r>
        <w:rPr>
          <w:rFonts w:hint="eastAsia" w:ascii="仿宋" w:hAnsi="仿宋" w:eastAsia="仿宋" w:cs="仿宋"/>
          <w:b w:val="0"/>
          <w:bCs w:val="0"/>
          <w:color w:val="auto"/>
          <w:kern w:val="2"/>
          <w:sz w:val="24"/>
          <w:szCs w:val="24"/>
          <w:highlight w:val="none"/>
          <w:lang w:val="zh-CN" w:eastAsia="zh-CN" w:bidi="zh-CN"/>
        </w:rPr>
        <w:t>保证金信息表</w:t>
      </w:r>
      <w:bookmarkEnd w:id="80"/>
      <w:bookmarkEnd w:id="81"/>
      <w:r>
        <w:rPr>
          <w:rFonts w:hint="eastAsia" w:ascii="仿宋" w:hAnsi="仿宋" w:eastAsia="仿宋" w:cs="仿宋"/>
          <w:b w:val="0"/>
          <w:bCs w:val="0"/>
          <w:color w:val="auto"/>
          <w:kern w:val="2"/>
          <w:sz w:val="24"/>
          <w:szCs w:val="24"/>
          <w:highlight w:val="none"/>
          <w:lang w:val="zh-CN" w:eastAsia="zh-CN" w:bidi="zh-CN"/>
        </w:rPr>
        <w:t>（</w:t>
      </w:r>
      <w:r>
        <w:rPr>
          <w:rFonts w:hint="eastAsia" w:ascii="仿宋" w:hAnsi="仿宋" w:eastAsia="仿宋" w:cs="仿宋"/>
          <w:b w:val="0"/>
          <w:bCs w:val="0"/>
          <w:color w:val="auto"/>
          <w:kern w:val="2"/>
          <w:sz w:val="24"/>
          <w:szCs w:val="24"/>
          <w:highlight w:val="none"/>
          <w:lang w:val="en-US" w:eastAsia="zh-CN" w:bidi="zh-CN"/>
        </w:rPr>
        <w:t>保函方式提交的无需提供</w:t>
      </w:r>
      <w:r>
        <w:rPr>
          <w:rFonts w:hint="eastAsia" w:ascii="仿宋" w:hAnsi="仿宋" w:eastAsia="仿宋" w:cs="仿宋"/>
          <w:b w:val="0"/>
          <w:bCs w:val="0"/>
          <w:color w:val="auto"/>
          <w:kern w:val="2"/>
          <w:sz w:val="24"/>
          <w:szCs w:val="24"/>
          <w:highlight w:val="none"/>
          <w:lang w:val="zh-CN" w:eastAsia="zh-CN" w:bidi="zh-CN"/>
        </w:rPr>
        <w:t>）</w:t>
      </w:r>
      <w:bookmarkEnd w:id="95"/>
      <w:bookmarkEnd w:id="96"/>
      <w:bookmarkEnd w:id="97"/>
      <w:bookmarkEnd w:id="98"/>
      <w:bookmarkEnd w:id="99"/>
      <w:bookmarkEnd w:id="100"/>
    </w:p>
    <w:p w14:paraId="2FC7C841">
      <w:pPr>
        <w:pStyle w:val="2"/>
        <w:spacing w:line="440" w:lineRule="exact"/>
        <w:jc w:val="center"/>
        <w:outlineLvl w:val="9"/>
        <w:rPr>
          <w:rFonts w:hint="eastAsia" w:ascii="仿宋" w:hAnsi="仿宋" w:eastAsia="仿宋" w:cs="仿宋"/>
          <w:b/>
          <w:color w:val="auto"/>
          <w:sz w:val="32"/>
          <w:szCs w:val="32"/>
          <w:highlight w:val="none"/>
        </w:rPr>
      </w:pPr>
    </w:p>
    <w:p w14:paraId="3918DF36">
      <w:pPr>
        <w:pStyle w:val="2"/>
        <w:spacing w:line="440" w:lineRule="exact"/>
        <w:jc w:val="center"/>
        <w:outlineLvl w:val="0"/>
        <w:rPr>
          <w:rFonts w:hint="eastAsia" w:ascii="仿宋" w:hAnsi="仿宋" w:eastAsia="仿宋" w:cs="仿宋"/>
          <w:b/>
          <w:color w:val="auto"/>
          <w:sz w:val="32"/>
          <w:szCs w:val="32"/>
          <w:highlight w:val="none"/>
        </w:rPr>
      </w:pPr>
      <w:bookmarkStart w:id="101" w:name="_Toc25967"/>
      <w:bookmarkStart w:id="102" w:name="_Toc29456"/>
      <w:bookmarkStart w:id="103" w:name="_Toc28181"/>
      <w:bookmarkStart w:id="104" w:name="_Toc16938"/>
      <w:bookmarkStart w:id="105" w:name="_Toc31463"/>
      <w:bookmarkStart w:id="106" w:name="_Toc4940"/>
      <w:bookmarkStart w:id="107" w:name="_Toc14307"/>
      <w:bookmarkStart w:id="108" w:name="_Toc27316"/>
      <w:r>
        <w:rPr>
          <w:rFonts w:hint="eastAsia" w:ascii="仿宋" w:hAnsi="仿宋" w:eastAsia="仿宋" w:cs="仿宋"/>
          <w:b/>
          <w:color w:val="auto"/>
          <w:sz w:val="24"/>
          <w:szCs w:val="24"/>
          <w:highlight w:val="none"/>
        </w:rPr>
        <w:t>退还保证金申请函</w:t>
      </w:r>
      <w:bookmarkEnd w:id="101"/>
      <w:bookmarkEnd w:id="102"/>
      <w:bookmarkEnd w:id="103"/>
      <w:bookmarkEnd w:id="104"/>
      <w:bookmarkEnd w:id="105"/>
      <w:bookmarkEnd w:id="106"/>
      <w:bookmarkEnd w:id="107"/>
      <w:bookmarkEnd w:id="108"/>
    </w:p>
    <w:p w14:paraId="3BE477B2">
      <w:pPr>
        <w:spacing w:line="360" w:lineRule="auto"/>
        <w:rPr>
          <w:rFonts w:hint="eastAsia" w:ascii="仿宋" w:hAnsi="仿宋" w:eastAsia="仿宋" w:cs="仿宋"/>
          <w:color w:val="auto"/>
          <w:sz w:val="21"/>
          <w:szCs w:val="21"/>
          <w:highlight w:val="none"/>
          <w:u w:val="single"/>
          <w:lang w:eastAsia="zh-CN"/>
        </w:rPr>
      </w:pPr>
      <w:r>
        <w:rPr>
          <w:rFonts w:hint="eastAsia" w:ascii="仿宋" w:hAnsi="仿宋" w:eastAsia="仿宋" w:cs="仿宋"/>
          <w:color w:val="auto"/>
          <w:sz w:val="21"/>
          <w:szCs w:val="21"/>
          <w:highlight w:val="none"/>
        </w:rPr>
        <w:t>致：</w:t>
      </w:r>
      <w:r>
        <w:rPr>
          <w:rFonts w:hint="eastAsia" w:ascii="仿宋" w:hAnsi="仿宋" w:eastAsia="仿宋" w:cs="仿宋"/>
          <w:color w:val="auto"/>
          <w:sz w:val="21"/>
          <w:szCs w:val="21"/>
          <w:highlight w:val="none"/>
          <w:u w:val="single"/>
          <w:lang w:eastAsia="zh-CN"/>
        </w:rPr>
        <w:t>新疆世纪星工程咨询有限公司</w:t>
      </w:r>
    </w:p>
    <w:p w14:paraId="2BCD0CF3">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投标人</w:t>
      </w:r>
      <w:r>
        <w:rPr>
          <w:rFonts w:hint="eastAsia" w:ascii="仿宋" w:hAnsi="仿宋" w:eastAsia="仿宋" w:cs="仿宋"/>
          <w:color w:val="auto"/>
          <w:sz w:val="21"/>
          <w:szCs w:val="21"/>
          <w:highlight w:val="none"/>
          <w:u w:val="single"/>
        </w:rPr>
        <w:t xml:space="preserve">全称) </w:t>
      </w:r>
      <w:r>
        <w:rPr>
          <w:rFonts w:hint="eastAsia" w:ascii="仿宋" w:hAnsi="仿宋" w:eastAsia="仿宋" w:cs="仿宋"/>
          <w:color w:val="auto"/>
          <w:sz w:val="21"/>
          <w:szCs w:val="21"/>
          <w:highlight w:val="none"/>
        </w:rPr>
        <w:t>参加贵方组织的，</w:t>
      </w:r>
      <w:r>
        <w:rPr>
          <w:rFonts w:hint="eastAsia" w:ascii="仿宋" w:hAnsi="仿宋" w:eastAsia="仿宋" w:cs="仿宋"/>
          <w:b w:val="0"/>
          <w:bCs w:val="0"/>
          <w:color w:val="auto"/>
          <w:sz w:val="21"/>
          <w:szCs w:val="21"/>
          <w:highlight w:val="none"/>
          <w:u w:val="single"/>
          <w:lang w:val="en-US" w:eastAsia="zh-CN"/>
        </w:rPr>
        <w:t>（项目名称）（项目编号）</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lang w:val="en-US" w:eastAsia="zh-CN"/>
        </w:rPr>
        <w:t>招标</w:t>
      </w:r>
      <w:r>
        <w:rPr>
          <w:rFonts w:hint="eastAsia" w:ascii="仿宋" w:hAnsi="仿宋" w:eastAsia="仿宋" w:cs="仿宋"/>
          <w:color w:val="auto"/>
          <w:sz w:val="21"/>
          <w:szCs w:val="21"/>
          <w:highlight w:val="none"/>
        </w:rPr>
        <w:t>采购活动。按</w:t>
      </w:r>
      <w:r>
        <w:rPr>
          <w:rFonts w:hint="eastAsia" w:ascii="仿宋" w:hAnsi="仿宋" w:eastAsia="仿宋" w:cs="仿宋"/>
          <w:color w:val="auto"/>
          <w:sz w:val="21"/>
          <w:szCs w:val="21"/>
          <w:highlight w:val="none"/>
          <w:lang w:val="en-US" w:eastAsia="zh-CN"/>
        </w:rPr>
        <w:t>招标</w:t>
      </w:r>
      <w:r>
        <w:rPr>
          <w:rFonts w:hint="eastAsia" w:ascii="仿宋" w:hAnsi="仿宋" w:eastAsia="仿宋" w:cs="仿宋"/>
          <w:color w:val="auto"/>
          <w:sz w:val="21"/>
          <w:szCs w:val="21"/>
          <w:highlight w:val="none"/>
        </w:rPr>
        <w:t>文件的规定，已通过</w:t>
      </w:r>
      <w:r>
        <w:rPr>
          <w:rFonts w:hint="eastAsia" w:ascii="仿宋" w:hAnsi="仿宋" w:eastAsia="仿宋" w:cs="仿宋"/>
          <w:color w:val="auto"/>
          <w:sz w:val="21"/>
          <w:szCs w:val="21"/>
          <w:highlight w:val="none"/>
          <w:u w:val="single"/>
        </w:rPr>
        <w:t>银行转帐/银行汇款</w:t>
      </w:r>
      <w:r>
        <w:rPr>
          <w:rFonts w:hint="eastAsia" w:ascii="仿宋" w:hAnsi="仿宋" w:eastAsia="仿宋" w:cs="仿宋"/>
          <w:color w:val="auto"/>
          <w:sz w:val="21"/>
          <w:szCs w:val="21"/>
          <w:highlight w:val="none"/>
        </w:rPr>
        <w:t>形式缴纳人民币</w:t>
      </w:r>
      <w:r>
        <w:rPr>
          <w:rFonts w:hint="eastAsia" w:ascii="仿宋" w:hAnsi="仿宋" w:eastAsia="仿宋" w:cs="仿宋"/>
          <w:color w:val="auto"/>
          <w:sz w:val="21"/>
          <w:szCs w:val="21"/>
          <w:highlight w:val="none"/>
          <w:u w:val="single"/>
        </w:rPr>
        <w:t xml:space="preserve">（大写）  　　  </w:t>
      </w:r>
      <w:r>
        <w:rPr>
          <w:rFonts w:hint="eastAsia" w:ascii="仿宋" w:hAnsi="仿宋" w:eastAsia="仿宋" w:cs="仿宋"/>
          <w:color w:val="auto"/>
          <w:sz w:val="21"/>
          <w:szCs w:val="21"/>
          <w:highlight w:val="none"/>
        </w:rPr>
        <w:t>元的保证金。</w:t>
      </w:r>
    </w:p>
    <w:p w14:paraId="2E9F33DB">
      <w:pPr>
        <w:autoSpaceDE w:val="0"/>
        <w:autoSpaceDN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退还保证金时请按以下内容划入我方帐户。若因内容不全、错误、字迹潦草模糊导致该项目保证金未能及时退还或退还过程中发生错误，我方将承担全部责任和损失。</w:t>
      </w:r>
    </w:p>
    <w:p w14:paraId="5FAFA6B0">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w:t>
      </w:r>
      <w:r>
        <w:rPr>
          <w:rFonts w:hint="eastAsia" w:ascii="仿宋" w:hAnsi="仿宋" w:eastAsia="仿宋" w:cs="仿宋"/>
          <w:i/>
          <w:iCs/>
          <w:color w:val="auto"/>
          <w:sz w:val="21"/>
          <w:szCs w:val="21"/>
          <w:highlight w:val="none"/>
          <w:u w:val="single"/>
        </w:rPr>
        <w:t xml:space="preserve">                                 </w:t>
      </w:r>
      <w:r>
        <w:rPr>
          <w:rFonts w:hint="eastAsia" w:ascii="仿宋" w:hAnsi="仿宋" w:eastAsia="仿宋" w:cs="仿宋"/>
          <w:color w:val="auto"/>
          <w:sz w:val="21"/>
          <w:szCs w:val="21"/>
          <w:highlight w:val="none"/>
        </w:rPr>
        <w:t xml:space="preserve"> </w:t>
      </w:r>
    </w:p>
    <w:p w14:paraId="40F63140">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开户银行：</w:t>
      </w:r>
      <w:r>
        <w:rPr>
          <w:rFonts w:hint="eastAsia" w:ascii="仿宋" w:hAnsi="仿宋" w:eastAsia="仿宋" w:cs="仿宋"/>
          <w:color w:val="auto"/>
          <w:sz w:val="21"/>
          <w:szCs w:val="21"/>
          <w:highlight w:val="none"/>
          <w:u w:val="single"/>
        </w:rPr>
        <w:t xml:space="preserve">                             </w:t>
      </w:r>
    </w:p>
    <w:p w14:paraId="47EA3D7B">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开户银行行号：</w:t>
      </w:r>
      <w:r>
        <w:rPr>
          <w:rFonts w:hint="eastAsia" w:ascii="仿宋" w:hAnsi="仿宋" w:eastAsia="仿宋" w:cs="仿宋"/>
          <w:color w:val="auto"/>
          <w:sz w:val="21"/>
          <w:szCs w:val="21"/>
          <w:highlight w:val="none"/>
          <w:u w:val="single"/>
        </w:rPr>
        <w:t xml:space="preserve">                         </w:t>
      </w:r>
    </w:p>
    <w:p w14:paraId="42DD5F65">
      <w:pPr>
        <w:spacing w:line="360" w:lineRule="auto"/>
        <w:ind w:firstLine="420" w:firstLineChars="20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银行帐号：</w:t>
      </w:r>
      <w:r>
        <w:rPr>
          <w:rFonts w:hint="eastAsia" w:ascii="仿宋" w:hAnsi="仿宋" w:eastAsia="仿宋" w:cs="仿宋"/>
          <w:color w:val="auto"/>
          <w:sz w:val="21"/>
          <w:szCs w:val="21"/>
          <w:highlight w:val="none"/>
          <w:u w:val="single"/>
        </w:rPr>
        <w:t xml:space="preserve">                             </w:t>
      </w:r>
    </w:p>
    <w:p w14:paraId="1E758BAC">
      <w:pPr>
        <w:adjustRightInd w:val="0"/>
        <w:snapToGrid w:val="0"/>
        <w:spacing w:line="360" w:lineRule="auto"/>
        <w:rPr>
          <w:rFonts w:hint="eastAsia" w:ascii="仿宋" w:hAnsi="仿宋" w:eastAsia="仿宋" w:cs="仿宋"/>
          <w:color w:val="auto"/>
          <w:sz w:val="21"/>
          <w:szCs w:val="21"/>
          <w:highlight w:val="none"/>
        </w:rPr>
      </w:pPr>
    </w:p>
    <w:p w14:paraId="6AD9E1DE">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法定代表人（或法定代表人授权代表）签字：</w:t>
      </w:r>
    </w:p>
    <w:p w14:paraId="4599D0C2">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名称（加盖公章）：</w:t>
      </w:r>
    </w:p>
    <w:p w14:paraId="3900064D">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日期：   年   月   日</w:t>
      </w:r>
    </w:p>
    <w:p w14:paraId="3867C043">
      <w:pPr>
        <w:pStyle w:val="2"/>
        <w:spacing w:line="440" w:lineRule="exact"/>
        <w:jc w:val="both"/>
        <w:rPr>
          <w:rFonts w:hint="eastAsia" w:ascii="仿宋" w:hAnsi="仿宋" w:eastAsia="仿宋" w:cs="仿宋"/>
          <w:bCs/>
          <w:color w:val="auto"/>
          <w:sz w:val="21"/>
          <w:szCs w:val="21"/>
          <w:highlight w:val="none"/>
        </w:rPr>
      </w:pPr>
    </w:p>
    <w:p w14:paraId="38E38EF7">
      <w:pPr>
        <w:pStyle w:val="2"/>
        <w:spacing w:line="440" w:lineRule="exact"/>
        <w:jc w:val="both"/>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注：为方便代理机构后续退款事宜，请</w:t>
      </w:r>
      <w:r>
        <w:rPr>
          <w:rFonts w:hint="eastAsia" w:ascii="仿宋" w:hAnsi="仿宋" w:eastAsia="仿宋" w:cs="仿宋"/>
          <w:b/>
          <w:color w:val="auto"/>
          <w:sz w:val="21"/>
          <w:szCs w:val="21"/>
          <w:highlight w:val="none"/>
          <w:lang w:val="en-US" w:eastAsia="zh-CN"/>
        </w:rPr>
        <w:t>投标人</w:t>
      </w:r>
      <w:r>
        <w:rPr>
          <w:rFonts w:hint="eastAsia" w:ascii="仿宋" w:hAnsi="仿宋" w:eastAsia="仿宋" w:cs="仿宋"/>
          <w:b/>
          <w:color w:val="auto"/>
          <w:sz w:val="21"/>
          <w:szCs w:val="21"/>
          <w:highlight w:val="none"/>
        </w:rPr>
        <w:t>认真填写此函信息，并后附转帐或汇款的银行凭证复印件。</w:t>
      </w:r>
    </w:p>
    <w:tbl>
      <w:tblPr>
        <w:tblStyle w:val="22"/>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5CFFB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7598ABFB">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（粘贴转帐或汇款的银行凭证复印件）</w:t>
            </w:r>
          </w:p>
        </w:tc>
      </w:tr>
    </w:tbl>
    <w:p w14:paraId="1184079E">
      <w:pPr>
        <w:pStyle w:val="10"/>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textAlignment w:val="auto"/>
        <w:rPr>
          <w:rFonts w:hint="eastAsia" w:ascii="仿宋" w:hAnsi="仿宋" w:eastAsia="仿宋" w:cs="仿宋"/>
          <w:color w:val="auto"/>
          <w:sz w:val="21"/>
          <w:szCs w:val="21"/>
          <w:highlight w:val="none"/>
        </w:rPr>
      </w:pPr>
    </w:p>
    <w:p w14:paraId="733EB918">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14:paraId="316FF9C1">
      <w:pPr>
        <w:widowControl w:val="0"/>
        <w:tabs>
          <w:tab w:val="left" w:pos="1325"/>
        </w:tabs>
        <w:spacing w:before="90"/>
        <w:jc w:val="both"/>
        <w:outlineLvl w:val="1"/>
        <w:rPr>
          <w:rFonts w:hint="eastAsia" w:ascii="仿宋" w:hAnsi="仿宋" w:eastAsia="仿宋" w:cs="仿宋"/>
          <w:b w:val="0"/>
          <w:bCs w:val="0"/>
          <w:color w:val="auto"/>
          <w:kern w:val="2"/>
          <w:sz w:val="24"/>
          <w:szCs w:val="24"/>
          <w:highlight w:val="none"/>
          <w:lang w:val="zh-CN" w:eastAsia="zh-CN" w:bidi="zh-CN"/>
        </w:rPr>
      </w:pPr>
      <w:bookmarkStart w:id="109" w:name="_Toc21100"/>
      <w:bookmarkStart w:id="110" w:name="_Toc19434"/>
      <w:bookmarkStart w:id="111" w:name="_Toc17857"/>
      <w:bookmarkStart w:id="112" w:name="_Toc16925"/>
      <w:bookmarkStart w:id="113" w:name="_Toc28409"/>
      <w:bookmarkStart w:id="114" w:name="_Toc8576"/>
      <w:bookmarkStart w:id="115" w:name="_Toc2994"/>
      <w:bookmarkStart w:id="116" w:name="_Toc8651"/>
      <w:r>
        <w:rPr>
          <w:rFonts w:hint="eastAsia" w:ascii="仿宋" w:hAnsi="仿宋" w:eastAsia="仿宋" w:cs="仿宋"/>
          <w:b w:val="0"/>
          <w:bCs w:val="0"/>
          <w:color w:val="auto"/>
          <w:kern w:val="2"/>
          <w:sz w:val="24"/>
          <w:szCs w:val="24"/>
          <w:highlight w:val="none"/>
          <w:lang w:val="en-US" w:eastAsia="zh-CN" w:bidi="zh-CN"/>
        </w:rPr>
        <w:t>13   开票信息</w:t>
      </w:r>
      <w:r>
        <w:rPr>
          <w:rFonts w:hint="eastAsia" w:ascii="仿宋" w:hAnsi="仿宋" w:eastAsia="仿宋" w:cs="仿宋"/>
          <w:b w:val="0"/>
          <w:bCs w:val="0"/>
          <w:color w:val="auto"/>
          <w:kern w:val="2"/>
          <w:sz w:val="24"/>
          <w:szCs w:val="24"/>
          <w:highlight w:val="none"/>
          <w:lang w:val="zh-CN" w:eastAsia="zh-CN" w:bidi="zh-CN"/>
        </w:rPr>
        <w:t>（统一格式）</w:t>
      </w:r>
      <w:bookmarkEnd w:id="109"/>
      <w:bookmarkEnd w:id="110"/>
      <w:bookmarkEnd w:id="111"/>
      <w:bookmarkEnd w:id="112"/>
      <w:bookmarkEnd w:id="113"/>
      <w:bookmarkEnd w:id="114"/>
      <w:bookmarkEnd w:id="115"/>
      <w:bookmarkEnd w:id="116"/>
    </w:p>
    <w:p w14:paraId="03C77B85">
      <w:pPr>
        <w:pStyle w:val="2"/>
        <w:spacing w:line="440" w:lineRule="exact"/>
        <w:ind w:firstLine="480" w:firstLineChars="200"/>
        <w:jc w:val="both"/>
        <w:rPr>
          <w:rFonts w:hint="eastAsia" w:ascii="仿宋" w:hAnsi="仿宋" w:eastAsia="仿宋" w:cs="仿宋"/>
          <w:bCs/>
          <w:color w:val="auto"/>
          <w:sz w:val="24"/>
          <w:highlight w:val="none"/>
        </w:rPr>
      </w:pPr>
    </w:p>
    <w:p w14:paraId="22FFADB3">
      <w:pPr>
        <w:pStyle w:val="2"/>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eastAsia="zh-CN"/>
        </w:rPr>
        <w:t>新疆世纪星工程咨询有限公司</w:t>
      </w:r>
      <w:r>
        <w:rPr>
          <w:rFonts w:hint="eastAsia" w:ascii="仿宋" w:hAnsi="仿宋" w:eastAsia="仿宋" w:cs="仿宋"/>
          <w:bCs/>
          <w:color w:val="auto"/>
          <w:sz w:val="21"/>
          <w:szCs w:val="21"/>
          <w:highlight w:val="none"/>
        </w:rPr>
        <w:t>：</w:t>
      </w:r>
    </w:p>
    <w:p w14:paraId="343A49D8">
      <w:pPr>
        <w:pStyle w:val="2"/>
        <w:spacing w:line="440" w:lineRule="exact"/>
        <w:ind w:firstLine="420" w:firstLineChars="200"/>
        <w:jc w:val="both"/>
        <w:rPr>
          <w:rFonts w:hint="eastAsia" w:ascii="仿宋" w:hAnsi="仿宋" w:eastAsia="仿宋" w:cs="仿宋"/>
          <w:color w:val="auto"/>
          <w:sz w:val="21"/>
          <w:szCs w:val="21"/>
          <w:highlight w:val="none"/>
        </w:rPr>
      </w:pPr>
      <w:r>
        <w:rPr>
          <w:rFonts w:hint="eastAsia" w:ascii="仿宋" w:hAnsi="仿宋" w:eastAsia="仿宋" w:cs="仿宋"/>
          <w:bCs/>
          <w:color w:val="auto"/>
          <w:sz w:val="21"/>
          <w:szCs w:val="21"/>
          <w:highlight w:val="none"/>
        </w:rPr>
        <w:t xml:space="preserve">    </w:t>
      </w: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eastAsia="zh-CN"/>
        </w:rPr>
        <w:t>投标人</w:t>
      </w:r>
      <w:r>
        <w:rPr>
          <w:rFonts w:hint="eastAsia" w:ascii="仿宋" w:hAnsi="仿宋" w:eastAsia="仿宋" w:cs="仿宋"/>
          <w:color w:val="auto"/>
          <w:sz w:val="21"/>
          <w:szCs w:val="21"/>
          <w:highlight w:val="none"/>
          <w:u w:val="single"/>
        </w:rPr>
        <w:t xml:space="preserve">名称）   </w:t>
      </w:r>
      <w:r>
        <w:rPr>
          <w:rFonts w:hint="eastAsia" w:ascii="仿宋" w:hAnsi="仿宋" w:eastAsia="仿宋" w:cs="仿宋"/>
          <w:color w:val="auto"/>
          <w:sz w:val="21"/>
          <w:szCs w:val="21"/>
          <w:highlight w:val="none"/>
        </w:rPr>
        <w:t>公司在参加在贵司进行的</w:t>
      </w:r>
      <w:r>
        <w:rPr>
          <w:rFonts w:hint="eastAsia" w:ascii="仿宋" w:hAnsi="仿宋" w:eastAsia="仿宋" w:cs="仿宋"/>
          <w:color w:val="auto"/>
          <w:sz w:val="21"/>
          <w:szCs w:val="21"/>
          <w:highlight w:val="none"/>
          <w:u w:val="single"/>
        </w:rPr>
        <w:t xml:space="preserve">  </w:t>
      </w:r>
      <w:r>
        <w:rPr>
          <w:rFonts w:hint="eastAsia" w:ascii="仿宋" w:hAnsi="仿宋" w:eastAsia="仿宋" w:cs="仿宋"/>
          <w:b w:val="0"/>
          <w:bCs w:val="0"/>
          <w:color w:val="auto"/>
          <w:sz w:val="21"/>
          <w:szCs w:val="21"/>
          <w:highlight w:val="none"/>
          <w:u w:val="single"/>
          <w:lang w:val="en-US" w:eastAsia="zh-CN"/>
        </w:rPr>
        <w:t>（项目名称）（项目编号）</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招标，我司缴纳标书费和代理服务费后开具发票的事宜，我司声明如下： </w:t>
      </w:r>
    </w:p>
    <w:p w14:paraId="169FA8C1">
      <w:pPr>
        <w:pStyle w:val="2"/>
        <w:spacing w:line="440" w:lineRule="exact"/>
        <w:ind w:firstLine="420" w:firstLineChars="200"/>
        <w:jc w:val="both"/>
        <w:rPr>
          <w:rFonts w:hint="eastAsia" w:ascii="仿宋" w:hAnsi="仿宋" w:eastAsia="仿宋" w:cs="仿宋"/>
          <w:color w:val="auto"/>
          <w:sz w:val="21"/>
          <w:szCs w:val="21"/>
          <w:highlight w:val="none"/>
        </w:rPr>
      </w:pPr>
    </w:p>
    <w:tbl>
      <w:tblPr>
        <w:tblStyle w:val="23"/>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2A871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6468BC1B">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增值税发票开票信息</w:t>
            </w:r>
          </w:p>
        </w:tc>
      </w:tr>
      <w:tr w14:paraId="455ED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957F508">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增值税发票开票种类</w:t>
            </w:r>
          </w:p>
        </w:tc>
        <w:tc>
          <w:tcPr>
            <w:tcW w:w="7472" w:type="dxa"/>
            <w:gridSpan w:val="3"/>
            <w:vAlign w:val="center"/>
          </w:tcPr>
          <w:p w14:paraId="167AC294">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（请在此处注明增值税专用发票或增值税普通发票）</w:t>
            </w:r>
          </w:p>
        </w:tc>
      </w:tr>
      <w:tr w14:paraId="043A3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BCFE307">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单位名称</w:t>
            </w:r>
          </w:p>
        </w:tc>
        <w:tc>
          <w:tcPr>
            <w:tcW w:w="7472" w:type="dxa"/>
            <w:gridSpan w:val="3"/>
            <w:vAlign w:val="center"/>
          </w:tcPr>
          <w:p w14:paraId="6002714B">
            <w:pPr>
              <w:pStyle w:val="2"/>
              <w:spacing w:line="440" w:lineRule="exact"/>
              <w:jc w:val="center"/>
              <w:rPr>
                <w:rFonts w:hint="eastAsia" w:ascii="仿宋" w:hAnsi="仿宋" w:eastAsia="仿宋" w:cs="仿宋"/>
                <w:bCs/>
                <w:color w:val="auto"/>
                <w:sz w:val="21"/>
                <w:szCs w:val="21"/>
                <w:highlight w:val="none"/>
              </w:rPr>
            </w:pPr>
          </w:p>
        </w:tc>
      </w:tr>
      <w:tr w14:paraId="5B5AB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5628A66">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单位地址</w:t>
            </w:r>
          </w:p>
        </w:tc>
        <w:tc>
          <w:tcPr>
            <w:tcW w:w="7472" w:type="dxa"/>
            <w:gridSpan w:val="3"/>
            <w:vAlign w:val="center"/>
          </w:tcPr>
          <w:p w14:paraId="37287068">
            <w:pPr>
              <w:pStyle w:val="2"/>
              <w:spacing w:line="440" w:lineRule="exact"/>
              <w:jc w:val="center"/>
              <w:rPr>
                <w:rFonts w:hint="eastAsia" w:ascii="仿宋" w:hAnsi="仿宋" w:eastAsia="仿宋" w:cs="仿宋"/>
                <w:bCs/>
                <w:color w:val="auto"/>
                <w:sz w:val="21"/>
                <w:szCs w:val="21"/>
                <w:highlight w:val="none"/>
              </w:rPr>
            </w:pPr>
          </w:p>
        </w:tc>
      </w:tr>
      <w:tr w14:paraId="7C8F3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F4630D4">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纳税人识别号</w:t>
            </w:r>
          </w:p>
        </w:tc>
        <w:tc>
          <w:tcPr>
            <w:tcW w:w="3576" w:type="dxa"/>
            <w:vAlign w:val="center"/>
          </w:tcPr>
          <w:p w14:paraId="1E8C6C1E">
            <w:pPr>
              <w:pStyle w:val="2"/>
              <w:spacing w:line="440" w:lineRule="exact"/>
              <w:jc w:val="center"/>
              <w:rPr>
                <w:rFonts w:hint="eastAsia" w:ascii="仿宋" w:hAnsi="仿宋" w:eastAsia="仿宋" w:cs="仿宋"/>
                <w:bCs/>
                <w:color w:val="auto"/>
                <w:sz w:val="21"/>
                <w:szCs w:val="21"/>
                <w:highlight w:val="none"/>
              </w:rPr>
            </w:pPr>
          </w:p>
        </w:tc>
        <w:tc>
          <w:tcPr>
            <w:tcW w:w="1791" w:type="dxa"/>
            <w:vAlign w:val="center"/>
          </w:tcPr>
          <w:p w14:paraId="40D1CE1F">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固定电话</w:t>
            </w:r>
          </w:p>
        </w:tc>
        <w:tc>
          <w:tcPr>
            <w:tcW w:w="2105" w:type="dxa"/>
            <w:vAlign w:val="center"/>
          </w:tcPr>
          <w:p w14:paraId="77FC0EE8">
            <w:pPr>
              <w:pStyle w:val="2"/>
              <w:spacing w:line="440" w:lineRule="exact"/>
              <w:jc w:val="center"/>
              <w:rPr>
                <w:rFonts w:hint="eastAsia" w:ascii="仿宋" w:hAnsi="仿宋" w:eastAsia="仿宋" w:cs="仿宋"/>
                <w:bCs/>
                <w:color w:val="auto"/>
                <w:sz w:val="21"/>
                <w:szCs w:val="21"/>
                <w:highlight w:val="none"/>
              </w:rPr>
            </w:pPr>
          </w:p>
        </w:tc>
      </w:tr>
      <w:tr w14:paraId="3D0FE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60540111">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开户银行名称</w:t>
            </w:r>
          </w:p>
        </w:tc>
        <w:tc>
          <w:tcPr>
            <w:tcW w:w="3576" w:type="dxa"/>
            <w:vAlign w:val="center"/>
          </w:tcPr>
          <w:p w14:paraId="6E4DE0D6">
            <w:pPr>
              <w:pStyle w:val="2"/>
              <w:spacing w:line="440" w:lineRule="exact"/>
              <w:jc w:val="center"/>
              <w:rPr>
                <w:rFonts w:hint="eastAsia" w:ascii="仿宋" w:hAnsi="仿宋" w:eastAsia="仿宋" w:cs="仿宋"/>
                <w:bCs/>
                <w:color w:val="auto"/>
                <w:sz w:val="21"/>
                <w:szCs w:val="21"/>
                <w:highlight w:val="none"/>
              </w:rPr>
            </w:pPr>
          </w:p>
        </w:tc>
        <w:tc>
          <w:tcPr>
            <w:tcW w:w="1791" w:type="dxa"/>
            <w:vAlign w:val="center"/>
          </w:tcPr>
          <w:p w14:paraId="6B7A07F5">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联系人姓名</w:t>
            </w:r>
          </w:p>
        </w:tc>
        <w:tc>
          <w:tcPr>
            <w:tcW w:w="2105" w:type="dxa"/>
            <w:vAlign w:val="center"/>
          </w:tcPr>
          <w:p w14:paraId="7ACF7E9E">
            <w:pPr>
              <w:pStyle w:val="2"/>
              <w:spacing w:line="440" w:lineRule="exact"/>
              <w:jc w:val="center"/>
              <w:rPr>
                <w:rFonts w:hint="eastAsia" w:ascii="仿宋" w:hAnsi="仿宋" w:eastAsia="仿宋" w:cs="仿宋"/>
                <w:bCs/>
                <w:color w:val="auto"/>
                <w:sz w:val="21"/>
                <w:szCs w:val="21"/>
                <w:highlight w:val="none"/>
              </w:rPr>
            </w:pPr>
          </w:p>
        </w:tc>
      </w:tr>
      <w:tr w14:paraId="6943E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2D0E50C5">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开户银行账号</w:t>
            </w:r>
          </w:p>
        </w:tc>
        <w:tc>
          <w:tcPr>
            <w:tcW w:w="3576" w:type="dxa"/>
            <w:vAlign w:val="center"/>
          </w:tcPr>
          <w:p w14:paraId="75F72179">
            <w:pPr>
              <w:pStyle w:val="2"/>
              <w:spacing w:line="440" w:lineRule="exact"/>
              <w:jc w:val="center"/>
              <w:rPr>
                <w:rFonts w:hint="eastAsia" w:ascii="仿宋" w:hAnsi="仿宋" w:eastAsia="仿宋" w:cs="仿宋"/>
                <w:bCs/>
                <w:color w:val="auto"/>
                <w:sz w:val="21"/>
                <w:szCs w:val="21"/>
                <w:highlight w:val="none"/>
              </w:rPr>
            </w:pPr>
          </w:p>
        </w:tc>
        <w:tc>
          <w:tcPr>
            <w:tcW w:w="1791" w:type="dxa"/>
            <w:vAlign w:val="center"/>
          </w:tcPr>
          <w:p w14:paraId="7B917023">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联系人电话</w:t>
            </w:r>
          </w:p>
        </w:tc>
        <w:tc>
          <w:tcPr>
            <w:tcW w:w="2105" w:type="dxa"/>
            <w:vAlign w:val="center"/>
          </w:tcPr>
          <w:p w14:paraId="0629009B">
            <w:pPr>
              <w:pStyle w:val="2"/>
              <w:spacing w:line="440" w:lineRule="exact"/>
              <w:jc w:val="center"/>
              <w:rPr>
                <w:rFonts w:hint="eastAsia" w:ascii="仿宋" w:hAnsi="仿宋" w:eastAsia="仿宋" w:cs="仿宋"/>
                <w:bCs/>
                <w:color w:val="auto"/>
                <w:sz w:val="21"/>
                <w:szCs w:val="21"/>
                <w:highlight w:val="none"/>
              </w:rPr>
            </w:pPr>
          </w:p>
        </w:tc>
      </w:tr>
      <w:tr w14:paraId="610E4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305D98AF">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电子发票收件</w:t>
            </w:r>
          </w:p>
          <w:p w14:paraId="0DAD1F87">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电子邮箱</w:t>
            </w:r>
          </w:p>
        </w:tc>
        <w:tc>
          <w:tcPr>
            <w:tcW w:w="7472" w:type="dxa"/>
            <w:gridSpan w:val="3"/>
            <w:vAlign w:val="center"/>
          </w:tcPr>
          <w:p w14:paraId="743175E6">
            <w:pPr>
              <w:pStyle w:val="2"/>
              <w:spacing w:line="440" w:lineRule="exact"/>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Email:</w:t>
            </w:r>
          </w:p>
        </w:tc>
      </w:tr>
      <w:tr w14:paraId="48FE9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1E3DB05E">
            <w:pPr>
              <w:pStyle w:val="2"/>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发票邮寄地址：</w:t>
            </w:r>
          </w:p>
        </w:tc>
        <w:tc>
          <w:tcPr>
            <w:tcW w:w="7472" w:type="dxa"/>
            <w:gridSpan w:val="3"/>
            <w:vAlign w:val="center"/>
          </w:tcPr>
          <w:p w14:paraId="23E7756A">
            <w:pPr>
              <w:pStyle w:val="2"/>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地址：</w:t>
            </w:r>
          </w:p>
          <w:p w14:paraId="1F37258B">
            <w:pPr>
              <w:pStyle w:val="2"/>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收件人：                电话：</w:t>
            </w:r>
          </w:p>
        </w:tc>
      </w:tr>
    </w:tbl>
    <w:p w14:paraId="092EA5A8">
      <w:pPr>
        <w:pStyle w:val="2"/>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 xml:space="preserve">    我公司提供的上述开票信息准确无误，如果因我公司提供上述信息错误，导致发票无效的，将由我公司承担相应后果。</w:t>
      </w:r>
    </w:p>
    <w:p w14:paraId="4062BAD6">
      <w:pPr>
        <w:pStyle w:val="2"/>
        <w:spacing w:line="440" w:lineRule="exact"/>
        <w:jc w:val="both"/>
        <w:rPr>
          <w:rFonts w:hint="eastAsia" w:ascii="仿宋" w:hAnsi="仿宋" w:eastAsia="仿宋" w:cs="仿宋"/>
          <w:bCs/>
          <w:color w:val="auto"/>
          <w:sz w:val="21"/>
          <w:szCs w:val="21"/>
          <w:highlight w:val="none"/>
        </w:rPr>
      </w:pPr>
    </w:p>
    <w:p w14:paraId="416435EB">
      <w:pPr>
        <w:pStyle w:val="2"/>
        <w:spacing w:line="440" w:lineRule="exact"/>
        <w:ind w:firstLine="420" w:firstLineChars="200"/>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注：</w:t>
      </w:r>
      <w:r>
        <w:rPr>
          <w:rFonts w:hint="eastAsia" w:ascii="仿宋" w:hAnsi="仿宋" w:eastAsia="仿宋" w:cs="仿宋"/>
          <w:bCs/>
          <w:color w:val="auto"/>
          <w:sz w:val="21"/>
          <w:szCs w:val="21"/>
          <w:highlight w:val="none"/>
          <w:lang w:eastAsia="zh-CN"/>
        </w:rPr>
        <w:t>投标人</w:t>
      </w:r>
      <w:r>
        <w:rPr>
          <w:rFonts w:hint="eastAsia" w:ascii="仿宋" w:hAnsi="仿宋" w:eastAsia="仿宋" w:cs="仿宋"/>
          <w:bCs/>
          <w:color w:val="auto"/>
          <w:sz w:val="21"/>
          <w:szCs w:val="21"/>
          <w:highlight w:val="none"/>
        </w:rPr>
        <w:t>需要采购代理机构开具增值税发票的，请在上表中填写相关信息，</w:t>
      </w:r>
      <w:r>
        <w:rPr>
          <w:rFonts w:hint="eastAsia" w:ascii="仿宋" w:hAnsi="仿宋" w:eastAsia="仿宋" w:cs="仿宋"/>
          <w:b/>
          <w:color w:val="auto"/>
          <w:sz w:val="21"/>
          <w:szCs w:val="21"/>
          <w:highlight w:val="none"/>
        </w:rPr>
        <w:t>如</w:t>
      </w:r>
      <w:r>
        <w:rPr>
          <w:rFonts w:hint="eastAsia" w:ascii="仿宋" w:hAnsi="仿宋" w:eastAsia="仿宋" w:cs="仿宋"/>
          <w:b/>
          <w:color w:val="auto"/>
          <w:sz w:val="21"/>
          <w:szCs w:val="21"/>
          <w:highlight w:val="none"/>
          <w:lang w:eastAsia="zh-CN"/>
        </w:rPr>
        <w:t>投标人</w:t>
      </w:r>
      <w:r>
        <w:rPr>
          <w:rFonts w:hint="eastAsia" w:ascii="仿宋" w:hAnsi="仿宋" w:eastAsia="仿宋" w:cs="仿宋"/>
          <w:b/>
          <w:color w:val="auto"/>
          <w:sz w:val="21"/>
          <w:szCs w:val="21"/>
          <w:highlight w:val="none"/>
        </w:rPr>
        <w:t>需要开具增值税专用发票的须附</w:t>
      </w:r>
      <w:r>
        <w:rPr>
          <w:rFonts w:hint="eastAsia" w:ascii="仿宋" w:hAnsi="仿宋" w:eastAsia="仿宋" w:cs="仿宋"/>
          <w:b/>
          <w:color w:val="auto"/>
          <w:sz w:val="21"/>
          <w:szCs w:val="21"/>
          <w:highlight w:val="none"/>
          <w:lang w:eastAsia="zh-CN"/>
        </w:rPr>
        <w:t>投标人</w:t>
      </w:r>
      <w:r>
        <w:rPr>
          <w:rFonts w:hint="eastAsia" w:ascii="仿宋" w:hAnsi="仿宋" w:eastAsia="仿宋" w:cs="仿宋"/>
          <w:b/>
          <w:color w:val="auto"/>
          <w:sz w:val="21"/>
          <w:szCs w:val="21"/>
          <w:highlight w:val="none"/>
        </w:rPr>
        <w:t>开户许可证、一般纳税人认定文件的清晰复印件加盖公章，以及开票信息（见上表）。</w:t>
      </w:r>
      <w:r>
        <w:rPr>
          <w:rFonts w:hint="eastAsia" w:ascii="仿宋" w:hAnsi="仿宋" w:eastAsia="仿宋" w:cs="仿宋"/>
          <w:bCs/>
          <w:color w:val="auto"/>
          <w:sz w:val="21"/>
          <w:szCs w:val="21"/>
          <w:highlight w:val="none"/>
        </w:rPr>
        <w:t>如</w:t>
      </w:r>
      <w:r>
        <w:rPr>
          <w:rFonts w:hint="eastAsia" w:ascii="仿宋" w:hAnsi="仿宋" w:eastAsia="仿宋" w:cs="仿宋"/>
          <w:bCs/>
          <w:color w:val="auto"/>
          <w:sz w:val="21"/>
          <w:szCs w:val="21"/>
          <w:highlight w:val="none"/>
          <w:lang w:eastAsia="zh-CN"/>
        </w:rPr>
        <w:t>投标人</w:t>
      </w:r>
      <w:r>
        <w:rPr>
          <w:rFonts w:hint="eastAsia" w:ascii="仿宋" w:hAnsi="仿宋" w:eastAsia="仿宋" w:cs="仿宋"/>
          <w:bCs/>
          <w:color w:val="auto"/>
          <w:sz w:val="21"/>
          <w:szCs w:val="21"/>
          <w:highlight w:val="none"/>
        </w:rPr>
        <w:t>在开票信息中未注明开具</w:t>
      </w:r>
      <w:r>
        <w:rPr>
          <w:rFonts w:hint="eastAsia" w:ascii="仿宋" w:hAnsi="仿宋" w:eastAsia="仿宋" w:cs="仿宋"/>
          <w:b/>
          <w:color w:val="auto"/>
          <w:sz w:val="21"/>
          <w:szCs w:val="21"/>
          <w:highlight w:val="none"/>
        </w:rPr>
        <w:t>增值税专用发票</w:t>
      </w:r>
      <w:r>
        <w:rPr>
          <w:rFonts w:hint="eastAsia" w:ascii="仿宋" w:hAnsi="仿宋" w:eastAsia="仿宋" w:cs="仿宋"/>
          <w:bCs/>
          <w:color w:val="auto"/>
          <w:sz w:val="21"/>
          <w:szCs w:val="21"/>
          <w:highlight w:val="none"/>
        </w:rPr>
        <w:t>且未提供上述材料，代理机构将默认开具增值税普通发票。</w:t>
      </w:r>
    </w:p>
    <w:p w14:paraId="79CA1BED">
      <w:pPr>
        <w:pStyle w:val="2"/>
        <w:spacing w:line="440" w:lineRule="exact"/>
        <w:jc w:val="both"/>
        <w:rPr>
          <w:rFonts w:hint="eastAsia" w:ascii="仿宋" w:hAnsi="仿宋" w:eastAsia="仿宋" w:cs="仿宋"/>
          <w:bCs/>
          <w:color w:val="auto"/>
          <w:sz w:val="21"/>
          <w:szCs w:val="21"/>
          <w:highlight w:val="none"/>
        </w:rPr>
      </w:pPr>
    </w:p>
    <w:p w14:paraId="2F1907CE">
      <w:pPr>
        <w:adjustRightInd w:val="0"/>
        <w:snapToGrid w:val="0"/>
        <w:spacing w:line="440" w:lineRule="exac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法定代表人（或法定代表人授权代表）签字：</w:t>
      </w:r>
    </w:p>
    <w:p w14:paraId="1F243876">
      <w:pPr>
        <w:adjustRightInd w:val="0"/>
        <w:snapToGrid w:val="0"/>
        <w:spacing w:line="440" w:lineRule="exac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名称（加盖公章）：</w:t>
      </w:r>
    </w:p>
    <w:p w14:paraId="36DF2CAA">
      <w:pPr>
        <w:pStyle w:val="2"/>
        <w:spacing w:line="440" w:lineRule="exact"/>
        <w:jc w:val="both"/>
        <w:rPr>
          <w:rFonts w:hint="eastAsia" w:ascii="仿宋" w:hAnsi="仿宋" w:eastAsia="仿宋" w:cs="仿宋"/>
          <w:b/>
          <w:bCs/>
          <w:color w:val="auto"/>
          <w:sz w:val="21"/>
          <w:szCs w:val="21"/>
          <w:highlight w:val="none"/>
          <w:lang w:bidi="ar"/>
        </w:rPr>
      </w:pPr>
      <w:r>
        <w:rPr>
          <w:rFonts w:hint="eastAsia" w:ascii="仿宋" w:hAnsi="仿宋" w:eastAsia="仿宋" w:cs="仿宋"/>
          <w:color w:val="auto"/>
          <w:sz w:val="21"/>
          <w:szCs w:val="21"/>
          <w:highlight w:val="none"/>
        </w:rPr>
        <w:t>日期：   年   月   日</w:t>
      </w:r>
    </w:p>
    <w:p w14:paraId="39DD142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86FDD31C-6E52-4874-A1F8-A45BAA5A52D3}"/>
  </w:font>
  <w:font w:name="Arial">
    <w:panose1 w:val="020B0604020202020204"/>
    <w:charset w:val="01"/>
    <w:family w:val="swiss"/>
    <w:pitch w:val="default"/>
    <w:sig w:usb0="E0002EFF" w:usb1="C000785B" w:usb2="00000009" w:usb3="00000000" w:csb0="400001FF" w:csb1="FFFF0000"/>
    <w:embedRegular r:id="rId2" w:fontKey="{6E74C543-9437-428A-AC36-32BFB8531750}"/>
  </w:font>
  <w:font w:name="黑体">
    <w:panose1 w:val="02010609060101010101"/>
    <w:charset w:val="86"/>
    <w:family w:val="auto"/>
    <w:pitch w:val="default"/>
    <w:sig w:usb0="800002BF" w:usb1="38CF7CFA" w:usb2="00000016" w:usb3="00000000" w:csb0="00040001" w:csb1="00000000"/>
    <w:embedRegular r:id="rId3" w:fontKey="{435C5929-48C1-4B3D-9C5E-6E16171BBB0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4" w:fontKey="{49D2F965-6EC3-4248-AA0F-DCCA3EC6A7BA}"/>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5" w:fontKey="{DF356C47-B790-4960-9E8E-A3AA81341C3E}"/>
  </w:font>
  <w:font w:name="宋体-简">
    <w:altName w:val="宋体"/>
    <w:panose1 w:val="00000000000000000000"/>
    <w:charset w:val="00"/>
    <w:family w:val="auto"/>
    <w:pitch w:val="default"/>
    <w:sig w:usb0="00000000" w:usb1="00000000" w:usb2="00000000" w:usb3="00000000" w:csb0="00000000"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embedRegular r:id="rId6" w:fontKey="{44232DA8-A5F4-45D9-9CE7-BC8DF0AB57A3}"/>
  </w:font>
  <w:font w:name="Microsoft JhengHei UI">
    <w:panose1 w:val="020B0604030504040204"/>
    <w:charset w:val="88"/>
    <w:family w:val="auto"/>
    <w:pitch w:val="default"/>
    <w:sig w:usb0="000002A7" w:usb1="28CF4400" w:usb2="00000016" w:usb3="00000000" w:csb0="00100009" w:csb1="00000000"/>
    <w:embedRegular r:id="rId7" w:fontKey="{03ABFBF8-9314-435C-B5EE-7ADF91BB2AFA}"/>
  </w:font>
  <w:font w:name="Wingdings 2">
    <w:panose1 w:val="05020102010507070707"/>
    <w:charset w:val="02"/>
    <w:family w:val="roman"/>
    <w:pitch w:val="default"/>
    <w:sig w:usb0="00000000" w:usb1="00000000" w:usb2="00000000" w:usb3="00000000" w:csb0="80000000" w:csb1="00000000"/>
    <w:embedRegular r:id="rId8" w:fontKey="{C7BBCAF3-5B79-4531-A790-298DAD117F3F}"/>
  </w:font>
  <w:font w:name="华文中宋">
    <w:panose1 w:val="02010600040101010101"/>
    <w:charset w:val="86"/>
    <w:family w:val="auto"/>
    <w:pitch w:val="default"/>
    <w:sig w:usb0="00000287" w:usb1="080F0000" w:usb2="00000000" w:usb3="00000000" w:csb0="0004009F" w:csb1="DFD70000"/>
    <w:embedRegular r:id="rId9" w:fontKey="{8E380A90-C057-4EE3-BFDA-627A2DF5615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8F4E8E">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6237DC">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36237DC">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932CB">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C67041">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DC67041">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738E3">
    <w:pPr>
      <w:pStyle w:val="15"/>
      <w:pBdr>
        <w:bottom w:val="none" w:color="auto" w:sz="0" w:space="1"/>
      </w:pBdr>
      <w:ind w:firstLine="840" w:firstLineChars="300"/>
      <w:rPr>
        <w:rFonts w:hint="eastAsia"/>
      </w:rPr>
    </w:pPr>
    <w:r>
      <w:rPr>
        <w:rFonts w:hint="eastAsia" w:ascii="仿宋_GB2312" w:hAnsi="仿宋_GB2312" w:eastAsia="仿宋_GB2312" w:cs="仿宋_GB2312"/>
        <w:sz w:val="28"/>
        <w:szCs w:val="28"/>
        <w:lang w:eastAsia="zh-CN"/>
      </w:rPr>
      <w:drawing>
        <wp:anchor distT="0" distB="0" distL="114300" distR="114300" simplePos="0" relativeHeight="251659264" behindDoc="1" locked="0" layoutInCell="1" allowOverlap="1">
          <wp:simplePos x="0" y="0"/>
          <wp:positionH relativeFrom="column">
            <wp:posOffset>54610</wp:posOffset>
          </wp:positionH>
          <wp:positionV relativeFrom="paragraph">
            <wp:posOffset>-11430</wp:posOffset>
          </wp:positionV>
          <wp:extent cx="427355" cy="413385"/>
          <wp:effectExtent l="0" t="0" r="10795" b="5715"/>
          <wp:wrapTight wrapText="bothSides">
            <wp:wrapPolygon>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eastAsia="仿宋_GB2312" w:cs="仿宋_GB2312"/>
        <w:sz w:val="28"/>
        <w:szCs w:val="28"/>
      </w:rPr>
      <w:t xml:space="preserve">新疆世纪星工程咨询有限公司  </w:t>
    </w:r>
    <w:r>
      <w:rPr>
        <w:rFonts w:hint="eastAsia" w:ascii="仿宋_GB2312" w:hAnsi="仿宋_GB2312" w:eastAsia="仿宋_GB2312" w:cs="仿宋_GB2312"/>
        <w:sz w:val="21"/>
        <w:szCs w:val="21"/>
      </w:rPr>
      <w:t>新疆乌鲁木齐市黄山街德港大厦20层</w:t>
    </w:r>
  </w:p>
  <w:p w14:paraId="5371C258">
    <w:pPr>
      <w:pStyle w:val="15"/>
      <w:pBdr>
        <w:bottom w:val="single" w:color="auto" w:sz="4" w:space="1"/>
      </w:pBdr>
      <w:ind w:firstLine="1040" w:firstLineChars="800"/>
    </w:pPr>
    <w:r>
      <w:rPr>
        <w:rFonts w:hint="eastAsia" w:ascii="Microsoft JhengHei UI" w:hAnsi="Microsoft JhengHei UI" w:eastAsia="Microsoft JhengHei UI" w:cs="Microsoft JhengHei UI"/>
        <w:sz w:val="13"/>
        <w:szCs w:val="20"/>
      </w:rPr>
      <w:t>Xinjiang Century Star Engineering Consulting Co., Ltd.</w:t>
    </w:r>
    <w:r>
      <w:rPr>
        <w:rFonts w:hint="eastAsia"/>
      </w:rPr>
      <w:t xml:space="preserve">     TEL：0991-3678303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47839">
    <w:pPr>
      <w:pStyle w:val="1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84C3F883"/>
    <w:multiLevelType w:val="multilevel"/>
    <w:tmpl w:val="84C3F883"/>
    <w:lvl w:ilvl="0" w:tentative="0">
      <w:start w:val="2"/>
      <w:numFmt w:val="decimal"/>
      <w:suff w:val="space"/>
      <w:lvlText w:val="%1."/>
      <w:lvlJc w:val="left"/>
      <w:rPr>
        <w:rFonts w:hint="default"/>
        <w:b w:val="0"/>
        <w:bCs w:val="0"/>
      </w:rPr>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b w:val="0"/>
        <w:bCs w:val="0"/>
        <w:sz w:val="22"/>
        <w:szCs w:val="2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894F26C5"/>
    <w:multiLevelType w:val="singleLevel"/>
    <w:tmpl w:val="894F26C5"/>
    <w:lvl w:ilvl="0" w:tentative="0">
      <w:start w:val="1"/>
      <w:numFmt w:val="decimal"/>
      <w:suff w:val="space"/>
      <w:lvlText w:val="%1."/>
      <w:lvlJc w:val="left"/>
    </w:lvl>
  </w:abstractNum>
  <w:abstractNum w:abstractNumId="3">
    <w:nsid w:val="CB60E306"/>
    <w:multiLevelType w:val="singleLevel"/>
    <w:tmpl w:val="CB60E306"/>
    <w:lvl w:ilvl="0" w:tentative="0">
      <w:start w:val="1"/>
      <w:numFmt w:val="decimal"/>
      <w:suff w:val="nothing"/>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05FE2DA7"/>
    <w:multiLevelType w:val="singleLevel"/>
    <w:tmpl w:val="05FE2DA7"/>
    <w:lvl w:ilvl="0" w:tentative="0">
      <w:start w:val="1"/>
      <w:numFmt w:val="chineseCounting"/>
      <w:suff w:val="space"/>
      <w:lvlText w:val="第%1章"/>
      <w:lvlJc w:val="left"/>
      <w:rPr>
        <w:rFonts w:hint="eastAsia"/>
      </w:rPr>
    </w:lvl>
  </w:abstractNum>
  <w:abstractNum w:abstractNumId="8">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ascii="Times New Roman" w:hAnsi="Times New Roman" w:cs="Times New Roman"/>
        <w:sz w:val="22"/>
        <w:szCs w:val="2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9">
    <w:nsid w:val="09E5A242"/>
    <w:multiLevelType w:val="singleLevel"/>
    <w:tmpl w:val="09E5A242"/>
    <w:lvl w:ilvl="0" w:tentative="0">
      <w:start w:val="2"/>
      <w:numFmt w:val="chineseCounting"/>
      <w:suff w:val="nothing"/>
      <w:lvlText w:val="%1、"/>
      <w:lvlJc w:val="left"/>
      <w:rPr>
        <w:rFonts w:hint="eastAsia"/>
      </w:rPr>
    </w:lvl>
  </w:abstractNum>
  <w:abstractNum w:abstractNumId="10">
    <w:nsid w:val="0F118BC3"/>
    <w:multiLevelType w:val="singleLevel"/>
    <w:tmpl w:val="0F118BC3"/>
    <w:lvl w:ilvl="0" w:tentative="0">
      <w:start w:val="1"/>
      <w:numFmt w:val="chineseCounting"/>
      <w:suff w:val="nothing"/>
      <w:lvlText w:val="%1、"/>
      <w:lvlJc w:val="left"/>
      <w:rPr>
        <w:rFonts w:hint="eastAsia"/>
      </w:rPr>
    </w:lvl>
  </w:abstractNum>
  <w:abstractNum w:abstractNumId="11">
    <w:nsid w:val="3BC6F39C"/>
    <w:multiLevelType w:val="singleLevel"/>
    <w:tmpl w:val="3BC6F39C"/>
    <w:lvl w:ilvl="0" w:tentative="0">
      <w:start w:val="1"/>
      <w:numFmt w:val="decimal"/>
      <w:suff w:val="space"/>
      <w:lvlText w:val="%1."/>
      <w:lvlJc w:val="left"/>
    </w:lvl>
  </w:abstractNum>
  <w:abstractNum w:abstractNumId="12">
    <w:nsid w:val="63862E25"/>
    <w:multiLevelType w:val="singleLevel"/>
    <w:tmpl w:val="63862E25"/>
    <w:lvl w:ilvl="0" w:tentative="0">
      <w:start w:val="1"/>
      <w:numFmt w:val="decimal"/>
      <w:suff w:val="space"/>
      <w:lvlText w:val="（%1）"/>
      <w:lvlJc w:val="left"/>
    </w:lvl>
  </w:abstractNum>
  <w:abstractNum w:abstractNumId="13">
    <w:nsid w:val="6D6AA095"/>
    <w:multiLevelType w:val="multilevel"/>
    <w:tmpl w:val="6D6AA095"/>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4">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5">
    <w:nsid w:val="78F60E4F"/>
    <w:multiLevelType w:val="singleLevel"/>
    <w:tmpl w:val="78F60E4F"/>
    <w:lvl w:ilvl="0" w:tentative="0">
      <w:start w:val="1"/>
      <w:numFmt w:val="chineseCounting"/>
      <w:suff w:val="nothing"/>
      <w:lvlText w:val="%1、"/>
      <w:lvlJc w:val="left"/>
      <w:rPr>
        <w:rFonts w:hint="eastAsia"/>
      </w:rPr>
    </w:lvl>
  </w:abstractNum>
  <w:abstractNum w:abstractNumId="16">
    <w:nsid w:val="7A0F6431"/>
    <w:multiLevelType w:val="singleLevel"/>
    <w:tmpl w:val="7A0F6431"/>
    <w:lvl w:ilvl="0" w:tentative="0">
      <w:start w:val="1"/>
      <w:numFmt w:val="decimal"/>
      <w:suff w:val="space"/>
      <w:lvlText w:val="%1."/>
      <w:lvlJc w:val="left"/>
    </w:lvl>
  </w:abstractNum>
  <w:num w:numId="1">
    <w:abstractNumId w:val="7"/>
  </w:num>
  <w:num w:numId="2">
    <w:abstractNumId w:val="15"/>
  </w:num>
  <w:num w:numId="3">
    <w:abstractNumId w:val="14"/>
  </w:num>
  <w:num w:numId="4">
    <w:abstractNumId w:val="8"/>
  </w:num>
  <w:num w:numId="5">
    <w:abstractNumId w:val="3"/>
  </w:num>
  <w:num w:numId="6">
    <w:abstractNumId w:val="12"/>
  </w:num>
  <w:num w:numId="7">
    <w:abstractNumId w:val="1"/>
  </w:num>
  <w:num w:numId="8">
    <w:abstractNumId w:val="9"/>
  </w:num>
  <w:num w:numId="9">
    <w:abstractNumId w:val="16"/>
  </w:num>
  <w:num w:numId="10">
    <w:abstractNumId w:val="4"/>
  </w:num>
  <w:num w:numId="11">
    <w:abstractNumId w:val="6"/>
  </w:num>
  <w:num w:numId="12">
    <w:abstractNumId w:val="5"/>
  </w:num>
  <w:num w:numId="13">
    <w:abstractNumId w:val="10"/>
  </w:num>
  <w:num w:numId="14">
    <w:abstractNumId w:val="13"/>
  </w:num>
  <w:num w:numId="15">
    <w:abstractNumId w:val="11"/>
  </w:num>
  <w:num w:numId="16">
    <w:abstractNumId w:val="0"/>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 w:name="KSO_WPS_MARK_KEY" w:val="eeda47f6-b020-43e3-91de-a926b71741fd"/>
  </w:docVars>
  <w:rsids>
    <w:rsidRoot w:val="00000000"/>
    <w:rsid w:val="00633977"/>
    <w:rsid w:val="00EF7950"/>
    <w:rsid w:val="012B17CA"/>
    <w:rsid w:val="01B12E58"/>
    <w:rsid w:val="01B327A1"/>
    <w:rsid w:val="01D86637"/>
    <w:rsid w:val="02D36DFE"/>
    <w:rsid w:val="03653EFA"/>
    <w:rsid w:val="040E43DE"/>
    <w:rsid w:val="04233786"/>
    <w:rsid w:val="04A22F2C"/>
    <w:rsid w:val="04B82D8F"/>
    <w:rsid w:val="04D836CC"/>
    <w:rsid w:val="04DF1A8A"/>
    <w:rsid w:val="052E656D"/>
    <w:rsid w:val="055F4854"/>
    <w:rsid w:val="05775429"/>
    <w:rsid w:val="05786E9F"/>
    <w:rsid w:val="05BA4024"/>
    <w:rsid w:val="068C3E93"/>
    <w:rsid w:val="06A64F55"/>
    <w:rsid w:val="06D61375"/>
    <w:rsid w:val="07A74594"/>
    <w:rsid w:val="07AF3996"/>
    <w:rsid w:val="08265AD8"/>
    <w:rsid w:val="083500E3"/>
    <w:rsid w:val="08B374B6"/>
    <w:rsid w:val="08FE75D7"/>
    <w:rsid w:val="09322AD0"/>
    <w:rsid w:val="096174F4"/>
    <w:rsid w:val="0971630F"/>
    <w:rsid w:val="09EF36DF"/>
    <w:rsid w:val="09FE6BD3"/>
    <w:rsid w:val="0A7D5FCD"/>
    <w:rsid w:val="0B3A5C6C"/>
    <w:rsid w:val="0BA54947"/>
    <w:rsid w:val="0CB97065"/>
    <w:rsid w:val="0D166265"/>
    <w:rsid w:val="0D2F0B75"/>
    <w:rsid w:val="0D3710EA"/>
    <w:rsid w:val="0D3861DB"/>
    <w:rsid w:val="0D5D1B80"/>
    <w:rsid w:val="0D774F56"/>
    <w:rsid w:val="0E3D7B44"/>
    <w:rsid w:val="0F19032E"/>
    <w:rsid w:val="0F33766C"/>
    <w:rsid w:val="0F3F7243"/>
    <w:rsid w:val="0F4D0AAA"/>
    <w:rsid w:val="0FAC4A5B"/>
    <w:rsid w:val="10561F01"/>
    <w:rsid w:val="108571AB"/>
    <w:rsid w:val="10C50195"/>
    <w:rsid w:val="10EC6CF5"/>
    <w:rsid w:val="11ED63EA"/>
    <w:rsid w:val="12371157"/>
    <w:rsid w:val="12753A67"/>
    <w:rsid w:val="12986F2D"/>
    <w:rsid w:val="147C72F5"/>
    <w:rsid w:val="150F622A"/>
    <w:rsid w:val="15673B02"/>
    <w:rsid w:val="15E348F4"/>
    <w:rsid w:val="16192669"/>
    <w:rsid w:val="16651E05"/>
    <w:rsid w:val="171778DE"/>
    <w:rsid w:val="1890336F"/>
    <w:rsid w:val="197C38F4"/>
    <w:rsid w:val="19884A49"/>
    <w:rsid w:val="1AB53523"/>
    <w:rsid w:val="1AC00AF1"/>
    <w:rsid w:val="1B011FED"/>
    <w:rsid w:val="1CD02907"/>
    <w:rsid w:val="1D331864"/>
    <w:rsid w:val="1D8B7ED2"/>
    <w:rsid w:val="1DD206EC"/>
    <w:rsid w:val="1DE91501"/>
    <w:rsid w:val="1E4C7D38"/>
    <w:rsid w:val="1E814222"/>
    <w:rsid w:val="1E88173F"/>
    <w:rsid w:val="1EC5376F"/>
    <w:rsid w:val="20370574"/>
    <w:rsid w:val="207B66B3"/>
    <w:rsid w:val="216B7513"/>
    <w:rsid w:val="21B53E47"/>
    <w:rsid w:val="22C96D6A"/>
    <w:rsid w:val="231C54B1"/>
    <w:rsid w:val="2326197C"/>
    <w:rsid w:val="256E67E6"/>
    <w:rsid w:val="26143832"/>
    <w:rsid w:val="262319BC"/>
    <w:rsid w:val="26B446CD"/>
    <w:rsid w:val="26DB2065"/>
    <w:rsid w:val="2776658B"/>
    <w:rsid w:val="27896E11"/>
    <w:rsid w:val="28003E99"/>
    <w:rsid w:val="28292E99"/>
    <w:rsid w:val="28560F12"/>
    <w:rsid w:val="28BE1833"/>
    <w:rsid w:val="28ED4356"/>
    <w:rsid w:val="29001E4B"/>
    <w:rsid w:val="29361D11"/>
    <w:rsid w:val="293715E5"/>
    <w:rsid w:val="2A331DAD"/>
    <w:rsid w:val="2A9C76A8"/>
    <w:rsid w:val="2AF07C9E"/>
    <w:rsid w:val="2AF22F5E"/>
    <w:rsid w:val="2B1E1887"/>
    <w:rsid w:val="2BD80A93"/>
    <w:rsid w:val="2CDE2C4B"/>
    <w:rsid w:val="2D2B2E22"/>
    <w:rsid w:val="2E393998"/>
    <w:rsid w:val="2E4072A5"/>
    <w:rsid w:val="2EE770EF"/>
    <w:rsid w:val="2F802F12"/>
    <w:rsid w:val="2F835584"/>
    <w:rsid w:val="2FD309CC"/>
    <w:rsid w:val="2FFD5337"/>
    <w:rsid w:val="30007685"/>
    <w:rsid w:val="3025074A"/>
    <w:rsid w:val="30BC6FA0"/>
    <w:rsid w:val="30C8448F"/>
    <w:rsid w:val="313D6184"/>
    <w:rsid w:val="32393423"/>
    <w:rsid w:val="323E7693"/>
    <w:rsid w:val="329B7A40"/>
    <w:rsid w:val="33380434"/>
    <w:rsid w:val="337C0B48"/>
    <w:rsid w:val="33B01385"/>
    <w:rsid w:val="341A78AC"/>
    <w:rsid w:val="343926B5"/>
    <w:rsid w:val="34731F7E"/>
    <w:rsid w:val="34E72111"/>
    <w:rsid w:val="3506666C"/>
    <w:rsid w:val="35ED3C8B"/>
    <w:rsid w:val="36155D9B"/>
    <w:rsid w:val="3671332B"/>
    <w:rsid w:val="36944DFB"/>
    <w:rsid w:val="36BD3A9B"/>
    <w:rsid w:val="37404DD6"/>
    <w:rsid w:val="37CB1065"/>
    <w:rsid w:val="37DF05B3"/>
    <w:rsid w:val="385D48DD"/>
    <w:rsid w:val="38C500B3"/>
    <w:rsid w:val="38C613AA"/>
    <w:rsid w:val="392F158D"/>
    <w:rsid w:val="39317DFF"/>
    <w:rsid w:val="3A082403"/>
    <w:rsid w:val="3A8F3143"/>
    <w:rsid w:val="3ADA0201"/>
    <w:rsid w:val="3AE03859"/>
    <w:rsid w:val="3BCF1905"/>
    <w:rsid w:val="3C2E6878"/>
    <w:rsid w:val="3C876169"/>
    <w:rsid w:val="3CFB4C5D"/>
    <w:rsid w:val="3D1C6167"/>
    <w:rsid w:val="3DC56D68"/>
    <w:rsid w:val="3E402FE0"/>
    <w:rsid w:val="3E502AD5"/>
    <w:rsid w:val="3E895FE7"/>
    <w:rsid w:val="3F7647BE"/>
    <w:rsid w:val="3F942E96"/>
    <w:rsid w:val="3FC90D91"/>
    <w:rsid w:val="40022408"/>
    <w:rsid w:val="40402F7C"/>
    <w:rsid w:val="41E910AE"/>
    <w:rsid w:val="4206121C"/>
    <w:rsid w:val="421B164C"/>
    <w:rsid w:val="423C4DB0"/>
    <w:rsid w:val="42AE426E"/>
    <w:rsid w:val="43064193"/>
    <w:rsid w:val="445D7CFA"/>
    <w:rsid w:val="44910D58"/>
    <w:rsid w:val="44F3065E"/>
    <w:rsid w:val="456F23DB"/>
    <w:rsid w:val="4597548E"/>
    <w:rsid w:val="45CF4C28"/>
    <w:rsid w:val="475573AE"/>
    <w:rsid w:val="47836763"/>
    <w:rsid w:val="48181044"/>
    <w:rsid w:val="492A7DA3"/>
    <w:rsid w:val="496A4ABD"/>
    <w:rsid w:val="49771967"/>
    <w:rsid w:val="49C5081B"/>
    <w:rsid w:val="4A346BA7"/>
    <w:rsid w:val="4AE446DF"/>
    <w:rsid w:val="4BD006BB"/>
    <w:rsid w:val="4BD71EB9"/>
    <w:rsid w:val="4C0E2F1B"/>
    <w:rsid w:val="4E2B2A99"/>
    <w:rsid w:val="4F9B7C1E"/>
    <w:rsid w:val="501C315F"/>
    <w:rsid w:val="50CE2632"/>
    <w:rsid w:val="50E6602D"/>
    <w:rsid w:val="50EC48E0"/>
    <w:rsid w:val="5101103A"/>
    <w:rsid w:val="51085492"/>
    <w:rsid w:val="514A5AAA"/>
    <w:rsid w:val="52060565"/>
    <w:rsid w:val="53967EB8"/>
    <w:rsid w:val="54143903"/>
    <w:rsid w:val="54B672E9"/>
    <w:rsid w:val="54E35FFA"/>
    <w:rsid w:val="550C692B"/>
    <w:rsid w:val="553A6FC3"/>
    <w:rsid w:val="553C5CE7"/>
    <w:rsid w:val="55A0038E"/>
    <w:rsid w:val="55D65293"/>
    <w:rsid w:val="5648173B"/>
    <w:rsid w:val="56AD4B11"/>
    <w:rsid w:val="56BB0351"/>
    <w:rsid w:val="56BF4844"/>
    <w:rsid w:val="56C703BD"/>
    <w:rsid w:val="57807D09"/>
    <w:rsid w:val="57926556"/>
    <w:rsid w:val="57F86260"/>
    <w:rsid w:val="583711AC"/>
    <w:rsid w:val="58A106A5"/>
    <w:rsid w:val="59A95F7B"/>
    <w:rsid w:val="59B241EC"/>
    <w:rsid w:val="5B0311A3"/>
    <w:rsid w:val="5B4D241F"/>
    <w:rsid w:val="5B9B762E"/>
    <w:rsid w:val="5C5A7F7F"/>
    <w:rsid w:val="5D5A2308"/>
    <w:rsid w:val="5F182D44"/>
    <w:rsid w:val="61170069"/>
    <w:rsid w:val="61330E4A"/>
    <w:rsid w:val="61920B67"/>
    <w:rsid w:val="61DB110D"/>
    <w:rsid w:val="61F62764"/>
    <w:rsid w:val="62347F47"/>
    <w:rsid w:val="627C4C03"/>
    <w:rsid w:val="629C01C6"/>
    <w:rsid w:val="62F31AFE"/>
    <w:rsid w:val="63293771"/>
    <w:rsid w:val="635B76A3"/>
    <w:rsid w:val="63C33BC6"/>
    <w:rsid w:val="63C96D02"/>
    <w:rsid w:val="63CE5AFF"/>
    <w:rsid w:val="64320204"/>
    <w:rsid w:val="64CD45D0"/>
    <w:rsid w:val="64E21E2A"/>
    <w:rsid w:val="64EF329F"/>
    <w:rsid w:val="65085608"/>
    <w:rsid w:val="65423A05"/>
    <w:rsid w:val="65536958"/>
    <w:rsid w:val="65907AD8"/>
    <w:rsid w:val="65A9656A"/>
    <w:rsid w:val="671E1113"/>
    <w:rsid w:val="672E75A8"/>
    <w:rsid w:val="6732696D"/>
    <w:rsid w:val="67902011"/>
    <w:rsid w:val="67B65075"/>
    <w:rsid w:val="67BB4BB4"/>
    <w:rsid w:val="67ED07E2"/>
    <w:rsid w:val="68832A45"/>
    <w:rsid w:val="6950575D"/>
    <w:rsid w:val="69FF522C"/>
    <w:rsid w:val="6A07121D"/>
    <w:rsid w:val="6A7F4D9B"/>
    <w:rsid w:val="6AA819B9"/>
    <w:rsid w:val="6B7E03D2"/>
    <w:rsid w:val="6BB42046"/>
    <w:rsid w:val="6BB47F24"/>
    <w:rsid w:val="6C163F72"/>
    <w:rsid w:val="6CFA1CDB"/>
    <w:rsid w:val="6D2D5AAC"/>
    <w:rsid w:val="6DD30EA9"/>
    <w:rsid w:val="6E1E5238"/>
    <w:rsid w:val="6E2E4B61"/>
    <w:rsid w:val="6F61220D"/>
    <w:rsid w:val="6FC54073"/>
    <w:rsid w:val="701E0612"/>
    <w:rsid w:val="705E150A"/>
    <w:rsid w:val="7064403B"/>
    <w:rsid w:val="70934920"/>
    <w:rsid w:val="70F76C5D"/>
    <w:rsid w:val="71110F65"/>
    <w:rsid w:val="71445C1A"/>
    <w:rsid w:val="71527F65"/>
    <w:rsid w:val="715E56DA"/>
    <w:rsid w:val="716A5681"/>
    <w:rsid w:val="71C51DA1"/>
    <w:rsid w:val="71DE7825"/>
    <w:rsid w:val="72047881"/>
    <w:rsid w:val="728118F5"/>
    <w:rsid w:val="73084FC0"/>
    <w:rsid w:val="746B40D6"/>
    <w:rsid w:val="74742889"/>
    <w:rsid w:val="74806F69"/>
    <w:rsid w:val="74BB2697"/>
    <w:rsid w:val="752B5127"/>
    <w:rsid w:val="75F776FF"/>
    <w:rsid w:val="770A0F7A"/>
    <w:rsid w:val="77E06D61"/>
    <w:rsid w:val="782B2DC7"/>
    <w:rsid w:val="788B1CC4"/>
    <w:rsid w:val="790A14F7"/>
    <w:rsid w:val="79490272"/>
    <w:rsid w:val="79A33E26"/>
    <w:rsid w:val="79A951B4"/>
    <w:rsid w:val="7A6B128A"/>
    <w:rsid w:val="7B1B34DA"/>
    <w:rsid w:val="7B2014A6"/>
    <w:rsid w:val="7B5E4BE7"/>
    <w:rsid w:val="7D7A3C40"/>
    <w:rsid w:val="7E500D3F"/>
    <w:rsid w:val="7E665422"/>
    <w:rsid w:val="7F0F5AB9"/>
    <w:rsid w:val="7F222F3F"/>
    <w:rsid w:val="7FCE7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5">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6"/>
    <w:basedOn w:val="1"/>
    <w:next w:val="1"/>
    <w:qFormat/>
    <w:uiPriority w:val="1"/>
    <w:pPr>
      <w:spacing w:before="61"/>
      <w:outlineLvl w:val="6"/>
    </w:pPr>
    <w:rPr>
      <w:rFonts w:ascii="仿宋" w:hAnsi="仿宋" w:eastAsia="仿宋" w:cs="仿宋"/>
      <w:sz w:val="28"/>
      <w:szCs w:val="28"/>
      <w:lang w:val="zh-CN" w:eastAsia="zh-CN" w:bidi="zh-CN"/>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footer"/>
    <w:qFormat/>
    <w:uiPriority w:val="99"/>
    <w:pPr>
      <w:widowControl w:val="0"/>
      <w:tabs>
        <w:tab w:val="center" w:pos="4153"/>
        <w:tab w:val="right" w:pos="8306"/>
      </w:tabs>
      <w:snapToGrid w:val="0"/>
      <w:jc w:val="left"/>
    </w:pPr>
    <w:rPr>
      <w:rFonts w:asciiTheme="minorHAnsi" w:hAnsiTheme="minorHAnsi" w:eastAsiaTheme="minorEastAsia" w:cstheme="minorBidi"/>
      <w:kern w:val="2"/>
      <w:sz w:val="18"/>
      <w:szCs w:val="18"/>
      <w:lang w:val="en-US" w:eastAsia="zh-CN" w:bidi="ar-SA"/>
    </w:rPr>
  </w:style>
  <w:style w:type="paragraph" w:styleId="7">
    <w:name w:val="Normal Indent"/>
    <w:next w:val="8"/>
    <w:qFormat/>
    <w:uiPriority w:val="0"/>
    <w:pPr>
      <w:widowControl w:val="0"/>
      <w:autoSpaceDE w:val="0"/>
      <w:autoSpaceDN w:val="0"/>
      <w:adjustRightInd w:val="0"/>
      <w:spacing w:before="0" w:after="0" w:line="240" w:lineRule="auto"/>
      <w:ind w:left="0" w:right="0" w:firstLine="420"/>
      <w:jc w:val="left"/>
    </w:pPr>
    <w:rPr>
      <w:rFonts w:ascii="宋体" w:hAnsi="楷体" w:eastAsia="仿宋_GB2312" w:cs="楷体"/>
      <w:kern w:val="0"/>
      <w:sz w:val="24"/>
      <w:szCs w:val="20"/>
      <w:lang w:val="zh-CN" w:eastAsia="zh-CN" w:bidi="zh-CN"/>
    </w:rPr>
  </w:style>
  <w:style w:type="paragraph" w:styleId="8">
    <w:name w:val="toa heading"/>
    <w:next w:val="1"/>
    <w:qFormat/>
    <w:uiPriority w:val="99"/>
    <w:pPr>
      <w:widowControl w:val="0"/>
      <w:spacing w:before="120"/>
      <w:ind w:firstLine="200" w:firstLineChars="200"/>
      <w:jc w:val="both"/>
    </w:pPr>
    <w:rPr>
      <w:rFonts w:ascii="Arial" w:hAnsi="Arial" w:eastAsia="仿宋" w:cs="Times New Roman"/>
      <w:kern w:val="2"/>
      <w:sz w:val="24"/>
      <w:szCs w:val="20"/>
      <w:lang w:val="en-US" w:eastAsia="zh-CN" w:bidi="ar-SA"/>
    </w:rPr>
  </w:style>
  <w:style w:type="paragraph" w:styleId="9">
    <w:name w:val="annotation text"/>
    <w:basedOn w:val="1"/>
    <w:qFormat/>
    <w:uiPriority w:val="0"/>
    <w:pPr>
      <w:jc w:val="left"/>
    </w:pPr>
  </w:style>
  <w:style w:type="paragraph" w:styleId="10">
    <w:name w:val="Body Text"/>
    <w:qFormat/>
    <w:uiPriority w:val="1"/>
    <w:pPr>
      <w:widowControl w:val="0"/>
      <w:jc w:val="both"/>
    </w:pPr>
    <w:rPr>
      <w:rFonts w:ascii="楷体" w:hAnsi="楷体" w:eastAsia="楷体" w:cs="楷体"/>
      <w:kern w:val="2"/>
      <w:sz w:val="24"/>
      <w:szCs w:val="24"/>
      <w:lang w:val="zh-CN" w:eastAsia="zh-CN" w:bidi="zh-CN"/>
    </w:rPr>
  </w:style>
  <w:style w:type="paragraph" w:styleId="11">
    <w:name w:val="Body Text Indent"/>
    <w:basedOn w:val="1"/>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2">
    <w:name w:val="Plain Text"/>
    <w:basedOn w:val="1"/>
    <w:qFormat/>
    <w:uiPriority w:val="0"/>
    <w:rPr>
      <w:rFonts w:ascii="宋体" w:hAnsi="Courier New"/>
      <w:szCs w:val="22"/>
    </w:rPr>
  </w:style>
  <w:style w:type="paragraph" w:styleId="13">
    <w:name w:val="toc 8"/>
    <w:next w:val="1"/>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4">
    <w:name w:val="envelope return"/>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toc 6"/>
    <w:next w:val="1"/>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18">
    <w:name w:val="toc 2"/>
    <w:basedOn w:val="1"/>
    <w:next w:val="1"/>
    <w:qFormat/>
    <w:uiPriority w:val="0"/>
    <w:pPr>
      <w:ind w:left="420" w:leftChars="200"/>
    </w:pPr>
  </w:style>
  <w:style w:type="paragraph" w:styleId="1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0">
    <w:name w:val="Body Text First Indent"/>
    <w:next w:val="17"/>
    <w:qFormat/>
    <w:uiPriority w:val="0"/>
    <w:pPr>
      <w:widowControl w:val="0"/>
      <w:spacing w:line="360" w:lineRule="auto"/>
      <w:ind w:firstLine="420" w:firstLineChars="100"/>
      <w:jc w:val="both"/>
    </w:pPr>
    <w:rPr>
      <w:rFonts w:ascii="楷体" w:hAnsi="楷体" w:eastAsia="楷体" w:cs="楷体"/>
      <w:kern w:val="2"/>
      <w:sz w:val="21"/>
      <w:szCs w:val="24"/>
      <w:lang w:val="zh-CN" w:eastAsia="zh-CN" w:bidi="zh-CN"/>
    </w:rPr>
  </w:style>
  <w:style w:type="paragraph" w:styleId="21">
    <w:name w:val="Body Text First Indent 2"/>
    <w:next w:val="20"/>
    <w:unhideWhenUsed/>
    <w:qFormat/>
    <w:uiPriority w:val="99"/>
    <w:pPr>
      <w:widowControl w:val="0"/>
      <w:spacing w:after="120" w:line="360" w:lineRule="auto"/>
      <w:ind w:left="420" w:leftChars="200" w:firstLine="420" w:firstLineChars="200"/>
      <w:jc w:val="both"/>
    </w:pPr>
    <w:rPr>
      <w:rFonts w:ascii="Times New Roman" w:hAnsi="Times New Roman" w:eastAsiaTheme="minorEastAsia" w:cstheme="minorBidi"/>
      <w:kern w:val="0"/>
      <w:sz w:val="21"/>
      <w:szCs w:val="24"/>
      <w:lang w:val="en-US" w:eastAsia="zh-CN" w:bidi="ar-SA"/>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character" w:styleId="26">
    <w:name w:val="Hyperlink"/>
    <w:basedOn w:val="24"/>
    <w:qFormat/>
    <w:uiPriority w:val="0"/>
    <w:rPr>
      <w:color w:val="0000FF"/>
      <w:u w:val="single"/>
    </w:rPr>
  </w:style>
  <w:style w:type="paragraph" w:customStyle="1" w:styleId="27">
    <w:name w:val="表格文字2"/>
    <w:basedOn w:val="28"/>
    <w:qFormat/>
    <w:uiPriority w:val="99"/>
    <w:pPr>
      <w:spacing w:before="25" w:after="25"/>
      <w:jc w:val="left"/>
    </w:pPr>
    <w:rPr>
      <w:bCs/>
      <w:spacing w:val="10"/>
      <w:kern w:val="0"/>
    </w:rPr>
  </w:style>
  <w:style w:type="paragraph" w:customStyle="1" w:styleId="28">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29">
    <w:name w:val="Table Paragraph"/>
    <w:qFormat/>
    <w:uiPriority w:val="1"/>
    <w:pPr>
      <w:widowControl w:val="0"/>
      <w:jc w:val="both"/>
    </w:pPr>
    <w:rPr>
      <w:rFonts w:ascii="楷体" w:hAnsi="楷体" w:eastAsia="楷体" w:cs="楷体"/>
      <w:kern w:val="2"/>
      <w:sz w:val="21"/>
      <w:szCs w:val="24"/>
      <w:lang w:val="zh-CN" w:eastAsia="zh-CN" w:bidi="zh-CN"/>
    </w:rPr>
  </w:style>
  <w:style w:type="paragraph" w:customStyle="1" w:styleId="30">
    <w:name w:val="WPSOffice手动目录 1"/>
    <w:qFormat/>
    <w:uiPriority w:val="0"/>
    <w:pPr>
      <w:ind w:leftChars="0"/>
    </w:pPr>
    <w:rPr>
      <w:rFonts w:ascii="Times New Roman" w:hAnsi="Times New Roman" w:eastAsia="宋体" w:cs="Times New Roman"/>
      <w:sz w:val="20"/>
      <w:szCs w:val="20"/>
    </w:rPr>
  </w:style>
  <w:style w:type="paragraph" w:customStyle="1" w:styleId="31">
    <w:name w:val="WPSOffice手动目录 2"/>
    <w:qFormat/>
    <w:uiPriority w:val="0"/>
    <w:pPr>
      <w:ind w:leftChars="200"/>
    </w:pPr>
    <w:rPr>
      <w:rFonts w:ascii="Times New Roman" w:hAnsi="Times New Roman" w:eastAsia="宋体" w:cs="Times New Roman"/>
      <w:sz w:val="20"/>
      <w:szCs w:val="20"/>
    </w:rPr>
  </w:style>
  <w:style w:type="character" w:customStyle="1" w:styleId="32">
    <w:name w:val="font21"/>
    <w:basedOn w:val="24"/>
    <w:qFormat/>
    <w:uiPriority w:val="0"/>
    <w:rPr>
      <w:rFonts w:hint="eastAsia" w:ascii="宋体" w:hAnsi="宋体" w:eastAsia="宋体" w:cs="宋体"/>
      <w:b/>
      <w:bCs/>
      <w:color w:val="000000"/>
      <w:sz w:val="20"/>
      <w:szCs w:val="20"/>
      <w:u w:val="none"/>
    </w:rPr>
  </w:style>
  <w:style w:type="character" w:customStyle="1" w:styleId="33">
    <w:name w:val="font71"/>
    <w:basedOn w:val="24"/>
    <w:qFormat/>
    <w:uiPriority w:val="0"/>
    <w:rPr>
      <w:rFonts w:hint="default" w:ascii="Times New Roman" w:hAnsi="Times New Roman" w:cs="Times New Roman"/>
      <w:b/>
      <w:bCs/>
      <w:color w:val="000000"/>
      <w:sz w:val="20"/>
      <w:szCs w:val="20"/>
      <w:u w:val="none"/>
    </w:rPr>
  </w:style>
  <w:style w:type="character" w:customStyle="1" w:styleId="34">
    <w:name w:val="font51"/>
    <w:basedOn w:val="24"/>
    <w:qFormat/>
    <w:uiPriority w:val="0"/>
    <w:rPr>
      <w:rFonts w:hint="default" w:ascii="Times New Roman" w:hAnsi="Times New Roman" w:cs="Times New Roman"/>
      <w:color w:val="000000"/>
      <w:sz w:val="20"/>
      <w:szCs w:val="20"/>
      <w:u w:val="none"/>
    </w:rPr>
  </w:style>
  <w:style w:type="character" w:customStyle="1" w:styleId="35">
    <w:name w:val="font41"/>
    <w:basedOn w:val="24"/>
    <w:qFormat/>
    <w:uiPriority w:val="0"/>
    <w:rPr>
      <w:rFonts w:hint="eastAsia" w:ascii="宋体" w:hAnsi="宋体" w:eastAsia="宋体" w:cs="宋体"/>
      <w:color w:val="000000"/>
      <w:sz w:val="20"/>
      <w:szCs w:val="20"/>
      <w:u w:val="none"/>
    </w:rPr>
  </w:style>
  <w:style w:type="character" w:customStyle="1" w:styleId="36">
    <w:name w:val="font61"/>
    <w:basedOn w:val="24"/>
    <w:qFormat/>
    <w:uiPriority w:val="0"/>
    <w:rPr>
      <w:rFonts w:hint="eastAsia" w:ascii="宋体" w:hAnsi="宋体" w:eastAsia="宋体" w:cs="宋体"/>
      <w:color w:val="000000"/>
      <w:sz w:val="20"/>
      <w:szCs w:val="20"/>
      <w:u w:val="none"/>
    </w:rPr>
  </w:style>
  <w:style w:type="character" w:customStyle="1" w:styleId="37">
    <w:name w:val="font81"/>
    <w:basedOn w:val="24"/>
    <w:qFormat/>
    <w:uiPriority w:val="0"/>
    <w:rPr>
      <w:rFonts w:hint="default" w:ascii="Times New Roman" w:hAnsi="Times New Roman" w:cs="Times New Roman"/>
      <w:color w:val="000000"/>
      <w:sz w:val="20"/>
      <w:szCs w:val="20"/>
      <w:u w:val="none"/>
    </w:rPr>
  </w:style>
  <w:style w:type="character" w:customStyle="1" w:styleId="38">
    <w:name w:val="font11"/>
    <w:basedOn w:val="24"/>
    <w:qFormat/>
    <w:uiPriority w:val="0"/>
    <w:rPr>
      <w:rFonts w:hint="eastAsia" w:ascii="宋体" w:hAnsi="宋体" w:eastAsia="宋体" w:cs="宋体"/>
      <w:color w:val="000000"/>
      <w:sz w:val="20"/>
      <w:szCs w:val="20"/>
      <w:u w:val="none"/>
    </w:rPr>
  </w:style>
  <w:style w:type="character" w:customStyle="1" w:styleId="39">
    <w:name w:val="font31"/>
    <w:basedOn w:val="24"/>
    <w:qFormat/>
    <w:uiPriority w:val="0"/>
    <w:rPr>
      <w:rFonts w:hint="default" w:ascii="Times New Roman" w:hAnsi="Times New Roman" w:cs="Times New Roman"/>
      <w:color w:val="000000"/>
      <w:sz w:val="20"/>
      <w:szCs w:val="20"/>
      <w:u w:val="none"/>
    </w:rPr>
  </w:style>
  <w:style w:type="character" w:customStyle="1" w:styleId="40">
    <w:name w:val="font91"/>
    <w:basedOn w:val="24"/>
    <w:qFormat/>
    <w:uiPriority w:val="0"/>
    <w:rPr>
      <w:rFonts w:hint="default" w:ascii="Times New Roman" w:hAnsi="Times New Roman" w:cs="Times New Roman"/>
      <w:b/>
      <w:bCs/>
      <w:color w:val="000000"/>
      <w:sz w:val="20"/>
      <w:szCs w:val="20"/>
      <w:u w:val="none"/>
    </w:rPr>
  </w:style>
  <w:style w:type="character" w:customStyle="1" w:styleId="41">
    <w:name w:val="font101"/>
    <w:basedOn w:val="24"/>
    <w:qFormat/>
    <w:uiPriority w:val="0"/>
    <w:rPr>
      <w:rFonts w:ascii="宋体" w:hAnsi="宋体" w:eastAsia="宋体" w:cs="宋体"/>
      <w:color w:val="000000"/>
      <w:sz w:val="20"/>
      <w:szCs w:val="20"/>
      <w:u w:val="none"/>
    </w:rPr>
  </w:style>
  <w:style w:type="character" w:customStyle="1" w:styleId="42">
    <w:name w:val="font131"/>
    <w:basedOn w:val="24"/>
    <w:qFormat/>
    <w:uiPriority w:val="0"/>
    <w:rPr>
      <w:rFonts w:hint="default" w:ascii="Times New Roman" w:hAnsi="Times New Roman" w:cs="Times New Roman"/>
      <w:b/>
      <w:bCs/>
      <w:color w:val="000000"/>
      <w:sz w:val="20"/>
      <w:szCs w:val="20"/>
      <w:u w:val="none"/>
    </w:rPr>
  </w:style>
  <w:style w:type="character" w:customStyle="1" w:styleId="43">
    <w:name w:val="font112"/>
    <w:basedOn w:val="24"/>
    <w:qFormat/>
    <w:uiPriority w:val="0"/>
    <w:rPr>
      <w:rFonts w:hint="default" w:ascii="Times New Roman" w:hAnsi="Times New Roman" w:cs="Times New Roman"/>
      <w:b/>
      <w:bCs/>
      <w:color w:val="000000"/>
      <w:sz w:val="28"/>
      <w:szCs w:val="28"/>
      <w:u w:val="none"/>
    </w:rPr>
  </w:style>
  <w:style w:type="character" w:customStyle="1" w:styleId="44">
    <w:name w:val="font121"/>
    <w:basedOn w:val="24"/>
    <w:qFormat/>
    <w:uiPriority w:val="0"/>
    <w:rPr>
      <w:rFonts w:hint="eastAsia" w:ascii="宋体" w:hAnsi="宋体" w:eastAsia="宋体" w:cs="宋体"/>
      <w:color w:val="000000"/>
      <w:sz w:val="20"/>
      <w:szCs w:val="20"/>
      <w:u w:val="none"/>
    </w:rPr>
  </w:style>
  <w:style w:type="character" w:customStyle="1" w:styleId="45">
    <w:name w:val="font15"/>
    <w:basedOn w:val="24"/>
    <w:qFormat/>
    <w:uiPriority w:val="0"/>
    <w:rPr>
      <w:rFonts w:hint="default" w:ascii="Times New Roman" w:hAnsi="Times New Roman" w:cs="Times New Roman"/>
      <w:color w:val="000000"/>
      <w:sz w:val="20"/>
      <w:szCs w:val="20"/>
      <w:u w:val="none"/>
    </w:rPr>
  </w:style>
  <w:style w:type="character" w:customStyle="1" w:styleId="46">
    <w:name w:val="font111"/>
    <w:basedOn w:val="24"/>
    <w:qFormat/>
    <w:uiPriority w:val="0"/>
    <w:rPr>
      <w:rFonts w:hint="eastAsia" w:ascii="宋体" w:hAnsi="宋体" w:eastAsia="宋体" w:cs="宋体"/>
      <w:color w:val="000000"/>
      <w:sz w:val="20"/>
      <w:szCs w:val="20"/>
      <w:u w:val="none"/>
    </w:rPr>
  </w:style>
  <w:style w:type="character" w:customStyle="1" w:styleId="47">
    <w:name w:val="font141"/>
    <w:basedOn w:val="24"/>
    <w:qFormat/>
    <w:uiPriority w:val="0"/>
    <w:rPr>
      <w:rFonts w:ascii="宋体-简" w:hAnsi="宋体-简" w:eastAsia="宋体-简" w:cs="宋体-简"/>
      <w:color w:val="000000"/>
      <w:sz w:val="20"/>
      <w:szCs w:val="20"/>
      <w:u w:val="none"/>
    </w:rPr>
  </w:style>
  <w:style w:type="paragraph" w:customStyle="1" w:styleId="48">
    <w:name w:val="纯文本1"/>
    <w:qFormat/>
    <w:uiPriority w:val="0"/>
    <w:pPr>
      <w:widowControl w:val="0"/>
      <w:ind w:firstLine="200" w:firstLineChars="200"/>
      <w:jc w:val="both"/>
    </w:pPr>
    <w:rPr>
      <w:rFonts w:ascii="宋体" w:hAnsi="Courier New" w:eastAsia="宋体" w:cs="Times New Roman"/>
      <w:kern w:val="2"/>
      <w:sz w:val="24"/>
      <w:szCs w:val="22"/>
      <w:lang w:val="en-US" w:eastAsia="zh-CN" w:bidi="ar-SA"/>
    </w:rPr>
  </w:style>
  <w:style w:type="paragraph" w:customStyle="1" w:styleId="49">
    <w:name w:val="Table Text"/>
    <w:basedOn w:val="1"/>
    <w:autoRedefine/>
    <w:semiHidden/>
    <w:qFormat/>
    <w:uiPriority w:val="0"/>
    <w:rPr>
      <w:rFonts w:ascii="宋体" w:hAnsi="宋体" w:cs="宋体"/>
      <w:sz w:val="20"/>
      <w:szCs w:val="20"/>
      <w:lang w:eastAsia="en-US"/>
    </w:rPr>
  </w:style>
  <w:style w:type="paragraph" w:customStyle="1" w:styleId="5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1">
    <w:name w:val="列出段落1"/>
    <w:basedOn w:val="1"/>
    <w:autoRedefine/>
    <w:qFormat/>
    <w:uiPriority w:val="34"/>
    <w:pPr>
      <w:widowControl/>
      <w:autoSpaceDE w:val="0"/>
      <w:autoSpaceDN w:val="0"/>
      <w:spacing w:before="5" w:afterLines="50" w:line="312" w:lineRule="auto"/>
      <w:ind w:firstLine="420" w:firstLineChars="200"/>
      <w:jc w:val="left"/>
    </w:pPr>
    <w:rPr>
      <w:rFonts w:ascii="Calibri" w:hAnsi="Calibri" w:eastAsia="宋体" w:cs="Times New Roman"/>
      <w:kern w:val="0"/>
      <w:sz w:val="24"/>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110</Pages>
  <Words>2131</Words>
  <Characters>2465</Characters>
  <Lines>0</Lines>
  <Paragraphs>0</Paragraphs>
  <TotalTime>12</TotalTime>
  <ScaleCrop>false</ScaleCrop>
  <LinksUpToDate>false</LinksUpToDate>
  <CharactersWithSpaces>2590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2023-03-21T09:51:00Z</dcterms:created>
  <dc:creator>lihang</dc:creator>
  <cp:lastModifiedBy>李梦媛</cp:lastModifiedBy>
  <dcterms:modified xsi:type="dcterms:W3CDTF">2025-04-02T11:49:36Z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0FE6FFC3095F4636822F2750948D8C3F_13</vt:lpwstr>
  </property>
  <property fmtid="{D5CDD505-2E9C-101B-9397-08002B2CF9AE}" pid="4" name="KSOTemplateDocerSaveRecord">
    <vt:lpwstr>eyJoZGlkIjoiYTY0ZGVhMzY2Mjc2ZTVmNTg0OTc4MWEzZmNmZjdjMjUiLCJ1c2VySWQiOiI0NTE3ODAxODIifQ==</vt:lpwstr>
  </property>
</Properties>
</file>