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宋体"/>
        </w:rPr>
      </w:pPr>
      <w:r>
        <w:rPr>
          <w:rFonts w:hint="eastAsia" w:ascii="宋体" w:cs="宋体"/>
        </w:rPr>
        <w:t xml:space="preserve"> </w:t>
      </w:r>
      <w:r>
        <w:rPr>
          <w:rFonts w:ascii="宋体" w:cs="宋体"/>
        </w:rPr>
        <w:t xml:space="preserve"> </w:t>
      </w:r>
    </w:p>
    <w:p>
      <w:pPr>
        <w:pStyle w:val="21"/>
      </w:pPr>
    </w:p>
    <w:p>
      <w:pPr>
        <w:spacing w:line="360" w:lineRule="auto"/>
        <w:jc w:val="center"/>
        <w:rPr>
          <w:rFonts w:ascii="宋体" w:cs="宋体"/>
          <w:b/>
          <w:bCs/>
          <w:sz w:val="72"/>
          <w:szCs w:val="52"/>
        </w:rPr>
      </w:pPr>
      <w:r>
        <w:rPr>
          <w:rFonts w:hint="eastAsia" w:ascii="宋体" w:hAnsi="宋体" w:cs="宋体"/>
          <w:b/>
          <w:bCs/>
          <w:sz w:val="72"/>
          <w:szCs w:val="52"/>
        </w:rPr>
        <w:t>招</w:t>
      </w:r>
      <w:r>
        <w:rPr>
          <w:rFonts w:ascii="宋体" w:hAnsi="宋体" w:cs="宋体"/>
          <w:b/>
          <w:bCs/>
          <w:sz w:val="72"/>
          <w:szCs w:val="52"/>
        </w:rPr>
        <w:t xml:space="preserve"> </w:t>
      </w:r>
      <w:r>
        <w:rPr>
          <w:rFonts w:hint="eastAsia" w:ascii="宋体" w:hAnsi="宋体" w:cs="宋体"/>
          <w:b/>
          <w:bCs/>
          <w:sz w:val="72"/>
          <w:szCs w:val="52"/>
        </w:rPr>
        <w:t>标</w:t>
      </w:r>
      <w:r>
        <w:rPr>
          <w:rFonts w:ascii="宋体" w:hAnsi="宋体" w:cs="宋体"/>
          <w:b/>
          <w:bCs/>
          <w:sz w:val="72"/>
          <w:szCs w:val="52"/>
        </w:rPr>
        <w:t xml:space="preserve"> </w:t>
      </w:r>
      <w:r>
        <w:rPr>
          <w:rFonts w:hint="eastAsia" w:ascii="宋体" w:hAnsi="宋体" w:cs="宋体"/>
          <w:b/>
          <w:bCs/>
          <w:sz w:val="72"/>
          <w:szCs w:val="52"/>
        </w:rPr>
        <w:t>文</w:t>
      </w:r>
      <w:r>
        <w:rPr>
          <w:rFonts w:ascii="宋体" w:hAnsi="宋体" w:cs="宋体"/>
          <w:b/>
          <w:bCs/>
          <w:sz w:val="72"/>
          <w:szCs w:val="52"/>
        </w:rPr>
        <w:t xml:space="preserve"> </w:t>
      </w:r>
      <w:r>
        <w:rPr>
          <w:rFonts w:hint="eastAsia" w:ascii="宋体" w:hAnsi="宋体" w:cs="宋体"/>
          <w:b/>
          <w:bCs/>
          <w:sz w:val="72"/>
          <w:szCs w:val="52"/>
        </w:rPr>
        <w:t>件</w:t>
      </w:r>
    </w:p>
    <w:p>
      <w:pPr>
        <w:tabs>
          <w:tab w:val="left" w:pos="2700"/>
          <w:tab w:val="left" w:pos="3584"/>
        </w:tabs>
        <w:spacing w:line="360" w:lineRule="auto"/>
        <w:rPr>
          <w:rFonts w:ascii="宋体" w:cs="宋体"/>
          <w:b/>
          <w:bCs/>
          <w:sz w:val="44"/>
        </w:rPr>
      </w:pPr>
    </w:p>
    <w:p>
      <w:pPr>
        <w:tabs>
          <w:tab w:val="left" w:pos="2700"/>
          <w:tab w:val="left" w:pos="3584"/>
        </w:tabs>
        <w:spacing w:line="360" w:lineRule="auto"/>
        <w:rPr>
          <w:rFonts w:ascii="宋体" w:cs="宋体"/>
          <w:b/>
          <w:bCs/>
          <w:sz w:val="44"/>
        </w:rPr>
      </w:pPr>
    </w:p>
    <w:p>
      <w:pPr>
        <w:spacing w:line="360" w:lineRule="auto"/>
        <w:jc w:val="center"/>
        <w:rPr>
          <w:rFonts w:hint="eastAsia" w:ascii="宋体" w:eastAsia="宋体" w:cs="宋体"/>
          <w:b/>
          <w:sz w:val="72"/>
          <w:highlight w:val="none"/>
          <w:lang w:eastAsia="zh-CN"/>
        </w:rPr>
      </w:pPr>
      <w:r>
        <w:rPr>
          <w:rFonts w:hint="eastAsia" w:ascii="宋体" w:eastAsia="宋体" w:cs="宋体"/>
          <w:b/>
          <w:sz w:val="72"/>
          <w:highlight w:val="none"/>
          <w:lang w:eastAsia="zh-CN"/>
        </w:rPr>
        <w:drawing>
          <wp:inline distT="0" distB="0" distL="114300" distR="114300">
            <wp:extent cx="2843530" cy="2416810"/>
            <wp:effectExtent l="0" t="0" r="13970" b="2540"/>
            <wp:docPr id="2" name="图片 2"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1"/>
                    <pic:cNvPicPr>
                      <a:picLocks noChangeAspect="1"/>
                    </pic:cNvPicPr>
                  </pic:nvPicPr>
                  <pic:blipFill>
                    <a:blip r:embed="rId11"/>
                    <a:stretch>
                      <a:fillRect/>
                    </a:stretch>
                  </pic:blipFill>
                  <pic:spPr>
                    <a:xfrm>
                      <a:off x="0" y="0"/>
                      <a:ext cx="2843530" cy="2416810"/>
                    </a:xfrm>
                    <a:prstGeom prst="rect">
                      <a:avLst/>
                    </a:prstGeom>
                  </pic:spPr>
                </pic:pic>
              </a:graphicData>
            </a:graphic>
          </wp:inline>
        </w:drawing>
      </w:r>
    </w:p>
    <w:p>
      <w:pPr>
        <w:pStyle w:val="21"/>
      </w:pPr>
    </w:p>
    <w:p>
      <w:pPr>
        <w:tabs>
          <w:tab w:val="left" w:pos="3240"/>
          <w:tab w:val="left" w:pos="3420"/>
        </w:tabs>
        <w:spacing w:line="360" w:lineRule="auto"/>
        <w:jc w:val="left"/>
        <w:rPr>
          <w:rFonts w:hint="eastAsia" w:ascii="宋体" w:eastAsia="宋体" w:cs="宋体"/>
          <w:bCs/>
          <w:sz w:val="32"/>
          <w:szCs w:val="30"/>
          <w:lang w:eastAsia="zh-CN"/>
        </w:rPr>
      </w:pPr>
      <w:r>
        <w:rPr>
          <w:rFonts w:hint="eastAsia" w:ascii="宋体" w:hAnsi="宋体" w:cs="宋体"/>
          <w:bCs/>
          <w:spacing w:val="106"/>
          <w:kern w:val="0"/>
          <w:sz w:val="32"/>
          <w:szCs w:val="30"/>
          <w:fitText w:val="1920" w:id="-2026047488"/>
        </w:rPr>
        <w:t>项目名</w:t>
      </w:r>
      <w:r>
        <w:rPr>
          <w:rFonts w:hint="eastAsia" w:ascii="宋体" w:hAnsi="宋体" w:cs="宋体"/>
          <w:bCs/>
          <w:spacing w:val="2"/>
          <w:kern w:val="0"/>
          <w:sz w:val="32"/>
          <w:szCs w:val="30"/>
          <w:fitText w:val="1920" w:id="-2026047488"/>
        </w:rPr>
        <w:t>称</w:t>
      </w:r>
      <w:r>
        <w:rPr>
          <w:rFonts w:hint="eastAsia" w:ascii="宋体" w:hAnsi="宋体" w:cs="宋体"/>
          <w:bCs/>
          <w:sz w:val="32"/>
          <w:szCs w:val="30"/>
        </w:rPr>
        <w:t>：</w:t>
      </w:r>
      <w:r>
        <w:rPr>
          <w:rFonts w:hint="eastAsia" w:ascii="宋体" w:hAnsi="宋体" w:cs="宋体"/>
          <w:bCs/>
          <w:sz w:val="32"/>
          <w:szCs w:val="30"/>
          <w:u w:val="single"/>
          <w:lang w:eastAsia="zh-CN"/>
        </w:rPr>
        <w:t>高新区（新市区）卫生健康委员会体检医院服务商采购项目</w:t>
      </w:r>
    </w:p>
    <w:p>
      <w:pPr>
        <w:tabs>
          <w:tab w:val="left" w:pos="3240"/>
          <w:tab w:val="left" w:pos="3420"/>
        </w:tabs>
        <w:spacing w:line="360" w:lineRule="auto"/>
        <w:jc w:val="left"/>
        <w:rPr>
          <w:rFonts w:hint="eastAsia" w:ascii="宋体" w:hAnsi="宋体" w:eastAsia="宋体" w:cs="宋体"/>
          <w:bCs/>
          <w:sz w:val="32"/>
          <w:szCs w:val="30"/>
          <w:lang w:eastAsia="zh-CN"/>
        </w:rPr>
      </w:pPr>
      <w:r>
        <w:rPr>
          <w:rFonts w:hint="eastAsia" w:ascii="宋体" w:hAnsi="宋体" w:cs="宋体"/>
          <w:bCs/>
          <w:spacing w:val="106"/>
          <w:kern w:val="0"/>
          <w:sz w:val="32"/>
          <w:szCs w:val="30"/>
          <w:fitText w:val="1920" w:id="-2026047487"/>
        </w:rPr>
        <w:t>招标编</w:t>
      </w:r>
      <w:r>
        <w:rPr>
          <w:rFonts w:hint="eastAsia" w:ascii="宋体" w:hAnsi="宋体" w:cs="宋体"/>
          <w:bCs/>
          <w:spacing w:val="2"/>
          <w:kern w:val="0"/>
          <w:sz w:val="32"/>
          <w:szCs w:val="30"/>
          <w:fitText w:val="1920" w:id="-2026047487"/>
        </w:rPr>
        <w:t>号</w:t>
      </w:r>
      <w:r>
        <w:rPr>
          <w:rFonts w:hint="eastAsia" w:ascii="宋体" w:hAnsi="宋体" w:cs="宋体"/>
          <w:bCs/>
          <w:sz w:val="32"/>
          <w:szCs w:val="30"/>
        </w:rPr>
        <w:t>：</w:t>
      </w:r>
      <w:r>
        <w:rPr>
          <w:rFonts w:hint="eastAsia" w:ascii="宋体" w:hAnsi="宋体" w:cs="宋体"/>
          <w:bCs/>
          <w:sz w:val="32"/>
          <w:szCs w:val="30"/>
          <w:u w:val="single"/>
          <w:lang w:eastAsia="zh-CN"/>
        </w:rPr>
        <w:t>GXXG-2025-ZFCG001</w:t>
      </w:r>
    </w:p>
    <w:p>
      <w:pPr>
        <w:tabs>
          <w:tab w:val="left" w:pos="3240"/>
          <w:tab w:val="left" w:pos="3420"/>
        </w:tabs>
        <w:spacing w:line="360" w:lineRule="auto"/>
        <w:jc w:val="left"/>
        <w:rPr>
          <w:rFonts w:hint="eastAsia" w:ascii="宋体" w:eastAsia="宋体" w:cs="宋体"/>
          <w:bCs/>
          <w:sz w:val="32"/>
          <w:szCs w:val="30"/>
          <w:lang w:eastAsia="zh-CN"/>
        </w:rPr>
      </w:pPr>
      <w:r>
        <w:rPr>
          <w:rFonts w:hint="eastAsia" w:ascii="宋体" w:hAnsi="宋体" w:cs="宋体"/>
          <w:bCs/>
          <w:spacing w:val="80"/>
          <w:kern w:val="0"/>
          <w:sz w:val="32"/>
          <w:szCs w:val="30"/>
          <w:fitText w:val="1920" w:id="-2026047486"/>
        </w:rPr>
        <w:t>采</w:t>
      </w:r>
      <w:r>
        <w:rPr>
          <w:rFonts w:ascii="宋体" w:hAnsi="宋体" w:cs="宋体"/>
          <w:bCs/>
          <w:spacing w:val="80"/>
          <w:kern w:val="0"/>
          <w:sz w:val="32"/>
          <w:szCs w:val="30"/>
          <w:fitText w:val="1920" w:id="-2026047486"/>
        </w:rPr>
        <w:t xml:space="preserve"> </w:t>
      </w:r>
      <w:r>
        <w:rPr>
          <w:rFonts w:hint="eastAsia" w:ascii="宋体" w:hAnsi="宋体" w:cs="宋体"/>
          <w:bCs/>
          <w:spacing w:val="80"/>
          <w:kern w:val="0"/>
          <w:sz w:val="32"/>
          <w:szCs w:val="30"/>
          <w:fitText w:val="1920" w:id="-2026047486"/>
        </w:rPr>
        <w:t>购</w:t>
      </w:r>
      <w:r>
        <w:rPr>
          <w:rFonts w:ascii="宋体" w:hAnsi="宋体" w:cs="宋体"/>
          <w:bCs/>
          <w:spacing w:val="80"/>
          <w:kern w:val="0"/>
          <w:sz w:val="32"/>
          <w:szCs w:val="30"/>
          <w:fitText w:val="1920" w:id="-2026047486"/>
        </w:rPr>
        <w:t xml:space="preserve"> </w:t>
      </w:r>
      <w:r>
        <w:rPr>
          <w:rFonts w:hint="eastAsia" w:ascii="宋体" w:hAnsi="宋体" w:cs="宋体"/>
          <w:bCs/>
          <w:spacing w:val="0"/>
          <w:kern w:val="0"/>
          <w:sz w:val="32"/>
          <w:szCs w:val="30"/>
          <w:fitText w:val="1920" w:id="-2026047486"/>
        </w:rPr>
        <w:t>人</w:t>
      </w:r>
      <w:r>
        <w:rPr>
          <w:rFonts w:hint="eastAsia" w:ascii="宋体" w:hAnsi="宋体" w:cs="宋体"/>
          <w:bCs/>
          <w:sz w:val="32"/>
          <w:szCs w:val="30"/>
        </w:rPr>
        <w:t>：</w:t>
      </w:r>
      <w:r>
        <w:rPr>
          <w:rFonts w:hint="eastAsia" w:ascii="宋体" w:hAnsi="宋体" w:cs="宋体"/>
          <w:bCs/>
          <w:sz w:val="32"/>
          <w:szCs w:val="30"/>
          <w:highlight w:val="none"/>
          <w:u w:val="single"/>
          <w:lang w:eastAsia="zh-CN"/>
        </w:rPr>
        <w:t>乌鲁木齐高新技术产业开发区（新市区）卫生健康委员会（</w:t>
      </w:r>
      <w:r>
        <w:rPr>
          <w:rFonts w:hint="eastAsia" w:ascii="宋体" w:hAnsi="宋体" w:cs="宋体"/>
          <w:bCs/>
          <w:sz w:val="32"/>
          <w:szCs w:val="30"/>
          <w:highlight w:val="none"/>
          <w:u w:val="single"/>
          <w:lang w:val="en-US" w:eastAsia="zh-CN"/>
        </w:rPr>
        <w:t>盖章</w:t>
      </w:r>
      <w:r>
        <w:rPr>
          <w:rFonts w:hint="eastAsia" w:ascii="宋体" w:hAnsi="宋体" w:cs="宋体"/>
          <w:bCs/>
          <w:sz w:val="32"/>
          <w:szCs w:val="30"/>
          <w:highlight w:val="none"/>
          <w:u w:val="single"/>
          <w:lang w:eastAsia="zh-CN"/>
        </w:rPr>
        <w:t>）</w:t>
      </w:r>
    </w:p>
    <w:p>
      <w:pPr>
        <w:tabs>
          <w:tab w:val="left" w:pos="3240"/>
          <w:tab w:val="left" w:pos="3420"/>
        </w:tabs>
        <w:spacing w:line="360" w:lineRule="auto"/>
        <w:jc w:val="left"/>
        <w:rPr>
          <w:rFonts w:hint="eastAsia" w:ascii="宋体" w:eastAsia="宋体" w:cs="宋体"/>
          <w:bCs/>
          <w:sz w:val="32"/>
          <w:szCs w:val="30"/>
          <w:u w:val="single"/>
          <w:lang w:eastAsia="zh-CN"/>
        </w:rPr>
      </w:pPr>
      <w:r>
        <w:rPr>
          <w:rFonts w:hint="eastAsia" w:ascii="宋体" w:hAnsi="宋体" w:cs="宋体"/>
          <w:bCs/>
          <w:sz w:val="32"/>
          <w:szCs w:val="30"/>
        </w:rPr>
        <w:t>采购代理机构：</w:t>
      </w:r>
      <w:r>
        <w:rPr>
          <w:rFonts w:hint="eastAsia" w:ascii="宋体" w:hAnsi="宋体" w:cs="宋体"/>
          <w:bCs/>
          <w:sz w:val="32"/>
          <w:szCs w:val="30"/>
          <w:u w:val="single"/>
          <w:lang w:eastAsia="zh-CN"/>
        </w:rPr>
        <w:t>乌鲁木齐高新建设工程项目管理咨询有限公司（盖章）</w:t>
      </w:r>
    </w:p>
    <w:p>
      <w:pPr>
        <w:tabs>
          <w:tab w:val="left" w:pos="3240"/>
          <w:tab w:val="left" w:pos="3420"/>
        </w:tabs>
        <w:spacing w:line="360" w:lineRule="auto"/>
        <w:jc w:val="left"/>
        <w:rPr>
          <w:rFonts w:ascii="宋体" w:cs="宋体"/>
          <w:bCs/>
          <w:sz w:val="32"/>
          <w:szCs w:val="36"/>
          <w:u w:val="single"/>
        </w:rPr>
      </w:pPr>
      <w:r>
        <w:rPr>
          <w:rFonts w:hint="eastAsia" w:ascii="宋体" w:hAnsi="宋体" w:cs="宋体"/>
          <w:bCs/>
          <w:spacing w:val="640"/>
          <w:kern w:val="0"/>
          <w:sz w:val="32"/>
          <w:szCs w:val="36"/>
          <w:fitText w:val="1920" w:id="-2026047485"/>
        </w:rPr>
        <w:t>日</w:t>
      </w:r>
      <w:r>
        <w:rPr>
          <w:rFonts w:hint="eastAsia" w:ascii="宋体" w:hAnsi="宋体" w:cs="宋体"/>
          <w:bCs/>
          <w:spacing w:val="0"/>
          <w:kern w:val="0"/>
          <w:sz w:val="32"/>
          <w:szCs w:val="36"/>
          <w:fitText w:val="1920" w:id="-2026047485"/>
        </w:rPr>
        <w:t>期</w:t>
      </w:r>
      <w:r>
        <w:rPr>
          <w:rFonts w:hint="eastAsia" w:ascii="宋体" w:hAnsi="宋体" w:cs="宋体"/>
          <w:bCs/>
          <w:sz w:val="32"/>
          <w:szCs w:val="36"/>
        </w:rPr>
        <w:t>：</w:t>
      </w:r>
      <w:r>
        <w:rPr>
          <w:rFonts w:ascii="宋体" w:hAnsi="宋体" w:cs="宋体"/>
          <w:bCs/>
          <w:sz w:val="32"/>
          <w:szCs w:val="36"/>
          <w:u w:val="single"/>
        </w:rPr>
        <w:t>20</w:t>
      </w:r>
      <w:r>
        <w:rPr>
          <w:rFonts w:hint="eastAsia" w:ascii="宋体" w:hAnsi="宋体" w:cs="宋体"/>
          <w:bCs/>
          <w:sz w:val="32"/>
          <w:szCs w:val="36"/>
          <w:u w:val="single"/>
        </w:rPr>
        <w:t>2</w:t>
      </w:r>
      <w:r>
        <w:rPr>
          <w:rFonts w:hint="eastAsia" w:ascii="宋体" w:hAnsi="宋体" w:cs="宋体"/>
          <w:bCs/>
          <w:sz w:val="32"/>
          <w:szCs w:val="36"/>
          <w:u w:val="single"/>
          <w:lang w:val="en-US" w:eastAsia="zh-CN"/>
        </w:rPr>
        <w:t>5</w:t>
      </w:r>
      <w:r>
        <w:rPr>
          <w:rFonts w:hint="eastAsia" w:ascii="宋体" w:hAnsi="宋体" w:cs="宋体"/>
          <w:bCs/>
          <w:sz w:val="32"/>
          <w:szCs w:val="36"/>
          <w:u w:val="single"/>
        </w:rPr>
        <w:t>年</w:t>
      </w:r>
      <w:r>
        <w:rPr>
          <w:rFonts w:hint="eastAsia" w:ascii="宋体" w:hAnsi="宋体" w:cs="宋体"/>
          <w:bCs/>
          <w:sz w:val="32"/>
          <w:szCs w:val="36"/>
          <w:u w:val="single"/>
          <w:lang w:val="en-US" w:eastAsia="zh-CN"/>
        </w:rPr>
        <w:t>2</w:t>
      </w:r>
      <w:bookmarkStart w:id="264" w:name="_GoBack"/>
      <w:bookmarkEnd w:id="264"/>
      <w:r>
        <w:rPr>
          <w:rFonts w:hint="eastAsia" w:ascii="宋体" w:hAnsi="宋体" w:cs="宋体"/>
          <w:bCs/>
          <w:sz w:val="32"/>
          <w:szCs w:val="36"/>
          <w:u w:val="single"/>
        </w:rPr>
        <w:t>月</w:t>
      </w:r>
    </w:p>
    <w:p>
      <w:pPr>
        <w:widowControl/>
        <w:jc w:val="center"/>
        <w:rPr>
          <w:rFonts w:cs="宋体"/>
          <w:sz w:val="44"/>
          <w:szCs w:val="48"/>
        </w:rPr>
      </w:pPr>
      <w:r>
        <w:rPr>
          <w:rFonts w:cs="宋体"/>
          <w:bCs/>
          <w:sz w:val="32"/>
          <w:szCs w:val="36"/>
        </w:rPr>
        <w:br w:type="page"/>
      </w:r>
      <w:r>
        <w:rPr>
          <w:rFonts w:hint="eastAsia" w:cs="宋体"/>
          <w:sz w:val="44"/>
          <w:szCs w:val="48"/>
        </w:rPr>
        <w:t>目</w:t>
      </w:r>
      <w:r>
        <w:rPr>
          <w:rFonts w:cs="宋体"/>
          <w:sz w:val="44"/>
          <w:szCs w:val="48"/>
        </w:rPr>
        <w:t xml:space="preserve">  </w:t>
      </w:r>
      <w:r>
        <w:rPr>
          <w:rFonts w:hint="eastAsia" w:cs="宋体"/>
          <w:sz w:val="44"/>
          <w:szCs w:val="48"/>
        </w:rPr>
        <w:t>录</w:t>
      </w:r>
    </w:p>
    <w:p>
      <w:pPr>
        <w:widowControl/>
        <w:jc w:val="center"/>
        <w:rPr>
          <w:rFonts w:ascii="黑体" w:hAnsi="黑体" w:eastAsia="黑体"/>
          <w:sz w:val="22"/>
          <w:szCs w:val="24"/>
        </w:rPr>
      </w:pPr>
      <w:r>
        <w:rPr>
          <w:rFonts w:ascii="黑体" w:hAnsi="黑体" w:eastAsia="黑体" w:cs="宋体"/>
          <w:bCs/>
          <w:sz w:val="22"/>
          <w:szCs w:val="28"/>
        </w:rPr>
        <w:fldChar w:fldCharType="begin"/>
      </w:r>
      <w:r>
        <w:rPr>
          <w:rFonts w:ascii="黑体" w:hAnsi="黑体" w:eastAsia="黑体" w:cs="宋体"/>
          <w:sz w:val="22"/>
          <w:szCs w:val="28"/>
        </w:rPr>
        <w:instrText xml:space="preserve"> TOC \o "1-4" \h \z \u </w:instrText>
      </w:r>
      <w:r>
        <w:rPr>
          <w:rFonts w:ascii="黑体" w:hAnsi="黑体" w:eastAsia="黑体" w:cs="宋体"/>
          <w:bCs/>
          <w:sz w:val="22"/>
          <w:szCs w:val="28"/>
        </w:rPr>
        <w:fldChar w:fldCharType="separate"/>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"_Toc44705269" </w:instrText>
      </w:r>
      <w:r>
        <w:fldChar w:fldCharType="separate"/>
      </w:r>
      <w:r>
        <w:rPr>
          <w:rStyle w:val="54"/>
          <w:rFonts w:hint="eastAsia" w:ascii="宋体" w:hAnsi="宋体" w:cs="宋体"/>
          <w:b w:val="0"/>
          <w:w w:val="90"/>
          <w:sz w:val="32"/>
          <w:szCs w:val="32"/>
          <w:u w:val="none"/>
        </w:rPr>
        <w:t>第一章 投标邀请（招标公告）</w:t>
      </w:r>
      <w:r>
        <w:rPr>
          <w:rStyle w:val="54"/>
          <w:rFonts w:hint="eastAsia" w:ascii="宋体" w:hAnsi="宋体" w:cs="宋体"/>
          <w:b w:val="0"/>
          <w:w w:val="90"/>
          <w:sz w:val="32"/>
          <w:szCs w:val="32"/>
          <w:u w:val="none"/>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_Toc44705269 \h </w:instrText>
      </w:r>
      <w:r>
        <w:rPr>
          <w:rFonts w:hint="eastAsia" w:ascii="宋体" w:hAnsi="宋体" w:cs="宋体"/>
          <w:b w:val="0"/>
          <w:sz w:val="32"/>
          <w:szCs w:val="32"/>
        </w:rPr>
        <w:fldChar w:fldCharType="separate"/>
      </w:r>
      <w:r>
        <w:rPr>
          <w:rFonts w:hint="eastAsia" w:ascii="宋体" w:hAnsi="宋体" w:cs="宋体"/>
          <w:b w:val="0"/>
          <w:sz w:val="32"/>
          <w:szCs w:val="32"/>
        </w:rPr>
        <w:t>3</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"_Toc44705270" </w:instrText>
      </w:r>
      <w:r>
        <w:fldChar w:fldCharType="separate"/>
      </w:r>
      <w:r>
        <w:rPr>
          <w:rStyle w:val="54"/>
          <w:rFonts w:hint="eastAsia" w:ascii="宋体" w:hAnsi="宋体" w:cs="宋体"/>
          <w:b w:val="0"/>
          <w:w w:val="90"/>
          <w:sz w:val="32"/>
          <w:szCs w:val="32"/>
          <w:u w:val="none"/>
        </w:rPr>
        <w:t>第二章 投标人须知前附表</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_Toc44705270 \h </w:instrText>
      </w:r>
      <w:r>
        <w:rPr>
          <w:rFonts w:hint="eastAsia" w:ascii="宋体" w:hAnsi="宋体" w:cs="宋体"/>
          <w:b w:val="0"/>
          <w:sz w:val="32"/>
          <w:szCs w:val="32"/>
        </w:rPr>
        <w:fldChar w:fldCharType="separate"/>
      </w:r>
      <w:r>
        <w:rPr>
          <w:rFonts w:hint="eastAsia" w:ascii="宋体" w:hAnsi="宋体" w:cs="宋体"/>
          <w:b w:val="0"/>
          <w:sz w:val="32"/>
          <w:szCs w:val="32"/>
        </w:rPr>
        <w:t>9</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"_Toc44705271" </w:instrText>
      </w:r>
      <w:r>
        <w:fldChar w:fldCharType="separate"/>
      </w:r>
      <w:r>
        <w:rPr>
          <w:rStyle w:val="54"/>
          <w:rFonts w:hint="eastAsia" w:ascii="宋体" w:hAnsi="宋体" w:cs="宋体"/>
          <w:b w:val="0"/>
          <w:w w:val="90"/>
          <w:sz w:val="32"/>
          <w:szCs w:val="32"/>
          <w:u w:val="none"/>
        </w:rPr>
        <w:t>第三章 投标人须知</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_Toc44705271 \h </w:instrText>
      </w:r>
      <w:r>
        <w:rPr>
          <w:rFonts w:hint="eastAsia" w:ascii="宋体" w:hAnsi="宋体" w:cs="宋体"/>
          <w:b w:val="0"/>
          <w:sz w:val="32"/>
          <w:szCs w:val="32"/>
        </w:rPr>
        <w:fldChar w:fldCharType="separate"/>
      </w:r>
      <w:r>
        <w:rPr>
          <w:rFonts w:hint="eastAsia" w:ascii="宋体" w:hAnsi="宋体" w:cs="宋体"/>
          <w:b w:val="0"/>
          <w:sz w:val="32"/>
          <w:szCs w:val="32"/>
        </w:rPr>
        <w:t>15</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"_Toc44705272" </w:instrText>
      </w:r>
      <w:r>
        <w:fldChar w:fldCharType="separate"/>
      </w:r>
      <w:r>
        <w:rPr>
          <w:rStyle w:val="54"/>
          <w:rFonts w:hint="eastAsia" w:ascii="宋体" w:hAnsi="宋体" w:cs="宋体"/>
          <w:b w:val="0"/>
          <w:w w:val="90"/>
          <w:sz w:val="32"/>
          <w:szCs w:val="32"/>
          <w:u w:val="none"/>
        </w:rPr>
        <w:t>第四章 合同文本格式</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_Toc44705272 \h </w:instrText>
      </w:r>
      <w:r>
        <w:rPr>
          <w:rFonts w:hint="eastAsia" w:ascii="宋体" w:hAnsi="宋体" w:cs="宋体"/>
          <w:b w:val="0"/>
          <w:sz w:val="32"/>
          <w:szCs w:val="32"/>
        </w:rPr>
        <w:fldChar w:fldCharType="separate"/>
      </w:r>
      <w:r>
        <w:rPr>
          <w:rFonts w:hint="eastAsia" w:ascii="宋体" w:hAnsi="宋体" w:cs="宋体"/>
          <w:b w:val="0"/>
          <w:sz w:val="32"/>
          <w:szCs w:val="32"/>
        </w:rPr>
        <w:t>29</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"_Toc44705273" </w:instrText>
      </w:r>
      <w:r>
        <w:fldChar w:fldCharType="separate"/>
      </w:r>
      <w:r>
        <w:rPr>
          <w:rStyle w:val="54"/>
          <w:rFonts w:hint="eastAsia" w:ascii="宋体" w:hAnsi="宋体" w:cs="宋体"/>
          <w:b w:val="0"/>
          <w:w w:val="90"/>
          <w:sz w:val="32"/>
          <w:szCs w:val="32"/>
          <w:u w:val="none"/>
        </w:rPr>
        <w:t>第五章 采购需求</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_Toc44705273 \h </w:instrText>
      </w:r>
      <w:r>
        <w:rPr>
          <w:rFonts w:hint="eastAsia" w:ascii="宋体" w:hAnsi="宋体" w:cs="宋体"/>
          <w:b w:val="0"/>
          <w:sz w:val="32"/>
          <w:szCs w:val="32"/>
        </w:rPr>
        <w:fldChar w:fldCharType="separate"/>
      </w:r>
      <w:r>
        <w:rPr>
          <w:rFonts w:hint="eastAsia" w:ascii="宋体" w:hAnsi="宋体" w:cs="宋体"/>
          <w:b w:val="0"/>
          <w:sz w:val="32"/>
          <w:szCs w:val="32"/>
        </w:rPr>
        <w:t>30</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"_Toc44705274" </w:instrText>
      </w:r>
      <w:r>
        <w:fldChar w:fldCharType="separate"/>
      </w:r>
      <w:r>
        <w:rPr>
          <w:rStyle w:val="54"/>
          <w:rFonts w:hint="eastAsia" w:ascii="宋体" w:hAnsi="宋体" w:cs="宋体"/>
          <w:b w:val="0"/>
          <w:w w:val="90"/>
          <w:sz w:val="32"/>
          <w:szCs w:val="32"/>
          <w:u w:val="none"/>
        </w:rPr>
        <w:t>第六章 评标方法及评标标准</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_Toc44705274 \h </w:instrText>
      </w:r>
      <w:r>
        <w:rPr>
          <w:rFonts w:hint="eastAsia" w:ascii="宋体" w:hAnsi="宋体" w:cs="宋体"/>
          <w:b w:val="0"/>
          <w:sz w:val="32"/>
          <w:szCs w:val="32"/>
        </w:rPr>
        <w:fldChar w:fldCharType="separate"/>
      </w:r>
      <w:r>
        <w:rPr>
          <w:rFonts w:hint="eastAsia" w:ascii="宋体" w:hAnsi="宋体" w:cs="宋体"/>
          <w:b w:val="0"/>
          <w:sz w:val="32"/>
          <w:szCs w:val="32"/>
        </w:rPr>
        <w:t>46</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黑体" w:hAnsi="黑体" w:eastAsia="黑体" w:cs="Arial"/>
          <w:b w:val="0"/>
          <w:bCs w:val="0"/>
          <w:caps w:val="0"/>
          <w:sz w:val="32"/>
          <w:szCs w:val="32"/>
        </w:rPr>
      </w:pPr>
      <w:r>
        <w:fldChar w:fldCharType="begin"/>
      </w:r>
      <w:r>
        <w:instrText xml:space="preserve"> HYPERLINK \l "_Toc44705277" </w:instrText>
      </w:r>
      <w:r>
        <w:fldChar w:fldCharType="separate"/>
      </w:r>
      <w:r>
        <w:rPr>
          <w:rStyle w:val="54"/>
          <w:rFonts w:hint="eastAsia" w:ascii="宋体" w:hAnsi="宋体" w:cs="宋体"/>
          <w:b w:val="0"/>
          <w:w w:val="90"/>
          <w:sz w:val="32"/>
          <w:szCs w:val="32"/>
          <w:u w:val="none"/>
        </w:rPr>
        <w:t>第七章 投标文件格式</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_Toc44705277 \h </w:instrText>
      </w:r>
      <w:r>
        <w:rPr>
          <w:rFonts w:hint="eastAsia" w:ascii="宋体" w:hAnsi="宋体" w:cs="宋体"/>
          <w:b w:val="0"/>
          <w:sz w:val="32"/>
          <w:szCs w:val="32"/>
        </w:rPr>
        <w:fldChar w:fldCharType="separate"/>
      </w:r>
      <w:r>
        <w:rPr>
          <w:rFonts w:hint="eastAsia" w:ascii="宋体" w:hAnsi="宋体" w:cs="宋体"/>
          <w:b w:val="0"/>
          <w:sz w:val="32"/>
          <w:szCs w:val="32"/>
        </w:rPr>
        <w:t>52</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32"/>
        <w:tabs>
          <w:tab w:val="right" w:leader="dot" w:pos="8296"/>
        </w:tabs>
        <w:spacing w:line="1000" w:lineRule="exact"/>
        <w:rPr>
          <w:rFonts w:cs="Arial"/>
          <w:sz w:val="24"/>
          <w:szCs w:val="28"/>
        </w:rPr>
        <w:sectPr>
          <w:headerReference r:id="rId4" w:type="first"/>
          <w:headerReference r:id="rId3" w:type="default"/>
          <w:footerReference r:id="rId5" w:type="default"/>
          <w:pgSz w:w="11906" w:h="16838"/>
          <w:pgMar w:top="1440" w:right="1800" w:bottom="1440" w:left="1800" w:header="850" w:footer="992" w:gutter="0"/>
          <w:pgBorders>
            <w:top w:val="none" w:sz="0" w:space="0"/>
            <w:left w:val="none" w:sz="0" w:space="0"/>
            <w:bottom w:val="none" w:sz="0" w:space="0"/>
            <w:right w:val="none" w:sz="0" w:space="0"/>
          </w:pgBorders>
          <w:cols w:space="720" w:num="1"/>
          <w:titlePg/>
          <w:rtlGutter w:val="1"/>
          <w:docGrid w:type="lines" w:linePitch="312" w:charSpace="0"/>
        </w:sectPr>
      </w:pPr>
    </w:p>
    <w:p>
      <w:pPr>
        <w:pStyle w:val="2"/>
        <w:jc w:val="center"/>
        <w:rPr>
          <w:rFonts w:ascii="宋体" w:cs="宋体"/>
          <w:b w:val="0"/>
          <w:sz w:val="32"/>
        </w:rPr>
      </w:pPr>
      <w:r>
        <w:rPr>
          <w:rFonts w:ascii="黑体" w:hAnsi="黑体" w:eastAsia="黑体" w:cs="宋体"/>
          <w:bCs w:val="0"/>
          <w:sz w:val="22"/>
          <w:szCs w:val="28"/>
        </w:rPr>
        <w:fldChar w:fldCharType="end"/>
      </w:r>
      <w:bookmarkStart w:id="0" w:name="_Toc44705048"/>
      <w:bookmarkStart w:id="1" w:name="_Toc44704901"/>
      <w:bookmarkStart w:id="2" w:name="_Toc44705269"/>
      <w:r>
        <w:rPr>
          <w:rFonts w:hint="eastAsia" w:ascii="宋体" w:hAnsi="宋体" w:cs="宋体"/>
          <w:b w:val="0"/>
          <w:sz w:val="44"/>
        </w:rPr>
        <w:t>第一章</w:t>
      </w:r>
      <w:r>
        <w:rPr>
          <w:rFonts w:ascii="宋体" w:hAnsi="宋体" w:cs="宋体"/>
          <w:b w:val="0"/>
          <w:sz w:val="32"/>
        </w:rPr>
        <w:t xml:space="preserve"> </w:t>
      </w:r>
      <w:r>
        <w:rPr>
          <w:rFonts w:hint="eastAsia" w:ascii="宋体" w:hAnsi="宋体" w:cs="宋体"/>
          <w:b w:val="0"/>
          <w:bCs w:val="0"/>
          <w:sz w:val="44"/>
        </w:rPr>
        <w:t>投标邀请（招标公告）</w:t>
      </w:r>
      <w:bookmarkEnd w:id="0"/>
      <w:bookmarkEnd w:id="1"/>
      <w:bookmarkEnd w:id="2"/>
    </w:p>
    <w:p>
      <w:pPr>
        <w:pBdr>
          <w:top w:val="single" w:color="auto" w:sz="4" w:space="1"/>
          <w:left w:val="single" w:color="auto" w:sz="4" w:space="4"/>
          <w:bottom w:val="single" w:color="auto" w:sz="4" w:space="1"/>
          <w:right w:val="single" w:color="auto" w:sz="4" w:space="4"/>
        </w:pBdr>
        <w:shd w:val="clear"/>
        <w:spacing w:line="360" w:lineRule="auto"/>
        <w:ind w:firstLine="560" w:firstLineChars="200"/>
        <w:jc w:val="center"/>
        <w:rPr>
          <w:rFonts w:ascii="宋体"/>
          <w:sz w:val="28"/>
          <w:szCs w:val="28"/>
          <w:highlight w:val="none"/>
        </w:rPr>
      </w:pPr>
      <w:bookmarkStart w:id="3" w:name="_Toc35393790"/>
      <w:bookmarkStart w:id="4" w:name="_Toc35393621"/>
      <w:bookmarkStart w:id="5" w:name="_Toc28359079"/>
      <w:bookmarkStart w:id="6" w:name="_Toc28359002"/>
      <w:bookmarkStart w:id="7" w:name="_Hlk24379207"/>
      <w:r>
        <w:rPr>
          <w:rFonts w:hint="eastAsia" w:ascii="宋体" w:hAnsi="宋体"/>
          <w:sz w:val="28"/>
          <w:szCs w:val="28"/>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560" w:firstLineChars="200"/>
        <w:rPr>
          <w:rFonts w:ascii="宋体"/>
          <w:sz w:val="28"/>
          <w:szCs w:val="28"/>
          <w:highlight w:val="none"/>
        </w:rPr>
      </w:pPr>
      <w:r>
        <w:rPr>
          <w:rFonts w:hint="eastAsia" w:ascii="宋体" w:hAnsi="宋体"/>
          <w:sz w:val="28"/>
          <w:szCs w:val="28"/>
          <w:highlight w:val="none"/>
          <w:u w:val="single"/>
          <w:lang w:eastAsia="zh-CN"/>
        </w:rPr>
        <w:t>高新区（新市区）卫生健康委员会体检医院服务商采购项目</w:t>
      </w:r>
      <w:r>
        <w:rPr>
          <w:rFonts w:hint="eastAsia" w:ascii="宋体" w:hAnsi="宋体"/>
          <w:sz w:val="28"/>
          <w:szCs w:val="28"/>
          <w:highlight w:val="none"/>
          <w:u w:val="single"/>
        </w:rPr>
        <w:t xml:space="preserve"> </w:t>
      </w:r>
      <w:r>
        <w:rPr>
          <w:rFonts w:hint="eastAsia" w:ascii="宋体" w:hAnsi="宋体"/>
          <w:sz w:val="28"/>
          <w:szCs w:val="28"/>
          <w:highlight w:val="none"/>
        </w:rPr>
        <w:t>招标项目的潜在投标人应在潜在</w:t>
      </w:r>
      <w:r>
        <w:rPr>
          <w:rFonts w:hint="eastAsia" w:ascii="宋体" w:hAnsi="宋体"/>
          <w:sz w:val="28"/>
          <w:szCs w:val="28"/>
          <w:highlight w:val="none"/>
          <w:lang w:eastAsia="zh-CN"/>
        </w:rPr>
        <w:t>投标人</w:t>
      </w:r>
      <w:r>
        <w:rPr>
          <w:rFonts w:hint="eastAsia" w:ascii="宋体" w:hAnsi="宋体"/>
          <w:sz w:val="28"/>
          <w:szCs w:val="28"/>
          <w:highlight w:val="none"/>
        </w:rPr>
        <w:t>应在</w:t>
      </w:r>
      <w:r>
        <w:rPr>
          <w:rFonts w:hint="eastAsia" w:ascii="宋体" w:hAnsi="宋体"/>
          <w:sz w:val="28"/>
          <w:szCs w:val="28"/>
          <w:highlight w:val="none"/>
          <w:u w:val="single"/>
        </w:rPr>
        <w:t>政采云平台（https://www.zcygov.cn/）</w:t>
      </w:r>
      <w:r>
        <w:rPr>
          <w:rFonts w:hint="eastAsia" w:ascii="宋体" w:hAnsi="宋体"/>
          <w:sz w:val="28"/>
          <w:szCs w:val="28"/>
          <w:highlight w:val="none"/>
        </w:rPr>
        <w:t>获取采购文件，并于</w:t>
      </w:r>
      <w:r>
        <w:rPr>
          <w:rFonts w:ascii="宋体" w:hAnsi="宋体"/>
          <w:sz w:val="28"/>
          <w:szCs w:val="28"/>
          <w:highlight w:val="none"/>
          <w:u w:val="single"/>
        </w:rPr>
        <w:t>202</w:t>
      </w:r>
      <w:r>
        <w:rPr>
          <w:rFonts w:hint="eastAsia" w:ascii="宋体" w:hAnsi="宋体"/>
          <w:sz w:val="28"/>
          <w:szCs w:val="28"/>
          <w:highlight w:val="none"/>
          <w:u w:val="single"/>
          <w:lang w:val="en-US" w:eastAsia="zh-CN"/>
        </w:rPr>
        <w:t>5</w:t>
      </w:r>
      <w:r>
        <w:rPr>
          <w:rFonts w:hint="eastAsia" w:ascii="宋体" w:hAnsi="宋体"/>
          <w:bCs/>
          <w:sz w:val="28"/>
          <w:szCs w:val="28"/>
          <w:highlight w:val="none"/>
          <w:u w:val="single"/>
        </w:rPr>
        <w:t>年</w:t>
      </w:r>
      <w:r>
        <w:rPr>
          <w:rFonts w:hint="eastAsia" w:ascii="宋体" w:hAnsi="宋体"/>
          <w:bCs/>
          <w:sz w:val="28"/>
          <w:szCs w:val="28"/>
          <w:highlight w:val="none"/>
          <w:u w:val="single"/>
          <w:lang w:val="en-US" w:eastAsia="zh-CN"/>
        </w:rPr>
        <w:t>3</w:t>
      </w:r>
      <w:r>
        <w:rPr>
          <w:rFonts w:hint="eastAsia" w:ascii="宋体" w:hAnsi="宋体"/>
          <w:bCs/>
          <w:sz w:val="28"/>
          <w:szCs w:val="28"/>
          <w:highlight w:val="none"/>
          <w:u w:val="single"/>
        </w:rPr>
        <w:t>月</w:t>
      </w:r>
      <w:r>
        <w:rPr>
          <w:rFonts w:hint="eastAsia" w:ascii="宋体" w:hAnsi="宋体"/>
          <w:bCs/>
          <w:sz w:val="28"/>
          <w:szCs w:val="28"/>
          <w:highlight w:val="none"/>
          <w:u w:val="single"/>
          <w:lang w:val="en-US" w:eastAsia="zh-CN"/>
        </w:rPr>
        <w:t>11</w:t>
      </w:r>
      <w:r>
        <w:rPr>
          <w:rFonts w:hint="eastAsia" w:ascii="宋体" w:hAnsi="宋体"/>
          <w:bCs/>
          <w:sz w:val="28"/>
          <w:szCs w:val="28"/>
          <w:highlight w:val="none"/>
          <w:u w:val="single"/>
          <w:lang w:eastAsia="zh-CN"/>
        </w:rPr>
        <w:t>日1</w:t>
      </w:r>
      <w:r>
        <w:rPr>
          <w:rFonts w:hint="eastAsia" w:ascii="宋体" w:hAnsi="宋体"/>
          <w:bCs/>
          <w:sz w:val="28"/>
          <w:szCs w:val="28"/>
          <w:highlight w:val="none"/>
          <w:u w:val="single"/>
          <w:lang w:val="en-US" w:eastAsia="zh-CN"/>
        </w:rPr>
        <w:t>6</w:t>
      </w:r>
      <w:r>
        <w:rPr>
          <w:rFonts w:hint="eastAsia" w:ascii="宋体" w:hAnsi="宋体"/>
          <w:bCs/>
          <w:sz w:val="28"/>
          <w:szCs w:val="28"/>
          <w:highlight w:val="none"/>
          <w:u w:val="single"/>
          <w:lang w:eastAsia="zh-CN"/>
        </w:rPr>
        <w:t>点</w:t>
      </w:r>
      <w:r>
        <w:rPr>
          <w:rFonts w:hint="eastAsia" w:ascii="宋体" w:hAnsi="宋体"/>
          <w:bCs/>
          <w:sz w:val="28"/>
          <w:szCs w:val="28"/>
          <w:highlight w:val="none"/>
          <w:u w:val="single"/>
          <w:lang w:val="en-US" w:eastAsia="zh-CN"/>
        </w:rPr>
        <w:t>00</w:t>
      </w:r>
      <w:r>
        <w:rPr>
          <w:rFonts w:hint="eastAsia" w:ascii="宋体" w:hAnsi="宋体"/>
          <w:bCs/>
          <w:sz w:val="28"/>
          <w:szCs w:val="28"/>
          <w:highlight w:val="none"/>
          <w:u w:val="single"/>
        </w:rPr>
        <w:t>分</w:t>
      </w:r>
      <w:r>
        <w:rPr>
          <w:rFonts w:hint="eastAsia" w:ascii="宋体" w:hAnsi="宋体"/>
          <w:bCs/>
          <w:sz w:val="28"/>
          <w:szCs w:val="28"/>
          <w:highlight w:val="none"/>
        </w:rPr>
        <w:t>（北京时间）前递交投标文件</w:t>
      </w:r>
      <w:r>
        <w:rPr>
          <w:rFonts w:hint="eastAsia" w:ascii="宋体" w:hAnsi="宋体"/>
          <w:sz w:val="28"/>
          <w:szCs w:val="28"/>
          <w:highlight w:val="none"/>
        </w:rPr>
        <w:t>。</w:t>
      </w:r>
    </w:p>
    <w:p>
      <w:pPr>
        <w:rPr>
          <w:rFonts w:ascii="宋体" w:cs="宋体"/>
          <w:sz w:val="28"/>
          <w:szCs w:val="28"/>
        </w:rPr>
      </w:pPr>
      <w:r>
        <w:rPr>
          <w:rFonts w:hint="eastAsia" w:ascii="宋体" w:hAnsi="宋体" w:cs="宋体"/>
          <w:sz w:val="28"/>
          <w:szCs w:val="28"/>
        </w:rPr>
        <w:t>一、项目基本情况</w:t>
      </w:r>
      <w:bookmarkEnd w:id="3"/>
      <w:bookmarkEnd w:id="4"/>
      <w:bookmarkEnd w:id="5"/>
      <w:bookmarkEnd w:id="6"/>
    </w:p>
    <w:p>
      <w:pPr>
        <w:spacing w:line="360" w:lineRule="auto"/>
        <w:ind w:firstLine="560" w:firstLineChars="200"/>
        <w:rPr>
          <w:rFonts w:hint="eastAsia" w:ascii="宋体" w:eastAsia="宋体"/>
          <w:sz w:val="28"/>
          <w:szCs w:val="28"/>
          <w:lang w:eastAsia="zh-CN"/>
        </w:rPr>
      </w:pPr>
      <w:r>
        <w:rPr>
          <w:rFonts w:hint="eastAsia" w:ascii="宋体" w:hAnsi="宋体"/>
          <w:sz w:val="28"/>
          <w:szCs w:val="28"/>
        </w:rPr>
        <w:t>项目编号：</w:t>
      </w:r>
      <w:r>
        <w:rPr>
          <w:rFonts w:hint="eastAsia" w:ascii="宋体" w:hAnsi="宋体"/>
          <w:sz w:val="28"/>
          <w:szCs w:val="28"/>
          <w:lang w:eastAsia="zh-CN"/>
        </w:rPr>
        <w:t>GXXG-2025-ZFCG001</w:t>
      </w:r>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项目名称：</w:t>
      </w:r>
      <w:r>
        <w:rPr>
          <w:rFonts w:hint="eastAsia" w:ascii="宋体" w:hAnsi="宋体"/>
          <w:sz w:val="28"/>
          <w:szCs w:val="28"/>
          <w:lang w:eastAsia="zh-CN"/>
        </w:rPr>
        <w:t>高新区（新市区）卫生健康委员会体检医院服务商采购项目</w:t>
      </w:r>
    </w:p>
    <w:p>
      <w:pPr>
        <w:pStyle w:val="21"/>
        <w:ind w:firstLine="560" w:firstLineChars="200"/>
      </w:pPr>
      <w:r>
        <w:rPr>
          <w:rFonts w:hint="eastAsia" w:ascii="宋体" w:hAnsi="宋体"/>
          <w:sz w:val="28"/>
          <w:szCs w:val="28"/>
        </w:rPr>
        <w:t>采购方式：公开招标</w:t>
      </w:r>
    </w:p>
    <w:bookmarkEnd w:id="7"/>
    <w:p>
      <w:pPr>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预算金额：</w:t>
      </w:r>
      <w:r>
        <w:rPr>
          <w:rFonts w:hint="eastAsia" w:ascii="宋体" w:hAnsi="宋体"/>
          <w:sz w:val="28"/>
          <w:szCs w:val="28"/>
          <w:highlight w:val="none"/>
          <w:lang w:val="en-US" w:eastAsia="zh-CN"/>
        </w:rPr>
        <w:t>12700000.00</w:t>
      </w:r>
      <w:r>
        <w:rPr>
          <w:rFonts w:hint="eastAsia" w:ascii="宋体" w:hAnsi="宋体"/>
          <w:sz w:val="28"/>
          <w:szCs w:val="28"/>
          <w:highlight w:val="none"/>
        </w:rPr>
        <w:t>元</w:t>
      </w:r>
    </w:p>
    <w:p>
      <w:pPr>
        <w:spacing w:line="360" w:lineRule="auto"/>
        <w:ind w:firstLine="560" w:firstLineChars="200"/>
        <w:rPr>
          <w:rFonts w:hint="eastAsia" w:ascii="宋体" w:eastAsia="宋体"/>
          <w:sz w:val="28"/>
          <w:szCs w:val="28"/>
          <w:highlight w:val="none"/>
          <w:lang w:eastAsia="zh-CN"/>
        </w:rPr>
      </w:pPr>
      <w:r>
        <w:rPr>
          <w:rFonts w:hint="eastAsia" w:ascii="宋体" w:hAnsi="宋体"/>
          <w:sz w:val="28"/>
          <w:szCs w:val="28"/>
          <w:highlight w:val="none"/>
        </w:rPr>
        <w:t>最高限价（如有）：</w:t>
      </w:r>
      <w:r>
        <w:rPr>
          <w:rFonts w:hint="eastAsia" w:ascii="宋体" w:hAnsi="宋体"/>
          <w:sz w:val="28"/>
          <w:szCs w:val="28"/>
          <w:highlight w:val="none"/>
          <w:lang w:val="en-US" w:eastAsia="zh-CN"/>
        </w:rPr>
        <w:t>/</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w:t>
      </w:r>
      <w:r>
        <w:rPr>
          <w:rFonts w:hint="eastAsia" w:ascii="宋体" w:hAnsi="宋体"/>
          <w:b/>
          <w:bCs/>
          <w:sz w:val="28"/>
          <w:szCs w:val="28"/>
          <w:lang w:val="en-US" w:eastAsia="zh-CN"/>
        </w:rPr>
        <w:t>四</w:t>
      </w:r>
      <w:r>
        <w:rPr>
          <w:rFonts w:hint="eastAsia" w:ascii="宋体" w:hAnsi="宋体"/>
          <w:b/>
          <w:bCs/>
          <w:sz w:val="28"/>
          <w:szCs w:val="28"/>
        </w:rPr>
        <w:t>:</w:t>
      </w:r>
    </w:p>
    <w:p>
      <w:pPr>
        <w:pStyle w:val="21"/>
        <w:ind w:firstLine="562" w:firstLineChars="200"/>
        <w:rPr>
          <w:rFonts w:hint="default" w:ascii="宋体" w:hAnsi="宋体" w:eastAsia="宋体"/>
          <w:sz w:val="28"/>
          <w:szCs w:val="28"/>
          <w:lang w:val="en-US" w:eastAsia="zh-CN"/>
        </w:rPr>
      </w:pPr>
      <w:r>
        <w:rPr>
          <w:rFonts w:hint="eastAsia" w:ascii="宋体" w:hAnsi="宋体"/>
          <w:b/>
          <w:bCs/>
          <w:sz w:val="28"/>
          <w:szCs w:val="28"/>
        </w:rPr>
        <w:t>标项名称:</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标项四-1</w:t>
      </w:r>
    </w:p>
    <w:p>
      <w:pPr>
        <w:pStyle w:val="21"/>
        <w:ind w:left="559" w:leftChars="266" w:firstLine="0" w:firstLineChars="0"/>
        <w:rPr>
          <w:rFonts w:hint="eastAsia" w:ascii="宋体" w:hAnsi="宋体"/>
          <w:sz w:val="28"/>
          <w:szCs w:val="28"/>
        </w:rPr>
      </w:pPr>
      <w:r>
        <w:rPr>
          <w:rFonts w:hint="eastAsia" w:ascii="宋体" w:hAnsi="宋体"/>
          <w:sz w:val="28"/>
          <w:szCs w:val="28"/>
        </w:rPr>
        <w:t>数量:1</w:t>
      </w:r>
    </w:p>
    <w:p>
      <w:pPr>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采购内容：选取1家体检医院服务商为我区干部职工提供体检服务，体检人数约1035人（最终以实际体检人数为准）。</w:t>
      </w:r>
    </w:p>
    <w:p>
      <w:pPr>
        <w:rPr>
          <w:rFonts w:hint="eastAsia"/>
          <w:lang w:eastAsia="zh-CN"/>
        </w:rPr>
      </w:pPr>
    </w:p>
    <w:p>
      <w:pPr>
        <w:pStyle w:val="21"/>
        <w:ind w:left="559" w:leftChars="266" w:firstLine="0" w:firstLineChars="0"/>
        <w:rPr>
          <w:rFonts w:hint="default" w:ascii="宋体" w:hAnsi="宋体"/>
          <w:sz w:val="28"/>
          <w:szCs w:val="28"/>
          <w:lang w:val="en-US" w:eastAsia="zh-CN"/>
        </w:rPr>
      </w:pPr>
      <w:r>
        <w:rPr>
          <w:rFonts w:hint="eastAsia" w:ascii="宋体" w:hAnsi="宋体"/>
          <w:sz w:val="28"/>
          <w:szCs w:val="28"/>
        </w:rPr>
        <w:t>预算金额（元）:</w:t>
      </w:r>
      <w:r>
        <w:rPr>
          <w:rFonts w:hint="eastAsia" w:ascii="宋体" w:hAnsi="宋体"/>
          <w:sz w:val="28"/>
          <w:szCs w:val="28"/>
          <w:lang w:val="en-US" w:eastAsia="zh-CN"/>
        </w:rPr>
        <w:t>1010700元</w:t>
      </w:r>
    </w:p>
    <w:p>
      <w:pPr>
        <w:pStyle w:val="21"/>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sz w:val="28"/>
          <w:szCs w:val="28"/>
          <w:lang w:val="en-US" w:eastAsia="zh-CN"/>
        </w:rPr>
        <w:t>简要规格描述或项目基本概况介绍、用途</w:t>
      </w:r>
      <w:r>
        <w:rPr>
          <w:rFonts w:hint="eastAsia" w:ascii="宋体" w:hAnsi="宋体" w:eastAsia="宋体" w:cs="Times New Roman"/>
          <w:b w:val="0"/>
          <w:bCs w:val="0"/>
          <w:kern w:val="2"/>
          <w:sz w:val="28"/>
          <w:szCs w:val="28"/>
          <w:lang w:val="en-US" w:eastAsia="zh-CN" w:bidi="ar-SA"/>
        </w:rPr>
        <w:t>：具体采购要求详见招标文件</w:t>
      </w:r>
    </w:p>
    <w:p>
      <w:pPr>
        <w:spacing w:line="360" w:lineRule="auto"/>
        <w:ind w:firstLine="560" w:firstLineChars="200"/>
        <w:rPr>
          <w:rFonts w:hint="eastAsia" w:ascii="宋体" w:hAnsi="宋体" w:cs="宋体"/>
          <w:kern w:val="0"/>
          <w:sz w:val="28"/>
          <w:szCs w:val="28"/>
          <w:lang w:eastAsia="zh-CN" w:bidi="ar"/>
        </w:rPr>
      </w:pPr>
      <w:r>
        <w:rPr>
          <w:rFonts w:hint="eastAsia" w:ascii="宋体" w:hAnsi="宋体"/>
          <w:sz w:val="28"/>
          <w:szCs w:val="28"/>
        </w:rPr>
        <w:t>合同履行期限（服务期）：</w:t>
      </w:r>
      <w:r>
        <w:rPr>
          <w:rFonts w:hint="eastAsia" w:ascii="宋体" w:hAnsi="宋体" w:cs="宋体"/>
          <w:kern w:val="0"/>
          <w:sz w:val="28"/>
          <w:szCs w:val="28"/>
          <w:lang w:eastAsia="zh-CN" w:bidi="ar"/>
        </w:rPr>
        <w:t>一年</w:t>
      </w:r>
    </w:p>
    <w:p>
      <w:pPr>
        <w:pStyle w:val="21"/>
        <w:ind w:firstLine="562" w:firstLineChars="200"/>
        <w:rPr>
          <w:rFonts w:hint="default" w:ascii="宋体" w:hAnsi="宋体" w:eastAsia="宋体"/>
          <w:sz w:val="28"/>
          <w:szCs w:val="28"/>
          <w:lang w:val="en-US" w:eastAsia="zh-CN"/>
        </w:rPr>
      </w:pPr>
      <w:r>
        <w:rPr>
          <w:rFonts w:hint="eastAsia" w:ascii="宋体" w:hAnsi="宋体"/>
          <w:b/>
          <w:bCs/>
          <w:sz w:val="28"/>
          <w:szCs w:val="28"/>
        </w:rPr>
        <w:t>标项名称:</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标项四-2</w:t>
      </w:r>
    </w:p>
    <w:p>
      <w:pPr>
        <w:pStyle w:val="21"/>
        <w:ind w:left="559" w:leftChars="266" w:firstLine="0" w:firstLineChars="0"/>
        <w:rPr>
          <w:rFonts w:hint="eastAsia" w:ascii="宋体" w:hAnsi="宋体"/>
          <w:sz w:val="28"/>
          <w:szCs w:val="28"/>
        </w:rPr>
      </w:pPr>
      <w:r>
        <w:rPr>
          <w:rFonts w:hint="eastAsia" w:ascii="宋体" w:hAnsi="宋体"/>
          <w:sz w:val="28"/>
          <w:szCs w:val="28"/>
        </w:rPr>
        <w:t>数量:1</w:t>
      </w:r>
    </w:p>
    <w:p>
      <w:pPr>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采购内容：选取1家体检医院服务商为我区干部职工提供体检服务，体检人数约866人（最终以实际体检人数为准）。</w:t>
      </w:r>
    </w:p>
    <w:p>
      <w:pPr>
        <w:rPr>
          <w:rFonts w:hint="eastAsia"/>
          <w:lang w:eastAsia="zh-CN"/>
        </w:rPr>
      </w:pPr>
    </w:p>
    <w:p>
      <w:pPr>
        <w:pStyle w:val="21"/>
        <w:ind w:left="559" w:leftChars="266" w:firstLine="0" w:firstLineChars="0"/>
        <w:rPr>
          <w:rFonts w:hint="default" w:ascii="宋体" w:hAnsi="宋体"/>
          <w:sz w:val="28"/>
          <w:szCs w:val="28"/>
          <w:lang w:val="en-US" w:eastAsia="zh-CN"/>
        </w:rPr>
      </w:pPr>
      <w:r>
        <w:rPr>
          <w:rFonts w:hint="eastAsia" w:ascii="宋体" w:hAnsi="宋体"/>
          <w:sz w:val="28"/>
          <w:szCs w:val="28"/>
        </w:rPr>
        <w:t>预算金额（元）:</w:t>
      </w:r>
      <w:r>
        <w:rPr>
          <w:rFonts w:hint="eastAsia" w:ascii="宋体" w:hAnsi="宋体"/>
          <w:sz w:val="28"/>
          <w:szCs w:val="28"/>
          <w:lang w:val="en-US" w:eastAsia="zh-CN"/>
        </w:rPr>
        <w:t>843050元</w:t>
      </w:r>
    </w:p>
    <w:p>
      <w:pPr>
        <w:pStyle w:val="21"/>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sz w:val="28"/>
          <w:szCs w:val="28"/>
          <w:lang w:val="en-US" w:eastAsia="zh-CN"/>
        </w:rPr>
        <w:t>简要规格描述或项目基本概况介绍、用途</w:t>
      </w:r>
      <w:r>
        <w:rPr>
          <w:rFonts w:hint="eastAsia" w:ascii="宋体" w:hAnsi="宋体" w:eastAsia="宋体" w:cs="Times New Roman"/>
          <w:b w:val="0"/>
          <w:bCs w:val="0"/>
          <w:kern w:val="2"/>
          <w:sz w:val="28"/>
          <w:szCs w:val="28"/>
          <w:lang w:val="en-US" w:eastAsia="zh-CN" w:bidi="ar-SA"/>
        </w:rPr>
        <w:t>：具体采购要求详见招标文件</w:t>
      </w:r>
    </w:p>
    <w:p>
      <w:pPr>
        <w:spacing w:line="360" w:lineRule="auto"/>
        <w:ind w:firstLine="560" w:firstLineChars="200"/>
        <w:rPr>
          <w:rFonts w:hint="eastAsia" w:ascii="宋体" w:eastAsia="宋体"/>
          <w:sz w:val="28"/>
          <w:szCs w:val="28"/>
          <w:u w:val="single"/>
          <w:lang w:eastAsia="zh-CN"/>
        </w:rPr>
      </w:pPr>
      <w:r>
        <w:rPr>
          <w:rFonts w:hint="eastAsia" w:ascii="宋体" w:hAnsi="宋体"/>
          <w:sz w:val="28"/>
          <w:szCs w:val="28"/>
        </w:rPr>
        <w:t>合同履行期限（服务期）：</w:t>
      </w:r>
      <w:r>
        <w:rPr>
          <w:rFonts w:hint="eastAsia" w:ascii="宋体" w:hAnsi="宋体" w:cs="宋体"/>
          <w:kern w:val="0"/>
          <w:sz w:val="28"/>
          <w:szCs w:val="28"/>
          <w:lang w:eastAsia="zh-CN" w:bidi="ar"/>
        </w:rPr>
        <w:t>一年</w:t>
      </w:r>
    </w:p>
    <w:p>
      <w:pPr>
        <w:pStyle w:val="2"/>
        <w:rPr>
          <w:rFonts w:hint="eastAsia"/>
          <w:lang w:eastAsia="zh-CN"/>
        </w:rPr>
      </w:pPr>
    </w:p>
    <w:p>
      <w:pPr>
        <w:spacing w:line="360" w:lineRule="auto"/>
        <w:ind w:firstLine="560" w:firstLineChars="200"/>
        <w:rPr>
          <w:rFonts w:ascii="宋体"/>
          <w:sz w:val="28"/>
          <w:szCs w:val="28"/>
        </w:rPr>
      </w:pPr>
      <w:r>
        <w:rPr>
          <w:rFonts w:hint="eastAsia" w:ascii="宋体" w:hAnsi="宋体"/>
          <w:sz w:val="28"/>
          <w:szCs w:val="28"/>
        </w:rPr>
        <w:t>本项目</w:t>
      </w:r>
      <w:r>
        <w:rPr>
          <w:rFonts w:hint="eastAsia" w:ascii="宋体" w:hAnsi="宋体"/>
          <w:b/>
          <w:sz w:val="28"/>
          <w:szCs w:val="28"/>
        </w:rPr>
        <w:t>（否）</w:t>
      </w:r>
      <w:r>
        <w:rPr>
          <w:rFonts w:hint="eastAsia" w:ascii="宋体" w:hAnsi="宋体"/>
          <w:sz w:val="28"/>
          <w:szCs w:val="28"/>
        </w:rPr>
        <w:t>联合体投标。</w:t>
      </w:r>
    </w:p>
    <w:p>
      <w:pPr>
        <w:rPr>
          <w:rFonts w:ascii="宋体" w:cs="宋体"/>
          <w:sz w:val="28"/>
          <w:szCs w:val="28"/>
        </w:rPr>
      </w:pPr>
      <w:bookmarkStart w:id="8" w:name="_Toc35393622"/>
      <w:bookmarkStart w:id="9" w:name="_Toc35393791"/>
      <w:bookmarkStart w:id="10" w:name="_Toc28359003"/>
      <w:bookmarkStart w:id="11" w:name="_Toc28359080"/>
      <w:r>
        <w:rPr>
          <w:rFonts w:hint="eastAsia" w:ascii="宋体" w:hAnsi="宋体" w:cs="宋体"/>
          <w:sz w:val="28"/>
          <w:szCs w:val="28"/>
        </w:rPr>
        <w:t>二、申请人的资格要求：</w:t>
      </w:r>
      <w:bookmarkEnd w:id="8"/>
      <w:bookmarkEnd w:id="9"/>
      <w:bookmarkEnd w:id="10"/>
      <w:bookmarkEnd w:id="11"/>
    </w:p>
    <w:p>
      <w:pPr>
        <w:shd w:val="clear"/>
        <w:spacing w:line="360" w:lineRule="auto"/>
        <w:ind w:firstLine="560" w:firstLineChars="200"/>
        <w:rPr>
          <w:highlight w:val="none"/>
        </w:rPr>
      </w:pPr>
      <w:bookmarkStart w:id="12" w:name="_Toc35393623"/>
      <w:bookmarkStart w:id="13" w:name="_Toc28359004"/>
      <w:bookmarkStart w:id="14" w:name="_Toc28359081"/>
      <w:bookmarkStart w:id="15" w:name="_Toc35393792"/>
      <w:r>
        <w:rPr>
          <w:rFonts w:ascii="宋体" w:hAnsi="宋体"/>
          <w:sz w:val="28"/>
          <w:szCs w:val="28"/>
          <w:highlight w:val="none"/>
        </w:rPr>
        <w:t>1.</w:t>
      </w:r>
      <w:r>
        <w:rPr>
          <w:rFonts w:hint="eastAsia" w:ascii="宋体" w:hAnsi="宋体"/>
          <w:sz w:val="28"/>
          <w:szCs w:val="28"/>
          <w:highlight w:val="none"/>
        </w:rPr>
        <w:t>满足《中华人民共和国政府采购法》第二十二条规定；</w:t>
      </w:r>
    </w:p>
    <w:p>
      <w:pPr>
        <w:shd w:val="clear"/>
        <w:spacing w:line="360" w:lineRule="auto"/>
        <w:ind w:firstLine="560" w:firstLineChars="200"/>
        <w:rPr>
          <w:rFonts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落实政府采购政策需满足的资格要求：</w:t>
      </w:r>
    </w:p>
    <w:p>
      <w:pPr>
        <w:shd w:val="clear"/>
        <w:spacing w:line="360" w:lineRule="auto"/>
        <w:ind w:firstLine="560" w:firstLineChars="200"/>
        <w:rPr>
          <w:rFonts w:ascii="宋体" w:hAnsi="宋体"/>
          <w:sz w:val="28"/>
          <w:szCs w:val="28"/>
          <w:highlight w:val="none"/>
          <w:u w:val="single"/>
        </w:rPr>
      </w:pPr>
      <w:r>
        <w:rPr>
          <w:rFonts w:ascii="宋体" w:hAnsi="宋体"/>
          <w:sz w:val="28"/>
          <w:szCs w:val="28"/>
          <w:highlight w:val="none"/>
          <w:u w:val="single"/>
        </w:rPr>
        <w:t>1</w:t>
      </w:r>
      <w:r>
        <w:rPr>
          <w:rFonts w:hint="eastAsia" w:ascii="宋体" w:hAnsi="宋体"/>
          <w:sz w:val="28"/>
          <w:szCs w:val="28"/>
          <w:highlight w:val="none"/>
          <w:u w:val="single"/>
        </w:rPr>
        <w:t>）单位负责人为同一人或者存在直接控股、管理关系的不同</w:t>
      </w:r>
      <w:r>
        <w:rPr>
          <w:rFonts w:hint="eastAsia" w:ascii="宋体" w:hAnsi="宋体"/>
          <w:sz w:val="28"/>
          <w:szCs w:val="28"/>
          <w:highlight w:val="none"/>
          <w:u w:val="single"/>
          <w:lang w:eastAsia="zh-CN"/>
        </w:rPr>
        <w:t>投标人</w:t>
      </w:r>
      <w:r>
        <w:rPr>
          <w:rFonts w:hint="eastAsia" w:ascii="宋体" w:hAnsi="宋体"/>
          <w:sz w:val="28"/>
          <w:szCs w:val="28"/>
          <w:highlight w:val="none"/>
          <w:u w:val="single"/>
        </w:rPr>
        <w:t>，不得同时参加本项目同一</w:t>
      </w:r>
      <w:r>
        <w:rPr>
          <w:rFonts w:hint="eastAsia" w:ascii="宋体" w:hAnsi="宋体"/>
          <w:sz w:val="28"/>
          <w:szCs w:val="28"/>
          <w:highlight w:val="none"/>
          <w:u w:val="single"/>
          <w:lang w:val="en-US" w:eastAsia="zh-CN"/>
        </w:rPr>
        <w:t>标项</w:t>
      </w:r>
      <w:r>
        <w:rPr>
          <w:rFonts w:hint="eastAsia" w:ascii="宋体" w:hAnsi="宋体"/>
          <w:sz w:val="28"/>
          <w:szCs w:val="28"/>
          <w:highlight w:val="none"/>
          <w:u w:val="single"/>
        </w:rPr>
        <w:t>的投标；</w:t>
      </w:r>
    </w:p>
    <w:p>
      <w:pPr>
        <w:shd w:val="clear"/>
        <w:spacing w:line="360" w:lineRule="auto"/>
        <w:ind w:firstLine="560" w:firstLineChars="200"/>
        <w:rPr>
          <w:rFonts w:ascii="宋体" w:hAnsi="宋体"/>
          <w:sz w:val="28"/>
          <w:szCs w:val="28"/>
          <w:highlight w:val="none"/>
          <w:u w:val="single"/>
        </w:rPr>
      </w:pPr>
      <w:r>
        <w:rPr>
          <w:rFonts w:ascii="宋体" w:hAnsi="宋体"/>
          <w:sz w:val="28"/>
          <w:szCs w:val="28"/>
          <w:highlight w:val="none"/>
          <w:u w:val="single"/>
        </w:rPr>
        <w:t>2</w:t>
      </w:r>
      <w:r>
        <w:rPr>
          <w:rFonts w:hint="eastAsia" w:ascii="宋体" w:hAnsi="宋体"/>
          <w:sz w:val="28"/>
          <w:szCs w:val="28"/>
          <w:highlight w:val="none"/>
          <w:u w:val="single"/>
        </w:rPr>
        <w:t>）为本项目某</w:t>
      </w:r>
      <w:r>
        <w:rPr>
          <w:rFonts w:hint="eastAsia" w:ascii="宋体" w:hAnsi="宋体"/>
          <w:sz w:val="28"/>
          <w:szCs w:val="28"/>
          <w:highlight w:val="none"/>
          <w:u w:val="single"/>
          <w:lang w:val="en-US" w:eastAsia="zh-CN"/>
        </w:rPr>
        <w:t>标项</w:t>
      </w:r>
      <w:r>
        <w:rPr>
          <w:rFonts w:hint="eastAsia" w:ascii="宋体" w:hAnsi="宋体"/>
          <w:sz w:val="28"/>
          <w:szCs w:val="28"/>
          <w:highlight w:val="none"/>
          <w:u w:val="single"/>
        </w:rPr>
        <w:t>提供整体设计、规范编制或者项目管理、监理、检测等服务的</w:t>
      </w:r>
      <w:r>
        <w:rPr>
          <w:rFonts w:hint="eastAsia" w:ascii="宋体" w:hAnsi="宋体"/>
          <w:sz w:val="28"/>
          <w:szCs w:val="28"/>
          <w:highlight w:val="none"/>
          <w:u w:val="single"/>
          <w:lang w:eastAsia="zh-CN"/>
        </w:rPr>
        <w:t>投标人</w:t>
      </w:r>
      <w:r>
        <w:rPr>
          <w:rFonts w:hint="eastAsia" w:ascii="宋体" w:hAnsi="宋体"/>
          <w:sz w:val="28"/>
          <w:szCs w:val="28"/>
          <w:highlight w:val="none"/>
          <w:u w:val="single"/>
        </w:rPr>
        <w:t>，不得参加该</w:t>
      </w:r>
      <w:r>
        <w:rPr>
          <w:rFonts w:hint="eastAsia" w:ascii="宋体" w:hAnsi="宋体"/>
          <w:sz w:val="28"/>
          <w:szCs w:val="28"/>
          <w:highlight w:val="none"/>
          <w:u w:val="single"/>
          <w:lang w:val="en-US" w:eastAsia="zh-CN"/>
        </w:rPr>
        <w:t>标项</w:t>
      </w:r>
      <w:r>
        <w:rPr>
          <w:rFonts w:hint="eastAsia" w:ascii="宋体" w:hAnsi="宋体"/>
          <w:sz w:val="28"/>
          <w:szCs w:val="28"/>
          <w:highlight w:val="none"/>
          <w:u w:val="single"/>
        </w:rPr>
        <w:t>的投标；</w:t>
      </w:r>
    </w:p>
    <w:p>
      <w:pPr>
        <w:shd w:val="clear"/>
        <w:spacing w:line="360" w:lineRule="auto"/>
        <w:ind w:firstLine="560" w:firstLineChars="200"/>
        <w:rPr>
          <w:rFonts w:ascii="宋体" w:hAnsi="宋体"/>
          <w:sz w:val="28"/>
          <w:szCs w:val="28"/>
          <w:highlight w:val="none"/>
          <w:u w:val="single"/>
        </w:rPr>
      </w:pPr>
      <w:r>
        <w:rPr>
          <w:rFonts w:ascii="宋体" w:hAnsi="宋体"/>
          <w:sz w:val="28"/>
          <w:szCs w:val="28"/>
          <w:highlight w:val="none"/>
          <w:u w:val="single"/>
        </w:rPr>
        <w:t>3</w:t>
      </w:r>
      <w:r>
        <w:rPr>
          <w:rFonts w:hint="eastAsia" w:ascii="宋体" w:hAnsi="宋体"/>
          <w:sz w:val="28"/>
          <w:szCs w:val="28"/>
          <w:highlight w:val="none"/>
          <w:u w:val="single"/>
        </w:rPr>
        <w:t>）通过“信用中国”网站（</w:t>
      </w:r>
      <w:r>
        <w:rPr>
          <w:rFonts w:ascii="宋体" w:hAnsi="宋体"/>
          <w:sz w:val="28"/>
          <w:szCs w:val="28"/>
          <w:highlight w:val="none"/>
          <w:u w:val="single"/>
        </w:rPr>
        <w:t>www.creditchina.gov.cn</w:t>
      </w:r>
      <w:r>
        <w:rPr>
          <w:rFonts w:hint="eastAsia" w:ascii="宋体" w:hAnsi="宋体"/>
          <w:sz w:val="28"/>
          <w:szCs w:val="28"/>
          <w:highlight w:val="none"/>
          <w:u w:val="single"/>
        </w:rPr>
        <w:t>）和中国政府采购网（</w:t>
      </w:r>
      <w:r>
        <w:rPr>
          <w:rFonts w:ascii="宋体" w:hAnsi="宋体"/>
          <w:sz w:val="28"/>
          <w:szCs w:val="28"/>
          <w:highlight w:val="none"/>
          <w:u w:val="single"/>
        </w:rPr>
        <w:t>www.ccgp.gov.cn</w:t>
      </w:r>
      <w:r>
        <w:rPr>
          <w:rFonts w:hint="eastAsia" w:ascii="宋体" w:hAnsi="宋体"/>
          <w:sz w:val="28"/>
          <w:szCs w:val="28"/>
          <w:highlight w:val="none"/>
          <w:u w:val="single"/>
        </w:rPr>
        <w:t>）查询信用记录（截止时间点为投标截止时间），被列入失信被执行人、重大税收违法案件当事人名单或政府采购严重违法失信行为记录名单的</w:t>
      </w:r>
      <w:r>
        <w:rPr>
          <w:rFonts w:hint="eastAsia" w:ascii="宋体" w:hAnsi="宋体"/>
          <w:sz w:val="28"/>
          <w:szCs w:val="28"/>
          <w:highlight w:val="none"/>
          <w:u w:val="single"/>
          <w:lang w:eastAsia="zh-CN"/>
        </w:rPr>
        <w:t>投标人</w:t>
      </w:r>
      <w:r>
        <w:rPr>
          <w:rFonts w:hint="eastAsia" w:ascii="宋体" w:hAnsi="宋体"/>
          <w:sz w:val="28"/>
          <w:szCs w:val="28"/>
          <w:highlight w:val="none"/>
          <w:u w:val="single"/>
        </w:rPr>
        <w:t>，没有资格参加本项目的采购活动；</w:t>
      </w:r>
    </w:p>
    <w:p>
      <w:pPr>
        <w:shd w:val="clear"/>
        <w:spacing w:line="360" w:lineRule="auto"/>
        <w:ind w:firstLine="560" w:firstLineChars="200"/>
        <w:rPr>
          <w:rFonts w:ascii="宋体"/>
          <w:sz w:val="28"/>
          <w:szCs w:val="28"/>
          <w:highlight w:val="none"/>
          <w:u w:val="single"/>
        </w:rPr>
      </w:pPr>
      <w:r>
        <w:rPr>
          <w:rFonts w:ascii="宋体" w:hAnsi="宋体"/>
          <w:sz w:val="28"/>
          <w:szCs w:val="28"/>
          <w:highlight w:val="none"/>
          <w:u w:val="single"/>
        </w:rPr>
        <w:t>4</w:t>
      </w:r>
      <w:r>
        <w:rPr>
          <w:rFonts w:hint="eastAsia" w:ascii="宋体" w:hAnsi="宋体"/>
          <w:sz w:val="28"/>
          <w:szCs w:val="28"/>
          <w:highlight w:val="none"/>
          <w:u w:val="single"/>
        </w:rPr>
        <w:t>）</w:t>
      </w:r>
      <w:r>
        <w:rPr>
          <w:rFonts w:hint="eastAsia" w:ascii="宋体" w:hAnsi="宋体"/>
          <w:sz w:val="28"/>
          <w:szCs w:val="28"/>
          <w:highlight w:val="none"/>
          <w:u w:val="single"/>
          <w:lang w:eastAsia="zh-CN"/>
        </w:rPr>
        <w:t>本项目非专门面向中小企业采购</w:t>
      </w:r>
      <w:r>
        <w:rPr>
          <w:rFonts w:hint="eastAsia" w:ascii="宋体" w:hAnsi="宋体"/>
          <w:sz w:val="28"/>
          <w:szCs w:val="28"/>
          <w:highlight w:val="none"/>
          <w:u w:val="single"/>
        </w:rPr>
        <w:t>；</w:t>
      </w:r>
    </w:p>
    <w:p>
      <w:pPr>
        <w:shd w:val="clear"/>
        <w:ind w:firstLine="560" w:firstLineChars="200"/>
        <w:rPr>
          <w:rFonts w:hint="eastAsia" w:ascii="宋体" w:hAnsi="宋体" w:cs="Times New Roman"/>
          <w:sz w:val="28"/>
          <w:szCs w:val="28"/>
          <w:highlight w:val="none"/>
        </w:rPr>
      </w:pPr>
      <w:r>
        <w:rPr>
          <w:rFonts w:ascii="宋体" w:hAnsi="宋体"/>
          <w:sz w:val="28"/>
          <w:szCs w:val="28"/>
          <w:highlight w:val="none"/>
        </w:rPr>
        <w:t>3.</w:t>
      </w:r>
      <w:r>
        <w:rPr>
          <w:rFonts w:hint="eastAsia" w:ascii="宋体" w:hAnsi="宋体"/>
          <w:sz w:val="28"/>
          <w:szCs w:val="28"/>
          <w:highlight w:val="none"/>
        </w:rPr>
        <w:t>本项目的特定资格要求</w:t>
      </w:r>
      <w:r>
        <w:rPr>
          <w:rFonts w:hint="eastAsia" w:ascii="宋体" w:hAnsi="宋体" w:cs="Times New Roman"/>
          <w:sz w:val="28"/>
          <w:szCs w:val="28"/>
          <w:highlight w:val="none"/>
        </w:rPr>
        <w:t>：</w:t>
      </w:r>
    </w:p>
    <w:p>
      <w:pPr>
        <w:shd w:val="clear"/>
        <w:ind w:firstLine="560" w:firstLineChars="200"/>
        <w:rPr>
          <w:rFonts w:hint="eastAsia" w:ascii="宋体" w:hAnsi="宋体" w:eastAsia="宋体" w:cs="宋体"/>
          <w:sz w:val="28"/>
          <w:szCs w:val="28"/>
          <w:highlight w:val="none"/>
          <w:u w:val="single"/>
          <w:lang w:eastAsia="zh-CN"/>
        </w:rPr>
      </w:pPr>
      <w:r>
        <w:rPr>
          <w:rFonts w:hint="eastAsia" w:ascii="宋体" w:hAnsi="宋体" w:cs="宋体"/>
          <w:sz w:val="28"/>
          <w:szCs w:val="28"/>
          <w:highlight w:val="none"/>
          <w:u w:val="single"/>
          <w:lang w:eastAsia="zh-CN"/>
        </w:rPr>
        <w:t>具有有效的三级甲等综合医院资质</w:t>
      </w:r>
    </w:p>
    <w:p>
      <w:pPr>
        <w:rPr>
          <w:rFonts w:ascii="宋体" w:cs="宋体"/>
          <w:sz w:val="28"/>
          <w:szCs w:val="28"/>
        </w:rPr>
      </w:pPr>
      <w:r>
        <w:rPr>
          <w:rFonts w:hint="eastAsia" w:ascii="宋体" w:hAnsi="宋体" w:cs="宋体"/>
          <w:sz w:val="28"/>
          <w:szCs w:val="28"/>
        </w:rPr>
        <w:t>三、获取招标文件</w:t>
      </w:r>
      <w:bookmarkEnd w:id="12"/>
      <w:bookmarkEnd w:id="13"/>
      <w:bookmarkEnd w:id="14"/>
      <w:bookmarkEnd w:id="15"/>
    </w:p>
    <w:p>
      <w:pPr>
        <w:spacing w:line="360" w:lineRule="auto"/>
        <w:ind w:firstLine="560" w:firstLineChars="200"/>
        <w:rPr>
          <w:rFonts w:hint="eastAsia" w:ascii="宋体" w:hAnsi="宋体" w:cs="宋体"/>
          <w:sz w:val="28"/>
          <w:szCs w:val="28"/>
        </w:rPr>
      </w:pPr>
      <w:r>
        <w:rPr>
          <w:rFonts w:hint="eastAsia" w:ascii="宋体" w:hAnsi="宋体" w:cs="宋体"/>
          <w:sz w:val="28"/>
          <w:szCs w:val="28"/>
        </w:rPr>
        <w:t>时间：</w:t>
      </w:r>
      <w:r>
        <w:rPr>
          <w:rFonts w:hint="eastAsia" w:ascii="宋体" w:hAnsi="宋体" w:cs="宋体"/>
          <w:sz w:val="28"/>
          <w:szCs w:val="28"/>
          <w:u w:val="single"/>
          <w:lang w:eastAsia="zh-CN"/>
        </w:rPr>
        <w:t>2025</w:t>
      </w:r>
      <w:r>
        <w:rPr>
          <w:rFonts w:hint="eastAsia" w:ascii="宋体" w:hAnsi="宋体" w:cs="宋体"/>
          <w:sz w:val="28"/>
          <w:szCs w:val="28"/>
          <w:u w:val="single"/>
        </w:rPr>
        <w:t xml:space="preserve"> 年</w:t>
      </w:r>
      <w:r>
        <w:rPr>
          <w:rFonts w:hint="eastAsia" w:ascii="宋体" w:hAnsi="宋体" w:cs="宋体"/>
          <w:sz w:val="28"/>
          <w:szCs w:val="28"/>
          <w:u w:val="single"/>
          <w:lang w:val="en-US" w:eastAsia="zh-CN"/>
        </w:rPr>
        <w:t>02</w:t>
      </w:r>
      <w:r>
        <w:rPr>
          <w:rFonts w:hint="eastAsia" w:ascii="宋体" w:hAnsi="宋体" w:cs="宋体"/>
          <w:sz w:val="28"/>
          <w:szCs w:val="28"/>
          <w:u w:val="single"/>
        </w:rPr>
        <w:t>月</w:t>
      </w:r>
      <w:r>
        <w:rPr>
          <w:rFonts w:hint="eastAsia" w:ascii="宋体" w:hAnsi="宋体" w:cs="宋体"/>
          <w:sz w:val="28"/>
          <w:szCs w:val="28"/>
          <w:u w:val="single"/>
          <w:lang w:val="en-US" w:eastAsia="zh-CN"/>
        </w:rPr>
        <w:t xml:space="preserve">19 </w:t>
      </w:r>
      <w:r>
        <w:rPr>
          <w:rFonts w:hint="eastAsia" w:ascii="宋体" w:hAnsi="宋体" w:cs="宋体"/>
          <w:sz w:val="28"/>
          <w:szCs w:val="28"/>
          <w:u w:val="single"/>
        </w:rPr>
        <w:t>日</w:t>
      </w:r>
      <w:r>
        <w:rPr>
          <w:rFonts w:hint="eastAsia" w:ascii="宋体" w:hAnsi="宋体" w:cs="宋体"/>
          <w:sz w:val="28"/>
          <w:szCs w:val="28"/>
        </w:rPr>
        <w:t>至</w:t>
      </w:r>
      <w:r>
        <w:rPr>
          <w:rFonts w:hint="eastAsia" w:ascii="宋体" w:hAnsi="宋体" w:cs="宋体"/>
          <w:sz w:val="28"/>
          <w:szCs w:val="28"/>
          <w:u w:val="single"/>
          <w:lang w:eastAsia="zh-CN"/>
        </w:rPr>
        <w:t>2025</w:t>
      </w:r>
      <w:r>
        <w:rPr>
          <w:rFonts w:hint="eastAsia" w:ascii="宋体" w:hAnsi="宋体" w:cs="宋体"/>
          <w:sz w:val="28"/>
          <w:szCs w:val="28"/>
          <w:u w:val="single"/>
        </w:rPr>
        <w:t xml:space="preserve"> 年</w:t>
      </w:r>
      <w:r>
        <w:rPr>
          <w:rFonts w:hint="eastAsia" w:ascii="宋体" w:hAnsi="宋体" w:cs="宋体"/>
          <w:sz w:val="28"/>
          <w:szCs w:val="28"/>
          <w:u w:val="single"/>
          <w:lang w:val="en-US" w:eastAsia="zh-CN"/>
        </w:rPr>
        <w:t>02</w:t>
      </w:r>
      <w:r>
        <w:rPr>
          <w:rFonts w:hint="eastAsia" w:ascii="宋体" w:hAnsi="宋体" w:cs="宋体"/>
          <w:sz w:val="28"/>
          <w:szCs w:val="28"/>
          <w:u w:val="single"/>
        </w:rPr>
        <w:t>月</w:t>
      </w:r>
      <w:r>
        <w:rPr>
          <w:rFonts w:hint="eastAsia" w:ascii="宋体" w:hAnsi="宋体" w:cs="宋体"/>
          <w:sz w:val="28"/>
          <w:szCs w:val="28"/>
          <w:u w:val="single"/>
          <w:lang w:val="en-US" w:eastAsia="zh-CN"/>
        </w:rPr>
        <w:t xml:space="preserve">26 </w:t>
      </w:r>
      <w:r>
        <w:rPr>
          <w:rFonts w:hint="eastAsia" w:ascii="宋体" w:hAnsi="宋体" w:cs="宋体"/>
          <w:sz w:val="28"/>
          <w:szCs w:val="28"/>
          <w:u w:val="single"/>
        </w:rPr>
        <w:t>日</w:t>
      </w:r>
      <w:r>
        <w:rPr>
          <w:rFonts w:hint="eastAsia" w:ascii="宋体" w:hAnsi="宋体" w:cs="宋体"/>
          <w:sz w:val="28"/>
          <w:szCs w:val="28"/>
        </w:rPr>
        <w:t>，每天上午</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至</w:t>
      </w:r>
      <w:r>
        <w:rPr>
          <w:rFonts w:hint="eastAsia" w:ascii="宋体" w:hAnsi="宋体" w:cs="宋体"/>
          <w:sz w:val="28"/>
          <w:szCs w:val="28"/>
          <w:u w:val="single"/>
        </w:rPr>
        <w:t>1</w:t>
      </w:r>
      <w:r>
        <w:rPr>
          <w:rFonts w:hint="eastAsia" w:ascii="宋体" w:hAnsi="宋体" w:cs="宋体"/>
          <w:sz w:val="28"/>
          <w:szCs w:val="28"/>
          <w:u w:val="single"/>
          <w:lang w:val="en-US" w:eastAsia="zh-CN"/>
        </w:rPr>
        <w:t>2</w:t>
      </w:r>
      <w:r>
        <w:rPr>
          <w:rFonts w:hint="eastAsia" w:ascii="宋体" w:hAnsi="宋体" w:cs="宋体"/>
          <w:sz w:val="28"/>
          <w:szCs w:val="28"/>
          <w:u w:val="single"/>
        </w:rPr>
        <w:t>:</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，下午</w:t>
      </w:r>
      <w:r>
        <w:rPr>
          <w:rFonts w:hint="eastAsia" w:ascii="宋体" w:hAnsi="宋体" w:cs="宋体"/>
          <w:sz w:val="28"/>
          <w:szCs w:val="28"/>
          <w:u w:val="single"/>
        </w:rPr>
        <w:t>1</w:t>
      </w:r>
      <w:r>
        <w:rPr>
          <w:rFonts w:hint="eastAsia" w:ascii="宋体" w:hAnsi="宋体" w:cs="宋体"/>
          <w:sz w:val="28"/>
          <w:szCs w:val="28"/>
          <w:u w:val="single"/>
          <w:lang w:val="en-US" w:eastAsia="zh-CN"/>
        </w:rPr>
        <w:t>2</w:t>
      </w:r>
      <w:r>
        <w:rPr>
          <w:rFonts w:hint="eastAsia" w:ascii="宋体" w:hAnsi="宋体" w:cs="宋体"/>
          <w:sz w:val="28"/>
          <w:szCs w:val="28"/>
          <w:u w:val="single"/>
        </w:rPr>
        <w:t>:</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至</w:t>
      </w:r>
      <w:r>
        <w:rPr>
          <w:rFonts w:hint="eastAsia" w:ascii="宋体" w:hAnsi="宋体" w:cs="宋体"/>
          <w:sz w:val="28"/>
          <w:szCs w:val="28"/>
          <w:u w:val="single"/>
        </w:rPr>
        <w:t>1</w:t>
      </w:r>
      <w:r>
        <w:rPr>
          <w:rFonts w:hint="eastAsia" w:ascii="宋体" w:hAnsi="宋体" w:cs="宋体"/>
          <w:sz w:val="28"/>
          <w:szCs w:val="28"/>
          <w:u w:val="single"/>
          <w:lang w:val="en-US" w:eastAsia="zh-CN"/>
        </w:rPr>
        <w:t>9</w:t>
      </w:r>
      <w:r>
        <w:rPr>
          <w:rFonts w:hint="eastAsia" w:ascii="宋体" w:hAnsi="宋体" w:cs="宋体"/>
          <w:sz w:val="28"/>
          <w:szCs w:val="28"/>
          <w:u w:val="single"/>
        </w:rPr>
        <w:t>:</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（北京时间，法定节假日除外）</w:t>
      </w:r>
    </w:p>
    <w:p>
      <w:pPr>
        <w:spacing w:line="360" w:lineRule="auto"/>
        <w:ind w:firstLine="560" w:firstLineChars="200"/>
        <w:rPr>
          <w:rFonts w:ascii="宋体" w:cs="宋体"/>
          <w:sz w:val="28"/>
          <w:szCs w:val="28"/>
          <w:u w:val="single"/>
        </w:rPr>
      </w:pPr>
      <w:r>
        <w:rPr>
          <w:rFonts w:hint="eastAsia" w:ascii="宋体" w:hAnsi="宋体" w:cs="宋体"/>
          <w:sz w:val="28"/>
          <w:szCs w:val="28"/>
        </w:rPr>
        <w:t>地点：政采云平台https://www.zcygov.cn/。</w:t>
      </w:r>
    </w:p>
    <w:p>
      <w:pPr>
        <w:spacing w:line="360" w:lineRule="auto"/>
        <w:ind w:firstLine="560" w:firstLineChars="200"/>
        <w:rPr>
          <w:rFonts w:ascii="宋体" w:hAnsi="宋体" w:cs="宋体"/>
          <w:sz w:val="28"/>
          <w:szCs w:val="28"/>
        </w:rPr>
      </w:pPr>
      <w:r>
        <w:rPr>
          <w:rFonts w:hint="eastAsia" w:ascii="宋体" w:hAnsi="宋体" w:cs="宋体"/>
          <w:sz w:val="28"/>
          <w:szCs w:val="28"/>
        </w:rPr>
        <w:t>方式：供应商登录政采云平台https://www.zcygov.cn/在线申请获取采购文件（进入“项目采购”应用，在获取采购文件菜单中选择项目，申请获取采购文件）</w:t>
      </w:r>
    </w:p>
    <w:p>
      <w:pPr>
        <w:spacing w:line="360" w:lineRule="auto"/>
        <w:ind w:firstLine="560" w:firstLineChars="200"/>
        <w:rPr>
          <w:rFonts w:ascii="宋体" w:cs="宋体"/>
          <w:sz w:val="28"/>
          <w:szCs w:val="28"/>
        </w:rPr>
      </w:pPr>
      <w:r>
        <w:rPr>
          <w:rFonts w:hint="eastAsia" w:ascii="宋体" w:hAnsi="宋体" w:cs="宋体"/>
          <w:sz w:val="28"/>
          <w:szCs w:val="28"/>
        </w:rPr>
        <w:t>售价：</w:t>
      </w:r>
      <w:r>
        <w:rPr>
          <w:rFonts w:hint="eastAsia" w:ascii="宋体" w:hAnsi="宋体" w:cs="宋体"/>
          <w:sz w:val="28"/>
          <w:szCs w:val="28"/>
          <w:u w:val="none"/>
          <w:lang w:val="en-US" w:eastAsia="zh-CN"/>
        </w:rPr>
        <w:t>0</w:t>
      </w:r>
      <w:r>
        <w:rPr>
          <w:rFonts w:hint="eastAsia" w:ascii="宋体" w:hAnsi="宋体" w:cs="宋体"/>
          <w:sz w:val="28"/>
          <w:szCs w:val="28"/>
          <w:u w:val="none"/>
        </w:rPr>
        <w:t>元</w:t>
      </w:r>
      <w:r>
        <w:rPr>
          <w:rFonts w:ascii="宋体" w:hAnsi="宋体" w:cs="宋体"/>
          <w:sz w:val="28"/>
          <w:szCs w:val="28"/>
          <w:u w:val="none"/>
        </w:rPr>
        <w:t>/</w:t>
      </w:r>
      <w:r>
        <w:rPr>
          <w:rFonts w:hint="eastAsia" w:ascii="宋体" w:hAnsi="宋体" w:cs="宋体"/>
          <w:sz w:val="28"/>
          <w:szCs w:val="28"/>
          <w:u w:val="none"/>
        </w:rPr>
        <w:t>份</w:t>
      </w:r>
    </w:p>
    <w:p>
      <w:pPr>
        <w:rPr>
          <w:rFonts w:ascii="宋体" w:cs="宋体"/>
          <w:sz w:val="28"/>
          <w:szCs w:val="28"/>
        </w:rPr>
      </w:pPr>
      <w:bookmarkStart w:id="16" w:name="_Toc28359082"/>
      <w:bookmarkStart w:id="17" w:name="_Toc28359005"/>
      <w:bookmarkStart w:id="18" w:name="_Toc35393624"/>
      <w:bookmarkStart w:id="19" w:name="_Toc35393793"/>
      <w:r>
        <w:rPr>
          <w:rFonts w:hint="eastAsia" w:ascii="宋体" w:hAnsi="宋体" w:cs="宋体"/>
          <w:sz w:val="28"/>
          <w:szCs w:val="28"/>
        </w:rPr>
        <w:t>四、提交投标文件</w:t>
      </w:r>
      <w:bookmarkEnd w:id="16"/>
      <w:bookmarkEnd w:id="17"/>
      <w:r>
        <w:rPr>
          <w:rFonts w:hint="eastAsia" w:ascii="宋体" w:hAnsi="宋体" w:cs="宋体"/>
          <w:sz w:val="28"/>
          <w:szCs w:val="28"/>
        </w:rPr>
        <w:t>截止时间、开标时间和地点</w:t>
      </w:r>
      <w:bookmarkEnd w:id="18"/>
      <w:bookmarkEnd w:id="19"/>
    </w:p>
    <w:p>
      <w:pPr>
        <w:spacing w:line="360" w:lineRule="auto"/>
        <w:ind w:firstLine="560" w:firstLineChars="200"/>
        <w:rPr>
          <w:rFonts w:ascii="宋体"/>
          <w:bCs/>
          <w:sz w:val="28"/>
          <w:szCs w:val="28"/>
          <w:u w:val="single"/>
        </w:rPr>
      </w:pPr>
      <w:r>
        <w:rPr>
          <w:rFonts w:hint="eastAsia" w:ascii="宋体" w:hAnsi="宋体"/>
          <w:bCs/>
          <w:sz w:val="28"/>
          <w:szCs w:val="28"/>
        </w:rPr>
        <w:t>时间：</w:t>
      </w:r>
      <w:r>
        <w:rPr>
          <w:rFonts w:hint="eastAsia" w:ascii="宋体" w:hAnsi="宋体"/>
          <w:bCs/>
          <w:sz w:val="28"/>
          <w:szCs w:val="28"/>
          <w:highlight w:val="none"/>
          <w:u w:val="single"/>
          <w:lang w:val="en-US" w:eastAsia="zh-CN"/>
        </w:rPr>
        <w:t xml:space="preserve"> 2025</w:t>
      </w:r>
      <w:r>
        <w:rPr>
          <w:rFonts w:hint="eastAsia" w:ascii="宋体" w:hAnsi="宋体"/>
          <w:bCs/>
          <w:sz w:val="28"/>
          <w:szCs w:val="28"/>
          <w:highlight w:val="none"/>
          <w:u w:val="single"/>
        </w:rPr>
        <w:t>年</w:t>
      </w:r>
      <w:r>
        <w:rPr>
          <w:rFonts w:hint="eastAsia" w:ascii="宋体" w:hAnsi="宋体"/>
          <w:bCs/>
          <w:sz w:val="28"/>
          <w:szCs w:val="28"/>
          <w:highlight w:val="none"/>
          <w:u w:val="single"/>
          <w:lang w:val="en-US" w:eastAsia="zh-CN"/>
        </w:rPr>
        <w:t xml:space="preserve"> 03</w:t>
      </w:r>
      <w:r>
        <w:rPr>
          <w:rFonts w:hint="eastAsia" w:ascii="宋体" w:hAnsi="宋体"/>
          <w:bCs/>
          <w:sz w:val="28"/>
          <w:szCs w:val="28"/>
          <w:highlight w:val="none"/>
          <w:u w:val="single"/>
        </w:rPr>
        <w:t>月</w:t>
      </w:r>
      <w:r>
        <w:rPr>
          <w:rFonts w:hint="eastAsia" w:ascii="宋体" w:hAnsi="宋体"/>
          <w:bCs/>
          <w:sz w:val="28"/>
          <w:szCs w:val="28"/>
          <w:highlight w:val="none"/>
          <w:u w:val="single"/>
          <w:lang w:val="en-US" w:eastAsia="zh-CN"/>
        </w:rPr>
        <w:t xml:space="preserve"> 11</w:t>
      </w:r>
      <w:r>
        <w:rPr>
          <w:rFonts w:hint="eastAsia" w:ascii="宋体" w:hAnsi="宋体"/>
          <w:bCs/>
          <w:sz w:val="28"/>
          <w:szCs w:val="28"/>
          <w:highlight w:val="none"/>
          <w:u w:val="single"/>
          <w:lang w:eastAsia="zh-CN"/>
        </w:rPr>
        <w:t>日1</w:t>
      </w:r>
      <w:r>
        <w:rPr>
          <w:rFonts w:hint="eastAsia" w:ascii="宋体" w:hAnsi="宋体"/>
          <w:bCs/>
          <w:sz w:val="28"/>
          <w:szCs w:val="28"/>
          <w:highlight w:val="none"/>
          <w:u w:val="single"/>
          <w:lang w:val="en-US" w:eastAsia="zh-CN"/>
        </w:rPr>
        <w:t>6</w:t>
      </w:r>
      <w:r>
        <w:rPr>
          <w:rFonts w:hint="eastAsia" w:ascii="宋体" w:hAnsi="宋体"/>
          <w:bCs/>
          <w:sz w:val="28"/>
          <w:szCs w:val="28"/>
          <w:highlight w:val="none"/>
          <w:u w:val="single"/>
          <w:lang w:eastAsia="zh-CN"/>
        </w:rPr>
        <w:t>点</w:t>
      </w:r>
      <w:r>
        <w:rPr>
          <w:rFonts w:hint="eastAsia" w:ascii="宋体" w:hAnsi="宋体"/>
          <w:bCs/>
          <w:sz w:val="28"/>
          <w:szCs w:val="28"/>
          <w:highlight w:val="none"/>
          <w:u w:val="single"/>
          <w:lang w:val="en-US" w:eastAsia="zh-CN"/>
        </w:rPr>
        <w:t>00</w:t>
      </w:r>
      <w:r>
        <w:rPr>
          <w:rFonts w:hint="eastAsia" w:ascii="宋体" w:hAnsi="宋体"/>
          <w:bCs/>
          <w:sz w:val="28"/>
          <w:szCs w:val="28"/>
          <w:highlight w:val="none"/>
          <w:u w:val="single"/>
        </w:rPr>
        <w:t>分</w:t>
      </w:r>
      <w:r>
        <w:rPr>
          <w:rFonts w:hint="eastAsia" w:ascii="宋体" w:hAnsi="宋体"/>
          <w:bCs/>
          <w:sz w:val="28"/>
          <w:szCs w:val="28"/>
        </w:rPr>
        <w:t>（北京时间）</w:t>
      </w:r>
    </w:p>
    <w:p>
      <w:pPr>
        <w:spacing w:line="360" w:lineRule="auto"/>
        <w:ind w:firstLine="560" w:firstLineChars="200"/>
        <w:rPr>
          <w:rFonts w:ascii="宋体"/>
          <w:bCs/>
          <w:sz w:val="28"/>
          <w:szCs w:val="28"/>
          <w:u w:val="single"/>
        </w:rPr>
      </w:pPr>
      <w:r>
        <w:rPr>
          <w:rFonts w:hint="eastAsia" w:ascii="宋体" w:hAnsi="宋体"/>
          <w:sz w:val="28"/>
          <w:szCs w:val="28"/>
        </w:rPr>
        <w:t>地点：新疆政府采购云平台（https://www.zcygov.cn/）</w:t>
      </w:r>
    </w:p>
    <w:p>
      <w:pPr>
        <w:rPr>
          <w:rFonts w:ascii="宋体" w:cs="宋体"/>
          <w:sz w:val="28"/>
          <w:szCs w:val="28"/>
        </w:rPr>
      </w:pPr>
      <w:bookmarkStart w:id="20" w:name="_Toc35393794"/>
      <w:bookmarkStart w:id="21" w:name="_Toc28359084"/>
      <w:bookmarkStart w:id="22" w:name="_Toc28359007"/>
      <w:bookmarkStart w:id="23" w:name="_Toc35393625"/>
      <w:r>
        <w:rPr>
          <w:rFonts w:hint="eastAsia" w:ascii="宋体" w:hAnsi="宋体" w:cs="宋体"/>
          <w:sz w:val="28"/>
          <w:szCs w:val="28"/>
        </w:rPr>
        <w:t>五、公告期限</w:t>
      </w:r>
      <w:bookmarkEnd w:id="20"/>
      <w:bookmarkEnd w:id="21"/>
      <w:bookmarkEnd w:id="22"/>
      <w:bookmarkEnd w:id="23"/>
    </w:p>
    <w:p>
      <w:pPr>
        <w:spacing w:line="360" w:lineRule="auto"/>
        <w:ind w:firstLine="560" w:firstLineChars="200"/>
        <w:rPr>
          <w:rFonts w:ascii="宋体" w:cs="宋体"/>
          <w:kern w:val="0"/>
          <w:sz w:val="28"/>
          <w:szCs w:val="28"/>
        </w:rPr>
      </w:pPr>
      <w:r>
        <w:rPr>
          <w:rFonts w:hint="eastAsia" w:ascii="宋体" w:hAnsi="宋体" w:cs="宋体"/>
          <w:kern w:val="0"/>
          <w:sz w:val="28"/>
          <w:szCs w:val="28"/>
        </w:rPr>
        <w:t>自本公告发布之日起</w:t>
      </w:r>
      <w:r>
        <w:rPr>
          <w:rFonts w:ascii="宋体" w:hAnsi="宋体" w:cs="宋体"/>
          <w:kern w:val="0"/>
          <w:sz w:val="28"/>
          <w:szCs w:val="28"/>
        </w:rPr>
        <w:t>5</w:t>
      </w:r>
      <w:r>
        <w:rPr>
          <w:rFonts w:hint="eastAsia" w:ascii="宋体" w:hAnsi="宋体" w:cs="宋体"/>
          <w:kern w:val="0"/>
          <w:sz w:val="28"/>
          <w:szCs w:val="28"/>
        </w:rPr>
        <w:t>个工作日。</w:t>
      </w:r>
    </w:p>
    <w:p>
      <w:pPr>
        <w:rPr>
          <w:rFonts w:ascii="宋体" w:cs="宋体"/>
          <w:sz w:val="28"/>
          <w:szCs w:val="28"/>
        </w:rPr>
      </w:pPr>
      <w:bookmarkStart w:id="24" w:name="_Toc35393626"/>
      <w:bookmarkStart w:id="25" w:name="_Toc35393795"/>
      <w:r>
        <w:rPr>
          <w:rFonts w:hint="eastAsia" w:ascii="宋体" w:hAnsi="宋体" w:cs="宋体"/>
          <w:sz w:val="28"/>
          <w:szCs w:val="28"/>
        </w:rPr>
        <w:t>六、其他补充事宜</w:t>
      </w:r>
      <w:bookmarkEnd w:id="24"/>
      <w:bookmarkEnd w:id="25"/>
      <w:bookmarkStart w:id="26" w:name="_Toc35393796"/>
      <w:bookmarkStart w:id="27" w:name="_Toc28359008"/>
      <w:bookmarkStart w:id="28" w:name="_Toc28359085"/>
      <w:bookmarkStart w:id="29" w:name="_Toc35393627"/>
    </w:p>
    <w:p>
      <w:pPr>
        <w:spacing w:line="360" w:lineRule="auto"/>
        <w:ind w:firstLine="560" w:firstLineChars="200"/>
        <w:rPr>
          <w:rFonts w:hint="eastAsia" w:ascii="宋体" w:cs="宋体"/>
          <w:sz w:val="28"/>
          <w:szCs w:val="28"/>
          <w:u w:val="single"/>
        </w:rPr>
      </w:pPr>
      <w:r>
        <w:rPr>
          <w:rFonts w:hint="eastAsia" w:ascii="宋体" w:cs="宋体"/>
          <w:sz w:val="28"/>
          <w:szCs w:val="28"/>
          <w:u w:val="single"/>
        </w:rPr>
        <w:t>1.本项目实行网上投标，采用电子投标文件；</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4.供应商应当在投标截止时间前,将生成的“电子加密投标文件”上传递交至“政府采购云平台”,投标截止时间以后上传递交的投标文件将被“政府采购云平台”拒收；</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6、供应商登录政采云平台，在开标时间后30分钟内用“项目采购-开标评标”功能进行解密投标文件。若供应商在规定时间内未按时解密的，视为无效投标。解密与加密投标文件须使用同一个 CA。</w:t>
      </w:r>
    </w:p>
    <w:p>
      <w:pPr>
        <w:pStyle w:val="21"/>
        <w:ind w:left="0" w:leftChars="0" w:firstLine="562" w:firstLineChars="200"/>
        <w:rPr>
          <w:rFonts w:hint="eastAsia"/>
          <w:lang w:val="en-US" w:eastAsia="zh-CN"/>
        </w:rPr>
      </w:pPr>
      <w:r>
        <w:rPr>
          <w:rFonts w:hint="eastAsia" w:ascii="宋体" w:hAnsi="Times New Roman" w:cs="宋体"/>
          <w:b/>
          <w:bCs/>
          <w:kern w:val="2"/>
          <w:sz w:val="28"/>
          <w:szCs w:val="28"/>
          <w:u w:val="single"/>
          <w:lang w:val="en-US" w:eastAsia="zh-CN" w:bidi="ar-SA"/>
        </w:rPr>
        <w:t>7、</w:t>
      </w:r>
      <w:r>
        <w:rPr>
          <w:rFonts w:hint="eastAsia" w:ascii="宋体" w:hAnsi="宋体" w:eastAsia="宋体" w:cs="宋体"/>
          <w:b/>
          <w:bCs/>
          <w:kern w:val="2"/>
          <w:sz w:val="28"/>
          <w:szCs w:val="28"/>
          <w:highlight w:val="none"/>
          <w:u w:val="single"/>
          <w:lang w:val="en-US" w:eastAsia="zh-CN" w:bidi="ar-SA"/>
        </w:rPr>
        <w:t>采购项目需要落实的政府采购政策</w:t>
      </w:r>
      <w:r>
        <w:rPr>
          <w:rFonts w:hint="eastAsia" w:ascii="宋体" w:hAnsi="宋体" w:cs="宋体"/>
          <w:b/>
          <w:bCs/>
          <w:sz w:val="28"/>
          <w:szCs w:val="28"/>
          <w:highlight w:val="none"/>
          <w:u w:val="single"/>
        </w:rPr>
        <w:t>：</w:t>
      </w:r>
      <w:r>
        <w:rPr>
          <w:rFonts w:hint="eastAsia" w:ascii="宋体" w:hAnsi="宋体" w:cs="宋体"/>
          <w:sz w:val="28"/>
          <w:szCs w:val="28"/>
          <w:highlight w:val="none"/>
          <w:u w:val="single"/>
        </w:rPr>
        <w:t>节约能源、保护环境、扶持不发达地区和少数民族地区、促进中小企业发展、促进残疾人就业、政府采购信用担保等</w:t>
      </w:r>
      <w:r>
        <w:rPr>
          <w:rFonts w:hint="eastAsia" w:ascii="宋体" w:hAnsi="宋体" w:cs="宋体"/>
          <w:sz w:val="28"/>
          <w:szCs w:val="28"/>
          <w:highlight w:val="none"/>
          <w:u w:val="none"/>
          <w:lang w:eastAsia="zh-CN"/>
        </w:rPr>
        <w:t>。</w:t>
      </w:r>
    </w:p>
    <w:p>
      <w:pPr>
        <w:rPr>
          <w:rFonts w:ascii="宋体" w:cs="宋体"/>
          <w:sz w:val="28"/>
          <w:szCs w:val="28"/>
        </w:rPr>
      </w:pPr>
      <w:r>
        <w:rPr>
          <w:rFonts w:hint="eastAsia" w:ascii="宋体" w:hAnsi="宋体" w:cs="宋体"/>
          <w:sz w:val="28"/>
          <w:szCs w:val="28"/>
        </w:rPr>
        <w:t>七、对本次招标提出询问，请按以下方式联系。</w:t>
      </w:r>
      <w:bookmarkEnd w:id="26"/>
      <w:bookmarkEnd w:id="27"/>
      <w:bookmarkEnd w:id="28"/>
      <w:bookmarkEnd w:id="29"/>
    </w:p>
    <w:p>
      <w:pPr>
        <w:widowControl/>
        <w:spacing w:line="360" w:lineRule="auto"/>
        <w:ind w:firstLine="560" w:firstLineChars="200"/>
        <w:jc w:val="left"/>
        <w:rPr>
          <w:rFonts w:ascii="宋体"/>
          <w:sz w:val="28"/>
          <w:szCs w:val="28"/>
        </w:rPr>
      </w:pPr>
      <w:r>
        <w:rPr>
          <w:rFonts w:ascii="宋体" w:hAnsi="宋体" w:cs="宋体"/>
          <w:sz w:val="28"/>
          <w:szCs w:val="28"/>
        </w:rPr>
        <w:t>1.</w:t>
      </w:r>
      <w:r>
        <w:rPr>
          <w:rFonts w:hint="eastAsia" w:ascii="宋体" w:hAnsi="宋体" w:cs="宋体"/>
          <w:sz w:val="28"/>
          <w:szCs w:val="28"/>
        </w:rPr>
        <w:t>采购人信息</w:t>
      </w:r>
    </w:p>
    <w:p>
      <w:pPr>
        <w:shd w:val="clear"/>
        <w:spacing w:line="360" w:lineRule="auto"/>
        <w:ind w:firstLine="560" w:firstLineChars="200"/>
        <w:jc w:val="left"/>
        <w:rPr>
          <w:rFonts w:hint="eastAsia" w:ascii="宋体" w:eastAsia="宋体"/>
          <w:sz w:val="28"/>
          <w:szCs w:val="28"/>
          <w:highlight w:val="none"/>
          <w:lang w:eastAsia="zh-CN"/>
        </w:rPr>
      </w:pPr>
      <w:bookmarkStart w:id="30" w:name="_Toc28359086"/>
      <w:bookmarkStart w:id="31" w:name="_Toc28359009"/>
      <w:r>
        <w:rPr>
          <w:rFonts w:hint="eastAsia" w:ascii="宋体" w:hAnsi="宋体"/>
          <w:sz w:val="28"/>
          <w:szCs w:val="28"/>
          <w:highlight w:val="none"/>
        </w:rPr>
        <w:t>名</w:t>
      </w:r>
      <w:r>
        <w:rPr>
          <w:rFonts w:ascii="宋体" w:hAnsi="宋体"/>
          <w:sz w:val="28"/>
          <w:szCs w:val="28"/>
          <w:highlight w:val="none"/>
        </w:rPr>
        <w:t xml:space="preserve"> </w:t>
      </w:r>
      <w:r>
        <w:rPr>
          <w:rFonts w:hint="eastAsia" w:ascii="宋体" w:hAnsi="宋体"/>
          <w:sz w:val="28"/>
          <w:szCs w:val="28"/>
          <w:highlight w:val="none"/>
        </w:rPr>
        <w:t>称：</w:t>
      </w:r>
      <w:r>
        <w:rPr>
          <w:rFonts w:hint="eastAsia" w:ascii="宋体" w:hAnsi="宋体"/>
          <w:sz w:val="28"/>
          <w:szCs w:val="28"/>
          <w:highlight w:val="none"/>
          <w:u w:val="single"/>
          <w:lang w:eastAsia="zh-CN"/>
        </w:rPr>
        <w:t>乌鲁木齐高新技术产业开发区（新市区）卫生健康委员会</w:t>
      </w:r>
    </w:p>
    <w:p>
      <w:pPr>
        <w:shd w:val="clear"/>
        <w:spacing w:line="360" w:lineRule="auto"/>
        <w:ind w:firstLine="560" w:firstLineChars="200"/>
        <w:jc w:val="left"/>
        <w:rPr>
          <w:rFonts w:hint="eastAsia" w:ascii="宋体" w:eastAsia="宋体"/>
          <w:b w:val="0"/>
          <w:bCs w:val="0"/>
          <w:sz w:val="28"/>
          <w:szCs w:val="28"/>
          <w:highlight w:val="none"/>
          <w:u w:val="single"/>
          <w:lang w:eastAsia="zh-CN"/>
        </w:rPr>
      </w:pPr>
      <w:r>
        <w:rPr>
          <w:rFonts w:hint="eastAsia" w:ascii="宋体" w:hAnsi="宋体"/>
          <w:sz w:val="28"/>
          <w:szCs w:val="28"/>
          <w:highlight w:val="none"/>
        </w:rPr>
        <w:t>地址：</w:t>
      </w:r>
      <w:r>
        <w:rPr>
          <w:rFonts w:hint="eastAsia" w:ascii="宋体" w:hAnsi="宋体"/>
          <w:b w:val="0"/>
          <w:bCs w:val="0"/>
          <w:sz w:val="28"/>
          <w:szCs w:val="28"/>
          <w:highlight w:val="none"/>
          <w:u w:val="single"/>
          <w:lang w:eastAsia="zh-CN"/>
        </w:rPr>
        <w:t>新疆乌鲁木齐高新区（新市区)四平路2288号创新广场B座</w:t>
      </w:r>
    </w:p>
    <w:p>
      <w:pPr>
        <w:shd w:val="clear"/>
        <w:spacing w:line="360" w:lineRule="auto"/>
        <w:ind w:firstLine="560" w:firstLineChars="200"/>
        <w:jc w:val="left"/>
        <w:rPr>
          <w:rFonts w:hint="default" w:ascii="宋体" w:eastAsia="宋体"/>
          <w:sz w:val="28"/>
          <w:szCs w:val="28"/>
          <w:highlight w:val="none"/>
          <w:u w:val="single"/>
          <w:lang w:val="en-US" w:eastAsia="zh-CN"/>
        </w:rPr>
      </w:pPr>
      <w:r>
        <w:rPr>
          <w:rFonts w:hint="eastAsia" w:ascii="宋体" w:hAnsi="宋体"/>
          <w:sz w:val="28"/>
          <w:szCs w:val="28"/>
          <w:highlight w:val="none"/>
        </w:rPr>
        <w:t>联系方式：</w:t>
      </w:r>
      <w:r>
        <w:rPr>
          <w:rFonts w:hint="eastAsia" w:ascii="宋体" w:hAnsi="宋体"/>
          <w:sz w:val="28"/>
          <w:szCs w:val="28"/>
          <w:highlight w:val="none"/>
          <w:u w:val="single"/>
          <w:lang w:val="en-US" w:eastAsia="zh-CN"/>
        </w:rPr>
        <w:t xml:space="preserve"> 0991-6623652</w:t>
      </w:r>
    </w:p>
    <w:p>
      <w:pPr>
        <w:spacing w:line="360" w:lineRule="auto"/>
        <w:ind w:firstLine="560" w:firstLineChars="200"/>
        <w:jc w:val="left"/>
        <w:rPr>
          <w:rFonts w:ascii="宋体"/>
          <w:sz w:val="28"/>
          <w:szCs w:val="28"/>
        </w:rPr>
      </w:pPr>
      <w:r>
        <w:rPr>
          <w:rFonts w:ascii="宋体" w:hAnsi="宋体" w:cs="宋体"/>
          <w:sz w:val="28"/>
          <w:szCs w:val="28"/>
        </w:rPr>
        <w:t>2.</w:t>
      </w:r>
      <w:r>
        <w:rPr>
          <w:rFonts w:hint="eastAsia" w:ascii="宋体" w:hAnsi="宋体" w:cs="宋体"/>
          <w:sz w:val="28"/>
          <w:szCs w:val="28"/>
        </w:rPr>
        <w:t>采购代理机构信息</w:t>
      </w:r>
      <w:bookmarkEnd w:id="30"/>
      <w:bookmarkEnd w:id="31"/>
    </w:p>
    <w:p>
      <w:pPr>
        <w:shd w:val="clear"/>
        <w:spacing w:line="360" w:lineRule="auto"/>
        <w:ind w:firstLine="560" w:firstLineChars="200"/>
        <w:rPr>
          <w:rFonts w:hint="eastAsia" w:ascii="宋体" w:eastAsia="宋体"/>
          <w:sz w:val="28"/>
          <w:szCs w:val="28"/>
          <w:highlight w:val="none"/>
          <w:lang w:eastAsia="zh-CN"/>
        </w:rPr>
      </w:pPr>
      <w:bookmarkStart w:id="32" w:name="_Toc44705270"/>
      <w:bookmarkStart w:id="33" w:name="_Toc44704902"/>
      <w:bookmarkStart w:id="34" w:name="_Toc44705049"/>
      <w:r>
        <w:rPr>
          <w:rFonts w:hint="eastAsia" w:ascii="宋体" w:hAnsi="宋体"/>
          <w:sz w:val="28"/>
          <w:szCs w:val="28"/>
          <w:highlight w:val="none"/>
        </w:rPr>
        <w:t>名</w:t>
      </w:r>
      <w:r>
        <w:rPr>
          <w:rFonts w:ascii="宋体" w:hAnsi="宋体"/>
          <w:sz w:val="28"/>
          <w:szCs w:val="28"/>
          <w:highlight w:val="none"/>
        </w:rPr>
        <w:t xml:space="preserve"> </w:t>
      </w:r>
      <w:r>
        <w:rPr>
          <w:rFonts w:hint="eastAsia" w:ascii="宋体" w:hAnsi="宋体"/>
          <w:sz w:val="28"/>
          <w:szCs w:val="28"/>
          <w:highlight w:val="none"/>
        </w:rPr>
        <w:t>称：</w:t>
      </w:r>
      <w:r>
        <w:rPr>
          <w:rFonts w:hint="eastAsia" w:ascii="宋体" w:hAnsi="宋体"/>
          <w:sz w:val="28"/>
          <w:szCs w:val="28"/>
          <w:highlight w:val="none"/>
          <w:u w:val="single"/>
          <w:lang w:eastAsia="zh-CN"/>
        </w:rPr>
        <w:t>乌鲁木齐高新建设工程项目管理咨询有限公司</w:t>
      </w:r>
    </w:p>
    <w:p>
      <w:pPr>
        <w:shd w:val="clear"/>
        <w:spacing w:line="360" w:lineRule="auto"/>
        <w:ind w:firstLine="560" w:firstLineChars="200"/>
        <w:rPr>
          <w:rFonts w:hint="eastAsia" w:ascii="宋体" w:eastAsia="宋体"/>
          <w:sz w:val="28"/>
          <w:szCs w:val="28"/>
          <w:highlight w:val="none"/>
          <w:lang w:eastAsia="zh-CN"/>
        </w:rPr>
      </w:pPr>
      <w:r>
        <w:rPr>
          <w:rFonts w:hint="eastAsia" w:ascii="宋体" w:hAnsi="宋体"/>
          <w:sz w:val="28"/>
          <w:szCs w:val="28"/>
          <w:highlight w:val="none"/>
        </w:rPr>
        <w:t>地 址：</w:t>
      </w:r>
      <w:r>
        <w:rPr>
          <w:rFonts w:hint="eastAsia" w:ascii="宋体" w:hAnsi="宋体"/>
          <w:sz w:val="28"/>
          <w:szCs w:val="28"/>
          <w:highlight w:val="none"/>
          <w:u w:val="single"/>
          <w:lang w:eastAsia="zh-CN"/>
        </w:rPr>
        <w:t>新疆乌鲁木齐高新区（新市区)四平路2288号创新广场(二期)G座20层</w:t>
      </w:r>
    </w:p>
    <w:p>
      <w:pPr>
        <w:shd w:val="clear"/>
        <w:spacing w:line="360" w:lineRule="auto"/>
        <w:ind w:firstLine="560" w:firstLineChars="200"/>
        <w:rPr>
          <w:rFonts w:hint="eastAsia" w:ascii="宋体" w:eastAsia="宋体"/>
          <w:sz w:val="28"/>
          <w:szCs w:val="28"/>
          <w:highlight w:val="none"/>
          <w:u w:val="single"/>
          <w:lang w:val="en-US" w:eastAsia="zh-CN"/>
        </w:rPr>
      </w:pPr>
      <w:r>
        <w:rPr>
          <w:rFonts w:hint="eastAsia" w:ascii="宋体" w:hAnsi="宋体"/>
          <w:sz w:val="28"/>
          <w:szCs w:val="28"/>
          <w:highlight w:val="none"/>
        </w:rPr>
        <w:t>联系方式：</w:t>
      </w:r>
      <w:bookmarkStart w:id="35" w:name="_Toc28359010"/>
      <w:bookmarkStart w:id="36" w:name="_Toc28359087"/>
      <w:r>
        <w:rPr>
          <w:rFonts w:hint="eastAsia" w:ascii="宋体" w:hAnsi="宋体"/>
          <w:sz w:val="28"/>
          <w:szCs w:val="28"/>
          <w:highlight w:val="none"/>
          <w:u w:val="single"/>
          <w:lang w:eastAsia="zh-CN"/>
        </w:rPr>
        <w:t>王嵩、丁晓娅</w:t>
      </w:r>
      <w:r>
        <w:rPr>
          <w:rFonts w:hint="eastAsia" w:ascii="宋体" w:hAnsi="宋体"/>
          <w:sz w:val="28"/>
          <w:szCs w:val="28"/>
          <w:highlight w:val="none"/>
          <w:u w:val="single"/>
        </w:rPr>
        <w:t xml:space="preserve"> </w:t>
      </w:r>
      <w:r>
        <w:rPr>
          <w:rFonts w:hint="eastAsia" w:ascii="宋体" w:hAnsi="宋体"/>
          <w:sz w:val="28"/>
          <w:szCs w:val="28"/>
          <w:highlight w:val="none"/>
          <w:u w:val="single"/>
          <w:lang w:eastAsia="zh-CN"/>
        </w:rPr>
        <w:t>0991-6600851</w:t>
      </w:r>
    </w:p>
    <w:p>
      <w:pPr>
        <w:shd w:val="clear"/>
        <w:spacing w:line="360" w:lineRule="auto"/>
        <w:ind w:firstLine="560" w:firstLineChars="200"/>
        <w:rPr>
          <w:rFonts w:ascii="宋体"/>
          <w:sz w:val="28"/>
          <w:szCs w:val="28"/>
          <w:highlight w:val="none"/>
          <w:u w:val="single"/>
        </w:rPr>
      </w:pPr>
      <w:r>
        <w:rPr>
          <w:rFonts w:ascii="宋体" w:hAnsi="宋体" w:cs="宋体"/>
          <w:sz w:val="28"/>
          <w:szCs w:val="28"/>
          <w:highlight w:val="none"/>
        </w:rPr>
        <w:t>3.</w:t>
      </w:r>
      <w:r>
        <w:rPr>
          <w:rFonts w:hint="eastAsia" w:ascii="宋体" w:hAnsi="宋体" w:cs="宋体"/>
          <w:sz w:val="28"/>
          <w:szCs w:val="28"/>
          <w:highlight w:val="none"/>
        </w:rPr>
        <w:t>项目联系方式</w:t>
      </w:r>
      <w:bookmarkEnd w:id="35"/>
      <w:bookmarkEnd w:id="36"/>
    </w:p>
    <w:p>
      <w:pPr>
        <w:pStyle w:val="25"/>
        <w:shd w:val="clear"/>
        <w:spacing w:line="360" w:lineRule="auto"/>
        <w:ind w:firstLine="560" w:firstLineChars="200"/>
        <w:rPr>
          <w:rFonts w:hint="eastAsia" w:hAnsi="宋体"/>
          <w:sz w:val="28"/>
          <w:szCs w:val="28"/>
          <w:highlight w:val="none"/>
          <w:u w:val="single"/>
          <w:lang w:eastAsia="zh-CN"/>
        </w:rPr>
      </w:pPr>
      <w:r>
        <w:rPr>
          <w:rFonts w:hint="eastAsia" w:hAnsi="宋体"/>
          <w:sz w:val="28"/>
          <w:szCs w:val="28"/>
          <w:highlight w:val="none"/>
        </w:rPr>
        <w:t>项目联系人：</w:t>
      </w:r>
      <w:r>
        <w:rPr>
          <w:rFonts w:hint="eastAsia" w:hAnsi="宋体"/>
          <w:sz w:val="28"/>
          <w:szCs w:val="28"/>
          <w:highlight w:val="none"/>
          <w:u w:val="single"/>
          <w:lang w:eastAsia="zh-CN"/>
        </w:rPr>
        <w:t>王嵩、丁晓娅</w:t>
      </w:r>
    </w:p>
    <w:p>
      <w:pPr>
        <w:pStyle w:val="25"/>
        <w:shd w:val="clear"/>
        <w:spacing w:line="360" w:lineRule="auto"/>
        <w:ind w:firstLine="560" w:firstLineChars="200"/>
        <w:rPr>
          <w:rFonts w:ascii="宋体" w:hAnsi="宋体" w:cs="宋体"/>
          <w:sz w:val="28"/>
          <w:szCs w:val="28"/>
        </w:rPr>
      </w:pPr>
      <w:r>
        <w:rPr>
          <w:rFonts w:hint="eastAsia" w:ascii="宋体" w:hAnsi="宋体" w:eastAsia="宋体" w:cs="Arial"/>
          <w:kern w:val="2"/>
          <w:sz w:val="28"/>
          <w:szCs w:val="28"/>
          <w:highlight w:val="none"/>
          <w:lang w:val="en-US" w:eastAsia="zh-CN" w:bidi="ar-SA"/>
        </w:rPr>
        <w:t>电 话：</w:t>
      </w:r>
      <w:r>
        <w:rPr>
          <w:rFonts w:hint="eastAsia" w:ascii="宋体" w:hAnsi="宋体" w:eastAsia="宋体" w:cs="Arial"/>
          <w:kern w:val="2"/>
          <w:sz w:val="28"/>
          <w:szCs w:val="28"/>
          <w:highlight w:val="none"/>
          <w:u w:val="single"/>
          <w:lang w:val="en-US" w:eastAsia="zh-CN" w:bidi="ar-SA"/>
        </w:rPr>
        <w:t>0991-6600851</w:t>
      </w:r>
      <w:r>
        <w:rPr>
          <w:rFonts w:hint="eastAsia" w:ascii="宋体" w:hAnsi="宋体" w:eastAsia="宋体" w:cs="Arial"/>
          <w:kern w:val="2"/>
          <w:sz w:val="28"/>
          <w:szCs w:val="28"/>
          <w:highlight w:val="none"/>
          <w:lang w:val="en-US" w:eastAsia="zh-CN" w:bidi="ar-SA"/>
        </w:rPr>
        <w:br w:type="page"/>
      </w:r>
    </w:p>
    <w:p>
      <w:pPr>
        <w:pStyle w:val="3"/>
        <w:spacing w:line="360" w:lineRule="auto"/>
        <w:jc w:val="center"/>
        <w:rPr>
          <w:rFonts w:ascii="宋体" w:cs="宋体"/>
          <w:w w:val="90"/>
          <w:sz w:val="56"/>
        </w:rPr>
      </w:pPr>
      <w:r>
        <w:rPr>
          <w:rFonts w:hint="eastAsia" w:ascii="宋体" w:hAnsi="宋体" w:cs="宋体"/>
          <w:w w:val="90"/>
        </w:rPr>
        <w:t>第二章</w:t>
      </w:r>
      <w:r>
        <w:rPr>
          <w:rFonts w:ascii="宋体" w:hAnsi="宋体" w:cs="宋体"/>
          <w:w w:val="90"/>
        </w:rPr>
        <w:t xml:space="preserve"> </w:t>
      </w:r>
      <w:r>
        <w:rPr>
          <w:rFonts w:hint="eastAsia" w:ascii="宋体" w:hAnsi="宋体" w:cs="宋体"/>
          <w:w w:val="90"/>
        </w:rPr>
        <w:t>投标人须知前附表</w:t>
      </w:r>
      <w:bookmarkEnd w:id="32"/>
      <w:bookmarkEnd w:id="33"/>
      <w:bookmarkEnd w:id="34"/>
    </w:p>
    <w:p>
      <w:pPr>
        <w:spacing w:line="360" w:lineRule="auto"/>
        <w:ind w:firstLine="480" w:firstLineChars="200"/>
        <w:rPr>
          <w:rFonts w:ascii="宋体" w:cs="宋体"/>
          <w:sz w:val="24"/>
          <w:szCs w:val="24"/>
        </w:rPr>
      </w:pPr>
      <w:r>
        <w:rPr>
          <w:rFonts w:hint="eastAsia" w:ascii="宋体" w:hAnsi="宋体" w:cs="宋体"/>
          <w:sz w:val="24"/>
          <w:szCs w:val="24"/>
        </w:rPr>
        <w:t>本表是对投标人须知的具体补充和修改，如有矛盾，应以本表为准。</w:t>
      </w:r>
    </w:p>
    <w:tbl>
      <w:tblPr>
        <w:tblStyle w:val="47"/>
        <w:tblW w:w="9215" w:type="dxa"/>
        <w:tblInd w:w="-25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8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7" w:hRule="atLeast"/>
        </w:trPr>
        <w:tc>
          <w:tcPr>
            <w:tcW w:w="1177" w:type="dxa"/>
            <w:tcBorders>
              <w:top w:val="single" w:color="auto" w:sz="12" w:space="0"/>
              <w:right w:val="single" w:color="auto" w:sz="4" w:space="0"/>
            </w:tcBorders>
            <w:vAlign w:val="center"/>
          </w:tcPr>
          <w:p>
            <w:pPr>
              <w:spacing w:line="360" w:lineRule="auto"/>
              <w:jc w:val="center"/>
              <w:rPr>
                <w:rFonts w:ascii="宋体" w:cs="宋体"/>
                <w:sz w:val="24"/>
                <w:szCs w:val="24"/>
              </w:rPr>
            </w:pPr>
            <w:r>
              <w:rPr>
                <w:rFonts w:hint="eastAsia" w:ascii="宋体" w:hAnsi="宋体" w:cs="宋体"/>
                <w:sz w:val="24"/>
                <w:szCs w:val="24"/>
              </w:rPr>
              <w:t>条款号</w:t>
            </w:r>
          </w:p>
        </w:tc>
        <w:tc>
          <w:tcPr>
            <w:tcW w:w="8038" w:type="dxa"/>
            <w:tcBorders>
              <w:top w:val="single" w:color="auto" w:sz="12" w:space="0"/>
              <w:left w:val="single" w:color="auto" w:sz="4" w:space="0"/>
            </w:tcBorders>
            <w:vAlign w:val="center"/>
          </w:tcPr>
          <w:p>
            <w:pPr>
              <w:spacing w:line="360" w:lineRule="auto"/>
              <w:jc w:val="center"/>
              <w:rPr>
                <w:rFonts w:ascii="宋体" w:cs="宋体"/>
                <w:b/>
                <w:sz w:val="24"/>
                <w:szCs w:val="24"/>
              </w:rPr>
            </w:pPr>
            <w:r>
              <w:rPr>
                <w:rFonts w:hint="eastAsia" w:ascii="宋体" w:hAnsi="宋体" w:cs="宋体"/>
                <w:b/>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7" w:hRule="atLeast"/>
        </w:trPr>
        <w:tc>
          <w:tcPr>
            <w:tcW w:w="9215" w:type="dxa"/>
            <w:gridSpan w:val="2"/>
            <w:vAlign w:val="center"/>
          </w:tcPr>
          <w:p>
            <w:pPr>
              <w:spacing w:line="360" w:lineRule="auto"/>
              <w:jc w:val="center"/>
              <w:rPr>
                <w:rFonts w:ascii="宋体" w:cs="宋体"/>
                <w:sz w:val="24"/>
                <w:szCs w:val="24"/>
                <w:lang w:val="zh-CN"/>
              </w:rPr>
            </w:pPr>
            <w:r>
              <w:rPr>
                <w:rFonts w:hint="eastAsia" w:ascii="宋体" w:hAnsi="宋体" w:cs="宋体"/>
                <w:sz w:val="24"/>
                <w:szCs w:val="24"/>
                <w:lang w:val="zh-CN"/>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autoSpaceDE w:val="0"/>
              <w:autoSpaceDN w:val="0"/>
              <w:adjustRightInd w:val="0"/>
              <w:spacing w:line="360" w:lineRule="auto"/>
              <w:jc w:val="center"/>
              <w:rPr>
                <w:rFonts w:ascii="宋体" w:cs="宋体"/>
                <w:kern w:val="0"/>
                <w:sz w:val="24"/>
                <w:szCs w:val="24"/>
                <w:highlight w:val="yellow"/>
              </w:rPr>
            </w:pPr>
            <w:r>
              <w:rPr>
                <w:rFonts w:ascii="宋体" w:hAnsi="宋体" w:cs="宋体"/>
                <w:sz w:val="24"/>
                <w:szCs w:val="24"/>
              </w:rPr>
              <w:t>1.1</w:t>
            </w:r>
          </w:p>
        </w:tc>
        <w:tc>
          <w:tcPr>
            <w:tcW w:w="8038" w:type="dxa"/>
            <w:tcBorders>
              <w:left w:val="single" w:color="auto" w:sz="4" w:space="0"/>
            </w:tcBorders>
            <w:vAlign w:val="center"/>
          </w:tcPr>
          <w:p>
            <w:pPr>
              <w:autoSpaceDE w:val="0"/>
              <w:autoSpaceDN w:val="0"/>
              <w:adjustRightInd w:val="0"/>
              <w:spacing w:line="360" w:lineRule="auto"/>
              <w:rPr>
                <w:rFonts w:hint="eastAsia" w:ascii="宋体" w:eastAsia="宋体" w:cs="宋体"/>
                <w:kern w:val="0"/>
                <w:sz w:val="24"/>
                <w:szCs w:val="24"/>
                <w:lang w:eastAsia="zh-CN"/>
              </w:rPr>
            </w:pPr>
            <w:r>
              <w:rPr>
                <w:rFonts w:hint="eastAsia" w:ascii="宋体" w:hAnsi="宋体" w:cs="宋体"/>
                <w:kern w:val="0"/>
                <w:sz w:val="24"/>
                <w:szCs w:val="24"/>
              </w:rPr>
              <w:t>项目名称：</w:t>
            </w:r>
            <w:r>
              <w:rPr>
                <w:rFonts w:hint="eastAsia" w:ascii="宋体" w:hAnsi="宋体" w:cs="宋体"/>
                <w:kern w:val="0"/>
                <w:sz w:val="24"/>
                <w:szCs w:val="24"/>
                <w:lang w:eastAsia="zh-CN"/>
              </w:rPr>
              <w:t>高新区（新市区）卫生健康委员会体检医院服务商采购项目</w:t>
            </w:r>
          </w:p>
          <w:p>
            <w:pPr>
              <w:pStyle w:val="21"/>
              <w:rPr>
                <w:rFonts w:hint="eastAsia" w:ascii="Times New Roman" w:hAnsi="Times New Roman" w:eastAsia="宋体"/>
                <w:lang w:eastAsia="zh-CN"/>
              </w:rPr>
            </w:pPr>
            <w:r>
              <w:rPr>
                <w:rFonts w:hint="eastAsia" w:ascii="Times New Roman" w:hAnsi="Times New Roman"/>
              </w:rPr>
              <w:t>项目编号：</w:t>
            </w:r>
            <w:r>
              <w:rPr>
                <w:rFonts w:hint="eastAsia" w:ascii="宋体" w:hAnsi="宋体" w:cs="宋体"/>
                <w:kern w:val="0"/>
                <w:szCs w:val="24"/>
                <w:lang w:eastAsia="zh-CN"/>
              </w:rPr>
              <w:t>GXXG-2025-ZFCG001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autoSpaceDE w:val="0"/>
              <w:autoSpaceDN w:val="0"/>
              <w:adjustRightInd w:val="0"/>
              <w:spacing w:line="360" w:lineRule="auto"/>
              <w:jc w:val="center"/>
              <w:rPr>
                <w:rFonts w:ascii="宋体" w:cs="宋体"/>
                <w:sz w:val="24"/>
                <w:szCs w:val="24"/>
                <w:highlight w:val="yellow"/>
              </w:rPr>
            </w:pPr>
            <w:r>
              <w:rPr>
                <w:rFonts w:ascii="宋体" w:hAnsi="宋体" w:cs="宋体"/>
                <w:sz w:val="24"/>
                <w:szCs w:val="24"/>
              </w:rPr>
              <w:t>1.2</w:t>
            </w:r>
          </w:p>
        </w:tc>
        <w:tc>
          <w:tcPr>
            <w:tcW w:w="8038" w:type="dxa"/>
            <w:tcBorders>
              <w:left w:val="single" w:color="auto" w:sz="4" w:space="0"/>
            </w:tcBorders>
            <w:vAlign w:val="center"/>
          </w:tcPr>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标项四:</w:t>
            </w:r>
          </w:p>
          <w:p>
            <w:pPr>
              <w:autoSpaceDE w:val="0"/>
              <w:autoSpaceDN w:val="0"/>
              <w:adjustRightInd w:val="0"/>
              <w:spacing w:line="360" w:lineRule="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标项名称：</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标项四-1</w:t>
            </w:r>
          </w:p>
          <w:p>
            <w:pPr>
              <w:autoSpaceDE w:val="0"/>
              <w:autoSpaceDN w:val="0"/>
              <w:adjustRightInd w:val="0"/>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eastAsia="zh-CN"/>
              </w:rPr>
              <w:t>预算金额（元）:</w:t>
            </w:r>
            <w:r>
              <w:rPr>
                <w:rFonts w:hint="eastAsia" w:ascii="宋体" w:hAnsi="宋体" w:cs="宋体"/>
                <w:kern w:val="0"/>
                <w:sz w:val="24"/>
                <w:szCs w:val="24"/>
                <w:highlight w:val="none"/>
                <w:lang w:val="en-US" w:eastAsia="zh-CN"/>
              </w:rPr>
              <w:t xml:space="preserve"> 1010700.00元</w:t>
            </w:r>
          </w:p>
          <w:p>
            <w:pPr>
              <w:autoSpaceDE w:val="0"/>
              <w:autoSpaceDN w:val="0"/>
              <w:adjustRightInd w:val="0"/>
              <w:spacing w:line="360" w:lineRule="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标项名称：</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标项四-2</w:t>
            </w:r>
          </w:p>
          <w:p>
            <w:pPr>
              <w:pStyle w:val="2"/>
              <w:rPr>
                <w:rFonts w:hint="default"/>
                <w:lang w:val="en-US"/>
              </w:rPr>
            </w:pPr>
            <w:r>
              <w:rPr>
                <w:rFonts w:hint="eastAsia" w:ascii="宋体" w:hAnsi="宋体" w:eastAsia="宋体" w:cs="宋体"/>
                <w:b w:val="0"/>
                <w:bCs w:val="0"/>
                <w:caps w:val="0"/>
                <w:kern w:val="0"/>
                <w:sz w:val="24"/>
                <w:szCs w:val="24"/>
                <w:highlight w:val="none"/>
                <w:lang w:val="en-US" w:eastAsia="zh-CN" w:bidi="ar-SA"/>
              </w:rPr>
              <w:t>预算金额（元）: 843050元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autoSpaceDE w:val="0"/>
              <w:autoSpaceDN w:val="0"/>
              <w:adjustRightIn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8038" w:type="dxa"/>
            <w:tcBorders>
              <w:left w:val="single" w:color="auto" w:sz="4" w:space="0"/>
            </w:tcBorders>
            <w:vAlign w:val="center"/>
          </w:tcPr>
          <w:p>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合同履行期限：一年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autoSpaceDE w:val="0"/>
              <w:autoSpaceDN w:val="0"/>
              <w:adjustRightInd w:val="0"/>
              <w:spacing w:line="360" w:lineRule="auto"/>
              <w:jc w:val="center"/>
              <w:rPr>
                <w:rFonts w:ascii="宋体" w:cs="宋体"/>
                <w:sz w:val="24"/>
                <w:szCs w:val="24"/>
                <w:lang w:val="zh-CN"/>
              </w:rPr>
            </w:pPr>
            <w:r>
              <w:rPr>
                <w:rFonts w:ascii="宋体" w:hAnsi="宋体" w:cs="宋体"/>
                <w:sz w:val="24"/>
                <w:szCs w:val="24"/>
                <w:lang w:val="zh-CN"/>
              </w:rPr>
              <w:t>2.1</w:t>
            </w:r>
          </w:p>
        </w:tc>
        <w:tc>
          <w:tcPr>
            <w:tcW w:w="8038" w:type="dxa"/>
            <w:tcBorders>
              <w:left w:val="single" w:color="auto" w:sz="4" w:space="0"/>
            </w:tcBorders>
            <w:vAlign w:val="center"/>
          </w:tcPr>
          <w:p>
            <w:pPr>
              <w:shd w:val="clear"/>
              <w:autoSpaceDE w:val="0"/>
              <w:autoSpaceDN w:val="0"/>
              <w:adjustRightInd w:val="0"/>
              <w:spacing w:line="360" w:lineRule="auto"/>
              <w:rPr>
                <w:rFonts w:hint="eastAsia" w:ascii="宋体" w:eastAsia="宋体" w:cs="宋体"/>
                <w:kern w:val="0"/>
                <w:sz w:val="24"/>
                <w:szCs w:val="24"/>
                <w:highlight w:val="none"/>
                <w:lang w:eastAsia="zh-CN"/>
              </w:rPr>
            </w:pPr>
            <w:r>
              <w:rPr>
                <w:rFonts w:hint="eastAsia" w:ascii="宋体" w:hAnsi="宋体" w:cs="宋体"/>
                <w:kern w:val="0"/>
                <w:sz w:val="24"/>
                <w:szCs w:val="24"/>
                <w:highlight w:val="none"/>
              </w:rPr>
              <w:t>采购人名称：</w:t>
            </w:r>
            <w:r>
              <w:rPr>
                <w:rFonts w:hint="eastAsia" w:ascii="宋体" w:hAnsi="宋体" w:cs="宋体"/>
                <w:kern w:val="0"/>
                <w:sz w:val="24"/>
                <w:szCs w:val="24"/>
                <w:highlight w:val="none"/>
                <w:lang w:eastAsia="zh-CN"/>
              </w:rPr>
              <w:t xml:space="preserve">乌鲁木齐高新技术产业开发区（新市区）卫生健康委员会  </w:t>
            </w:r>
          </w:p>
          <w:p>
            <w:pPr>
              <w:shd w:val="clear"/>
              <w:autoSpaceDE w:val="0"/>
              <w:autoSpaceDN w:val="0"/>
              <w:adjustRightInd w:val="0"/>
              <w:spacing w:line="360" w:lineRule="auto"/>
              <w:rPr>
                <w:rFonts w:hint="default" w:ascii="宋体" w:eastAsia="宋体" w:cs="宋体"/>
                <w:sz w:val="24"/>
                <w:szCs w:val="24"/>
                <w:highlight w:val="none"/>
                <w:lang w:val="en-US" w:eastAsia="zh-CN"/>
              </w:rPr>
            </w:pPr>
            <w:r>
              <w:rPr>
                <w:rFonts w:hint="eastAsia" w:ascii="宋体" w:hAnsi="宋体" w:cs="宋体"/>
                <w:sz w:val="24"/>
                <w:szCs w:val="24"/>
                <w:highlight w:val="none"/>
                <w:lang w:val="zh-CN"/>
              </w:rPr>
              <w:t>联系人：</w:t>
            </w:r>
            <w:r>
              <w:rPr>
                <w:rFonts w:hint="eastAsia" w:ascii="宋体" w:hAnsi="宋体" w:cs="宋体"/>
                <w:sz w:val="24"/>
                <w:szCs w:val="24"/>
                <w:highlight w:val="none"/>
                <w:lang w:val="en-US" w:eastAsia="zh-CN"/>
              </w:rPr>
              <w:t>郭静静</w:t>
            </w:r>
          </w:p>
          <w:p>
            <w:pPr>
              <w:shd w:val="clear"/>
              <w:autoSpaceDE w:val="0"/>
              <w:autoSpaceDN w:val="0"/>
              <w:adjustRightInd w:val="0"/>
              <w:spacing w:line="360" w:lineRule="auto"/>
              <w:rPr>
                <w:rFonts w:ascii="宋体" w:cs="宋体"/>
                <w:sz w:val="24"/>
                <w:szCs w:val="24"/>
                <w:highlight w:val="none"/>
                <w:lang w:val="zh-CN"/>
              </w:rPr>
            </w:pPr>
            <w:r>
              <w:rPr>
                <w:rFonts w:hint="eastAsia" w:ascii="宋体" w:hAnsi="宋体" w:cs="宋体"/>
                <w:sz w:val="24"/>
                <w:szCs w:val="24"/>
                <w:highlight w:val="none"/>
                <w:lang w:val="zh-CN"/>
              </w:rPr>
              <w:t xml:space="preserve">联系电话：0991-6623652 </w:t>
            </w:r>
          </w:p>
          <w:p>
            <w:pPr>
              <w:autoSpaceDE w:val="0"/>
              <w:autoSpaceDN w:val="0"/>
              <w:adjustRightInd w:val="0"/>
              <w:spacing w:line="360" w:lineRule="auto"/>
              <w:rPr>
                <w:rFonts w:ascii="宋体" w:cs="宋体"/>
                <w:sz w:val="24"/>
                <w:szCs w:val="24"/>
                <w:lang w:val="zh-CN"/>
              </w:rPr>
            </w:pPr>
            <w:r>
              <w:rPr>
                <w:rFonts w:hint="eastAsia" w:ascii="宋体" w:hAnsi="宋体" w:cs="宋体"/>
                <w:sz w:val="24"/>
                <w:szCs w:val="24"/>
                <w:highlight w:val="none"/>
                <w:lang w:val="zh-CN"/>
              </w:rPr>
              <w:t>地址：新疆乌鲁木齐高新区（新市区)四平路2288号创新广场B座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2.2</w:t>
            </w:r>
          </w:p>
        </w:tc>
        <w:tc>
          <w:tcPr>
            <w:tcW w:w="8038" w:type="dxa"/>
            <w:tcBorders>
              <w:left w:val="single" w:color="auto" w:sz="4" w:space="0"/>
            </w:tcBorders>
            <w:vAlign w:val="center"/>
          </w:tcPr>
          <w:p>
            <w:pPr>
              <w:shd w:val="clear"/>
              <w:spacing w:line="360" w:lineRule="auto"/>
              <w:rPr>
                <w:rFonts w:hint="eastAsia" w:ascii="宋体" w:eastAsia="宋体" w:cs="宋体"/>
                <w:sz w:val="24"/>
                <w:szCs w:val="24"/>
                <w:highlight w:val="none"/>
                <w:lang w:eastAsia="zh-CN"/>
              </w:rPr>
            </w:pPr>
            <w:r>
              <w:rPr>
                <w:rFonts w:hint="eastAsia" w:ascii="宋体" w:hAnsi="宋体" w:cs="宋体"/>
                <w:sz w:val="24"/>
                <w:szCs w:val="24"/>
                <w:highlight w:val="none"/>
              </w:rPr>
              <w:t>采购代理机构名称：</w:t>
            </w:r>
            <w:r>
              <w:rPr>
                <w:rFonts w:hint="eastAsia" w:ascii="宋体" w:hAnsi="宋体" w:cs="宋体"/>
                <w:sz w:val="24"/>
                <w:szCs w:val="24"/>
                <w:highlight w:val="none"/>
                <w:lang w:eastAsia="zh-CN"/>
              </w:rPr>
              <w:t>乌鲁木齐高新建设工程项目管理咨询有限公司</w:t>
            </w:r>
          </w:p>
          <w:p>
            <w:pPr>
              <w:shd w:val="clear"/>
              <w:spacing w:line="360" w:lineRule="auto"/>
              <w:rPr>
                <w:rFonts w:hint="eastAsia" w:ascii="宋体" w:eastAsia="宋体" w:cs="宋体"/>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乌鲁木齐高新区（新市区)四平路2288号创新广场(二期)G座20层</w:t>
            </w:r>
          </w:p>
          <w:p>
            <w:pPr>
              <w:shd w:val="clear"/>
              <w:spacing w:line="360" w:lineRule="auto"/>
              <w:jc w:val="left"/>
              <w:rPr>
                <w:rFonts w:hint="eastAsia" w:ascii="宋体" w:eastAsia="宋体" w:cs="宋体"/>
                <w:sz w:val="24"/>
                <w:szCs w:val="24"/>
                <w:highlight w:val="none"/>
                <w:lang w:eastAsia="zh-CN"/>
              </w:rPr>
            </w:pPr>
            <w:r>
              <w:rPr>
                <w:rFonts w:hint="eastAsia" w:ascii="宋体" w:hAnsi="宋体" w:cs="宋体"/>
                <w:sz w:val="24"/>
                <w:szCs w:val="24"/>
                <w:highlight w:val="none"/>
              </w:rPr>
              <w:t>电话：</w:t>
            </w:r>
            <w:r>
              <w:rPr>
                <w:rFonts w:hint="eastAsia" w:ascii="宋体" w:hAnsi="宋体" w:cs="宋体"/>
                <w:sz w:val="24"/>
                <w:szCs w:val="24"/>
                <w:highlight w:val="none"/>
                <w:lang w:eastAsia="zh-CN"/>
              </w:rPr>
              <w:t>0991-6600851</w:t>
            </w:r>
          </w:p>
          <w:p>
            <w:pPr>
              <w:autoSpaceDE w:val="0"/>
              <w:autoSpaceDN w:val="0"/>
              <w:adjustRightInd w:val="0"/>
              <w:spacing w:line="360" w:lineRule="auto"/>
              <w:rPr>
                <w:rFonts w:ascii="宋体" w:cs="宋体"/>
                <w:sz w:val="24"/>
                <w:szCs w:val="24"/>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王嵩、丁晓娅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2.5</w:t>
            </w:r>
          </w:p>
        </w:tc>
        <w:tc>
          <w:tcPr>
            <w:tcW w:w="8038" w:type="dxa"/>
            <w:tcBorders>
              <w:left w:val="single" w:color="auto" w:sz="4" w:space="0"/>
            </w:tcBorders>
            <w:vAlign w:val="center"/>
          </w:tcPr>
          <w:p>
            <w:pPr>
              <w:spacing w:line="360" w:lineRule="auto"/>
              <w:rPr>
                <w:rFonts w:ascii="宋体" w:cs="宋体"/>
                <w:kern w:val="0"/>
                <w:sz w:val="24"/>
                <w:szCs w:val="24"/>
              </w:rPr>
            </w:pPr>
            <w:r>
              <w:rPr>
                <w:rFonts w:hint="eastAsia" w:ascii="宋体" w:hAnsi="宋体" w:cs="宋体"/>
                <w:kern w:val="0"/>
                <w:sz w:val="24"/>
                <w:szCs w:val="24"/>
              </w:rPr>
              <w:t>本项目（否）接受联合体投标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4</w:t>
            </w:r>
            <w:r>
              <w:rPr>
                <w:rFonts w:ascii="宋体" w:hAnsi="宋体" w:cs="宋体"/>
                <w:sz w:val="24"/>
                <w:szCs w:val="24"/>
              </w:rPr>
              <w:t>.3</w:t>
            </w:r>
          </w:p>
        </w:tc>
        <w:tc>
          <w:tcPr>
            <w:tcW w:w="8038" w:type="dxa"/>
            <w:tcBorders>
              <w:lef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付款方式：</w:t>
            </w:r>
            <w:r>
              <w:rPr>
                <w:rFonts w:hint="eastAsia" w:ascii="宋体" w:hAnsi="宋体" w:cs="宋体"/>
                <w:sz w:val="24"/>
                <w:szCs w:val="24"/>
                <w:highlight w:val="none"/>
                <w:lang w:val="en-US" w:eastAsia="zh-CN"/>
              </w:rPr>
              <w:t>详见合同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4.4</w:t>
            </w:r>
          </w:p>
        </w:tc>
        <w:tc>
          <w:tcPr>
            <w:tcW w:w="8038" w:type="dxa"/>
            <w:tcBorders>
              <w:lef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trPr>
        <w:tc>
          <w:tcPr>
            <w:tcW w:w="1177" w:type="dxa"/>
            <w:tcBorders>
              <w:bottom w:val="single" w:color="auto" w:sz="4" w:space="0"/>
              <w:right w:val="single" w:color="auto" w:sz="4" w:space="0"/>
            </w:tcBorders>
            <w:vAlign w:val="center"/>
          </w:tcPr>
          <w:p>
            <w:pPr>
              <w:spacing w:line="360" w:lineRule="auto"/>
              <w:jc w:val="center"/>
              <w:rPr>
                <w:rFonts w:ascii="宋体" w:cs="宋体"/>
                <w:i/>
                <w:sz w:val="24"/>
                <w:szCs w:val="24"/>
              </w:rPr>
            </w:pPr>
            <w:r>
              <w:rPr>
                <w:rFonts w:ascii="宋体" w:hAnsi="宋体" w:cs="宋体"/>
                <w:sz w:val="24"/>
                <w:szCs w:val="24"/>
                <w:lang w:val="zh-CN"/>
              </w:rPr>
              <w:t>13.1</w:t>
            </w:r>
          </w:p>
        </w:tc>
        <w:tc>
          <w:tcPr>
            <w:tcW w:w="8038" w:type="dxa"/>
            <w:tcBorders>
              <w:left w:val="single" w:color="auto" w:sz="4" w:space="0"/>
              <w:bottom w:val="single" w:color="auto" w:sz="4" w:space="0"/>
            </w:tcBorders>
            <w:vAlign w:val="center"/>
          </w:tcPr>
          <w:p>
            <w:pPr>
              <w:spacing w:line="360" w:lineRule="auto"/>
              <w:rPr>
                <w:rFonts w:ascii="宋体" w:cs="宋体"/>
                <w:i/>
                <w:sz w:val="24"/>
                <w:szCs w:val="24"/>
              </w:rPr>
            </w:pPr>
            <w:r>
              <w:rPr>
                <w:rFonts w:hint="eastAsia" w:ascii="宋体" w:hAnsi="宋体" w:cs="宋体"/>
                <w:sz w:val="24"/>
                <w:szCs w:val="24"/>
                <w:lang w:val="zh-CN"/>
              </w:rPr>
              <w:t>投标报价：超预算金额（最高限价）的，其报价无效，不进入评标阶段。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1177" w:type="dxa"/>
            <w:tcBorders>
              <w:top w:val="single" w:color="auto" w:sz="4" w:space="0"/>
              <w:right w:val="single" w:color="auto" w:sz="4" w:space="0"/>
            </w:tcBorders>
            <w:vAlign w:val="center"/>
          </w:tcPr>
          <w:p>
            <w:pPr>
              <w:spacing w:line="360" w:lineRule="auto"/>
              <w:jc w:val="center"/>
              <w:rPr>
                <w:rFonts w:ascii="宋体" w:cs="宋体"/>
                <w:sz w:val="24"/>
                <w:szCs w:val="24"/>
                <w:lang w:val="zh-CN"/>
              </w:rPr>
            </w:pPr>
            <w:r>
              <w:rPr>
                <w:rFonts w:ascii="宋体" w:hAnsi="宋体" w:cs="宋体"/>
                <w:sz w:val="24"/>
                <w:szCs w:val="24"/>
                <w:lang w:val="zh-CN"/>
              </w:rPr>
              <w:t>14.1</w:t>
            </w:r>
          </w:p>
        </w:tc>
        <w:tc>
          <w:tcPr>
            <w:tcW w:w="8038" w:type="dxa"/>
            <w:tcBorders>
              <w:top w:val="single" w:color="auto" w:sz="4" w:space="0"/>
              <w:left w:val="single" w:color="auto" w:sz="4" w:space="0"/>
            </w:tcBorders>
            <w:vAlign w:val="center"/>
          </w:tcPr>
          <w:p>
            <w:pPr>
              <w:spacing w:line="360" w:lineRule="auto"/>
              <w:jc w:val="left"/>
              <w:rPr>
                <w:rFonts w:ascii="宋体" w:cs="宋体"/>
                <w:sz w:val="24"/>
                <w:szCs w:val="24"/>
                <w:lang w:val="zh-CN"/>
              </w:rPr>
            </w:pPr>
            <w:r>
              <w:rPr>
                <w:rFonts w:hint="eastAsia" w:ascii="宋体" w:hAnsi="宋体" w:cs="宋体"/>
                <w:sz w:val="24"/>
                <w:szCs w:val="24"/>
              </w:rPr>
              <w:t>投标货币：人民币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1177" w:type="dxa"/>
            <w:tcBorders>
              <w:right w:val="single" w:color="auto" w:sz="4" w:space="0"/>
            </w:tcBorders>
            <w:vAlign w:val="center"/>
          </w:tcPr>
          <w:p>
            <w:pPr>
              <w:tabs>
                <w:tab w:val="left" w:pos="720"/>
              </w:tabs>
              <w:autoSpaceDE w:val="0"/>
              <w:autoSpaceDN w:val="0"/>
              <w:adjustRightInd w:val="0"/>
              <w:spacing w:line="360" w:lineRule="auto"/>
              <w:ind w:left="278" w:right="17"/>
              <w:jc w:val="center"/>
              <w:rPr>
                <w:rFonts w:ascii="宋体" w:cs="宋体"/>
                <w:kern w:val="0"/>
                <w:sz w:val="24"/>
                <w:szCs w:val="24"/>
                <w:lang w:val="zh-CN"/>
              </w:rPr>
            </w:pPr>
            <w:r>
              <w:rPr>
                <w:rFonts w:ascii="宋体" w:hAnsi="宋体" w:cs="宋体"/>
                <w:sz w:val="24"/>
                <w:szCs w:val="24"/>
              </w:rPr>
              <w:t>15.1</w:t>
            </w:r>
          </w:p>
        </w:tc>
        <w:tc>
          <w:tcPr>
            <w:tcW w:w="8038" w:type="dxa"/>
            <w:tcBorders>
              <w:left w:val="single" w:color="auto" w:sz="4" w:space="0"/>
            </w:tcBorders>
            <w:vAlign w:val="center"/>
          </w:tcPr>
          <w:p>
            <w:pPr>
              <w:pStyle w:val="231"/>
              <w:numPr>
                <w:ilvl w:val="0"/>
                <w:numId w:val="0"/>
              </w:numPr>
              <w:shd w:val="clear"/>
              <w:spacing w:line="360" w:lineRule="auto"/>
              <w:rPr>
                <w:rFonts w:ascii="宋体" w:hAnsi="宋体" w:cs="宋体"/>
                <w:bCs/>
                <w:sz w:val="24"/>
                <w:szCs w:val="24"/>
                <w:highlight w:val="none"/>
              </w:rPr>
            </w:pPr>
            <w:r>
              <w:rPr>
                <w:rFonts w:hint="eastAsia" w:ascii="宋体" w:hAnsi="宋体" w:cs="宋体"/>
                <w:bCs/>
                <w:sz w:val="24"/>
                <w:szCs w:val="24"/>
                <w:highlight w:val="none"/>
              </w:rPr>
              <w:t>1.满足《中华人民共和国政府采购法》第二十二条规定；</w:t>
            </w:r>
          </w:p>
          <w:p>
            <w:pPr>
              <w:pStyle w:val="231"/>
              <w:numPr>
                <w:ilvl w:val="0"/>
                <w:numId w:val="0"/>
              </w:numPr>
              <w:shd w:val="clear"/>
              <w:spacing w:line="360" w:lineRule="auto"/>
              <w:rPr>
                <w:rFonts w:ascii="宋体" w:hAns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.落实政府采购政策需满足的资格要求：</w:t>
            </w:r>
          </w:p>
          <w:p>
            <w:pPr>
              <w:pStyle w:val="231"/>
              <w:numPr>
                <w:ilvl w:val="0"/>
                <w:numId w:val="0"/>
              </w:numPr>
              <w:shd w:val="clear"/>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1）单位负责人为同一人或者存在直接控股、管理关系的不同</w:t>
            </w:r>
            <w:r>
              <w:rPr>
                <w:rFonts w:hint="eastAsia" w:ascii="宋体" w:hAnsi="宋体" w:cs="宋体"/>
                <w:bCs/>
                <w:sz w:val="24"/>
                <w:szCs w:val="24"/>
                <w:highlight w:val="none"/>
                <w:lang w:eastAsia="zh-CN"/>
              </w:rPr>
              <w:t>投标人</w:t>
            </w:r>
            <w:r>
              <w:rPr>
                <w:rFonts w:hint="eastAsia" w:ascii="宋体" w:hAnsi="宋体" w:cs="宋体"/>
                <w:bCs/>
                <w:sz w:val="24"/>
                <w:szCs w:val="24"/>
                <w:highlight w:val="none"/>
              </w:rPr>
              <w:t>，不得同时参加本项目同一标项的投标；</w:t>
            </w:r>
          </w:p>
          <w:p>
            <w:pPr>
              <w:pStyle w:val="231"/>
              <w:numPr>
                <w:ilvl w:val="0"/>
                <w:numId w:val="0"/>
              </w:numPr>
              <w:shd w:val="clear"/>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2）为本项目某标项提供整体设计、规范编制或者项目管理、监理、检测等服务的</w:t>
            </w:r>
            <w:r>
              <w:rPr>
                <w:rFonts w:hint="eastAsia" w:ascii="宋体" w:hAnsi="宋体" w:cs="宋体"/>
                <w:bCs/>
                <w:sz w:val="24"/>
                <w:szCs w:val="24"/>
                <w:highlight w:val="none"/>
                <w:lang w:eastAsia="zh-CN"/>
              </w:rPr>
              <w:t>投标人</w:t>
            </w:r>
            <w:r>
              <w:rPr>
                <w:rFonts w:hint="eastAsia" w:ascii="宋体" w:hAnsi="宋体" w:cs="宋体"/>
                <w:bCs/>
                <w:sz w:val="24"/>
                <w:szCs w:val="24"/>
                <w:highlight w:val="none"/>
              </w:rPr>
              <w:t>，不得参加该标项的投标；</w:t>
            </w:r>
          </w:p>
          <w:p>
            <w:pPr>
              <w:pStyle w:val="231"/>
              <w:numPr>
                <w:ilvl w:val="0"/>
                <w:numId w:val="0"/>
              </w:numPr>
              <w:shd w:val="clear"/>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3）通过“信用中国”网站（www.creditchina.gov.cn）和中国政府采购网（www.ccgp.gov.cn）查询信用记录（截止时间点为投标截止时间），被列入失信被执行人、重大税收违法案件当事人名单或政府采购严重违法失信行为记录名单的</w:t>
            </w:r>
            <w:r>
              <w:rPr>
                <w:rFonts w:hint="eastAsia" w:ascii="宋体" w:hAnsi="宋体" w:cs="宋体"/>
                <w:bCs/>
                <w:sz w:val="24"/>
                <w:szCs w:val="24"/>
                <w:highlight w:val="none"/>
                <w:lang w:eastAsia="zh-CN"/>
              </w:rPr>
              <w:t>投标人</w:t>
            </w:r>
            <w:r>
              <w:rPr>
                <w:rFonts w:hint="eastAsia" w:ascii="宋体" w:hAnsi="宋体" w:cs="宋体"/>
                <w:bCs/>
                <w:sz w:val="24"/>
                <w:szCs w:val="24"/>
                <w:highlight w:val="none"/>
              </w:rPr>
              <w:t>，没有资格参加本项目的采购活动；</w:t>
            </w:r>
          </w:p>
          <w:p>
            <w:pPr>
              <w:pStyle w:val="231"/>
              <w:numPr>
                <w:ilvl w:val="0"/>
                <w:numId w:val="0"/>
              </w:numPr>
              <w:shd w:val="clear"/>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4）</w:t>
            </w:r>
            <w:r>
              <w:rPr>
                <w:rFonts w:hint="eastAsia" w:ascii="宋体" w:hAnsi="宋体" w:cs="宋体"/>
                <w:bCs/>
                <w:sz w:val="24"/>
                <w:szCs w:val="24"/>
                <w:highlight w:val="none"/>
                <w:lang w:eastAsia="zh-CN"/>
              </w:rPr>
              <w:t>本项目非专门面向中小企业采购</w:t>
            </w:r>
            <w:r>
              <w:rPr>
                <w:rFonts w:hint="eastAsia" w:ascii="宋体" w:hAnsi="宋体" w:cs="宋体"/>
                <w:bCs/>
                <w:sz w:val="24"/>
                <w:szCs w:val="24"/>
                <w:highlight w:val="none"/>
              </w:rPr>
              <w:t>；</w:t>
            </w:r>
          </w:p>
          <w:p>
            <w:pPr>
              <w:pStyle w:val="231"/>
              <w:numPr>
                <w:ilvl w:val="0"/>
                <w:numId w:val="0"/>
              </w:numPr>
              <w:shd w:val="clear"/>
              <w:spacing w:line="360" w:lineRule="auto"/>
              <w:rPr>
                <w:rFonts w:hint="eastAsia" w:ascii="宋体" w:hAns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.本项目的特定资格要求：</w:t>
            </w:r>
          </w:p>
          <w:p>
            <w:pPr>
              <w:pStyle w:val="231"/>
              <w:numPr>
                <w:ilvl w:val="0"/>
                <w:numId w:val="0"/>
              </w:numPr>
              <w:spacing w:line="360" w:lineRule="auto"/>
              <w:rPr>
                <w:rFonts w:ascii="宋体" w:hAnsi="宋体" w:cs="宋体"/>
                <w:bCs/>
                <w:sz w:val="24"/>
                <w:szCs w:val="24"/>
              </w:rPr>
            </w:pPr>
            <w:r>
              <w:rPr>
                <w:rFonts w:hint="eastAsia" w:ascii="宋体" w:hAnsi="宋体" w:eastAsia="宋体" w:cs="宋体"/>
                <w:bCs/>
                <w:sz w:val="24"/>
                <w:szCs w:val="24"/>
                <w:highlight w:val="none"/>
                <w:lang w:eastAsia="zh-CN"/>
              </w:rPr>
              <w:t>具有</w:t>
            </w:r>
            <w:r>
              <w:rPr>
                <w:rFonts w:hint="eastAsia" w:ascii="宋体" w:hAnsi="宋体" w:cs="宋体"/>
                <w:bCs/>
                <w:sz w:val="24"/>
                <w:szCs w:val="24"/>
                <w:highlight w:val="none"/>
                <w:lang w:eastAsia="zh-CN"/>
              </w:rPr>
              <w:t>有效三级甲等综合医院资质</w:t>
            </w:r>
            <w:r>
              <w:rPr>
                <w:rFonts w:hint="eastAsia" w:ascii="宋体" w:hAnsi="宋体" w:eastAsia="宋体" w:cs="宋体"/>
                <w:bCs/>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6" w:hRule="atLeast"/>
        </w:trPr>
        <w:tc>
          <w:tcPr>
            <w:tcW w:w="1177" w:type="dxa"/>
            <w:tcBorders>
              <w:top w:val="single" w:color="auto" w:sz="12" w:space="0"/>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17.1</w:t>
            </w:r>
          </w:p>
        </w:tc>
        <w:tc>
          <w:tcPr>
            <w:tcW w:w="8038" w:type="dxa"/>
            <w:tcBorders>
              <w:top w:val="single" w:color="auto" w:sz="12" w:space="0"/>
              <w:left w:val="single" w:color="auto" w:sz="4" w:space="0"/>
            </w:tcBorders>
            <w:vAlign w:val="center"/>
          </w:tcPr>
          <w:p>
            <w:pPr>
              <w:shd w:val="clear"/>
              <w:spacing w:line="360" w:lineRule="auto"/>
              <w:rPr>
                <w:rFonts w:hint="eastAsia" w:ascii="宋体" w:cs="宋体"/>
                <w:sz w:val="24"/>
                <w:szCs w:val="24"/>
                <w:highlight w:val="none"/>
              </w:rPr>
            </w:pPr>
            <w:r>
              <w:rPr>
                <w:rFonts w:hint="eastAsia" w:ascii="宋体" w:cs="宋体"/>
                <w:sz w:val="24"/>
                <w:szCs w:val="24"/>
                <w:highlight w:val="none"/>
              </w:rPr>
              <w:t>投标保证金：</w:t>
            </w:r>
          </w:p>
          <w:p>
            <w:pPr>
              <w:shd w:val="clear"/>
              <w:spacing w:line="360" w:lineRule="auto"/>
              <w:rPr>
                <w:rFonts w:hint="eastAsia" w:ascii="宋体" w:cs="宋体"/>
                <w:sz w:val="24"/>
                <w:szCs w:val="24"/>
                <w:highlight w:val="none"/>
              </w:rPr>
            </w:pPr>
            <w:r>
              <w:rPr>
                <w:rFonts w:hint="eastAsia" w:ascii="宋体" w:cs="宋体"/>
                <w:sz w:val="24"/>
                <w:szCs w:val="24"/>
                <w:highlight w:val="none"/>
              </w:rPr>
              <w:t>缴纳形式：转账、汇款或保函等非现金形式</w:t>
            </w:r>
          </w:p>
          <w:p>
            <w:pPr>
              <w:shd w:val="clear"/>
              <w:spacing w:line="360" w:lineRule="auto"/>
              <w:rPr>
                <w:rFonts w:hint="eastAsia" w:ascii="宋体" w:cs="宋体"/>
                <w:sz w:val="24"/>
                <w:szCs w:val="24"/>
                <w:highlight w:val="none"/>
              </w:rPr>
            </w:pPr>
            <w:r>
              <w:rPr>
                <w:rFonts w:hint="eastAsia" w:ascii="宋体" w:cs="宋体"/>
                <w:sz w:val="24"/>
                <w:szCs w:val="24"/>
                <w:highlight w:val="none"/>
              </w:rPr>
              <w:t>缴纳金额：</w:t>
            </w:r>
          </w:p>
          <w:p>
            <w:pPr>
              <w:pStyle w:val="2"/>
              <w:rPr>
                <w:rFonts w:hint="eastAsia" w:ascii="宋体" w:hAnsi="Times New Roman"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标项四：</w:t>
            </w:r>
            <w:r>
              <w:rPr>
                <w:rFonts w:hint="eastAsia" w:ascii="宋体" w:hAnsi="Times New Roman" w:cs="宋体"/>
                <w:b w:val="0"/>
                <w:bCs w:val="0"/>
                <w:caps w:val="0"/>
                <w:kern w:val="2"/>
                <w:sz w:val="24"/>
                <w:szCs w:val="24"/>
                <w:highlight w:val="none"/>
                <w:lang w:val="en-US" w:eastAsia="zh-CN" w:bidi="ar-SA"/>
              </w:rPr>
              <w:t>标项四-1：20000</w:t>
            </w:r>
            <w:r>
              <w:rPr>
                <w:rFonts w:hint="eastAsia" w:ascii="宋体" w:hAnsi="Times New Roman" w:eastAsia="宋体" w:cs="宋体"/>
                <w:b w:val="0"/>
                <w:bCs w:val="0"/>
                <w:caps w:val="0"/>
                <w:kern w:val="2"/>
                <w:sz w:val="24"/>
                <w:szCs w:val="24"/>
                <w:highlight w:val="none"/>
                <w:lang w:val="en-US" w:eastAsia="zh-CN" w:bidi="ar-SA"/>
              </w:rPr>
              <w:t>.00元</w:t>
            </w:r>
            <w:r>
              <w:rPr>
                <w:rFonts w:hint="eastAsia" w:ascii="宋体" w:hAnsi="Times New Roman" w:cs="宋体"/>
                <w:b w:val="0"/>
                <w:bCs w:val="0"/>
                <w:caps w:val="0"/>
                <w:kern w:val="2"/>
                <w:sz w:val="24"/>
                <w:szCs w:val="24"/>
                <w:highlight w:val="none"/>
                <w:lang w:val="en-US" w:eastAsia="zh-CN" w:bidi="ar-SA"/>
              </w:rPr>
              <w:t>；</w:t>
            </w:r>
          </w:p>
          <w:p>
            <w:pPr>
              <w:rPr>
                <w:rFonts w:hint="default"/>
                <w:lang w:val="en-US" w:eastAsia="zh-CN"/>
              </w:rPr>
            </w:pPr>
            <w:r>
              <w:rPr>
                <w:rFonts w:hint="eastAsia" w:ascii="宋体" w:cs="宋体"/>
                <w:b w:val="0"/>
                <w:bCs w:val="0"/>
                <w:caps w:val="0"/>
                <w:kern w:val="2"/>
                <w:sz w:val="24"/>
                <w:szCs w:val="24"/>
                <w:highlight w:val="none"/>
                <w:lang w:val="en-US" w:eastAsia="zh-CN" w:bidi="ar-SA"/>
              </w:rPr>
              <w:t xml:space="preserve">        </w:t>
            </w:r>
            <w:r>
              <w:rPr>
                <w:rFonts w:hint="eastAsia" w:ascii="宋体" w:hAnsi="Times New Roman" w:cs="宋体"/>
                <w:b w:val="0"/>
                <w:bCs w:val="0"/>
                <w:caps w:val="0"/>
                <w:kern w:val="2"/>
                <w:sz w:val="24"/>
                <w:szCs w:val="24"/>
                <w:highlight w:val="none"/>
                <w:lang w:val="en-US" w:eastAsia="zh-CN" w:bidi="ar-SA"/>
              </w:rPr>
              <w:t>标项四-</w:t>
            </w:r>
            <w:r>
              <w:rPr>
                <w:rFonts w:hint="eastAsia" w:ascii="宋体" w:cs="宋体"/>
                <w:b w:val="0"/>
                <w:bCs w:val="0"/>
                <w:caps w:val="0"/>
                <w:kern w:val="2"/>
                <w:sz w:val="24"/>
                <w:szCs w:val="24"/>
                <w:highlight w:val="none"/>
                <w:lang w:val="en-US" w:eastAsia="zh-CN" w:bidi="ar-SA"/>
              </w:rPr>
              <w:t>2</w:t>
            </w:r>
            <w:r>
              <w:rPr>
                <w:rFonts w:hint="eastAsia" w:ascii="宋体" w:hAnsi="Times New Roman" w:cs="宋体"/>
                <w:b w:val="0"/>
                <w:bCs w:val="0"/>
                <w:caps w:val="0"/>
                <w:kern w:val="2"/>
                <w:sz w:val="24"/>
                <w:szCs w:val="24"/>
                <w:highlight w:val="none"/>
                <w:lang w:val="en-US" w:eastAsia="zh-CN" w:bidi="ar-SA"/>
              </w:rPr>
              <w:t>：</w:t>
            </w:r>
            <w:r>
              <w:rPr>
                <w:rFonts w:hint="eastAsia" w:ascii="宋体" w:cs="宋体"/>
                <w:b w:val="0"/>
                <w:bCs w:val="0"/>
                <w:caps w:val="0"/>
                <w:kern w:val="2"/>
                <w:sz w:val="24"/>
                <w:szCs w:val="24"/>
                <w:highlight w:val="none"/>
                <w:lang w:val="en-US" w:eastAsia="zh-CN" w:bidi="ar-SA"/>
              </w:rPr>
              <w:t>16</w:t>
            </w:r>
            <w:r>
              <w:rPr>
                <w:rFonts w:hint="eastAsia" w:ascii="宋体" w:hAnsi="Times New Roman" w:cs="宋体"/>
                <w:b w:val="0"/>
                <w:bCs w:val="0"/>
                <w:caps w:val="0"/>
                <w:kern w:val="2"/>
                <w:sz w:val="24"/>
                <w:szCs w:val="24"/>
                <w:highlight w:val="none"/>
                <w:lang w:val="en-US" w:eastAsia="zh-CN" w:bidi="ar-SA"/>
              </w:rPr>
              <w:t>000</w:t>
            </w:r>
            <w:r>
              <w:rPr>
                <w:rFonts w:hint="eastAsia" w:ascii="宋体" w:hAnsi="Times New Roman" w:eastAsia="宋体" w:cs="宋体"/>
                <w:b w:val="0"/>
                <w:bCs w:val="0"/>
                <w:caps w:val="0"/>
                <w:kern w:val="2"/>
                <w:sz w:val="24"/>
                <w:szCs w:val="24"/>
                <w:highlight w:val="none"/>
                <w:lang w:val="en-US" w:eastAsia="zh-CN" w:bidi="ar-SA"/>
              </w:rPr>
              <w:t>.00元</w:t>
            </w:r>
          </w:p>
          <w:p>
            <w:pPr>
              <w:shd w:val="clear"/>
              <w:spacing w:line="360" w:lineRule="auto"/>
              <w:rPr>
                <w:rFonts w:hint="eastAsia" w:ascii="宋体" w:cs="宋体"/>
                <w:sz w:val="24"/>
                <w:szCs w:val="24"/>
                <w:highlight w:val="none"/>
              </w:rPr>
            </w:pPr>
            <w:r>
              <w:rPr>
                <w:rFonts w:hint="eastAsia" w:ascii="宋体" w:cs="宋体"/>
                <w:sz w:val="24"/>
                <w:szCs w:val="24"/>
                <w:highlight w:val="none"/>
              </w:rPr>
              <w:t>公司名称：乌鲁木齐高新建设工程项目管理咨询有限公司</w:t>
            </w:r>
          </w:p>
          <w:p>
            <w:pPr>
              <w:shd w:val="clear"/>
              <w:spacing w:line="360" w:lineRule="auto"/>
              <w:rPr>
                <w:rFonts w:hint="eastAsia" w:ascii="宋体" w:cs="宋体"/>
                <w:sz w:val="24"/>
                <w:szCs w:val="24"/>
                <w:highlight w:val="none"/>
              </w:rPr>
            </w:pPr>
            <w:r>
              <w:rPr>
                <w:rFonts w:hint="eastAsia" w:ascii="宋体" w:cs="宋体"/>
                <w:sz w:val="24"/>
                <w:szCs w:val="24"/>
                <w:highlight w:val="none"/>
              </w:rPr>
              <w:t>账户：9919 0547 2010 902</w:t>
            </w:r>
          </w:p>
          <w:p>
            <w:pPr>
              <w:shd w:val="clear"/>
              <w:spacing w:line="360" w:lineRule="auto"/>
              <w:rPr>
                <w:rFonts w:hint="eastAsia" w:ascii="宋体" w:cs="宋体"/>
                <w:sz w:val="24"/>
                <w:szCs w:val="24"/>
                <w:highlight w:val="none"/>
              </w:rPr>
            </w:pPr>
            <w:r>
              <w:rPr>
                <w:rFonts w:hint="eastAsia" w:ascii="宋体" w:cs="宋体"/>
                <w:sz w:val="24"/>
                <w:szCs w:val="24"/>
                <w:highlight w:val="none"/>
              </w:rPr>
              <w:t>开户银行及机构：招商银行股份有限公司乌鲁木齐苏州路支行</w:t>
            </w:r>
          </w:p>
          <w:p>
            <w:pPr>
              <w:shd w:val="clear"/>
              <w:spacing w:line="360" w:lineRule="auto"/>
              <w:rPr>
                <w:rFonts w:hint="eastAsia" w:ascii="宋体" w:cs="宋体"/>
                <w:sz w:val="24"/>
                <w:szCs w:val="24"/>
                <w:highlight w:val="none"/>
              </w:rPr>
            </w:pPr>
            <w:r>
              <w:rPr>
                <w:rFonts w:hint="eastAsia" w:ascii="宋体" w:cs="宋体"/>
                <w:sz w:val="24"/>
                <w:szCs w:val="24"/>
                <w:highlight w:val="none"/>
              </w:rPr>
              <w:t>行号：308881029091</w:t>
            </w:r>
          </w:p>
          <w:p>
            <w:pPr>
              <w:shd w:val="clear"/>
              <w:spacing w:line="360" w:lineRule="auto"/>
              <w:rPr>
                <w:rFonts w:hint="eastAsia" w:ascii="宋体" w:cs="宋体"/>
                <w:b/>
                <w:bCs/>
                <w:sz w:val="24"/>
                <w:szCs w:val="24"/>
                <w:highlight w:val="none"/>
              </w:rPr>
            </w:pPr>
            <w:r>
              <w:rPr>
                <w:rFonts w:hint="eastAsia" w:ascii="宋体" w:cs="宋体"/>
                <w:sz w:val="24"/>
                <w:szCs w:val="24"/>
                <w:highlight w:val="none"/>
              </w:rPr>
              <w:t>1、银行转账形式缴纳，请各参与投标人于投标文件递交截至时之前缴纳并到账，必须从投标人基本账户支出，在汇款凭证上备注栏须注明所投标段名称（若字数超标，可自行简写标段名称），</w:t>
            </w:r>
            <w:r>
              <w:rPr>
                <w:rFonts w:hint="eastAsia" w:ascii="宋体" w:cs="宋体"/>
                <w:b/>
                <w:bCs/>
                <w:sz w:val="24"/>
                <w:szCs w:val="24"/>
                <w:highlight w:val="none"/>
              </w:rPr>
              <w:t>特别提醒保证金转账账户与文件费及代理服务费非同一账户。</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2、如采用保函形式缴纳，政采云电子保函须知</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2.1政采云电子保函形式缴纳投标保证金，在线完成保函的申请、审核、开票、出函等环节；</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2.2如采用政采云电子保函形式，可按照以下形式进行在线申请，电子保函申请链接（https://jinrong.zcygov.cn/finance/letter/product/detail?id=30&amp;source=41），如遇问题可拨打客服电话：4009039583；</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2.3将保函制作到电子投标文件即可。</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若投标人未按照上述规定缴纳投标保证金，投标文件将被拒绝评审。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保证金以到账时间为准。</w:t>
            </w:r>
          </w:p>
          <w:p>
            <w:pPr>
              <w:spacing w:line="360" w:lineRule="auto"/>
              <w:rPr>
                <w:rFonts w:ascii="宋体" w:cs="宋体"/>
                <w:sz w:val="24"/>
                <w:szCs w:val="24"/>
              </w:rPr>
            </w:pPr>
            <w:r>
              <w:rPr>
                <w:rFonts w:hint="eastAsia" w:ascii="宋体" w:hAnsi="宋体" w:eastAsia="宋体" w:cs="宋体"/>
                <w:color w:val="auto"/>
                <w:sz w:val="24"/>
                <w:szCs w:val="24"/>
                <w:highlight w:val="none"/>
                <w:lang w:val="en-US" w:eastAsia="zh-CN"/>
              </w:rPr>
              <w:t>投标保证金有效期：投标截止时间后90天。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17.2</w:t>
            </w:r>
          </w:p>
        </w:tc>
        <w:tc>
          <w:tcPr>
            <w:tcW w:w="8038" w:type="dxa"/>
            <w:tcBorders>
              <w:left w:val="single" w:color="auto" w:sz="4" w:space="0"/>
            </w:tcBorders>
            <w:vAlign w:val="center"/>
          </w:tcPr>
          <w:p>
            <w:pPr>
              <w:spacing w:line="360" w:lineRule="auto"/>
              <w:rPr>
                <w:rFonts w:ascii="宋体" w:cs="宋体"/>
                <w:b/>
                <w:sz w:val="24"/>
                <w:szCs w:val="24"/>
              </w:rPr>
            </w:pPr>
            <w:r>
              <w:rPr>
                <w:rFonts w:hint="eastAsia" w:ascii="宋体" w:hAnsi="宋体" w:cs="宋体"/>
                <w:sz w:val="24"/>
                <w:szCs w:val="24"/>
              </w:rPr>
              <w:t>投标保证金形式：转账或电汇等其他非现金形式，</w:t>
            </w:r>
            <w:r>
              <w:rPr>
                <w:rFonts w:hint="eastAsia" w:ascii="宋体" w:hAnsi="宋体" w:cs="宋体"/>
                <w:b/>
                <w:sz w:val="24"/>
                <w:szCs w:val="24"/>
              </w:rPr>
              <w:t>建议各投标单位优先考虑采用电汇形式递交投标保证金，投标保证金缴纳截止时间同投标截止时间。</w:t>
            </w:r>
          </w:p>
          <w:p>
            <w:pPr>
              <w:spacing w:line="360" w:lineRule="auto"/>
              <w:jc w:val="left"/>
              <w:rPr>
                <w:rFonts w:ascii="宋体" w:cs="宋体"/>
                <w:sz w:val="24"/>
                <w:szCs w:val="24"/>
              </w:rPr>
            </w:pPr>
            <w:r>
              <w:rPr>
                <w:rFonts w:hint="eastAsia" w:ascii="宋体" w:hAnsi="宋体" w:cs="宋体"/>
                <w:sz w:val="24"/>
                <w:szCs w:val="24"/>
              </w:rPr>
              <w:t>投标保证金有效期与投标有效期一致。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trPr>
        <w:tc>
          <w:tcPr>
            <w:tcW w:w="1177" w:type="dxa"/>
            <w:tcBorders>
              <w:right w:val="single" w:color="auto" w:sz="4" w:space="0"/>
            </w:tcBorders>
            <w:vAlign w:val="center"/>
          </w:tcPr>
          <w:p>
            <w:pPr>
              <w:spacing w:line="360" w:lineRule="auto"/>
              <w:jc w:val="center"/>
              <w:rPr>
                <w:rFonts w:ascii="宋体" w:cs="宋体"/>
                <w:i/>
                <w:sz w:val="24"/>
                <w:szCs w:val="24"/>
              </w:rPr>
            </w:pPr>
            <w:r>
              <w:rPr>
                <w:rFonts w:ascii="宋体" w:hAnsi="宋体" w:cs="宋体"/>
                <w:sz w:val="24"/>
                <w:szCs w:val="24"/>
              </w:rPr>
              <w:t>18.1</w:t>
            </w:r>
          </w:p>
        </w:tc>
        <w:tc>
          <w:tcPr>
            <w:tcW w:w="8038" w:type="dxa"/>
            <w:tcBorders>
              <w:left w:val="single" w:color="auto" w:sz="4" w:space="0"/>
            </w:tcBorders>
            <w:vAlign w:val="center"/>
          </w:tcPr>
          <w:p>
            <w:pPr>
              <w:spacing w:line="360" w:lineRule="auto"/>
              <w:rPr>
                <w:rFonts w:ascii="宋体" w:cs="宋体"/>
                <w:i/>
                <w:sz w:val="24"/>
                <w:szCs w:val="24"/>
              </w:rPr>
            </w:pPr>
            <w:r>
              <w:rPr>
                <w:rFonts w:hint="eastAsia" w:ascii="宋体" w:hAnsi="宋体" w:cs="宋体"/>
                <w:sz w:val="24"/>
                <w:szCs w:val="24"/>
              </w:rPr>
              <w:t>投标有效期：</w:t>
            </w:r>
            <w:r>
              <w:rPr>
                <w:rFonts w:ascii="宋体" w:hAnsi="宋体" w:cs="宋体"/>
                <w:sz w:val="24"/>
                <w:szCs w:val="24"/>
                <w:u w:val="single"/>
              </w:rPr>
              <w:t xml:space="preserve">  90  </w:t>
            </w:r>
            <w:r>
              <w:rPr>
                <w:rFonts w:hint="eastAsia" w:ascii="宋体" w:hAnsi="宋体" w:cs="宋体"/>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1177" w:type="dxa"/>
            <w:tcBorders>
              <w:right w:val="single" w:color="auto" w:sz="4" w:space="0"/>
            </w:tcBorders>
            <w:vAlign w:val="center"/>
          </w:tcPr>
          <w:p>
            <w:pPr>
              <w:spacing w:line="360" w:lineRule="auto"/>
              <w:jc w:val="center"/>
              <w:rPr>
                <w:rFonts w:ascii="宋体" w:cs="宋体"/>
                <w:kern w:val="0"/>
                <w:sz w:val="24"/>
                <w:szCs w:val="24"/>
              </w:rPr>
            </w:pPr>
            <w:r>
              <w:rPr>
                <w:rFonts w:ascii="宋体" w:hAnsi="宋体" w:cs="宋体"/>
                <w:sz w:val="24"/>
                <w:szCs w:val="24"/>
              </w:rPr>
              <w:t>19.1</w:t>
            </w:r>
          </w:p>
        </w:tc>
        <w:tc>
          <w:tcPr>
            <w:tcW w:w="8038" w:type="dxa"/>
            <w:tcBorders>
              <w:left w:val="single" w:color="auto" w:sz="4" w:space="0"/>
            </w:tcBorders>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投标文件包括：</w:t>
            </w:r>
          </w:p>
          <w:p>
            <w:pPr>
              <w:numPr>
                <w:ilvl w:val="0"/>
                <w:numId w:val="0"/>
              </w:numPr>
              <w:spacing w:line="360" w:lineRule="auto"/>
              <w:rPr>
                <w:rFonts w:hint="eastAsia" w:ascii="宋体" w:hAnsi="宋体" w:eastAsia="宋体" w:cs="宋体"/>
                <w:color w:val="auto"/>
                <w:sz w:val="24"/>
                <w:szCs w:val="24"/>
              </w:rPr>
            </w:pPr>
            <w:r>
              <w:rPr>
                <w:rFonts w:hint="eastAsia" w:ascii="宋体" w:hAnsi="宋体" w:cs="宋体"/>
                <w:color w:val="auto"/>
                <w:sz w:val="24"/>
                <w:szCs w:val="24"/>
              </w:rPr>
              <w:t xml:space="preserve">加密的电子投标文件，在投标截止时间前通过新疆政府采购网上传；     </w:t>
            </w:r>
            <w:r>
              <w:rPr>
                <w:rFonts w:hint="eastAsia" w:ascii="宋体" w:hAnsi="宋体" w:eastAsia="宋体" w:cs="宋体"/>
                <w:color w:val="auto"/>
                <w:sz w:val="24"/>
                <w:szCs w:val="24"/>
              </w:rPr>
              <w:t xml:space="preserve"> </w:t>
            </w:r>
          </w:p>
          <w:p>
            <w:pPr>
              <w:numPr>
                <w:ilvl w:val="0"/>
                <w:numId w:val="0"/>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注：加密的电子投标文件为使用政采云电子投标客户端制作生成的加密版投标文件。未加密的电子投标文件应与加密的电子投标文件为同时生成的版本</w:t>
            </w:r>
            <w:r>
              <w:rPr>
                <w:rFonts w:hint="eastAsia" w:ascii="宋体" w:hAnsi="宋体" w:eastAsia="宋体" w:cs="宋体"/>
                <w:color w:val="auto"/>
                <w:sz w:val="24"/>
                <w:szCs w:val="24"/>
                <w:lang w:val="en-US" w:eastAsia="zh-CN"/>
              </w:rPr>
              <w:t>并已加盖公章</w:t>
            </w:r>
            <w:r>
              <w:rPr>
                <w:rFonts w:hint="eastAsia" w:ascii="宋体" w:hAnsi="宋体" w:eastAsia="宋体" w:cs="宋体"/>
                <w:color w:val="auto"/>
                <w:sz w:val="24"/>
                <w:szCs w:val="24"/>
              </w:rPr>
              <w:t>。</w:t>
            </w:r>
          </w:p>
          <w:p>
            <w:pPr>
              <w:pStyle w:val="45"/>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备注：因投标人自身原因导致解密失败的，将导致其投标被拒绝且投标文件被退回；</w:t>
            </w:r>
            <w:r>
              <w:rPr>
                <w:rFonts w:hint="eastAsia" w:ascii="宋体" w:hAnsi="宋体" w:eastAsia="宋体" w:cs="宋体"/>
                <w:b/>
                <w:bCs/>
                <w:color w:val="auto"/>
                <w:sz w:val="24"/>
                <w:szCs w:val="24"/>
              </w:rPr>
              <w:t>但因网上招标系统故障导致所有投标人均解密失败时</w:t>
            </w:r>
            <w:r>
              <w:rPr>
                <w:rFonts w:hint="eastAsia" w:ascii="宋体" w:hAnsi="宋体" w:eastAsia="宋体" w:cs="宋体"/>
                <w:color w:val="auto"/>
                <w:sz w:val="24"/>
                <w:szCs w:val="24"/>
              </w:rPr>
              <w:t>，使用投标人未加密的电子投标文件进行开评标</w:t>
            </w:r>
            <w:r>
              <w:rPr>
                <w:rFonts w:hint="eastAsia" w:ascii="宋体" w:hAnsi="宋体" w:eastAsia="宋体" w:cs="宋体"/>
                <w:color w:val="auto"/>
                <w:sz w:val="24"/>
                <w:szCs w:val="24"/>
                <w:lang w:val="en-US" w:eastAsia="zh-CN"/>
              </w:rPr>
              <w:t>或者相应的延长项目的解密时间</w:t>
            </w:r>
            <w:r>
              <w:rPr>
                <w:rFonts w:hint="eastAsia" w:ascii="宋体" w:hAnsi="宋体" w:eastAsia="宋体" w:cs="宋体"/>
                <w:color w:val="auto"/>
                <w:sz w:val="24"/>
                <w:szCs w:val="24"/>
              </w:rPr>
              <w:t>。未发送未加密电子投标文件导致解密失败的，由投标人自行承</w:t>
            </w:r>
            <w:r>
              <w:rPr>
                <w:rFonts w:hint="eastAsia" w:ascii="宋体" w:hAnsi="宋体" w:eastAsia="宋体" w:cs="宋体"/>
                <w:color w:val="auto"/>
                <w:kern w:val="2"/>
                <w:sz w:val="24"/>
                <w:szCs w:val="24"/>
                <w:lang w:val="en-US" w:eastAsia="zh-CN" w:bidi="ar-SA"/>
              </w:rPr>
              <w:t>担责任，将被视为无效投标，默认解密时长为：30 分钟。</w:t>
            </w:r>
          </w:p>
          <w:p>
            <w:pPr>
              <w:shd w:val="clear"/>
              <w:spacing w:line="360" w:lineRule="auto"/>
              <w:rPr>
                <w:rFonts w:hint="eastAsia"/>
              </w:rPr>
            </w:pPr>
            <w:r>
              <w:rPr>
                <w:rFonts w:hint="eastAsia" w:ascii="宋体" w:hAnsi="宋体" w:eastAsia="宋体" w:cs="宋体"/>
                <w:color w:val="auto"/>
                <w:sz w:val="24"/>
                <w:szCs w:val="24"/>
                <w:lang w:val="en-US" w:eastAsia="zh-CN"/>
              </w:rPr>
              <w:t>投标文件份数：资格证明材料部分及商务、技术部分（所有部分胶装成一册）正本1份，副本1份，电子版1份（</w:t>
            </w:r>
            <w:r>
              <w:rPr>
                <w:rFonts w:hint="eastAsia" w:ascii="宋体" w:hAnsi="宋体" w:eastAsia="宋体" w:cs="宋体"/>
                <w:color w:val="auto"/>
                <w:sz w:val="24"/>
                <w:szCs w:val="24"/>
                <w:lang w:val="zh-CN" w:eastAsia="zh-CN"/>
              </w:rPr>
              <w:t>存储介质：U盘，单独密封,请将加盖公章正本扫描件PDF模式上传</w:t>
            </w:r>
            <w:r>
              <w:rPr>
                <w:rFonts w:hint="eastAsia" w:ascii="宋体" w:hAnsi="宋体" w:eastAsia="宋体" w:cs="宋体"/>
                <w:color w:val="auto"/>
                <w:sz w:val="24"/>
                <w:szCs w:val="24"/>
                <w:lang w:val="en-US" w:eastAsia="zh-CN"/>
              </w:rPr>
              <w:t>）。</w:t>
            </w:r>
          </w:p>
          <w:p>
            <w:pPr>
              <w:spacing w:line="360" w:lineRule="auto"/>
              <w:rPr>
                <w:rFonts w:ascii="宋体" w:cs="宋体"/>
                <w:sz w:val="24"/>
                <w:szCs w:val="24"/>
              </w:rPr>
            </w:pPr>
            <w:r>
              <w:rPr>
                <w:rFonts w:hint="eastAsia" w:ascii="宋体" w:hAnsi="宋体" w:eastAsia="宋体" w:cs="宋体"/>
                <w:b/>
                <w:bCs/>
                <w:color w:val="auto"/>
                <w:sz w:val="24"/>
                <w:szCs w:val="24"/>
                <w:lang w:val="en-US" w:eastAsia="zh-CN"/>
              </w:rPr>
              <w:t>仅成交人于开标后的三个日历日内</w:t>
            </w:r>
            <w:r>
              <w:rPr>
                <w:rFonts w:hint="eastAsia" w:ascii="宋体" w:hAnsi="宋体" w:eastAsia="宋体" w:cs="宋体"/>
                <w:b w:val="0"/>
                <w:bCs w:val="0"/>
                <w:color w:val="auto"/>
                <w:sz w:val="24"/>
                <w:szCs w:val="24"/>
                <w:lang w:val="en-US" w:eastAsia="zh-CN"/>
              </w:rPr>
              <w:t>送</w:t>
            </w:r>
            <w:r>
              <w:rPr>
                <w:rFonts w:hint="eastAsia" w:ascii="宋体" w:hAnsi="宋体" w:eastAsia="宋体" w:cs="宋体"/>
                <w:color w:val="auto"/>
                <w:sz w:val="24"/>
                <w:szCs w:val="24"/>
                <w:lang w:val="en-US" w:eastAsia="zh-CN"/>
              </w:rPr>
              <w:t>至新疆乌鲁木齐高新区（新市区)四平路2288号创新广场(二期)G座20层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19.2</w:t>
            </w:r>
          </w:p>
        </w:tc>
        <w:tc>
          <w:tcPr>
            <w:tcW w:w="8038" w:type="dxa"/>
            <w:tcBorders>
              <w:left w:val="single" w:color="auto" w:sz="4" w:space="0"/>
            </w:tcBorders>
            <w:vAlign w:val="center"/>
          </w:tcPr>
          <w:p>
            <w:pPr>
              <w:spacing w:line="360" w:lineRule="auto"/>
              <w:rPr>
                <w:rFonts w:ascii="宋体" w:cs="宋体"/>
                <w:sz w:val="24"/>
                <w:szCs w:val="24"/>
              </w:rPr>
            </w:pPr>
            <w:r>
              <w:rPr>
                <w:rFonts w:hint="eastAsia" w:ascii="宋体" w:hAnsi="宋体" w:cs="宋体"/>
                <w:sz w:val="24"/>
                <w:szCs w:val="24"/>
              </w:rPr>
              <w:t>投标文件的正本建议采用双面打印，副本可采用正本的复印件（建议双面复印）。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highlight w:val="yellow"/>
              </w:rPr>
            </w:pPr>
            <w:r>
              <w:rPr>
                <w:rFonts w:ascii="宋体" w:hAnsi="宋体" w:cs="宋体"/>
                <w:sz w:val="24"/>
                <w:szCs w:val="24"/>
              </w:rPr>
              <w:t>21.1</w:t>
            </w:r>
          </w:p>
        </w:tc>
        <w:tc>
          <w:tcPr>
            <w:tcW w:w="8038" w:type="dxa"/>
            <w:tcBorders>
              <w:left w:val="single" w:color="auto" w:sz="4" w:space="0"/>
            </w:tcBorders>
            <w:vAlign w:val="center"/>
          </w:tcPr>
          <w:p>
            <w:pPr>
              <w:pStyle w:val="41"/>
              <w:spacing w:before="0" w:beforeAutospacing="0" w:after="0" w:afterAutospacing="0" w:line="360" w:lineRule="auto"/>
              <w:rPr>
                <w:rFonts w:cs="宋体"/>
                <w:kern w:val="2"/>
              </w:rPr>
            </w:pPr>
            <w:r>
              <w:rPr>
                <w:rFonts w:hint="eastAsia" w:cs="宋体"/>
                <w:kern w:val="2"/>
              </w:rPr>
              <w:t>投标截止时间：  202</w:t>
            </w:r>
            <w:r>
              <w:rPr>
                <w:rFonts w:hint="eastAsia" w:cs="宋体"/>
                <w:kern w:val="2"/>
                <w:lang w:val="en-US" w:eastAsia="zh-CN"/>
              </w:rPr>
              <w:t>5</w:t>
            </w:r>
            <w:r>
              <w:rPr>
                <w:rFonts w:hint="eastAsia" w:cs="宋体"/>
                <w:kern w:val="2"/>
              </w:rPr>
              <w:t>年</w:t>
            </w:r>
            <w:r>
              <w:rPr>
                <w:rFonts w:hint="eastAsia" w:cs="宋体"/>
                <w:kern w:val="2"/>
                <w:lang w:val="en-US" w:eastAsia="zh-CN"/>
              </w:rPr>
              <w:t xml:space="preserve">03 </w:t>
            </w:r>
            <w:r>
              <w:rPr>
                <w:rFonts w:hint="eastAsia" w:cs="宋体"/>
                <w:kern w:val="2"/>
              </w:rPr>
              <w:t>月</w:t>
            </w:r>
            <w:r>
              <w:rPr>
                <w:rFonts w:hint="eastAsia" w:cs="宋体"/>
                <w:kern w:val="2"/>
                <w:lang w:val="en-US" w:eastAsia="zh-CN"/>
              </w:rPr>
              <w:t>11</w:t>
            </w:r>
            <w:r>
              <w:rPr>
                <w:rFonts w:hint="eastAsia" w:cs="宋体"/>
                <w:kern w:val="2"/>
              </w:rPr>
              <w:t>日1</w:t>
            </w:r>
            <w:r>
              <w:rPr>
                <w:rFonts w:hint="eastAsia" w:cs="宋体"/>
                <w:kern w:val="2"/>
                <w:lang w:val="en-US" w:eastAsia="zh-CN"/>
              </w:rPr>
              <w:t>6</w:t>
            </w:r>
            <w:r>
              <w:rPr>
                <w:rFonts w:hint="eastAsia" w:cs="宋体"/>
                <w:kern w:val="2"/>
              </w:rPr>
              <w:t>点00分（北京时间）</w:t>
            </w:r>
          </w:p>
          <w:p>
            <w:pPr>
              <w:pStyle w:val="41"/>
              <w:spacing w:before="0" w:beforeAutospacing="0" w:after="0" w:afterAutospacing="0" w:line="360" w:lineRule="auto"/>
              <w:rPr>
                <w:rFonts w:cs="宋体"/>
                <w:kern w:val="2"/>
              </w:rPr>
            </w:pPr>
            <w:r>
              <w:rPr>
                <w:rFonts w:hint="eastAsia" w:cs="宋体"/>
                <w:kern w:val="2"/>
              </w:rPr>
              <w:t>投标文件递交地点：新疆政府采购云平台（https://www.zcygov.cn/）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1" w:hRule="atLeast"/>
        </w:trPr>
        <w:tc>
          <w:tcPr>
            <w:tcW w:w="1177" w:type="dxa"/>
            <w:tcBorders>
              <w:right w:val="single" w:color="auto" w:sz="4" w:space="0"/>
            </w:tcBorders>
            <w:vAlign w:val="center"/>
          </w:tcPr>
          <w:p>
            <w:pPr>
              <w:spacing w:line="360" w:lineRule="auto"/>
              <w:jc w:val="center"/>
              <w:rPr>
                <w:rFonts w:ascii="宋体" w:cs="宋体"/>
                <w:sz w:val="24"/>
                <w:szCs w:val="24"/>
                <w:highlight w:val="yellow"/>
              </w:rPr>
            </w:pPr>
            <w:r>
              <w:rPr>
                <w:rFonts w:ascii="宋体" w:hAnsi="宋体" w:cs="宋体"/>
                <w:sz w:val="24"/>
                <w:szCs w:val="24"/>
              </w:rPr>
              <w:t>24.1</w:t>
            </w:r>
          </w:p>
        </w:tc>
        <w:tc>
          <w:tcPr>
            <w:tcW w:w="8038" w:type="dxa"/>
            <w:tcBorders>
              <w:left w:val="single" w:color="auto" w:sz="4" w:space="0"/>
            </w:tcBorders>
            <w:vAlign w:val="center"/>
          </w:tcPr>
          <w:p>
            <w:pPr>
              <w:tabs>
                <w:tab w:val="left" w:pos="720"/>
              </w:tabs>
              <w:spacing w:line="360" w:lineRule="auto"/>
              <w:rPr>
                <w:rFonts w:ascii="宋体" w:cs="宋体"/>
                <w:kern w:val="0"/>
                <w:sz w:val="24"/>
                <w:szCs w:val="24"/>
              </w:rPr>
            </w:pPr>
            <w:r>
              <w:rPr>
                <w:rFonts w:hint="eastAsia" w:ascii="宋体" w:hAnsi="宋体" w:cs="宋体"/>
                <w:kern w:val="0"/>
                <w:sz w:val="24"/>
                <w:szCs w:val="24"/>
              </w:rPr>
              <w:t>开标时间： 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03</w:t>
            </w:r>
            <w:r>
              <w:rPr>
                <w:rFonts w:hint="eastAsia" w:ascii="宋体" w:hAnsi="宋体" w:cs="宋体"/>
                <w:kern w:val="0"/>
                <w:sz w:val="24"/>
                <w:szCs w:val="24"/>
              </w:rPr>
              <w:t>月</w:t>
            </w:r>
            <w:r>
              <w:rPr>
                <w:rFonts w:hint="eastAsia" w:ascii="宋体" w:hAnsi="宋体" w:cs="宋体"/>
                <w:kern w:val="0"/>
                <w:sz w:val="24"/>
                <w:szCs w:val="24"/>
                <w:lang w:val="en-US" w:eastAsia="zh-CN"/>
              </w:rPr>
              <w:t>11</w:t>
            </w:r>
            <w:r>
              <w:rPr>
                <w:rFonts w:hint="eastAsia" w:ascii="宋体" w:hAnsi="宋体" w:cs="宋体"/>
                <w:kern w:val="0"/>
                <w:sz w:val="24"/>
                <w:szCs w:val="24"/>
              </w:rPr>
              <w:t>日1</w:t>
            </w:r>
            <w:r>
              <w:rPr>
                <w:rFonts w:hint="eastAsia" w:ascii="宋体" w:hAnsi="宋体" w:cs="宋体"/>
                <w:kern w:val="0"/>
                <w:sz w:val="24"/>
                <w:szCs w:val="24"/>
                <w:lang w:val="en-US" w:eastAsia="zh-CN"/>
              </w:rPr>
              <w:t>6</w:t>
            </w:r>
            <w:r>
              <w:rPr>
                <w:rFonts w:hint="eastAsia" w:ascii="宋体" w:hAnsi="宋体" w:cs="宋体"/>
                <w:kern w:val="0"/>
                <w:sz w:val="24"/>
                <w:szCs w:val="24"/>
              </w:rPr>
              <w:t>点00分（北京时间）</w:t>
            </w:r>
          </w:p>
          <w:p>
            <w:pPr>
              <w:spacing w:line="360" w:lineRule="auto"/>
              <w:rPr>
                <w:rFonts w:ascii="宋体" w:cs="宋体"/>
                <w:kern w:val="0"/>
                <w:sz w:val="24"/>
                <w:szCs w:val="24"/>
              </w:rPr>
            </w:pPr>
            <w:r>
              <w:rPr>
                <w:rFonts w:hint="eastAsia" w:ascii="宋体" w:hAnsi="宋体" w:cs="宋体"/>
                <w:kern w:val="0"/>
                <w:sz w:val="24"/>
                <w:szCs w:val="24"/>
              </w:rPr>
              <w:t>开标地点：新疆政府采购云平台（https://www.zcygov.cn/）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26.1</w:t>
            </w:r>
          </w:p>
        </w:tc>
        <w:tc>
          <w:tcPr>
            <w:tcW w:w="8038" w:type="dxa"/>
            <w:tcBorders>
              <w:left w:val="single" w:color="auto" w:sz="4" w:space="0"/>
            </w:tcBorders>
            <w:vAlign w:val="center"/>
          </w:tcPr>
          <w:p>
            <w:pPr>
              <w:spacing w:line="360" w:lineRule="auto"/>
              <w:rPr>
                <w:rFonts w:ascii="宋体" w:cs="宋体"/>
                <w:sz w:val="24"/>
                <w:szCs w:val="24"/>
              </w:rPr>
            </w:pPr>
            <w:r>
              <w:rPr>
                <w:rFonts w:hint="eastAsia" w:ascii="宋体" w:hAnsi="宋体" w:cs="宋体"/>
                <w:sz w:val="24"/>
                <w:szCs w:val="24"/>
              </w:rPr>
              <w:t>本项目评标委员会负责确定中标候选人名单（三名），由采购人根据相关法律法规确定中标人。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1177" w:type="dxa"/>
            <w:tcBorders>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26.1.2</w:t>
            </w:r>
          </w:p>
        </w:tc>
        <w:tc>
          <w:tcPr>
            <w:tcW w:w="8038" w:type="dxa"/>
            <w:tcBorders>
              <w:left w:val="single" w:color="auto" w:sz="4" w:space="0"/>
            </w:tcBorders>
            <w:vAlign w:val="center"/>
          </w:tcPr>
          <w:p>
            <w:pPr>
              <w:spacing w:line="360" w:lineRule="auto"/>
              <w:rPr>
                <w:rFonts w:ascii="宋体" w:cs="宋体"/>
                <w:sz w:val="24"/>
                <w:szCs w:val="24"/>
              </w:rPr>
            </w:pPr>
            <w:r>
              <w:rPr>
                <w:rFonts w:hint="eastAsia" w:ascii="宋体" w:hAnsi="宋体" w:cs="宋体"/>
                <w:sz w:val="24"/>
                <w:szCs w:val="24"/>
              </w:rPr>
              <w:t>本项目评标委员会人数为</w:t>
            </w:r>
            <w:r>
              <w:rPr>
                <w:rFonts w:hint="eastAsia" w:ascii="宋体" w:hAnsi="宋体" w:cs="宋体"/>
                <w:sz w:val="24"/>
                <w:szCs w:val="24"/>
                <w:u w:val="single"/>
                <w:lang w:val="en-US" w:eastAsia="zh-CN"/>
              </w:rPr>
              <w:t>7</w:t>
            </w:r>
            <w:r>
              <w:rPr>
                <w:rFonts w:ascii="宋体" w:hAnsi="宋体" w:cs="宋体"/>
                <w:sz w:val="24"/>
                <w:szCs w:val="24"/>
              </w:rPr>
              <w:t>人及以上单数组成</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26.2</w:t>
            </w:r>
          </w:p>
        </w:tc>
        <w:tc>
          <w:tcPr>
            <w:tcW w:w="8038" w:type="dxa"/>
            <w:tcBorders>
              <w:left w:val="single" w:color="auto" w:sz="4" w:space="0"/>
            </w:tcBorders>
            <w:vAlign w:val="center"/>
          </w:tcPr>
          <w:p>
            <w:pPr>
              <w:spacing w:line="360" w:lineRule="auto"/>
              <w:rPr>
                <w:rFonts w:ascii="宋体" w:cs="宋体"/>
                <w:sz w:val="24"/>
                <w:szCs w:val="24"/>
              </w:rPr>
            </w:pPr>
            <w:r>
              <w:rPr>
                <w:rFonts w:hint="eastAsia" w:ascii="宋体" w:hAnsi="宋体" w:cs="宋体"/>
                <w:sz w:val="24"/>
                <w:szCs w:val="24"/>
              </w:rPr>
              <w:t>评标方法：综合评分法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95"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26.4.5</w:t>
            </w:r>
          </w:p>
        </w:tc>
        <w:tc>
          <w:tcPr>
            <w:tcW w:w="8038" w:type="dxa"/>
            <w:tcBorders>
              <w:left w:val="single" w:color="auto" w:sz="4" w:space="0"/>
            </w:tcBorders>
            <w:vAlign w:val="center"/>
          </w:tcPr>
          <w:p>
            <w:pPr>
              <w:spacing w:line="360" w:lineRule="auto"/>
              <w:rPr>
                <w:rFonts w:hint="eastAsia" w:ascii="宋体" w:hAnsi="宋体" w:cs="宋体"/>
                <w:kern w:val="0"/>
                <w:sz w:val="24"/>
                <w:szCs w:val="24"/>
              </w:rPr>
            </w:pPr>
            <w:r>
              <w:rPr>
                <w:rFonts w:hint="eastAsia" w:ascii="宋体" w:hAnsi="宋体" w:cs="宋体"/>
                <w:sz w:val="24"/>
                <w:szCs w:val="24"/>
              </w:rPr>
              <w:t>本</w:t>
            </w:r>
            <w:r>
              <w:rPr>
                <w:rFonts w:hint="eastAsia" w:ascii="宋体" w:hAnsi="宋体" w:cs="宋体"/>
                <w:kern w:val="0"/>
                <w:sz w:val="24"/>
                <w:szCs w:val="24"/>
              </w:rPr>
              <w:t>次投标最高</w:t>
            </w:r>
            <w:r>
              <w:rPr>
                <w:rFonts w:hint="eastAsia" w:ascii="宋体" w:hAnsi="宋体" w:cs="宋体"/>
                <w:kern w:val="0"/>
                <w:sz w:val="24"/>
                <w:szCs w:val="24"/>
                <w:lang w:val="en-US" w:eastAsia="zh-CN"/>
              </w:rPr>
              <w:t>单价</w:t>
            </w:r>
            <w:r>
              <w:rPr>
                <w:rFonts w:hint="eastAsia" w:ascii="宋体" w:hAnsi="宋体" w:cs="宋体"/>
                <w:kern w:val="0"/>
                <w:sz w:val="24"/>
                <w:szCs w:val="24"/>
              </w:rPr>
              <w:t>限价：</w:t>
            </w:r>
          </w:p>
          <w:p>
            <w:pPr>
              <w:pStyle w:val="2"/>
              <w:rPr>
                <w:rFonts w:hint="eastAsia"/>
              </w:rPr>
            </w:pPr>
            <w:r>
              <w:drawing>
                <wp:inline distT="0" distB="0" distL="114300" distR="114300">
                  <wp:extent cx="4425950" cy="211010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rcRect b="29717"/>
                          <a:stretch>
                            <a:fillRect/>
                          </a:stretch>
                        </pic:blipFill>
                        <pic:spPr>
                          <a:xfrm>
                            <a:off x="0" y="0"/>
                            <a:ext cx="4425950" cy="2110105"/>
                          </a:xfrm>
                          <a:prstGeom prst="rect">
                            <a:avLst/>
                          </a:prstGeom>
                          <a:noFill/>
                          <a:ln>
                            <a:noFill/>
                          </a:ln>
                        </pic:spPr>
                      </pic:pic>
                    </a:graphicData>
                  </a:graphic>
                </wp:inline>
              </w:drawing>
            </w:r>
          </w:p>
          <w:p>
            <w:pPr>
              <w:spacing w:line="360" w:lineRule="auto"/>
            </w:pPr>
            <w:r>
              <w:rPr>
                <w:rFonts w:hint="eastAsia" w:ascii="宋体" w:hAnsi="宋体" w:cs="宋体"/>
                <w:kern w:val="0"/>
                <w:sz w:val="24"/>
                <w:szCs w:val="24"/>
              </w:rPr>
              <w:t>各投标人的投标报价超出此限价将做废标处理。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9215" w:type="dxa"/>
            <w:gridSpan w:val="2"/>
            <w:vAlign w:val="center"/>
          </w:tcPr>
          <w:p>
            <w:pPr>
              <w:spacing w:line="360" w:lineRule="auto"/>
              <w:jc w:val="center"/>
              <w:rPr>
                <w:rFonts w:ascii="宋体" w:cs="宋体"/>
                <w:b/>
                <w:sz w:val="24"/>
                <w:szCs w:val="24"/>
              </w:rPr>
            </w:pPr>
            <w:r>
              <w:rPr>
                <w:rFonts w:hint="eastAsia" w:ascii="宋体" w:hAnsi="宋体" w:cs="宋体"/>
                <w:b/>
                <w:sz w:val="24"/>
                <w:szCs w:val="24"/>
              </w:rPr>
              <w:t>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615" w:hRule="atLeast"/>
        </w:trPr>
        <w:tc>
          <w:tcPr>
            <w:tcW w:w="9215" w:type="dxa"/>
            <w:gridSpan w:val="2"/>
            <w:tcBorders>
              <w:bottom w:val="single" w:color="auto" w:sz="12" w:space="0"/>
            </w:tcBorders>
            <w:vAlign w:val="center"/>
          </w:tcPr>
          <w:p>
            <w:pPr>
              <w:spacing w:line="360" w:lineRule="auto"/>
              <w:rPr>
                <w:rFonts w:hint="eastAsia"/>
              </w:rPr>
            </w:pPr>
            <w:r>
              <w:rPr>
                <w:rFonts w:hint="eastAsia"/>
              </w:rPr>
              <w:t>1.招标文件中要求提供的资格证明材料等，均为企业法人提供，投标人如为事业单位法人、其他组织或者自然人，可提供符合要求的相对应的证明文件。</w:t>
            </w:r>
          </w:p>
          <w:p>
            <w:pPr>
              <w:spacing w:line="360" w:lineRule="auto"/>
              <w:rPr>
                <w:rFonts w:hint="eastAsia"/>
              </w:rPr>
            </w:pPr>
            <w:r>
              <w:rPr>
                <w:rFonts w:hint="eastAsia"/>
              </w:rPr>
              <w:t>2.招标文件中要求加盖单位公章的，投标人如为自然人，自然人本人签字即可。</w:t>
            </w:r>
          </w:p>
          <w:p>
            <w:pPr>
              <w:spacing w:line="360" w:lineRule="auto"/>
              <w:rPr>
                <w:rFonts w:hint="eastAsia"/>
              </w:rPr>
            </w:pPr>
            <w:r>
              <w:rPr>
                <w:rFonts w:hint="eastAsia"/>
              </w:rPr>
              <w:t>3.采购人不接受投标人给予的赠品、回扣或者与采购无关的其他商品、服务。</w:t>
            </w:r>
          </w:p>
          <w:p>
            <w:pPr>
              <w:spacing w:line="360" w:lineRule="auto"/>
              <w:rPr>
                <w:rFonts w:hint="eastAsia"/>
                <w:lang w:val="en-US" w:eastAsia="zh-CN"/>
              </w:rPr>
            </w:pPr>
            <w:r>
              <w:rPr>
                <w:rFonts w:hint="eastAsia"/>
                <w:lang w:val="en-US" w:eastAsia="zh-CN"/>
              </w:rPr>
              <w:t>4</w:t>
            </w:r>
            <w:r>
              <w:rPr>
                <w:rFonts w:hint="eastAsia"/>
              </w:rPr>
              <w:t>.本项目所属行</w:t>
            </w:r>
            <w:r>
              <w:rPr>
                <w:rFonts w:hint="eastAsia"/>
                <w:lang w:val="en-US" w:eastAsia="zh-CN"/>
              </w:rPr>
              <w:t>业：其他未列明行业。</w:t>
            </w:r>
          </w:p>
          <w:p>
            <w:pPr>
              <w:spacing w:line="360" w:lineRule="auto"/>
              <w:rPr>
                <w:rFonts w:hint="eastAsia"/>
                <w:lang w:val="en-US" w:eastAsia="zh-CN"/>
              </w:rPr>
            </w:pPr>
            <w:r>
              <w:rPr>
                <w:rFonts w:hint="eastAsia"/>
                <w:lang w:val="en-US" w:eastAsia="zh-CN"/>
              </w:rPr>
              <w:t>5.投标文件在线解密时长为30分钟，因投标人自身原因未在规定时间内解密投标文件导致废标的，由投标人自行承担后果。</w:t>
            </w:r>
          </w:p>
          <w:p>
            <w:pPr>
              <w:spacing w:line="360" w:lineRule="auto"/>
              <w:rPr>
                <w:rFonts w:hint="eastAsia" w:ascii="Times New Roman" w:hAnsi="Times New Roman" w:eastAsia="宋体" w:cs="Times New Roman"/>
                <w:lang w:val="en-US" w:eastAsia="zh-CN"/>
              </w:rPr>
            </w:pPr>
            <w:r>
              <w:rPr>
                <w:rFonts w:hint="eastAsia"/>
                <w:lang w:val="en-US" w:eastAsia="zh-CN"/>
              </w:rPr>
              <w:t>6.是</w:t>
            </w:r>
            <w:r>
              <w:rPr>
                <w:rFonts w:hint="eastAsia" w:ascii="Times New Roman" w:hAnsi="Times New Roman" w:eastAsia="宋体" w:cs="Times New Roman"/>
                <w:lang w:val="en-US" w:eastAsia="zh-CN"/>
              </w:rPr>
              <w:t>否为专门面向中小企业采购： 否   （是、否）</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对符合规定的小微企业报价给予10%的扣除，用扣除后的价格参加评审。</w:t>
            </w:r>
          </w:p>
          <w:p>
            <w:pPr>
              <w:spacing w:line="360" w:lineRule="auto"/>
              <w:rPr>
                <w:rFonts w:hint="default"/>
                <w:lang w:val="en-US" w:eastAsia="zh-CN"/>
              </w:rPr>
            </w:pPr>
            <w:r>
              <w:rPr>
                <w:rFonts w:hint="eastAsia" w:ascii="Times New Roman" w:hAnsi="Times New Roman" w:eastAsia="宋体" w:cs="Times New Roman"/>
                <w:b/>
                <w:bCs/>
                <w:lang w:val="en-US" w:eastAsia="zh-CN"/>
              </w:rPr>
              <w:t>7.</w:t>
            </w:r>
            <w:bookmarkStart w:id="37" w:name="OLE_LINK8"/>
            <w:r>
              <w:rPr>
                <w:rFonts w:hint="eastAsia" w:ascii="Times New Roman" w:hAnsi="Times New Roman" w:eastAsia="宋体" w:cs="Times New Roman"/>
                <w:b/>
                <w:bCs/>
                <w:lang w:val="en-US" w:eastAsia="zh-CN"/>
              </w:rPr>
              <w:t>各投标单位可以兼投但不能兼中，以（标项）顺序进行评审。标项</w:t>
            </w:r>
            <w:r>
              <w:rPr>
                <w:rFonts w:hint="eastAsia" w:cs="Times New Roman"/>
                <w:b/>
                <w:bCs/>
                <w:lang w:val="en-US" w:eastAsia="zh-CN"/>
              </w:rPr>
              <w:t>四-1</w:t>
            </w:r>
            <w:r>
              <w:rPr>
                <w:rFonts w:hint="eastAsia" w:ascii="Times New Roman" w:hAnsi="Times New Roman" w:eastAsia="宋体" w:cs="Times New Roman"/>
                <w:b/>
                <w:bCs/>
                <w:lang w:val="en-US" w:eastAsia="zh-CN"/>
              </w:rPr>
              <w:t>的中标人若参与</w:t>
            </w:r>
            <w:r>
              <w:rPr>
                <w:rFonts w:hint="eastAsia" w:cs="Times New Roman"/>
                <w:b/>
                <w:bCs/>
                <w:lang w:val="en-US" w:eastAsia="zh-CN"/>
              </w:rPr>
              <w:t>标项四-2</w:t>
            </w:r>
            <w:r>
              <w:rPr>
                <w:rFonts w:hint="eastAsia" w:ascii="Times New Roman" w:hAnsi="Times New Roman" w:eastAsia="宋体" w:cs="Times New Roman"/>
                <w:b/>
                <w:bCs/>
                <w:lang w:val="en-US" w:eastAsia="zh-CN"/>
              </w:rPr>
              <w:t>则其不进入报价计算</w:t>
            </w:r>
            <w:r>
              <w:rPr>
                <w:rFonts w:hint="eastAsia" w:cs="Times New Roman"/>
                <w:b/>
                <w:bCs/>
                <w:lang w:val="en-US" w:eastAsia="zh-CN"/>
              </w:rPr>
              <w:t>，报价得分为0分</w:t>
            </w:r>
            <w:r>
              <w:rPr>
                <w:rFonts w:hint="eastAsia" w:ascii="Times New Roman" w:hAnsi="Times New Roman" w:eastAsia="宋体" w:cs="Times New Roman"/>
                <w:b/>
                <w:bCs/>
                <w:lang w:val="en-US" w:eastAsia="zh-CN"/>
              </w:rPr>
              <w:t>，以此类推。</w:t>
            </w:r>
            <w:bookmarkEnd w:id="37"/>
          </w:p>
        </w:tc>
      </w:tr>
    </w:tbl>
    <w:p>
      <w:pPr>
        <w:rPr>
          <w:rFonts w:ascii="宋体" w:cs="宋体"/>
          <w:w w:val="90"/>
        </w:rPr>
        <w:sectPr>
          <w:pgSz w:w="11906" w:h="16838"/>
          <w:pgMar w:top="1440" w:right="1800" w:bottom="1440" w:left="1800" w:header="850" w:footer="992" w:gutter="0"/>
          <w:pgBorders>
            <w:top w:val="none" w:sz="0" w:space="0"/>
            <w:left w:val="none" w:sz="0" w:space="0"/>
            <w:bottom w:val="none" w:sz="0" w:space="0"/>
            <w:right w:val="none" w:sz="0" w:space="0"/>
          </w:pgBorders>
          <w:cols w:space="720" w:num="1"/>
          <w:titlePg/>
          <w:rtlGutter w:val="1"/>
          <w:docGrid w:type="lines" w:linePitch="312" w:charSpace="0"/>
        </w:sectPr>
      </w:pPr>
    </w:p>
    <w:p>
      <w:pPr>
        <w:pStyle w:val="3"/>
        <w:spacing w:line="360" w:lineRule="auto"/>
        <w:jc w:val="center"/>
        <w:rPr>
          <w:rFonts w:ascii="宋体" w:cs="宋体"/>
          <w:w w:val="90"/>
        </w:rPr>
      </w:pPr>
      <w:bookmarkStart w:id="38" w:name="_Toc14776835"/>
      <w:bookmarkStart w:id="39" w:name="_Toc2511968"/>
      <w:bookmarkStart w:id="40" w:name="_Toc44705271"/>
      <w:bookmarkStart w:id="41" w:name="_Toc44705050"/>
      <w:bookmarkStart w:id="42" w:name="_Toc44704903"/>
      <w:r>
        <w:rPr>
          <w:rFonts w:hint="eastAsia" w:ascii="宋体" w:hAnsi="宋体" w:cs="宋体"/>
          <w:w w:val="90"/>
        </w:rPr>
        <w:t>第三章</w:t>
      </w:r>
      <w:r>
        <w:rPr>
          <w:rFonts w:ascii="宋体" w:hAnsi="宋体" w:cs="宋体"/>
          <w:w w:val="90"/>
        </w:rPr>
        <w:t xml:space="preserve"> </w:t>
      </w:r>
      <w:r>
        <w:rPr>
          <w:rFonts w:hint="eastAsia" w:ascii="宋体" w:hAnsi="宋体" w:cs="宋体"/>
          <w:w w:val="90"/>
        </w:rPr>
        <w:t>投标人须知</w:t>
      </w:r>
      <w:bookmarkEnd w:id="38"/>
      <w:bookmarkEnd w:id="39"/>
      <w:bookmarkEnd w:id="40"/>
      <w:bookmarkEnd w:id="41"/>
      <w:bookmarkEnd w:id="42"/>
    </w:p>
    <w:p>
      <w:pPr>
        <w:spacing w:line="360" w:lineRule="auto"/>
        <w:rPr>
          <w:rFonts w:ascii="宋体" w:cs="宋体"/>
          <w:b/>
          <w:sz w:val="24"/>
          <w:szCs w:val="24"/>
        </w:rPr>
      </w:pPr>
      <w:r>
        <w:rPr>
          <w:rFonts w:hint="eastAsia" w:ascii="宋体" w:hAnsi="宋体" w:cs="宋体"/>
          <w:b/>
          <w:sz w:val="24"/>
          <w:szCs w:val="24"/>
        </w:rPr>
        <w:t>一、说明</w:t>
      </w:r>
    </w:p>
    <w:p>
      <w:pPr>
        <w:spacing w:line="360" w:lineRule="auto"/>
        <w:ind w:firstLine="482" w:firstLineChars="200"/>
        <w:rPr>
          <w:rFonts w:ascii="宋体" w:cs="宋体"/>
          <w:b/>
          <w:sz w:val="24"/>
          <w:szCs w:val="24"/>
        </w:rPr>
      </w:pPr>
      <w:r>
        <w:rPr>
          <w:rFonts w:ascii="宋体" w:hAnsi="宋体" w:cs="宋体"/>
          <w:b/>
          <w:sz w:val="24"/>
          <w:szCs w:val="24"/>
        </w:rPr>
        <w:t>1.</w:t>
      </w:r>
      <w:r>
        <w:rPr>
          <w:rFonts w:hint="eastAsia" w:ascii="宋体" w:hAnsi="宋体" w:cs="宋体"/>
          <w:b/>
          <w:sz w:val="24"/>
          <w:szCs w:val="24"/>
        </w:rPr>
        <w:t>项目说明</w:t>
      </w:r>
    </w:p>
    <w:p>
      <w:pPr>
        <w:spacing w:line="360" w:lineRule="auto"/>
        <w:ind w:firstLine="480" w:firstLineChars="200"/>
        <w:rPr>
          <w:rFonts w:ascii="宋体" w:cs="宋体"/>
          <w:sz w:val="24"/>
          <w:szCs w:val="24"/>
        </w:rPr>
      </w:pPr>
      <w:r>
        <w:rPr>
          <w:rFonts w:ascii="宋体" w:hAnsi="宋体" w:cs="宋体"/>
          <w:sz w:val="24"/>
          <w:szCs w:val="24"/>
        </w:rPr>
        <w:t>1.1</w:t>
      </w:r>
      <w:r>
        <w:rPr>
          <w:rFonts w:hint="eastAsia" w:ascii="宋体" w:hAnsi="宋体" w:cs="宋体"/>
          <w:sz w:val="24"/>
          <w:szCs w:val="24"/>
        </w:rPr>
        <w:t>项目名称及编号：详见投标人须知前附表。</w:t>
      </w:r>
    </w:p>
    <w:p>
      <w:pPr>
        <w:spacing w:line="360" w:lineRule="auto"/>
        <w:ind w:firstLine="480" w:firstLineChars="200"/>
        <w:rPr>
          <w:rFonts w:hint="eastAsia" w:ascii="宋体" w:hAnsi="宋体" w:cs="宋体"/>
          <w:sz w:val="24"/>
          <w:szCs w:val="24"/>
        </w:rPr>
      </w:pPr>
      <w:r>
        <w:rPr>
          <w:rFonts w:ascii="宋体" w:hAnsi="宋体" w:cs="宋体"/>
          <w:sz w:val="24"/>
          <w:szCs w:val="24"/>
        </w:rPr>
        <w:t>1.2</w:t>
      </w:r>
      <w:r>
        <w:rPr>
          <w:rFonts w:hint="eastAsia" w:ascii="宋体" w:hAnsi="宋体" w:cs="宋体"/>
          <w:sz w:val="24"/>
          <w:szCs w:val="24"/>
        </w:rPr>
        <w:t>资金来源：详见投标人须知前附表。采购人已获得足以支付本次采购后所签订的合同项下的款项（包括财政性资金和自筹资金）。</w:t>
      </w:r>
    </w:p>
    <w:p>
      <w:pPr>
        <w:spacing w:line="360" w:lineRule="auto"/>
        <w:ind w:firstLine="480" w:firstLineChars="200"/>
      </w:pPr>
      <w:r>
        <w:rPr>
          <w:rFonts w:hint="eastAsia" w:ascii="宋体" w:hAnsi="宋体" w:cs="宋体"/>
          <w:sz w:val="24"/>
          <w:szCs w:val="24"/>
          <w:lang w:val="en-US" w:eastAsia="zh-CN"/>
        </w:rPr>
        <w:t>1.3</w:t>
      </w:r>
      <w:r>
        <w:rPr>
          <w:rFonts w:hint="eastAsia" w:ascii="宋体" w:hAnsi="宋体" w:cs="宋体"/>
          <w:sz w:val="24"/>
          <w:szCs w:val="24"/>
        </w:rPr>
        <w:t>合同履行期限：详见投标人须知前附表。</w:t>
      </w:r>
    </w:p>
    <w:p>
      <w:pPr>
        <w:spacing w:line="360" w:lineRule="auto"/>
        <w:ind w:firstLine="482" w:firstLineChars="200"/>
        <w:rPr>
          <w:rFonts w:ascii="宋体" w:cs="宋体"/>
          <w:b/>
          <w:sz w:val="24"/>
          <w:szCs w:val="24"/>
        </w:rPr>
      </w:pPr>
      <w:r>
        <w:rPr>
          <w:rFonts w:ascii="宋体" w:hAnsi="宋体" w:cs="宋体"/>
          <w:b/>
          <w:sz w:val="24"/>
          <w:szCs w:val="24"/>
        </w:rPr>
        <w:t>2.</w:t>
      </w:r>
      <w:r>
        <w:rPr>
          <w:rFonts w:hint="eastAsia" w:ascii="宋体" w:hAnsi="宋体" w:cs="宋体"/>
          <w:b/>
          <w:sz w:val="24"/>
          <w:szCs w:val="24"/>
        </w:rPr>
        <w:t>采购人、采购代理机构、投标人、合格投标人</w:t>
      </w:r>
    </w:p>
    <w:p>
      <w:pPr>
        <w:spacing w:line="360" w:lineRule="auto"/>
        <w:ind w:firstLine="480" w:firstLineChars="200"/>
        <w:rPr>
          <w:rFonts w:ascii="宋体" w:cs="宋体"/>
          <w:sz w:val="24"/>
          <w:szCs w:val="24"/>
          <w:u w:val="single"/>
        </w:rPr>
      </w:pPr>
      <w:r>
        <w:rPr>
          <w:rFonts w:ascii="宋体" w:hAnsi="宋体" w:cs="宋体"/>
          <w:sz w:val="24"/>
          <w:szCs w:val="24"/>
        </w:rPr>
        <w:t xml:space="preserve">2.1 </w:t>
      </w:r>
      <w:r>
        <w:rPr>
          <w:rFonts w:hint="eastAsia" w:ascii="宋体" w:hAnsi="宋体" w:cs="宋体"/>
          <w:sz w:val="24"/>
          <w:szCs w:val="24"/>
        </w:rPr>
        <w:t>采购人：详见投标人须知前附表。</w:t>
      </w:r>
    </w:p>
    <w:p>
      <w:pPr>
        <w:spacing w:line="360" w:lineRule="auto"/>
        <w:ind w:firstLine="480" w:firstLineChars="200"/>
        <w:rPr>
          <w:rFonts w:ascii="宋体" w:cs="宋体"/>
          <w:sz w:val="24"/>
          <w:szCs w:val="24"/>
        </w:rPr>
      </w:pPr>
      <w:r>
        <w:rPr>
          <w:rFonts w:ascii="宋体" w:hAnsi="宋体" w:cs="宋体"/>
          <w:sz w:val="24"/>
          <w:szCs w:val="24"/>
        </w:rPr>
        <w:t>2.2</w:t>
      </w:r>
      <w:r>
        <w:rPr>
          <w:rFonts w:hint="eastAsia" w:ascii="宋体" w:hAnsi="宋体" w:cs="宋体"/>
          <w:sz w:val="24"/>
          <w:szCs w:val="24"/>
        </w:rPr>
        <w:t>采购代理机构：详见投标人须知前附表。</w:t>
      </w:r>
    </w:p>
    <w:p>
      <w:pPr>
        <w:spacing w:line="360" w:lineRule="auto"/>
        <w:ind w:firstLine="480" w:firstLineChars="200"/>
        <w:rPr>
          <w:rFonts w:ascii="宋体" w:cs="宋体"/>
          <w:sz w:val="24"/>
          <w:szCs w:val="24"/>
        </w:rPr>
      </w:pPr>
      <w:r>
        <w:rPr>
          <w:rFonts w:ascii="宋体" w:hAnsi="宋体" w:cs="宋体"/>
          <w:sz w:val="24"/>
          <w:szCs w:val="24"/>
        </w:rPr>
        <w:t xml:space="preserve">2.3 </w:t>
      </w:r>
      <w:r>
        <w:rPr>
          <w:rFonts w:hint="eastAsia" w:ascii="宋体" w:hAnsi="宋体" w:cs="宋体"/>
          <w:sz w:val="24"/>
          <w:szCs w:val="24"/>
        </w:rPr>
        <w:t>投标人</w:t>
      </w:r>
    </w:p>
    <w:p>
      <w:pPr>
        <w:numPr>
          <w:ilvl w:val="1"/>
          <w:numId w:val="6"/>
        </w:numPr>
        <w:spacing w:line="360" w:lineRule="auto"/>
        <w:ind w:left="0" w:firstLine="480" w:firstLineChars="200"/>
        <w:rPr>
          <w:rFonts w:ascii="宋体" w:cs="宋体"/>
          <w:sz w:val="24"/>
          <w:szCs w:val="24"/>
        </w:rPr>
      </w:pPr>
      <w:r>
        <w:rPr>
          <w:rFonts w:hint="eastAsia" w:ascii="宋体" w:hAnsi="宋体" w:cs="宋体"/>
          <w:sz w:val="24"/>
          <w:szCs w:val="24"/>
        </w:rPr>
        <w:t>投标人必须向采购代理机构领取招标文件，未向采购代理机构领取招标文件的潜在投标人均无资格参加投标。</w:t>
      </w:r>
    </w:p>
    <w:p>
      <w:pPr>
        <w:spacing w:line="360" w:lineRule="auto"/>
        <w:ind w:left="480"/>
        <w:rPr>
          <w:rFonts w:ascii="宋体" w:cs="宋体"/>
          <w:sz w:val="24"/>
          <w:szCs w:val="24"/>
        </w:rPr>
      </w:pPr>
      <w:r>
        <w:rPr>
          <w:rFonts w:ascii="宋体" w:hAnsi="宋体" w:cs="宋体"/>
          <w:sz w:val="24"/>
          <w:szCs w:val="24"/>
        </w:rPr>
        <w:t>2.4</w:t>
      </w:r>
      <w:r>
        <w:rPr>
          <w:rFonts w:hint="eastAsia" w:ascii="宋体" w:hAnsi="宋体" w:cs="宋体"/>
          <w:sz w:val="24"/>
          <w:szCs w:val="24"/>
        </w:rPr>
        <w:t>合格投标人</w:t>
      </w:r>
    </w:p>
    <w:p>
      <w:pPr>
        <w:numPr>
          <w:ilvl w:val="0"/>
          <w:numId w:val="7"/>
        </w:numPr>
        <w:spacing w:line="360" w:lineRule="auto"/>
        <w:rPr>
          <w:rFonts w:ascii="宋体" w:cs="宋体"/>
          <w:sz w:val="24"/>
          <w:szCs w:val="24"/>
        </w:rPr>
      </w:pPr>
      <w:r>
        <w:rPr>
          <w:rFonts w:hint="eastAsia" w:ascii="宋体" w:hAnsi="宋体" w:cs="宋体"/>
          <w:sz w:val="24"/>
          <w:szCs w:val="24"/>
        </w:rPr>
        <w:t>合格投标人是指依法通过资格审查的投标人。</w:t>
      </w:r>
    </w:p>
    <w:p>
      <w:pPr>
        <w:spacing w:line="360" w:lineRule="auto"/>
        <w:ind w:firstLine="480" w:firstLineChars="200"/>
        <w:rPr>
          <w:rFonts w:ascii="宋体" w:cs="宋体"/>
          <w:sz w:val="24"/>
          <w:szCs w:val="24"/>
        </w:rPr>
      </w:pPr>
      <w:r>
        <w:rPr>
          <w:rFonts w:ascii="宋体" w:hAnsi="宋体" w:cs="宋体"/>
          <w:sz w:val="24"/>
          <w:szCs w:val="24"/>
        </w:rPr>
        <w:t>2.5</w:t>
      </w:r>
      <w:r>
        <w:rPr>
          <w:rFonts w:hint="eastAsia" w:ascii="宋体" w:hAnsi="宋体" w:cs="宋体"/>
          <w:sz w:val="24"/>
          <w:szCs w:val="24"/>
        </w:rPr>
        <w:t>联合体投标（不适用）</w:t>
      </w:r>
    </w:p>
    <w:p>
      <w:pPr>
        <w:spacing w:line="360" w:lineRule="auto"/>
        <w:ind w:firstLine="480" w:firstLineChars="200"/>
        <w:rPr>
          <w:rFonts w:ascii="宋体" w:cs="宋体"/>
          <w:sz w:val="24"/>
          <w:szCs w:val="24"/>
        </w:rPr>
      </w:pPr>
      <w:r>
        <w:rPr>
          <w:rFonts w:ascii="宋体" w:hAnsi="宋体" w:cs="宋体"/>
          <w:sz w:val="24"/>
          <w:szCs w:val="24"/>
        </w:rPr>
        <w:t>2.5.1</w:t>
      </w:r>
      <w:r>
        <w:rPr>
          <w:rFonts w:hint="eastAsia" w:ascii="宋体" w:hAnsi="宋体" w:cs="宋体"/>
          <w:sz w:val="24"/>
          <w:szCs w:val="24"/>
        </w:rPr>
        <w:t>两个以上的自然人、法人或者其他组织可以组成一个联合体，以一个投标人的身份共同参加政府采购。</w:t>
      </w:r>
    </w:p>
    <w:p>
      <w:pPr>
        <w:spacing w:line="360" w:lineRule="auto"/>
        <w:ind w:firstLine="480" w:firstLineChars="200"/>
        <w:rPr>
          <w:rFonts w:ascii="宋体" w:cs="宋体"/>
          <w:sz w:val="24"/>
          <w:szCs w:val="24"/>
        </w:rPr>
      </w:pPr>
      <w:r>
        <w:rPr>
          <w:rFonts w:ascii="宋体" w:hAnsi="宋体" w:cs="宋体"/>
          <w:sz w:val="24"/>
          <w:szCs w:val="24"/>
        </w:rPr>
        <w:t>2.5.2</w:t>
      </w:r>
      <w:r>
        <w:rPr>
          <w:rFonts w:hint="eastAsia" w:ascii="宋体" w:hAnsi="宋体" w:cs="宋体"/>
          <w:sz w:val="24"/>
          <w:szCs w:val="24"/>
        </w:rPr>
        <w:t>以联合体形式进行政府采购的，参加联合体的投标人均应当具备《中华人民共和国政府采购法》第二十二条规定的条件。采购人根据采购项目的特殊要求，规定投标人的特定条件，联合体各方中至少应当有一方符合采购人规定的特定条件。并应当向采购人提交联合协议，载明联合体各方承担的工作和义务。联合体投标协议应该在投标文件中提交。</w:t>
      </w:r>
    </w:p>
    <w:p>
      <w:pPr>
        <w:spacing w:line="360" w:lineRule="auto"/>
        <w:ind w:firstLine="480" w:firstLineChars="200"/>
        <w:rPr>
          <w:rFonts w:ascii="宋体" w:cs="宋体"/>
          <w:sz w:val="24"/>
          <w:szCs w:val="24"/>
        </w:rPr>
      </w:pPr>
      <w:r>
        <w:rPr>
          <w:rFonts w:ascii="宋体" w:hAnsi="宋体" w:cs="宋体"/>
          <w:sz w:val="24"/>
          <w:szCs w:val="24"/>
        </w:rPr>
        <w:t>2.5.3</w:t>
      </w:r>
      <w:r>
        <w:rPr>
          <w:rFonts w:hint="eastAsia" w:ascii="宋体" w:hAnsi="宋体" w:cs="宋体"/>
          <w:sz w:val="24"/>
          <w:szCs w:val="24"/>
        </w:rPr>
        <w:t>联合体中有同类资质的投标人按照联合体分工承担相同工作的，按照资质等级较低的投标人确定资质等级。</w:t>
      </w:r>
    </w:p>
    <w:p>
      <w:pPr>
        <w:spacing w:line="360" w:lineRule="auto"/>
        <w:ind w:firstLine="480" w:firstLineChars="200"/>
        <w:rPr>
          <w:rFonts w:ascii="宋体" w:cs="宋体"/>
          <w:sz w:val="24"/>
          <w:szCs w:val="24"/>
        </w:rPr>
      </w:pPr>
      <w:r>
        <w:rPr>
          <w:rFonts w:ascii="宋体" w:hAnsi="宋体" w:cs="宋体"/>
          <w:sz w:val="24"/>
          <w:szCs w:val="24"/>
        </w:rPr>
        <w:t>2.5.4</w:t>
      </w:r>
      <w:r>
        <w:rPr>
          <w:rFonts w:hint="eastAsia" w:ascii="宋体" w:hAnsi="宋体" w:cs="宋体"/>
          <w:sz w:val="24"/>
          <w:szCs w:val="24"/>
        </w:rPr>
        <w:t>以联合体形式参加政府采购活动的，联合体各方不得再单独参加或者与其他投标人另外组成联合体参加同一合同项下的政府采购活动。</w:t>
      </w:r>
    </w:p>
    <w:p>
      <w:pPr>
        <w:spacing w:line="360" w:lineRule="auto"/>
        <w:ind w:firstLine="480" w:firstLineChars="200"/>
        <w:rPr>
          <w:rFonts w:ascii="宋体" w:cs="宋体"/>
          <w:sz w:val="24"/>
          <w:szCs w:val="24"/>
        </w:rPr>
      </w:pPr>
      <w:r>
        <w:rPr>
          <w:rFonts w:ascii="宋体" w:hAnsi="宋体" w:cs="宋体"/>
          <w:sz w:val="24"/>
          <w:szCs w:val="24"/>
        </w:rPr>
        <w:t>2.5.5</w:t>
      </w:r>
      <w:r>
        <w:rPr>
          <w:rFonts w:hint="eastAsia" w:ascii="宋体" w:hAnsi="宋体" w:cs="宋体"/>
          <w:sz w:val="24"/>
          <w:szCs w:val="24"/>
        </w:rPr>
        <w:t>联合体各方应当共同与采购人签订采购合同，就采购合同约定的事项对采购人承担连带责任。</w:t>
      </w:r>
    </w:p>
    <w:p>
      <w:pPr>
        <w:spacing w:line="360" w:lineRule="auto"/>
        <w:ind w:firstLine="482" w:firstLineChars="200"/>
        <w:rPr>
          <w:rFonts w:ascii="宋体" w:cs="宋体"/>
          <w:b/>
          <w:sz w:val="24"/>
          <w:szCs w:val="24"/>
        </w:rPr>
      </w:pPr>
      <w:r>
        <w:rPr>
          <w:rFonts w:ascii="宋体" w:hAnsi="宋体" w:cs="宋体"/>
          <w:b/>
          <w:sz w:val="24"/>
          <w:szCs w:val="24"/>
        </w:rPr>
        <w:t>3.</w:t>
      </w:r>
      <w:r>
        <w:rPr>
          <w:rFonts w:hint="eastAsia" w:ascii="宋体" w:hAnsi="宋体" w:cs="宋体"/>
          <w:b/>
          <w:sz w:val="24"/>
          <w:szCs w:val="24"/>
        </w:rPr>
        <w:t>合格的货物和服务</w:t>
      </w:r>
    </w:p>
    <w:p>
      <w:pPr>
        <w:tabs>
          <w:tab w:val="left" w:pos="900"/>
        </w:tabs>
        <w:spacing w:line="360" w:lineRule="auto"/>
        <w:ind w:firstLine="480" w:firstLineChars="200"/>
        <w:rPr>
          <w:rFonts w:ascii="宋体" w:cs="宋体"/>
          <w:sz w:val="24"/>
          <w:szCs w:val="24"/>
        </w:rPr>
      </w:pPr>
      <w:r>
        <w:rPr>
          <w:rFonts w:ascii="宋体" w:hAnsi="宋体" w:cs="宋体"/>
          <w:sz w:val="24"/>
          <w:szCs w:val="24"/>
        </w:rPr>
        <w:t>3.1</w:t>
      </w:r>
      <w:r>
        <w:rPr>
          <w:rFonts w:hint="eastAsia" w:ascii="宋体" w:hAnsi="宋体" w:cs="宋体"/>
          <w:sz w:val="24"/>
          <w:szCs w:val="24"/>
        </w:rPr>
        <w:t>合同中提供的所有货物及其有关服务，均应来自上述</w:t>
      </w:r>
      <w:r>
        <w:rPr>
          <w:rFonts w:ascii="宋体" w:hAnsi="宋体" w:cs="宋体"/>
          <w:sz w:val="24"/>
          <w:szCs w:val="24"/>
        </w:rPr>
        <w:t>2.4</w:t>
      </w:r>
      <w:r>
        <w:rPr>
          <w:rFonts w:hint="eastAsia" w:ascii="宋体" w:hAnsi="宋体" w:cs="宋体"/>
          <w:sz w:val="24"/>
          <w:szCs w:val="24"/>
        </w:rPr>
        <w:t>条款所规定的合格投标人。</w:t>
      </w:r>
    </w:p>
    <w:p>
      <w:pPr>
        <w:tabs>
          <w:tab w:val="left" w:pos="900"/>
        </w:tabs>
        <w:spacing w:line="360" w:lineRule="auto"/>
        <w:ind w:firstLine="480" w:firstLineChars="200"/>
        <w:rPr>
          <w:rFonts w:ascii="宋体" w:cs="宋体"/>
          <w:sz w:val="24"/>
          <w:szCs w:val="24"/>
        </w:rPr>
      </w:pPr>
      <w:r>
        <w:rPr>
          <w:rFonts w:ascii="宋体" w:hAnsi="宋体" w:cs="宋体"/>
          <w:sz w:val="24"/>
          <w:szCs w:val="24"/>
        </w:rPr>
        <w:t>3.2</w:t>
      </w:r>
      <w:r>
        <w:rPr>
          <w:rFonts w:hint="eastAsia" w:ascii="宋体" w:hAnsi="宋体" w:cs="宋体"/>
          <w:sz w:val="24"/>
          <w:szCs w:val="24"/>
        </w:rPr>
        <w:t>货物是指投标人按招标文件规定，须向采购人提供的符合招标文件要求的相关的货物。</w:t>
      </w:r>
    </w:p>
    <w:p>
      <w:pPr>
        <w:tabs>
          <w:tab w:val="left" w:pos="900"/>
        </w:tabs>
        <w:spacing w:line="360" w:lineRule="auto"/>
        <w:ind w:firstLine="480" w:firstLineChars="200"/>
        <w:rPr>
          <w:rFonts w:ascii="宋体" w:cs="宋体"/>
          <w:sz w:val="24"/>
          <w:szCs w:val="24"/>
        </w:rPr>
      </w:pPr>
      <w:r>
        <w:rPr>
          <w:rFonts w:ascii="宋体" w:hAnsi="宋体" w:cs="宋体"/>
          <w:sz w:val="24"/>
          <w:szCs w:val="24"/>
        </w:rPr>
        <w:t>3.3</w:t>
      </w:r>
      <w:r>
        <w:rPr>
          <w:rFonts w:hint="eastAsia" w:ascii="宋体" w:hAnsi="宋体" w:cs="宋体"/>
          <w:sz w:val="24"/>
          <w:szCs w:val="24"/>
        </w:rPr>
        <w:t>服务是指</w:t>
      </w:r>
      <w:r>
        <w:rPr>
          <w:rFonts w:ascii="宋体" w:hAnsi="宋体" w:eastAsia="宋体" w:cs="宋体"/>
          <w:b w:val="0"/>
          <w:bCs w:val="0"/>
          <w:color w:val="000000"/>
          <w:sz w:val="24"/>
          <w:szCs w:val="24"/>
        </w:rPr>
        <w:t>系指除货物和工程以外的其他政府采购对象。</w:t>
      </w:r>
    </w:p>
    <w:p>
      <w:pPr>
        <w:spacing w:line="360" w:lineRule="auto"/>
        <w:ind w:firstLine="482" w:firstLineChars="200"/>
        <w:rPr>
          <w:rFonts w:ascii="宋体" w:cs="宋体"/>
          <w:b/>
          <w:sz w:val="24"/>
          <w:szCs w:val="24"/>
        </w:rPr>
      </w:pPr>
      <w:r>
        <w:rPr>
          <w:rFonts w:ascii="宋体" w:hAnsi="宋体" w:cs="宋体"/>
          <w:b/>
          <w:sz w:val="24"/>
          <w:szCs w:val="24"/>
        </w:rPr>
        <w:t>4.</w:t>
      </w:r>
      <w:r>
        <w:rPr>
          <w:rFonts w:hint="eastAsia" w:ascii="宋体" w:hAnsi="宋体" w:cs="宋体"/>
          <w:b/>
          <w:sz w:val="24"/>
          <w:szCs w:val="24"/>
        </w:rPr>
        <w:t>投标费用</w:t>
      </w:r>
    </w:p>
    <w:p>
      <w:pPr>
        <w:spacing w:line="360" w:lineRule="auto"/>
        <w:ind w:firstLine="480" w:firstLineChars="200"/>
        <w:rPr>
          <w:rFonts w:ascii="宋体" w:cs="宋体"/>
          <w:sz w:val="24"/>
          <w:szCs w:val="24"/>
        </w:rPr>
      </w:pPr>
      <w:r>
        <w:rPr>
          <w:rFonts w:ascii="宋体" w:hAnsi="宋体" w:cs="宋体"/>
          <w:sz w:val="24"/>
          <w:szCs w:val="24"/>
        </w:rPr>
        <w:t xml:space="preserve">4.1 </w:t>
      </w:r>
      <w:r>
        <w:rPr>
          <w:rFonts w:hint="eastAsia" w:ascii="宋体" w:hAnsi="宋体" w:cs="宋体"/>
          <w:sz w:val="24"/>
          <w:szCs w:val="24"/>
        </w:rPr>
        <w:t>投标人应承担所有与准备和参加投标有关的费用。不论投标的结果如何，采购人或采购代理机构均无义务和责任承担这些费用。</w:t>
      </w:r>
    </w:p>
    <w:p>
      <w:pPr>
        <w:spacing w:line="360" w:lineRule="auto"/>
        <w:ind w:firstLine="480" w:firstLineChars="200"/>
        <w:rPr>
          <w:rFonts w:ascii="宋体" w:hAnsi="宋体" w:cs="宋体"/>
          <w:sz w:val="24"/>
          <w:szCs w:val="24"/>
        </w:rPr>
      </w:pPr>
      <w:r>
        <w:rPr>
          <w:rFonts w:ascii="宋体" w:hAnsi="宋体" w:cs="宋体"/>
          <w:sz w:val="24"/>
          <w:szCs w:val="24"/>
        </w:rPr>
        <w:t xml:space="preserve">4.2 </w:t>
      </w:r>
      <w:r>
        <w:rPr>
          <w:rFonts w:hint="eastAsia" w:ascii="宋体" w:hAnsi="宋体" w:cs="宋体"/>
          <w:sz w:val="24"/>
          <w:szCs w:val="24"/>
        </w:rPr>
        <w:t>无论招标结果如何，投标文件均不予退还。</w:t>
      </w:r>
    </w:p>
    <w:p>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.3</w:t>
      </w:r>
      <w:r>
        <w:rPr>
          <w:rFonts w:hint="eastAsia" w:ascii="宋体" w:hAnsi="宋体" w:cs="宋体"/>
          <w:sz w:val="24"/>
          <w:szCs w:val="24"/>
        </w:rPr>
        <w:t xml:space="preserve"> 付款方式：见须知前附表。</w:t>
      </w:r>
    </w:p>
    <w:p>
      <w:pPr>
        <w:spacing w:line="360" w:lineRule="auto"/>
        <w:ind w:firstLine="480" w:firstLineChars="200"/>
        <w:rPr>
          <w:rFonts w:ascii="宋体" w:hAnsi="宋体" w:cs="宋体"/>
          <w:sz w:val="24"/>
          <w:szCs w:val="24"/>
        </w:rPr>
      </w:pPr>
      <w:r>
        <w:rPr>
          <w:rFonts w:hint="eastAsia" w:ascii="宋体" w:hAnsi="宋体" w:cs="宋体"/>
          <w:sz w:val="24"/>
          <w:szCs w:val="24"/>
        </w:rPr>
        <w:t>4.4 质保期：见须知前附表。</w:t>
      </w:r>
    </w:p>
    <w:p>
      <w:pPr>
        <w:spacing w:line="360" w:lineRule="auto"/>
        <w:ind w:firstLine="482" w:firstLineChars="200"/>
        <w:rPr>
          <w:rFonts w:ascii="宋体" w:cs="宋体"/>
          <w:b/>
          <w:sz w:val="24"/>
          <w:szCs w:val="24"/>
        </w:rPr>
      </w:pPr>
      <w:r>
        <w:rPr>
          <w:rFonts w:ascii="宋体" w:hAnsi="宋体" w:cs="宋体"/>
          <w:b/>
          <w:sz w:val="24"/>
          <w:szCs w:val="24"/>
        </w:rPr>
        <w:t>5.</w:t>
      </w:r>
      <w:r>
        <w:rPr>
          <w:rFonts w:hint="eastAsia" w:ascii="宋体" w:hAnsi="宋体" w:cs="宋体"/>
          <w:b/>
          <w:sz w:val="24"/>
          <w:szCs w:val="24"/>
        </w:rPr>
        <w:t>废标说明</w:t>
      </w:r>
    </w:p>
    <w:p>
      <w:pPr>
        <w:spacing w:line="360" w:lineRule="auto"/>
        <w:ind w:firstLine="482" w:firstLineChars="200"/>
        <w:rPr>
          <w:rFonts w:ascii="宋体" w:cs="宋体"/>
          <w:b/>
          <w:sz w:val="24"/>
          <w:szCs w:val="24"/>
          <w:u w:val="single"/>
        </w:rPr>
      </w:pPr>
      <w:r>
        <w:rPr>
          <w:rFonts w:hint="eastAsia" w:ascii="宋体" w:hAnsi="宋体" w:cs="宋体"/>
          <w:b/>
          <w:sz w:val="24"/>
          <w:szCs w:val="24"/>
          <w:u w:val="single"/>
        </w:rPr>
        <w:t>在招标采购中，出现下列情形之一的，应予废标：</w:t>
      </w:r>
    </w:p>
    <w:p>
      <w:pPr>
        <w:spacing w:line="360" w:lineRule="auto"/>
        <w:ind w:firstLine="482" w:firstLineChars="200"/>
        <w:rPr>
          <w:rFonts w:ascii="宋体" w:cs="宋体"/>
          <w:b/>
          <w:sz w:val="24"/>
          <w:szCs w:val="24"/>
          <w:u w:val="single"/>
        </w:rPr>
      </w:pPr>
      <w:r>
        <w:rPr>
          <w:rFonts w:ascii="宋体" w:hAnsi="宋体" w:cs="宋体"/>
          <w:b/>
          <w:sz w:val="24"/>
          <w:szCs w:val="24"/>
          <w:u w:val="single"/>
        </w:rPr>
        <w:t>5.1</w:t>
      </w:r>
      <w:r>
        <w:rPr>
          <w:rFonts w:hint="eastAsia" w:ascii="宋体" w:hAnsi="宋体" w:cs="宋体"/>
          <w:b/>
          <w:sz w:val="24"/>
          <w:szCs w:val="24"/>
          <w:u w:val="single"/>
        </w:rPr>
        <w:t>符合专业条件的供应商或者对招标文件作实质响应的供应商不足三家的；</w:t>
      </w:r>
      <w:r>
        <w:rPr>
          <w:rFonts w:ascii="宋体" w:hAnsi="宋体" w:cs="宋体"/>
          <w:b/>
          <w:sz w:val="24"/>
          <w:szCs w:val="24"/>
          <w:u w:val="single"/>
        </w:rPr>
        <w:t xml:space="preserve"> </w:t>
      </w:r>
    </w:p>
    <w:p>
      <w:pPr>
        <w:spacing w:line="360" w:lineRule="auto"/>
        <w:ind w:firstLine="482" w:firstLineChars="200"/>
        <w:rPr>
          <w:rFonts w:ascii="宋体" w:cs="宋体"/>
          <w:b/>
          <w:sz w:val="24"/>
          <w:szCs w:val="24"/>
          <w:u w:val="single"/>
        </w:rPr>
      </w:pPr>
      <w:r>
        <w:rPr>
          <w:rFonts w:ascii="宋体" w:hAnsi="宋体" w:cs="宋体"/>
          <w:b/>
          <w:sz w:val="24"/>
          <w:szCs w:val="24"/>
          <w:u w:val="single"/>
        </w:rPr>
        <w:t>5.2</w:t>
      </w:r>
      <w:r>
        <w:rPr>
          <w:rFonts w:hint="eastAsia" w:ascii="宋体" w:hAnsi="宋体" w:cs="宋体"/>
          <w:b/>
          <w:sz w:val="24"/>
          <w:szCs w:val="24"/>
          <w:u w:val="single"/>
        </w:rPr>
        <w:t>出现影响采购公正的违法、违规行为的；</w:t>
      </w:r>
    </w:p>
    <w:p>
      <w:pPr>
        <w:spacing w:line="360" w:lineRule="auto"/>
        <w:ind w:firstLine="482" w:firstLineChars="200"/>
        <w:rPr>
          <w:rFonts w:ascii="宋体" w:cs="宋体"/>
          <w:b/>
          <w:sz w:val="24"/>
          <w:szCs w:val="24"/>
          <w:u w:val="single"/>
        </w:rPr>
      </w:pPr>
      <w:r>
        <w:rPr>
          <w:rFonts w:ascii="宋体" w:hAnsi="宋体" w:cs="宋体"/>
          <w:b/>
          <w:sz w:val="24"/>
          <w:szCs w:val="24"/>
          <w:u w:val="single"/>
        </w:rPr>
        <w:t>5.3</w:t>
      </w:r>
      <w:r>
        <w:rPr>
          <w:rFonts w:hint="eastAsia" w:ascii="宋体" w:hAnsi="宋体" w:cs="宋体"/>
          <w:b/>
          <w:sz w:val="24"/>
          <w:szCs w:val="24"/>
          <w:u w:val="single"/>
        </w:rPr>
        <w:t>投标人的报价均超过了采购预算，采购人不能够支付的；</w:t>
      </w:r>
    </w:p>
    <w:p>
      <w:pPr>
        <w:spacing w:line="360" w:lineRule="auto"/>
        <w:ind w:firstLine="482" w:firstLineChars="200"/>
        <w:rPr>
          <w:rFonts w:ascii="宋体" w:cs="宋体"/>
          <w:b/>
          <w:sz w:val="24"/>
          <w:szCs w:val="24"/>
          <w:u w:val="single"/>
        </w:rPr>
      </w:pPr>
      <w:r>
        <w:rPr>
          <w:rFonts w:ascii="宋体" w:hAnsi="宋体" w:cs="宋体"/>
          <w:b/>
          <w:sz w:val="24"/>
          <w:szCs w:val="24"/>
          <w:u w:val="single"/>
        </w:rPr>
        <w:t>5.4</w:t>
      </w:r>
      <w:r>
        <w:rPr>
          <w:rFonts w:hint="eastAsia" w:ascii="宋体" w:hAnsi="宋体" w:cs="宋体"/>
          <w:b/>
          <w:sz w:val="24"/>
          <w:szCs w:val="24"/>
          <w:u w:val="single"/>
        </w:rPr>
        <w:t>因重大变故，采购任务取消的。</w:t>
      </w:r>
      <w:bookmarkStart w:id="43" w:name="_Toc493422649"/>
      <w:bookmarkStart w:id="44" w:name="_Toc497167392"/>
      <w:bookmarkStart w:id="45" w:name="_Toc322446890"/>
      <w:bookmarkStart w:id="46" w:name="_Toc2511970"/>
      <w:bookmarkStart w:id="47" w:name="_Toc14776837"/>
      <w:bookmarkStart w:id="48" w:name="_Toc2355229"/>
    </w:p>
    <w:p>
      <w:pPr>
        <w:spacing w:line="360" w:lineRule="auto"/>
        <w:rPr>
          <w:rFonts w:ascii="宋体" w:cs="宋体"/>
          <w:b/>
          <w:sz w:val="24"/>
          <w:szCs w:val="24"/>
          <w:u w:val="single"/>
        </w:rPr>
      </w:pPr>
      <w:r>
        <w:rPr>
          <w:rFonts w:hint="eastAsia" w:ascii="宋体" w:hAnsi="宋体" w:cs="宋体"/>
          <w:b/>
          <w:sz w:val="24"/>
          <w:szCs w:val="24"/>
        </w:rPr>
        <w:t>二、招标文件</w:t>
      </w:r>
      <w:bookmarkEnd w:id="43"/>
      <w:bookmarkEnd w:id="44"/>
      <w:bookmarkEnd w:id="45"/>
      <w:bookmarkEnd w:id="46"/>
      <w:bookmarkEnd w:id="47"/>
      <w:bookmarkEnd w:id="48"/>
    </w:p>
    <w:p>
      <w:pPr>
        <w:spacing w:line="360" w:lineRule="auto"/>
        <w:ind w:firstLine="482" w:firstLineChars="200"/>
        <w:rPr>
          <w:rFonts w:ascii="宋体" w:cs="宋体"/>
          <w:b/>
          <w:sz w:val="24"/>
          <w:szCs w:val="24"/>
        </w:rPr>
      </w:pPr>
      <w:r>
        <w:rPr>
          <w:rFonts w:ascii="宋体" w:hAnsi="宋体" w:cs="宋体"/>
          <w:b/>
          <w:sz w:val="24"/>
          <w:szCs w:val="24"/>
        </w:rPr>
        <w:t>6.</w:t>
      </w:r>
      <w:r>
        <w:rPr>
          <w:rFonts w:hint="eastAsia" w:ascii="宋体" w:hAnsi="宋体" w:cs="宋体"/>
          <w:b/>
          <w:sz w:val="24"/>
          <w:szCs w:val="24"/>
        </w:rPr>
        <w:t>招标文件构成</w:t>
      </w:r>
    </w:p>
    <w:p>
      <w:pPr>
        <w:spacing w:line="360" w:lineRule="auto"/>
        <w:ind w:firstLine="480" w:firstLineChars="200"/>
        <w:rPr>
          <w:rFonts w:ascii="宋体" w:cs="宋体"/>
          <w:sz w:val="24"/>
          <w:szCs w:val="24"/>
        </w:rPr>
      </w:pPr>
      <w:r>
        <w:rPr>
          <w:rFonts w:ascii="宋体" w:hAnsi="宋体" w:cs="宋体"/>
          <w:sz w:val="24"/>
          <w:szCs w:val="24"/>
        </w:rPr>
        <w:t xml:space="preserve">6.1 </w:t>
      </w:r>
      <w:r>
        <w:rPr>
          <w:rFonts w:hint="eastAsia" w:ascii="宋体" w:hAnsi="宋体" w:cs="宋体"/>
          <w:sz w:val="24"/>
          <w:szCs w:val="24"/>
        </w:rPr>
        <w:t>招标文件包括下列内容：</w:t>
      </w:r>
    </w:p>
    <w:p>
      <w:pPr>
        <w:spacing w:line="360" w:lineRule="auto"/>
        <w:ind w:firstLine="480" w:firstLineChars="200"/>
        <w:rPr>
          <w:rFonts w:ascii="宋体" w:cs="宋体"/>
          <w:sz w:val="24"/>
          <w:szCs w:val="24"/>
        </w:rPr>
      </w:pPr>
      <w:r>
        <w:rPr>
          <w:rFonts w:hint="eastAsia" w:ascii="宋体" w:hAnsi="宋体" w:cs="宋体"/>
          <w:sz w:val="24"/>
          <w:szCs w:val="24"/>
        </w:rPr>
        <w:t>（一）招标文件的组成部分</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投标邀请（招标公告）</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投标人须知前附表</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投标人须知</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合同文本格式</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采购需求</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评标方法及评标标准</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投标文件格式</w:t>
      </w:r>
    </w:p>
    <w:p>
      <w:pPr>
        <w:spacing w:line="360" w:lineRule="auto"/>
        <w:ind w:firstLine="480" w:firstLineChars="200"/>
        <w:rPr>
          <w:rFonts w:ascii="宋体" w:cs="宋体"/>
          <w:sz w:val="24"/>
          <w:szCs w:val="24"/>
        </w:rPr>
      </w:pPr>
      <w:r>
        <w:rPr>
          <w:rFonts w:hint="eastAsia" w:ascii="宋体" w:hAnsi="宋体" w:cs="宋体"/>
          <w:sz w:val="24"/>
          <w:szCs w:val="24"/>
        </w:rPr>
        <w:t>（二）采购人所作的一切有效的书面通知都是招标文件不可分割的组成部分。</w:t>
      </w:r>
    </w:p>
    <w:p>
      <w:pPr>
        <w:spacing w:line="360" w:lineRule="auto"/>
        <w:ind w:firstLine="482" w:firstLineChars="200"/>
        <w:rPr>
          <w:rFonts w:ascii="宋体" w:cs="宋体"/>
          <w:b/>
          <w:sz w:val="24"/>
          <w:szCs w:val="24"/>
        </w:rPr>
      </w:pPr>
      <w:r>
        <w:rPr>
          <w:rFonts w:ascii="宋体" w:hAnsi="宋体" w:cs="宋体"/>
          <w:b/>
          <w:sz w:val="24"/>
          <w:szCs w:val="24"/>
        </w:rPr>
        <w:t>7.</w:t>
      </w:r>
      <w:r>
        <w:rPr>
          <w:rFonts w:hint="eastAsia" w:ascii="宋体" w:hAnsi="宋体" w:cs="宋体"/>
          <w:b/>
          <w:sz w:val="24"/>
          <w:szCs w:val="24"/>
        </w:rPr>
        <w:t>招标文件的澄清</w:t>
      </w:r>
    </w:p>
    <w:p>
      <w:pPr>
        <w:spacing w:line="360" w:lineRule="auto"/>
        <w:ind w:firstLine="480" w:firstLineChars="200"/>
        <w:rPr>
          <w:rFonts w:ascii="宋体" w:cs="宋体"/>
          <w:sz w:val="24"/>
          <w:szCs w:val="24"/>
        </w:rPr>
      </w:pPr>
      <w:r>
        <w:rPr>
          <w:rFonts w:ascii="宋体" w:hAnsi="宋体" w:cs="宋体"/>
          <w:sz w:val="24"/>
          <w:szCs w:val="24"/>
        </w:rPr>
        <w:t xml:space="preserve">7.1 </w:t>
      </w:r>
      <w:r>
        <w:rPr>
          <w:rFonts w:hint="eastAsia" w:ascii="宋体" w:hAnsi="宋体" w:cs="宋体"/>
          <w:sz w:val="24"/>
          <w:szCs w:val="24"/>
        </w:rPr>
        <w:t>任何要求对招标文件进行澄清的投标人，均应以书面形式通知采购人或采购代理机构。采购人或者采购代理机构对在投标截止时间</w:t>
      </w:r>
      <w:r>
        <w:rPr>
          <w:rFonts w:ascii="宋体" w:hAnsi="宋体" w:cs="宋体"/>
          <w:sz w:val="24"/>
          <w:szCs w:val="24"/>
        </w:rPr>
        <w:t>15</w:t>
      </w:r>
      <w:r>
        <w:rPr>
          <w:rFonts w:hint="eastAsia" w:ascii="宋体" w:hAnsi="宋体" w:cs="宋体"/>
          <w:sz w:val="24"/>
          <w:szCs w:val="24"/>
        </w:rPr>
        <w:t>日以前收到的澄清要求应以书面形式予以答复，并将书面答复发给每个购买招标文件的投标人（答复中不包括问题的来源），必要时同时在财政部门指定的政府采购信息发布媒体发布澄清公告。</w:t>
      </w:r>
    </w:p>
    <w:p>
      <w:pPr>
        <w:spacing w:line="360" w:lineRule="auto"/>
        <w:ind w:firstLine="482" w:firstLineChars="200"/>
        <w:rPr>
          <w:rFonts w:ascii="宋体" w:cs="宋体"/>
          <w:b/>
          <w:sz w:val="24"/>
          <w:szCs w:val="24"/>
        </w:rPr>
      </w:pPr>
      <w:r>
        <w:rPr>
          <w:rFonts w:ascii="宋体" w:hAnsi="宋体" w:cs="宋体"/>
          <w:b/>
          <w:sz w:val="24"/>
          <w:szCs w:val="24"/>
        </w:rPr>
        <w:t>8.</w:t>
      </w:r>
      <w:r>
        <w:rPr>
          <w:rFonts w:hint="eastAsia" w:ascii="宋体" w:hAnsi="宋体" w:cs="宋体"/>
          <w:b/>
          <w:sz w:val="24"/>
          <w:szCs w:val="24"/>
        </w:rPr>
        <w:t>招标文件的修改</w:t>
      </w:r>
    </w:p>
    <w:p>
      <w:pPr>
        <w:spacing w:line="360" w:lineRule="auto"/>
        <w:ind w:firstLine="480" w:firstLineChars="200"/>
        <w:rPr>
          <w:rFonts w:ascii="宋体" w:cs="宋体"/>
          <w:sz w:val="24"/>
          <w:szCs w:val="24"/>
        </w:rPr>
      </w:pPr>
      <w:r>
        <w:rPr>
          <w:rFonts w:ascii="宋体" w:hAnsi="宋体" w:cs="宋体"/>
          <w:sz w:val="24"/>
          <w:szCs w:val="24"/>
        </w:rPr>
        <w:t xml:space="preserve">8.1 </w:t>
      </w:r>
      <w:r>
        <w:rPr>
          <w:rFonts w:hint="eastAsia" w:ascii="宋体" w:hAnsi="宋体" w:cs="宋体"/>
          <w:sz w:val="24"/>
          <w:szCs w:val="24"/>
        </w:rPr>
        <w:t>在投标截止时间</w:t>
      </w:r>
      <w:r>
        <w:rPr>
          <w:rFonts w:ascii="宋体" w:hAnsi="宋体" w:cs="宋体"/>
          <w:sz w:val="24"/>
          <w:szCs w:val="24"/>
        </w:rPr>
        <w:t>15</w:t>
      </w:r>
      <w:r>
        <w:rPr>
          <w:rFonts w:hint="eastAsia" w:ascii="宋体" w:hAnsi="宋体" w:cs="宋体"/>
          <w:sz w:val="24"/>
          <w:szCs w:val="24"/>
        </w:rPr>
        <w:t>日前，无论出于何种原因，采购人或采购代理机构可主动地或在解答投标人提出的澄清问题时对招标文件进行修改，修改的内容为招标文件的组成部分。</w:t>
      </w:r>
    </w:p>
    <w:p>
      <w:pPr>
        <w:spacing w:line="360" w:lineRule="auto"/>
        <w:ind w:firstLine="480" w:firstLineChars="200"/>
        <w:rPr>
          <w:rFonts w:ascii="宋体" w:cs="宋体"/>
          <w:sz w:val="24"/>
          <w:szCs w:val="24"/>
        </w:rPr>
      </w:pPr>
      <w:r>
        <w:rPr>
          <w:rFonts w:ascii="宋体" w:hAnsi="宋体" w:cs="宋体"/>
          <w:sz w:val="24"/>
          <w:szCs w:val="24"/>
        </w:rPr>
        <w:t xml:space="preserve">8.2 </w:t>
      </w:r>
      <w:r>
        <w:rPr>
          <w:rFonts w:hint="eastAsia" w:ascii="宋体" w:hAnsi="宋体" w:cs="宋体"/>
          <w:sz w:val="24"/>
          <w:szCs w:val="24"/>
        </w:rPr>
        <w:t>招标文件的修改将以书面形式通知所有购买招标文件的投标人，并对其具有约束力。投标人在收到上述通知后，应在</w:t>
      </w:r>
      <w:r>
        <w:rPr>
          <w:rFonts w:ascii="宋体" w:hAnsi="宋体" w:cs="宋体"/>
          <w:sz w:val="24"/>
          <w:szCs w:val="24"/>
        </w:rPr>
        <w:t>24</w:t>
      </w:r>
      <w:r>
        <w:rPr>
          <w:rFonts w:hint="eastAsia" w:ascii="宋体" w:hAnsi="宋体" w:cs="宋体"/>
          <w:sz w:val="24"/>
          <w:szCs w:val="24"/>
        </w:rPr>
        <w:t>小时内向采购代理机构回函确认。</w:t>
      </w:r>
    </w:p>
    <w:p>
      <w:pPr>
        <w:spacing w:line="360" w:lineRule="auto"/>
        <w:ind w:firstLine="480" w:firstLineChars="200"/>
        <w:rPr>
          <w:rFonts w:ascii="宋体" w:cs="宋体"/>
          <w:sz w:val="24"/>
          <w:szCs w:val="24"/>
        </w:rPr>
      </w:pPr>
      <w:r>
        <w:rPr>
          <w:rFonts w:ascii="宋体" w:hAnsi="宋体" w:cs="宋体"/>
          <w:sz w:val="24"/>
          <w:szCs w:val="24"/>
        </w:rPr>
        <w:t>8.3</w:t>
      </w:r>
      <w:r>
        <w:rPr>
          <w:rFonts w:hint="eastAsia" w:ascii="宋体" w:hAnsi="宋体" w:cs="宋体"/>
          <w:sz w:val="24"/>
          <w:szCs w:val="24"/>
        </w:rPr>
        <w:t>澄清或者修改的内容可能影响投标文件编制的，为使投标人准备投标时有充分时间对招标文件的修改部分进行研究，采购人或采购代理机构可适当延长投标截止时间。并以书面形式通知所有购买招标文件的投标人。</w:t>
      </w:r>
    </w:p>
    <w:p>
      <w:pPr>
        <w:spacing w:line="360" w:lineRule="auto"/>
        <w:ind w:firstLine="482" w:firstLineChars="200"/>
        <w:rPr>
          <w:rFonts w:ascii="宋体" w:cs="宋体"/>
          <w:b/>
          <w:sz w:val="24"/>
          <w:szCs w:val="24"/>
        </w:rPr>
      </w:pPr>
      <w:r>
        <w:rPr>
          <w:rFonts w:ascii="宋体" w:hAnsi="宋体" w:cs="宋体"/>
          <w:b/>
          <w:sz w:val="24"/>
          <w:szCs w:val="24"/>
        </w:rPr>
        <w:t>9.</w:t>
      </w:r>
      <w:r>
        <w:rPr>
          <w:rFonts w:hint="eastAsia" w:ascii="宋体" w:hAnsi="宋体" w:cs="宋体"/>
          <w:b/>
          <w:sz w:val="24"/>
          <w:szCs w:val="24"/>
        </w:rPr>
        <w:t>询问和质疑</w:t>
      </w:r>
    </w:p>
    <w:p>
      <w:pPr>
        <w:spacing w:line="360" w:lineRule="auto"/>
        <w:ind w:firstLine="480" w:firstLineChars="200"/>
        <w:rPr>
          <w:rFonts w:ascii="宋体" w:cs="宋体"/>
          <w:sz w:val="24"/>
          <w:szCs w:val="24"/>
        </w:rPr>
      </w:pPr>
      <w:r>
        <w:rPr>
          <w:rFonts w:ascii="宋体" w:hAnsi="宋体" w:cs="宋体"/>
          <w:sz w:val="24"/>
          <w:szCs w:val="24"/>
        </w:rPr>
        <w:t>9.1</w:t>
      </w:r>
      <w:r>
        <w:rPr>
          <w:rFonts w:hint="eastAsia" w:ascii="宋体" w:hAnsi="宋体" w:cs="宋体"/>
          <w:sz w:val="24"/>
          <w:szCs w:val="24"/>
        </w:rPr>
        <w:t>投标人对政府采购活动事项有疑问的，可以提出询问；</w:t>
      </w:r>
    </w:p>
    <w:p>
      <w:pPr>
        <w:spacing w:line="360" w:lineRule="auto"/>
        <w:ind w:firstLine="480" w:firstLineChars="200"/>
        <w:rPr>
          <w:rFonts w:ascii="宋体" w:cs="宋体"/>
          <w:sz w:val="24"/>
          <w:szCs w:val="24"/>
        </w:rPr>
      </w:pPr>
      <w:r>
        <w:rPr>
          <w:rFonts w:ascii="宋体" w:hAnsi="宋体" w:cs="宋体"/>
          <w:sz w:val="24"/>
          <w:szCs w:val="24"/>
        </w:rPr>
        <w:t>9.2</w:t>
      </w:r>
      <w:r>
        <w:rPr>
          <w:rFonts w:hint="eastAsia" w:ascii="宋体" w:hAnsi="宋体" w:cs="宋体"/>
          <w:sz w:val="24"/>
          <w:szCs w:val="24"/>
        </w:rPr>
        <w:t>投标人认为采购文件、采购过程、中标或者中标结果使自己的权益受到损害的，可以在知道或者应知权益受到损害之日起</w:t>
      </w:r>
      <w:r>
        <w:rPr>
          <w:rFonts w:ascii="宋体" w:hAnsi="宋体" w:cs="宋体"/>
          <w:sz w:val="24"/>
          <w:szCs w:val="24"/>
        </w:rPr>
        <w:t>7</w:t>
      </w:r>
      <w:r>
        <w:rPr>
          <w:rFonts w:hint="eastAsia" w:ascii="宋体" w:hAnsi="宋体" w:cs="宋体"/>
          <w:sz w:val="24"/>
          <w:szCs w:val="24"/>
        </w:rPr>
        <w:t>个工作日内，提出质疑。</w:t>
      </w:r>
    </w:p>
    <w:p>
      <w:pPr>
        <w:spacing w:line="360" w:lineRule="auto"/>
        <w:ind w:firstLine="480" w:firstLineChars="200"/>
        <w:rPr>
          <w:rFonts w:ascii="宋体" w:cs="宋体"/>
          <w:sz w:val="24"/>
          <w:szCs w:val="24"/>
        </w:rPr>
      </w:pPr>
      <w:r>
        <w:rPr>
          <w:rFonts w:ascii="宋体" w:hAnsi="宋体" w:cs="宋体"/>
          <w:sz w:val="24"/>
          <w:szCs w:val="24"/>
        </w:rPr>
        <w:t>9.3</w:t>
      </w:r>
      <w:r>
        <w:rPr>
          <w:rFonts w:hint="eastAsia" w:ascii="宋体" w:hAnsi="宋体" w:cs="宋体"/>
          <w:sz w:val="24"/>
          <w:szCs w:val="24"/>
        </w:rPr>
        <w:t>接收质疑函的方式：投标人应提交书面质疑函，投标人应在法定质疑期内一次性提出针对同一采购程序环节的质疑。</w:t>
      </w:r>
    </w:p>
    <w:p>
      <w:pPr>
        <w:spacing w:line="360" w:lineRule="auto"/>
        <w:ind w:firstLine="480" w:firstLineChars="200"/>
        <w:rPr>
          <w:rFonts w:ascii="宋体" w:cs="宋体"/>
          <w:sz w:val="24"/>
          <w:szCs w:val="24"/>
        </w:rPr>
      </w:pPr>
      <w:r>
        <w:rPr>
          <w:rFonts w:ascii="宋体" w:hAnsi="宋体" w:cs="宋体"/>
          <w:sz w:val="24"/>
          <w:szCs w:val="24"/>
        </w:rPr>
        <w:t>9.4</w:t>
      </w:r>
      <w:r>
        <w:rPr>
          <w:rFonts w:hint="eastAsia" w:ascii="宋体" w:hAnsi="宋体" w:cs="宋体"/>
          <w:sz w:val="24"/>
          <w:szCs w:val="24"/>
        </w:rPr>
        <w:t>投标人提出质疑应当提交质疑函和必要的证明材料。质疑函应当包括下列内容：</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）投标人的姓名或者名称、地址、邮编、联系人及联系电话；</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）质疑项目的名称、编号；</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）具体、明确的质疑事项和与质疑事项相关的请求；</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）事实依据；</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）必要的法律依据；</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）提出质疑的日期。</w:t>
      </w:r>
    </w:p>
    <w:p>
      <w:pPr>
        <w:spacing w:line="360" w:lineRule="auto"/>
        <w:ind w:firstLine="480" w:firstLineChars="200"/>
        <w:rPr>
          <w:rFonts w:ascii="宋体" w:cs="宋体"/>
          <w:sz w:val="24"/>
          <w:szCs w:val="24"/>
        </w:rPr>
      </w:pPr>
      <w:r>
        <w:rPr>
          <w:rFonts w:ascii="宋体" w:hAnsi="宋体" w:cs="宋体"/>
          <w:sz w:val="24"/>
          <w:szCs w:val="24"/>
        </w:rPr>
        <w:t>9.5</w:t>
      </w:r>
      <w:r>
        <w:rPr>
          <w:rFonts w:hint="eastAsia" w:ascii="宋体" w:hAnsi="宋体" w:cs="宋体"/>
          <w:sz w:val="24"/>
          <w:szCs w:val="24"/>
        </w:rPr>
        <w:t>投标人为自然人的，质疑函应当由本人签字；投标人为法人或者其他组织的，质疑函应当由法定代表人、主要负责人，或者其授权代表签字或者盖章，并加盖公章。</w:t>
      </w:r>
    </w:p>
    <w:p>
      <w:pPr>
        <w:spacing w:line="360" w:lineRule="auto"/>
        <w:ind w:firstLine="480" w:firstLineChars="200"/>
        <w:rPr>
          <w:rFonts w:ascii="宋体" w:cs="宋体"/>
          <w:sz w:val="24"/>
          <w:szCs w:val="24"/>
        </w:rPr>
      </w:pPr>
      <w:r>
        <w:rPr>
          <w:rFonts w:ascii="宋体" w:hAnsi="宋体" w:cs="宋体"/>
          <w:sz w:val="24"/>
          <w:szCs w:val="24"/>
        </w:rPr>
        <w:t>9.6</w:t>
      </w:r>
      <w:r>
        <w:rPr>
          <w:rFonts w:hint="eastAsia" w:ascii="宋体" w:hAnsi="宋体" w:cs="宋体"/>
          <w:sz w:val="24"/>
          <w:szCs w:val="24"/>
        </w:rPr>
        <w:t>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bookmarkStart w:id="49" w:name="_Toc14776838"/>
      <w:bookmarkStart w:id="50" w:name="_Toc322446891"/>
      <w:bookmarkStart w:id="51" w:name="_Toc497167393"/>
      <w:bookmarkStart w:id="52" w:name="_Toc2511971"/>
      <w:bookmarkStart w:id="53" w:name="_Toc493422650"/>
      <w:bookmarkStart w:id="54" w:name="_Toc2355230"/>
    </w:p>
    <w:p>
      <w:pPr>
        <w:spacing w:line="360" w:lineRule="auto"/>
        <w:rPr>
          <w:rFonts w:ascii="宋体" w:cs="宋体"/>
          <w:b/>
          <w:sz w:val="24"/>
          <w:szCs w:val="24"/>
        </w:rPr>
      </w:pPr>
      <w:r>
        <w:rPr>
          <w:rFonts w:hint="eastAsia" w:ascii="宋体" w:hAnsi="宋体" w:cs="宋体"/>
          <w:b/>
          <w:sz w:val="24"/>
          <w:szCs w:val="24"/>
        </w:rPr>
        <w:t>三、投标文件的编制</w:t>
      </w:r>
      <w:bookmarkEnd w:id="49"/>
      <w:bookmarkEnd w:id="50"/>
      <w:bookmarkEnd w:id="51"/>
      <w:bookmarkEnd w:id="52"/>
      <w:bookmarkEnd w:id="53"/>
      <w:bookmarkEnd w:id="54"/>
    </w:p>
    <w:p>
      <w:pPr>
        <w:spacing w:line="360" w:lineRule="auto"/>
        <w:ind w:firstLine="482" w:firstLineChars="200"/>
        <w:rPr>
          <w:rFonts w:ascii="宋体" w:cs="宋体"/>
          <w:b/>
          <w:sz w:val="24"/>
          <w:szCs w:val="24"/>
        </w:rPr>
      </w:pPr>
      <w:r>
        <w:rPr>
          <w:rFonts w:ascii="宋体" w:hAnsi="宋体" w:cs="宋体"/>
          <w:b/>
          <w:sz w:val="24"/>
          <w:szCs w:val="24"/>
        </w:rPr>
        <w:t>10.</w:t>
      </w:r>
      <w:r>
        <w:rPr>
          <w:rFonts w:hint="eastAsia" w:ascii="宋体" w:hAnsi="宋体" w:cs="宋体"/>
          <w:b/>
          <w:sz w:val="24"/>
          <w:szCs w:val="24"/>
        </w:rPr>
        <w:t>编制要求</w:t>
      </w:r>
    </w:p>
    <w:p>
      <w:pPr>
        <w:tabs>
          <w:tab w:val="left" w:pos="900"/>
        </w:tabs>
        <w:spacing w:line="360" w:lineRule="auto"/>
        <w:ind w:firstLine="480" w:firstLineChars="200"/>
        <w:rPr>
          <w:rFonts w:hint="eastAsia" w:ascii="宋体" w:hAnsi="宋体" w:cs="宋体"/>
          <w:sz w:val="24"/>
          <w:szCs w:val="24"/>
        </w:rPr>
      </w:pPr>
      <w:r>
        <w:rPr>
          <w:rFonts w:ascii="宋体" w:hAnsi="宋体" w:cs="宋体"/>
          <w:sz w:val="24"/>
          <w:szCs w:val="24"/>
        </w:rPr>
        <w:t>10.1</w:t>
      </w:r>
      <w:r>
        <w:rPr>
          <w:rFonts w:hint="eastAsia" w:ascii="宋体" w:hAnsi="宋体" w:cs="宋体"/>
          <w:sz w:val="24"/>
          <w:szCs w:val="24"/>
        </w:rPr>
        <w:t>投标人应认真阅读招标文件的所有内容，按招标文件的要求提供投标文件，投标文件应当对招标文件提出的要求和条件作出明确响应，并保证所提供的全部资料的真实性、完整性，以使其投标文件对招标文件做出实质性响应。</w:t>
      </w:r>
    </w:p>
    <w:p>
      <w:pPr>
        <w:shd w:val="clear"/>
        <w:spacing w:line="360" w:lineRule="auto"/>
        <w:ind w:firstLine="482" w:firstLineChars="200"/>
      </w:pPr>
      <w:r>
        <w:rPr>
          <w:rFonts w:hint="eastAsia" w:ascii="宋体" w:hAnsi="宋体" w:eastAsia="宋体" w:cs="宋体"/>
          <w:b/>
          <w:sz w:val="24"/>
          <w:szCs w:val="24"/>
          <w:highlight w:val="none"/>
        </w:rPr>
        <w:t>投标人应完整地按招标文件提供的投标文件格式及要求编写投标文件，投标人须在投标截止时间前完成在系统上递交电子投标文件。投标人的电子投标文件是经过CA证书加密后上传提交的，任何单位或个人均无法在投标截止时间(即投标时间)之前查看或篡改，不存在泄密风险。（严格按照政采云电子投标流程制作并上传电子投标文</w:t>
      </w:r>
      <w:r>
        <w:rPr>
          <w:rFonts w:hint="eastAsia" w:ascii="宋体" w:hAnsi="宋体" w:cs="宋体"/>
          <w:b/>
          <w:sz w:val="24"/>
          <w:szCs w:val="24"/>
          <w:highlight w:val="none"/>
        </w:rPr>
        <w:t>件）</w:t>
      </w:r>
      <w:r>
        <w:rPr>
          <w:rFonts w:hint="eastAsia" w:ascii="宋体" w:hAnsi="宋体" w:cs="宋体"/>
          <w:b/>
          <w:sz w:val="24"/>
          <w:szCs w:val="24"/>
          <w:highlight w:val="none"/>
          <w:lang w:eastAsia="zh-CN"/>
        </w:rPr>
        <w:t>。</w:t>
      </w:r>
    </w:p>
    <w:p>
      <w:pPr>
        <w:tabs>
          <w:tab w:val="left" w:pos="900"/>
        </w:tabs>
        <w:spacing w:line="360" w:lineRule="auto"/>
        <w:ind w:firstLine="480" w:firstLineChars="200"/>
        <w:rPr>
          <w:rFonts w:ascii="宋体" w:cs="宋体"/>
          <w:sz w:val="24"/>
          <w:szCs w:val="24"/>
        </w:rPr>
      </w:pPr>
      <w:r>
        <w:rPr>
          <w:rFonts w:ascii="宋体" w:hAnsi="宋体" w:cs="宋体"/>
          <w:sz w:val="24"/>
          <w:szCs w:val="24"/>
        </w:rPr>
        <w:t>10.2</w:t>
      </w:r>
      <w:r>
        <w:rPr>
          <w:rFonts w:hint="eastAsia" w:ascii="宋体" w:hAnsi="宋体" w:cs="宋体"/>
          <w:sz w:val="24"/>
          <w:szCs w:val="24"/>
        </w:rPr>
        <w:t>采购人或采购代理机构有权随时检查投标人所提供的全部资料的真实性。如果发现投标人在投标资料中使用有虚假的证明材料的，由此所产生的经济责任和法律责任由投标人自行承担。</w:t>
      </w:r>
    </w:p>
    <w:p>
      <w:pPr>
        <w:pStyle w:val="5"/>
        <w:tabs>
          <w:tab w:val="left" w:pos="840"/>
        </w:tabs>
        <w:spacing w:line="360" w:lineRule="auto"/>
        <w:ind w:firstLine="480" w:firstLineChars="200"/>
        <w:rPr>
          <w:rFonts w:ascii="宋体" w:cs="宋体"/>
          <w:sz w:val="24"/>
          <w:szCs w:val="24"/>
        </w:rPr>
      </w:pPr>
      <w:r>
        <w:rPr>
          <w:rFonts w:ascii="宋体" w:hAnsi="宋体" w:cs="宋体"/>
          <w:sz w:val="24"/>
          <w:szCs w:val="24"/>
        </w:rPr>
        <w:t>10.3</w:t>
      </w:r>
      <w:r>
        <w:rPr>
          <w:rFonts w:hint="eastAsia" w:ascii="宋体" w:hAnsi="宋体" w:cs="宋体"/>
          <w:sz w:val="24"/>
          <w:szCs w:val="24"/>
        </w:rPr>
        <w:t>投标的语言</w:t>
      </w:r>
    </w:p>
    <w:p>
      <w:pPr>
        <w:spacing w:line="360" w:lineRule="auto"/>
        <w:ind w:firstLine="480" w:firstLineChars="200"/>
        <w:rPr>
          <w:rFonts w:ascii="宋体" w:cs="宋体"/>
          <w:sz w:val="24"/>
          <w:szCs w:val="24"/>
        </w:rPr>
      </w:pPr>
      <w:r>
        <w:rPr>
          <w:rFonts w:hint="eastAsia" w:ascii="宋体" w:hAnsi="宋体" w:cs="宋体"/>
          <w:sz w:val="24"/>
          <w:szCs w:val="24"/>
        </w:rPr>
        <w:t>投标人提交的投标文件以及投标人与采购代理机构就有关投标的所有来往函电均应以中文书写，且以之为准。</w:t>
      </w:r>
    </w:p>
    <w:p>
      <w:pPr>
        <w:spacing w:line="360" w:lineRule="auto"/>
        <w:ind w:firstLine="482" w:firstLineChars="200"/>
        <w:rPr>
          <w:rFonts w:ascii="宋体" w:cs="宋体"/>
          <w:b/>
          <w:sz w:val="24"/>
          <w:szCs w:val="24"/>
        </w:rPr>
      </w:pPr>
      <w:r>
        <w:rPr>
          <w:rFonts w:ascii="宋体" w:hAnsi="宋体" w:cs="宋体"/>
          <w:b/>
          <w:sz w:val="24"/>
          <w:szCs w:val="24"/>
        </w:rPr>
        <w:t>11.</w:t>
      </w:r>
      <w:r>
        <w:rPr>
          <w:rFonts w:hint="eastAsia" w:ascii="宋体" w:hAnsi="宋体" w:cs="宋体"/>
          <w:b/>
          <w:sz w:val="24"/>
          <w:szCs w:val="24"/>
        </w:rPr>
        <w:t>投标文件构成</w:t>
      </w:r>
    </w:p>
    <w:p>
      <w:pPr>
        <w:spacing w:line="360" w:lineRule="auto"/>
        <w:ind w:firstLine="480" w:firstLineChars="200"/>
        <w:rPr>
          <w:rFonts w:ascii="宋体" w:cs="宋体"/>
          <w:sz w:val="24"/>
          <w:szCs w:val="24"/>
        </w:rPr>
      </w:pPr>
      <w:r>
        <w:rPr>
          <w:rFonts w:ascii="宋体" w:hAnsi="宋体" w:cs="宋体"/>
          <w:sz w:val="24"/>
          <w:szCs w:val="24"/>
        </w:rPr>
        <w:t>11.1</w:t>
      </w:r>
      <w:r>
        <w:rPr>
          <w:rFonts w:hint="eastAsia" w:ascii="宋体" w:hAnsi="宋体" w:cs="宋体"/>
          <w:sz w:val="24"/>
          <w:szCs w:val="24"/>
        </w:rPr>
        <w:t>投标人编写的投标文件应包括下列部分：</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）资格证明材料部分：按照本须知第</w:t>
      </w:r>
      <w:r>
        <w:rPr>
          <w:rFonts w:ascii="宋体" w:hAnsi="宋体" w:cs="宋体"/>
          <w:sz w:val="24"/>
          <w:szCs w:val="24"/>
        </w:rPr>
        <w:t>15</w:t>
      </w:r>
      <w:r>
        <w:rPr>
          <w:rFonts w:hint="eastAsia" w:ascii="宋体" w:hAnsi="宋体" w:cs="宋体"/>
          <w:sz w:val="24"/>
          <w:szCs w:val="24"/>
        </w:rPr>
        <w:t>条规定和第七章提供的格式提交。</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）商务部分：投标书、开标一览表、投标分项（明细）报价表、服务说明一览表、商务条款偏离表、法人代表授权书等，按照本须知第</w:t>
      </w:r>
      <w:r>
        <w:rPr>
          <w:rFonts w:ascii="宋体" w:hAnsi="宋体" w:cs="宋体"/>
          <w:sz w:val="24"/>
          <w:szCs w:val="24"/>
        </w:rPr>
        <w:t>15</w:t>
      </w:r>
      <w:r>
        <w:rPr>
          <w:rFonts w:hint="eastAsia" w:ascii="宋体" w:hAnsi="宋体" w:cs="宋体"/>
          <w:sz w:val="24"/>
          <w:szCs w:val="24"/>
        </w:rPr>
        <w:t>条规定和第七章提供的格式提交。</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）技术部分：服务技术描述（体检服务方案</w:t>
      </w:r>
      <w:r>
        <w:rPr>
          <w:rFonts w:hint="eastAsia" w:ascii="宋体" w:hAnsi="宋体" w:cs="宋体"/>
          <w:sz w:val="24"/>
          <w:szCs w:val="24"/>
          <w:lang w:eastAsia="zh-CN"/>
        </w:rPr>
        <w:t>、</w:t>
      </w:r>
      <w:r>
        <w:rPr>
          <w:rFonts w:hint="eastAsia" w:ascii="宋体" w:hAnsi="宋体" w:cs="宋体"/>
          <w:sz w:val="24"/>
          <w:szCs w:val="24"/>
          <w:lang w:val="en-US" w:eastAsia="zh-CN"/>
        </w:rPr>
        <w:t>体检质量保证方案、应急方案、后期服务方案</w:t>
      </w:r>
      <w:r>
        <w:rPr>
          <w:rFonts w:hint="eastAsia" w:ascii="宋体" w:hAnsi="宋体" w:cs="宋体"/>
          <w:sz w:val="24"/>
          <w:szCs w:val="24"/>
        </w:rPr>
        <w:t>）、招标文件技术需求部分要求提供的内容、综合说明、服务偏离表等。</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）投标服务技术符合招标文件规定的证明文件及投标人认为需加以说明的其他内容。</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）投标人应将投标文件详列目录，并填写“投标文件资料清单、目录、页码”，以便阅读。</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）证明投标人履约能力的文件（本须知</w:t>
      </w:r>
      <w:r>
        <w:rPr>
          <w:rFonts w:ascii="宋体" w:hAnsi="宋体" w:cs="宋体"/>
          <w:sz w:val="24"/>
          <w:szCs w:val="24"/>
        </w:rPr>
        <w:t>15</w:t>
      </w:r>
      <w:r>
        <w:rPr>
          <w:rFonts w:hint="eastAsia" w:ascii="宋体" w:hAnsi="宋体" w:cs="宋体"/>
          <w:sz w:val="24"/>
          <w:szCs w:val="24"/>
        </w:rPr>
        <w:t>条内容）</w:t>
      </w:r>
    </w:p>
    <w:p>
      <w:pPr>
        <w:spacing w:line="360" w:lineRule="auto"/>
        <w:ind w:firstLine="482" w:firstLineChars="200"/>
        <w:rPr>
          <w:rFonts w:ascii="宋体" w:cs="宋体"/>
          <w:b/>
          <w:sz w:val="24"/>
          <w:szCs w:val="24"/>
        </w:rPr>
      </w:pPr>
      <w:r>
        <w:rPr>
          <w:rFonts w:ascii="宋体" w:hAnsi="宋体" w:cs="宋体"/>
          <w:b/>
          <w:sz w:val="24"/>
          <w:szCs w:val="24"/>
        </w:rPr>
        <w:t>12.</w:t>
      </w:r>
      <w:r>
        <w:rPr>
          <w:rFonts w:hint="eastAsia" w:ascii="宋体" w:hAnsi="宋体" w:cs="宋体"/>
          <w:b/>
          <w:sz w:val="24"/>
          <w:szCs w:val="24"/>
        </w:rPr>
        <w:t>投标文件格式</w:t>
      </w:r>
    </w:p>
    <w:p>
      <w:pPr>
        <w:spacing w:line="360" w:lineRule="auto"/>
        <w:ind w:firstLine="480" w:firstLineChars="200"/>
        <w:rPr>
          <w:rFonts w:ascii="宋体" w:cs="宋体"/>
          <w:sz w:val="24"/>
          <w:szCs w:val="24"/>
        </w:rPr>
      </w:pPr>
      <w:r>
        <w:rPr>
          <w:rFonts w:ascii="宋体" w:hAnsi="宋体" w:cs="宋体"/>
          <w:sz w:val="24"/>
          <w:szCs w:val="24"/>
        </w:rPr>
        <w:t xml:space="preserve">12.1 </w:t>
      </w:r>
      <w:r>
        <w:rPr>
          <w:rFonts w:hint="eastAsia" w:ascii="宋体" w:hAnsi="宋体" w:cs="宋体"/>
          <w:sz w:val="24"/>
          <w:szCs w:val="24"/>
        </w:rPr>
        <w:t>投标人应按招标文件第</w:t>
      </w:r>
      <w:r>
        <w:rPr>
          <w:rFonts w:ascii="宋体" w:hAnsi="宋体" w:cs="宋体"/>
          <w:sz w:val="24"/>
          <w:szCs w:val="24"/>
        </w:rPr>
        <w:t>11</w:t>
      </w:r>
      <w:r>
        <w:rPr>
          <w:rFonts w:hint="eastAsia" w:ascii="宋体" w:hAnsi="宋体" w:cs="宋体"/>
          <w:sz w:val="24"/>
          <w:szCs w:val="24"/>
        </w:rPr>
        <w:t>条的内容与要求和第七章提供的格式编写其投标文件，投标人不得缺少或留空任何招标文件要求填写的表格或提交的资料。</w:t>
      </w:r>
    </w:p>
    <w:p>
      <w:pPr>
        <w:spacing w:line="360" w:lineRule="auto"/>
        <w:ind w:firstLine="480" w:firstLineChars="200"/>
        <w:rPr>
          <w:rFonts w:hint="eastAsia" w:ascii="宋体" w:hAnsi="宋体" w:cs="宋体"/>
          <w:sz w:val="24"/>
          <w:szCs w:val="24"/>
        </w:rPr>
      </w:pPr>
      <w:r>
        <w:rPr>
          <w:rFonts w:ascii="宋体" w:hAnsi="宋体" w:cs="宋体"/>
          <w:sz w:val="24"/>
          <w:szCs w:val="24"/>
        </w:rPr>
        <w:t>12.2</w:t>
      </w:r>
      <w:r>
        <w:rPr>
          <w:rFonts w:hint="eastAsia" w:ascii="宋体" w:hAnsi="宋体" w:cs="宋体"/>
          <w:sz w:val="24"/>
          <w:szCs w:val="24"/>
        </w:rPr>
        <w:t>投标人应将投标文件按第</w:t>
      </w:r>
      <w:r>
        <w:rPr>
          <w:rFonts w:ascii="宋体" w:hAnsi="宋体" w:cs="宋体"/>
          <w:sz w:val="24"/>
          <w:szCs w:val="24"/>
        </w:rPr>
        <w:t>11</w:t>
      </w:r>
      <w:r>
        <w:rPr>
          <w:rFonts w:hint="eastAsia" w:ascii="宋体" w:hAnsi="宋体" w:cs="宋体"/>
          <w:sz w:val="24"/>
          <w:szCs w:val="24"/>
        </w:rPr>
        <w:t>条规定的顺序编排、并应编制目录、逐页标注连续页码。</w:t>
      </w:r>
    </w:p>
    <w:p>
      <w:pPr>
        <w:pStyle w:val="57"/>
      </w:pPr>
      <w:r>
        <w:rPr>
          <w:rFonts w:hint="eastAsia" w:ascii="宋体" w:hAnsi="宋体" w:cs="宋体"/>
          <w:sz w:val="24"/>
          <w:szCs w:val="24"/>
          <w:highlight w:val="none"/>
          <w:lang w:val="en-US" w:eastAsia="zh-CN"/>
        </w:rPr>
        <w:t>12.3</w:t>
      </w:r>
      <w:r>
        <w:rPr>
          <w:rFonts w:hint="eastAsia" w:ascii="宋体" w:hAnsi="宋体" w:eastAsia="宋体" w:cs="宋体"/>
          <w:b/>
          <w:kern w:val="0"/>
          <w:sz w:val="24"/>
          <w:szCs w:val="24"/>
          <w:highlight w:val="none"/>
        </w:rPr>
        <w:t>严格按照政采云电子投标流程制作并上传电子投标文件</w:t>
      </w:r>
    </w:p>
    <w:p>
      <w:pPr>
        <w:spacing w:line="360" w:lineRule="auto"/>
        <w:ind w:firstLine="482" w:firstLineChars="200"/>
        <w:rPr>
          <w:rFonts w:ascii="宋体" w:cs="宋体"/>
          <w:b/>
          <w:sz w:val="24"/>
          <w:szCs w:val="24"/>
        </w:rPr>
      </w:pPr>
      <w:r>
        <w:rPr>
          <w:rFonts w:ascii="宋体" w:hAnsi="宋体" w:cs="宋体"/>
          <w:b/>
          <w:sz w:val="24"/>
          <w:szCs w:val="24"/>
        </w:rPr>
        <w:t>13.</w:t>
      </w:r>
      <w:r>
        <w:rPr>
          <w:rFonts w:hint="eastAsia" w:ascii="宋体" w:hAnsi="宋体" w:cs="宋体"/>
          <w:b/>
          <w:sz w:val="24"/>
          <w:szCs w:val="24"/>
        </w:rPr>
        <w:t>投标报价</w:t>
      </w:r>
    </w:p>
    <w:p>
      <w:pPr>
        <w:spacing w:line="360" w:lineRule="auto"/>
        <w:ind w:firstLine="480" w:firstLineChars="200"/>
        <w:rPr>
          <w:rFonts w:ascii="宋体" w:cs="宋体"/>
          <w:sz w:val="24"/>
          <w:szCs w:val="24"/>
        </w:rPr>
      </w:pPr>
      <w:r>
        <w:rPr>
          <w:rFonts w:ascii="宋体" w:hAnsi="宋体" w:cs="宋体"/>
          <w:sz w:val="24"/>
          <w:szCs w:val="24"/>
        </w:rPr>
        <w:t xml:space="preserve">13.1 </w:t>
      </w:r>
      <w:r>
        <w:rPr>
          <w:rFonts w:hint="eastAsia" w:ascii="宋体" w:hAnsi="宋体" w:cs="宋体"/>
          <w:sz w:val="24"/>
          <w:szCs w:val="24"/>
        </w:rPr>
        <w:t>投标人应在投标分项报价表上标明本合同拟提供服务的单价和总价。</w:t>
      </w:r>
    </w:p>
    <w:p>
      <w:pPr>
        <w:spacing w:line="360" w:lineRule="auto"/>
        <w:ind w:firstLine="480" w:firstLineChars="200"/>
        <w:rPr>
          <w:rFonts w:ascii="宋体" w:cs="宋体"/>
          <w:sz w:val="24"/>
          <w:szCs w:val="24"/>
        </w:rPr>
      </w:pPr>
      <w:r>
        <w:rPr>
          <w:rFonts w:ascii="宋体" w:hAnsi="宋体" w:cs="宋体"/>
          <w:sz w:val="24"/>
          <w:szCs w:val="24"/>
        </w:rPr>
        <w:t xml:space="preserve">13.2 </w:t>
      </w:r>
      <w:r>
        <w:rPr>
          <w:rFonts w:hint="eastAsia" w:ascii="宋体" w:hAnsi="宋体" w:cs="宋体"/>
          <w:sz w:val="24"/>
          <w:szCs w:val="24"/>
        </w:rPr>
        <w:t>投标人对每种货物只允许有一个报价，采购人不接受有任何选择的报价。</w:t>
      </w:r>
    </w:p>
    <w:p>
      <w:pPr>
        <w:spacing w:line="360" w:lineRule="auto"/>
        <w:ind w:firstLine="480" w:firstLineChars="200"/>
        <w:rPr>
          <w:rFonts w:ascii="宋体" w:cs="宋体"/>
          <w:sz w:val="24"/>
          <w:szCs w:val="24"/>
        </w:rPr>
      </w:pPr>
      <w:r>
        <w:rPr>
          <w:rFonts w:ascii="宋体" w:hAnsi="宋体" w:cs="宋体"/>
          <w:sz w:val="24"/>
          <w:szCs w:val="24"/>
        </w:rPr>
        <w:t xml:space="preserve">13.3 </w:t>
      </w:r>
      <w:r>
        <w:rPr>
          <w:rFonts w:hint="eastAsia" w:ascii="宋体" w:hAnsi="宋体" w:cs="宋体"/>
          <w:sz w:val="24"/>
          <w:szCs w:val="24"/>
        </w:rPr>
        <w:t>投标人根据本须知的规定将投标价分成几部分，只是为了方便采购人或采购代理机构对投标文件进行比较，并不限制采购人以上述任何条件订立合同的权利。</w:t>
      </w:r>
    </w:p>
    <w:p>
      <w:pPr>
        <w:spacing w:line="360" w:lineRule="auto"/>
        <w:ind w:firstLine="480" w:firstLineChars="200"/>
        <w:rPr>
          <w:rFonts w:ascii="宋体" w:cs="宋体"/>
          <w:sz w:val="24"/>
          <w:szCs w:val="24"/>
        </w:rPr>
      </w:pPr>
      <w:r>
        <w:rPr>
          <w:rFonts w:ascii="宋体" w:hAnsi="宋体" w:cs="宋体"/>
          <w:sz w:val="24"/>
          <w:szCs w:val="24"/>
        </w:rPr>
        <w:t xml:space="preserve">13.4 </w:t>
      </w:r>
      <w:r>
        <w:rPr>
          <w:rFonts w:hint="eastAsia" w:ascii="宋体" w:hAnsi="宋体" w:cs="宋体"/>
          <w:sz w:val="24"/>
          <w:szCs w:val="24"/>
        </w:rPr>
        <w:t>投标人所报的投标价在合同执行过程中是固定不变的，不得以任何理由予以变更。任何包含价格调整要求的投标，将被认为是非响应性投标而作无效投标处理。</w:t>
      </w:r>
    </w:p>
    <w:p>
      <w:pPr>
        <w:spacing w:line="360" w:lineRule="auto"/>
        <w:ind w:firstLine="480" w:firstLineChars="200"/>
        <w:rPr>
          <w:rFonts w:ascii="宋体" w:cs="宋体"/>
          <w:sz w:val="24"/>
          <w:szCs w:val="24"/>
        </w:rPr>
      </w:pPr>
      <w:r>
        <w:rPr>
          <w:rFonts w:ascii="宋体" w:hAnsi="宋体" w:cs="宋体"/>
          <w:sz w:val="24"/>
          <w:szCs w:val="24"/>
        </w:rPr>
        <w:t>13.5</w:t>
      </w:r>
      <w:r>
        <w:rPr>
          <w:rFonts w:hint="eastAsia" w:ascii="宋体" w:hAnsi="宋体" w:cs="宋体"/>
          <w:sz w:val="24"/>
          <w:szCs w:val="24"/>
        </w:rPr>
        <w:t>投标人不得违反《中华人民共和国反不正当竞争法》的规定，以低于成本的价格销售货物或服务，否则应对其价格构成情况做出详细说明并提供相关证明资料。</w:t>
      </w:r>
      <w:r>
        <w:rPr>
          <w:rFonts w:hint="eastAsia" w:ascii="宋体" w:hAnsi="宋体" w:cs="宋体"/>
          <w:b/>
          <w:sz w:val="24"/>
          <w:szCs w:val="24"/>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sz w:val="24"/>
          <w:szCs w:val="24"/>
        </w:rPr>
        <w:t>投标人的澄清、说明或者补正应当采用书面形式，由其授权代表签字，并不得超出投标文件的范围或者改变投标文件的实质性内容，书面承诺为其投标文件的组成部分。</w:t>
      </w:r>
    </w:p>
    <w:p>
      <w:pPr>
        <w:spacing w:line="360" w:lineRule="auto"/>
        <w:ind w:firstLine="480" w:firstLineChars="200"/>
        <w:rPr>
          <w:rFonts w:ascii="宋体" w:cs="宋体"/>
          <w:sz w:val="24"/>
          <w:szCs w:val="24"/>
        </w:rPr>
      </w:pPr>
      <w:r>
        <w:rPr>
          <w:rFonts w:ascii="宋体" w:hAnsi="宋体" w:cs="宋体"/>
          <w:sz w:val="24"/>
          <w:szCs w:val="24"/>
        </w:rPr>
        <w:t>13.6</w:t>
      </w:r>
      <w:r>
        <w:rPr>
          <w:rFonts w:hint="eastAsia" w:ascii="宋体" w:hAnsi="宋体" w:cs="宋体"/>
          <w:sz w:val="24"/>
          <w:szCs w:val="24"/>
        </w:rPr>
        <w:t>对于投标报价不全，应当提交的报价而在标书中没有提交的投标人，将作无效投标处理。</w:t>
      </w:r>
    </w:p>
    <w:p>
      <w:pPr>
        <w:spacing w:line="360" w:lineRule="auto"/>
        <w:ind w:firstLine="482" w:firstLineChars="200"/>
        <w:rPr>
          <w:rFonts w:ascii="宋体" w:cs="宋体"/>
          <w:b/>
          <w:sz w:val="24"/>
          <w:szCs w:val="24"/>
        </w:rPr>
      </w:pPr>
      <w:r>
        <w:rPr>
          <w:rFonts w:ascii="宋体" w:hAnsi="宋体" w:cs="宋体"/>
          <w:b/>
          <w:sz w:val="24"/>
          <w:szCs w:val="24"/>
        </w:rPr>
        <w:t>14.</w:t>
      </w:r>
      <w:r>
        <w:rPr>
          <w:rFonts w:hint="eastAsia" w:ascii="宋体" w:hAnsi="宋体" w:cs="宋体"/>
          <w:b/>
          <w:sz w:val="24"/>
          <w:szCs w:val="24"/>
        </w:rPr>
        <w:t>投标货币</w:t>
      </w:r>
    </w:p>
    <w:p>
      <w:pPr>
        <w:spacing w:line="360" w:lineRule="auto"/>
        <w:ind w:firstLine="480" w:firstLineChars="200"/>
        <w:rPr>
          <w:rFonts w:ascii="宋体" w:cs="宋体"/>
          <w:sz w:val="24"/>
          <w:szCs w:val="24"/>
        </w:rPr>
      </w:pPr>
      <w:r>
        <w:rPr>
          <w:rFonts w:ascii="宋体" w:hAnsi="宋体" w:cs="宋体"/>
          <w:sz w:val="24"/>
          <w:szCs w:val="24"/>
        </w:rPr>
        <w:t xml:space="preserve">14.1 </w:t>
      </w:r>
      <w:r>
        <w:rPr>
          <w:rFonts w:hint="eastAsia" w:ascii="宋体" w:hAnsi="宋体" w:cs="宋体"/>
          <w:sz w:val="24"/>
          <w:szCs w:val="24"/>
        </w:rPr>
        <w:t>投标人提供的货物和服务一律用人民币报价。</w:t>
      </w:r>
    </w:p>
    <w:p>
      <w:pPr>
        <w:spacing w:line="360" w:lineRule="auto"/>
        <w:ind w:firstLine="482" w:firstLineChars="200"/>
        <w:rPr>
          <w:rFonts w:ascii="宋体" w:cs="宋体"/>
          <w:b/>
          <w:sz w:val="24"/>
          <w:szCs w:val="24"/>
        </w:rPr>
      </w:pPr>
      <w:r>
        <w:rPr>
          <w:rFonts w:ascii="宋体" w:hAnsi="宋体" w:cs="宋体"/>
          <w:b/>
          <w:sz w:val="24"/>
          <w:szCs w:val="24"/>
        </w:rPr>
        <w:t>15.</w:t>
      </w:r>
      <w:r>
        <w:rPr>
          <w:rFonts w:hint="eastAsia" w:ascii="宋体" w:hAnsi="宋体" w:cs="宋体"/>
          <w:b/>
          <w:sz w:val="24"/>
          <w:szCs w:val="24"/>
        </w:rPr>
        <w:t>证明投标人合格的资格证明材料</w:t>
      </w:r>
    </w:p>
    <w:p>
      <w:pPr>
        <w:spacing w:line="360" w:lineRule="auto"/>
        <w:ind w:firstLine="480" w:firstLineChars="200"/>
        <w:rPr>
          <w:rFonts w:ascii="宋体" w:cs="宋体"/>
          <w:sz w:val="24"/>
          <w:szCs w:val="24"/>
        </w:rPr>
      </w:pPr>
      <w:r>
        <w:rPr>
          <w:rFonts w:ascii="宋体" w:hAnsi="宋体" w:cs="宋体"/>
          <w:sz w:val="24"/>
          <w:szCs w:val="24"/>
        </w:rPr>
        <w:t xml:space="preserve">15.1 </w:t>
      </w:r>
      <w:r>
        <w:rPr>
          <w:rFonts w:hint="eastAsia" w:ascii="宋体" w:hAnsi="宋体" w:cs="宋体"/>
          <w:sz w:val="24"/>
          <w:szCs w:val="24"/>
        </w:rPr>
        <w:t>投标人应提交证明其有资格参加投标和中标后有能力履行合同的材料，并作为其投标文件的一部分。</w:t>
      </w:r>
    </w:p>
    <w:p>
      <w:pPr>
        <w:spacing w:line="360" w:lineRule="auto"/>
        <w:ind w:firstLine="480" w:firstLineChars="200"/>
        <w:rPr>
          <w:rFonts w:ascii="宋体" w:cs="宋体"/>
          <w:sz w:val="24"/>
          <w:szCs w:val="24"/>
        </w:rPr>
      </w:pPr>
      <w:r>
        <w:rPr>
          <w:rFonts w:ascii="宋体" w:hAnsi="宋体" w:cs="宋体"/>
          <w:sz w:val="24"/>
          <w:szCs w:val="24"/>
        </w:rPr>
        <w:t xml:space="preserve">15.2 </w:t>
      </w:r>
      <w:r>
        <w:rPr>
          <w:rFonts w:hint="eastAsia" w:ascii="宋体" w:hAnsi="宋体" w:cs="宋体"/>
          <w:sz w:val="24"/>
          <w:szCs w:val="24"/>
        </w:rPr>
        <w:t>投标人提交的资格证明材料应符合第七章投标文件格式“一、投标文件</w:t>
      </w:r>
      <w:r>
        <w:rPr>
          <w:rFonts w:ascii="宋体" w:cs="宋体"/>
          <w:sz w:val="24"/>
          <w:szCs w:val="24"/>
        </w:rPr>
        <w:t>-</w:t>
      </w:r>
      <w:r>
        <w:rPr>
          <w:rFonts w:hint="eastAsia" w:ascii="宋体" w:hAnsi="宋体" w:cs="宋体"/>
          <w:sz w:val="24"/>
          <w:szCs w:val="24"/>
        </w:rPr>
        <w:t>资格证明材料”的要求。</w:t>
      </w:r>
    </w:p>
    <w:p>
      <w:pPr>
        <w:spacing w:line="360" w:lineRule="auto"/>
        <w:ind w:firstLine="480" w:firstLineChars="200"/>
        <w:rPr>
          <w:rFonts w:ascii="宋体" w:cs="宋体"/>
          <w:sz w:val="24"/>
          <w:szCs w:val="24"/>
        </w:rPr>
      </w:pPr>
      <w:r>
        <w:rPr>
          <w:rFonts w:ascii="宋体" w:hAnsi="宋体" w:cs="宋体"/>
          <w:sz w:val="24"/>
          <w:szCs w:val="24"/>
        </w:rPr>
        <w:t>15.3</w:t>
      </w:r>
      <w:r>
        <w:rPr>
          <w:rFonts w:hint="eastAsia" w:ascii="宋体" w:hAnsi="宋体" w:cs="宋体"/>
          <w:sz w:val="24"/>
          <w:szCs w:val="24"/>
        </w:rPr>
        <w:t>投标人在收到中标通知书前后或签署合同前后对于采购人或采购代理机构提出的质疑能够在</w:t>
      </w:r>
      <w:r>
        <w:rPr>
          <w:rFonts w:ascii="宋体" w:hAnsi="宋体" w:cs="宋体"/>
          <w:sz w:val="24"/>
          <w:szCs w:val="24"/>
        </w:rPr>
        <w:t>3</w:t>
      </w:r>
      <w:r>
        <w:rPr>
          <w:rFonts w:hint="eastAsia" w:ascii="宋体" w:hAnsi="宋体" w:cs="宋体"/>
          <w:sz w:val="24"/>
          <w:szCs w:val="24"/>
        </w:rPr>
        <w:t>个工作日内给予满意合理的解释。</w:t>
      </w:r>
    </w:p>
    <w:p>
      <w:pPr>
        <w:spacing w:line="360" w:lineRule="auto"/>
        <w:ind w:firstLine="482" w:firstLineChars="200"/>
        <w:rPr>
          <w:rFonts w:ascii="宋体" w:cs="宋体"/>
          <w:b/>
          <w:sz w:val="24"/>
          <w:szCs w:val="24"/>
        </w:rPr>
      </w:pPr>
      <w:r>
        <w:rPr>
          <w:rFonts w:ascii="宋体" w:hAnsi="宋体" w:cs="宋体"/>
          <w:b/>
          <w:sz w:val="24"/>
          <w:szCs w:val="24"/>
        </w:rPr>
        <w:t>16.</w:t>
      </w:r>
      <w:r>
        <w:rPr>
          <w:rFonts w:hint="eastAsia" w:ascii="宋体" w:hAnsi="宋体" w:cs="宋体"/>
          <w:b/>
          <w:sz w:val="24"/>
          <w:szCs w:val="24"/>
        </w:rPr>
        <w:t>证明货物或服务的合格性和符合招标文件规定的文件</w:t>
      </w:r>
    </w:p>
    <w:p>
      <w:pPr>
        <w:spacing w:line="360" w:lineRule="auto"/>
        <w:ind w:firstLine="480" w:firstLineChars="200"/>
        <w:rPr>
          <w:rFonts w:ascii="宋体" w:cs="宋体"/>
          <w:sz w:val="24"/>
          <w:szCs w:val="24"/>
        </w:rPr>
      </w:pPr>
      <w:r>
        <w:rPr>
          <w:rFonts w:ascii="宋体" w:hAnsi="宋体" w:cs="宋体"/>
          <w:sz w:val="24"/>
          <w:szCs w:val="24"/>
        </w:rPr>
        <w:t xml:space="preserve">16.1 </w:t>
      </w:r>
      <w:r>
        <w:rPr>
          <w:rFonts w:hint="eastAsia" w:ascii="宋体" w:hAnsi="宋体" w:cs="宋体"/>
          <w:sz w:val="24"/>
          <w:szCs w:val="24"/>
        </w:rPr>
        <w:t>投标人应提交证明文件证明其拟投标的货物的合格性符合招标文件规定。该证明文件作为投标文件的一部分。</w:t>
      </w:r>
    </w:p>
    <w:p>
      <w:pPr>
        <w:spacing w:line="360" w:lineRule="auto"/>
        <w:ind w:firstLine="480" w:firstLineChars="200"/>
        <w:rPr>
          <w:rFonts w:ascii="宋体" w:cs="宋体"/>
          <w:sz w:val="24"/>
          <w:szCs w:val="24"/>
        </w:rPr>
      </w:pPr>
      <w:r>
        <w:rPr>
          <w:rFonts w:ascii="宋体" w:hAnsi="宋体" w:cs="宋体"/>
          <w:sz w:val="24"/>
          <w:szCs w:val="24"/>
        </w:rPr>
        <w:t xml:space="preserve">16.2 </w:t>
      </w:r>
      <w:r>
        <w:rPr>
          <w:rFonts w:hint="eastAsia" w:ascii="宋体" w:hAnsi="宋体" w:cs="宋体"/>
          <w:sz w:val="24"/>
          <w:szCs w:val="24"/>
        </w:rPr>
        <w:t>证明货物和服务与招标文件的要求一致的文件，可以是文字资料、图纸和数据，它包括但不限于以下内容：</w:t>
      </w:r>
    </w:p>
    <w:p>
      <w:pPr>
        <w:pStyle w:val="21"/>
        <w:ind w:firstLine="480" w:firstLineChars="200"/>
      </w:pPr>
      <w:r>
        <w:rPr>
          <w:rFonts w:hint="eastAsia"/>
        </w:rPr>
        <w:t>（1）投标人所拥有相应的资质证书；</w:t>
      </w:r>
    </w:p>
    <w:p>
      <w:pPr>
        <w:pStyle w:val="21"/>
        <w:ind w:firstLine="480" w:firstLineChars="200"/>
      </w:pPr>
      <w:r>
        <w:rPr>
          <w:rFonts w:hint="eastAsia"/>
        </w:rPr>
        <w:t>（2）投标人所拥有具有相应专业技术能力的人员证书；</w:t>
      </w:r>
    </w:p>
    <w:p>
      <w:pPr>
        <w:pStyle w:val="21"/>
        <w:ind w:firstLine="480" w:firstLineChars="200"/>
      </w:pPr>
      <w:r>
        <w:rPr>
          <w:rFonts w:hint="eastAsia"/>
        </w:rPr>
        <w:t>（3）相关设备的购置发票；</w:t>
      </w:r>
    </w:p>
    <w:p>
      <w:pPr>
        <w:pStyle w:val="21"/>
        <w:ind w:firstLine="480" w:firstLineChars="200"/>
      </w:pPr>
      <w:r>
        <w:rPr>
          <w:rFonts w:hint="eastAsia"/>
        </w:rPr>
        <w:t>（4）对照招标文件技术服务需求要求，逐条说明所提供服务已对招标文件的技术服务需求、内容与要求做出了实质性的响应、技术服务需求与要求条文的偏差和例外（按第七章服务需求偏离表格式填写）。</w:t>
      </w:r>
    </w:p>
    <w:p>
      <w:pPr>
        <w:spacing w:line="360" w:lineRule="auto"/>
        <w:ind w:firstLine="480" w:firstLineChars="200"/>
        <w:rPr>
          <w:rFonts w:ascii="宋体" w:cs="宋体"/>
          <w:sz w:val="24"/>
          <w:szCs w:val="24"/>
        </w:rPr>
      </w:pPr>
      <w:r>
        <w:rPr>
          <w:rFonts w:ascii="宋体" w:hAnsi="宋体" w:cs="宋体"/>
          <w:sz w:val="24"/>
          <w:szCs w:val="24"/>
        </w:rPr>
        <w:t xml:space="preserve">16.3 </w:t>
      </w:r>
      <w:r>
        <w:rPr>
          <w:rFonts w:hint="eastAsia" w:ascii="宋体" w:hAnsi="宋体" w:cs="宋体"/>
          <w:sz w:val="24"/>
          <w:szCs w:val="24"/>
        </w:rPr>
        <w:t>投标人在阐述上述第</w:t>
      </w:r>
      <w:r>
        <w:rPr>
          <w:rFonts w:ascii="宋体" w:hAnsi="宋体" w:cs="宋体"/>
          <w:sz w:val="24"/>
          <w:szCs w:val="24"/>
        </w:rPr>
        <w:t>16.2</w:t>
      </w:r>
      <w:r>
        <w:rPr>
          <w:rFonts w:hint="eastAsia" w:ascii="宋体" w:hAnsi="宋体" w:cs="宋体"/>
          <w:sz w:val="24"/>
          <w:szCs w:val="24"/>
        </w:rPr>
        <w:t>时应注意招标文件技术部分中“采购需求”指出的工艺、材料和设备的标准以及参照的牌号或分类号仅起说明作用，并没有任何限制性。投标人在投标中可以选用替代标准、牌号或分类号，但这些替代要实质上相当于</w:t>
      </w:r>
      <w:r>
        <w:rPr>
          <w:rFonts w:hint="eastAsia" w:ascii="宋体" w:hAnsi="宋体" w:cs="宋体"/>
          <w:color w:val="000000"/>
          <w:sz w:val="24"/>
          <w:szCs w:val="24"/>
        </w:rPr>
        <w:t>或优于</w:t>
      </w:r>
      <w:r>
        <w:rPr>
          <w:rFonts w:hint="eastAsia" w:ascii="宋体" w:hAnsi="宋体" w:cs="宋体"/>
          <w:sz w:val="24"/>
          <w:szCs w:val="24"/>
        </w:rPr>
        <w:t>技术规格（服务需求）的要求。</w:t>
      </w:r>
    </w:p>
    <w:p>
      <w:pPr>
        <w:spacing w:line="360" w:lineRule="auto"/>
        <w:ind w:firstLine="482" w:firstLineChars="200"/>
        <w:rPr>
          <w:rFonts w:ascii="宋体" w:cs="宋体"/>
          <w:b/>
          <w:sz w:val="24"/>
          <w:szCs w:val="24"/>
        </w:rPr>
      </w:pPr>
      <w:r>
        <w:rPr>
          <w:rFonts w:ascii="宋体" w:hAnsi="宋体" w:cs="宋体"/>
          <w:b/>
          <w:sz w:val="24"/>
          <w:szCs w:val="24"/>
        </w:rPr>
        <w:t>17.</w:t>
      </w:r>
      <w:r>
        <w:rPr>
          <w:rFonts w:hint="eastAsia" w:ascii="宋体" w:hAnsi="宋体" w:cs="宋体"/>
          <w:b/>
          <w:sz w:val="24"/>
          <w:szCs w:val="24"/>
        </w:rPr>
        <w:t>投标保证金与中标服务费</w:t>
      </w:r>
    </w:p>
    <w:p>
      <w:pPr>
        <w:spacing w:line="360" w:lineRule="auto"/>
        <w:ind w:firstLine="480" w:firstLineChars="200"/>
        <w:rPr>
          <w:rFonts w:ascii="宋体" w:cs="宋体"/>
          <w:sz w:val="24"/>
          <w:szCs w:val="24"/>
        </w:rPr>
      </w:pPr>
      <w:r>
        <w:rPr>
          <w:rFonts w:ascii="宋体" w:hAnsi="宋体" w:cs="宋体"/>
          <w:sz w:val="24"/>
          <w:szCs w:val="24"/>
        </w:rPr>
        <w:t xml:space="preserve">17.1 </w:t>
      </w:r>
      <w:r>
        <w:rPr>
          <w:rFonts w:hint="eastAsia" w:ascii="宋体" w:hAnsi="宋体" w:cs="宋体"/>
          <w:sz w:val="24"/>
          <w:szCs w:val="24"/>
          <w:highlight w:val="none"/>
        </w:rPr>
        <w:t>投标人应提交“投标人须知前附表”规定数额的投标保证金，并作为其投标的一部分，投标保证金的接收单位为</w:t>
      </w:r>
      <w:r>
        <w:rPr>
          <w:rFonts w:hint="eastAsia" w:ascii="宋体" w:hAnsi="宋体" w:cs="宋体"/>
          <w:sz w:val="24"/>
          <w:szCs w:val="24"/>
          <w:highlight w:val="none"/>
          <w:lang w:eastAsia="zh-CN"/>
        </w:rPr>
        <w:t>乌鲁木齐高新建设工程项目管理咨询有限公司</w:t>
      </w:r>
      <w:r>
        <w:rPr>
          <w:rFonts w:hint="eastAsia" w:ascii="宋体" w:hAnsi="宋体" w:cs="宋体"/>
          <w:sz w:val="24"/>
          <w:szCs w:val="24"/>
          <w:highlight w:val="none"/>
        </w:rPr>
        <w:t>，依据《中华人民共和国政府法采购实施》第三十三条相关规定，投标保证金不得超过采购项目预算金额的</w:t>
      </w:r>
      <w:r>
        <w:rPr>
          <w:rFonts w:hint="eastAsia" w:ascii="宋体" w:hAnsi="宋体" w:cs="宋体"/>
          <w:sz w:val="24"/>
          <w:szCs w:val="24"/>
          <w:highlight w:val="none"/>
          <w:lang w:val="en-US" w:eastAsia="zh-CN"/>
        </w:rPr>
        <w:t>1</w:t>
      </w:r>
      <w:r>
        <w:rPr>
          <w:rFonts w:ascii="宋体" w:hAnsi="宋体" w:cs="宋体"/>
          <w:sz w:val="24"/>
          <w:szCs w:val="24"/>
          <w:highlight w:val="none"/>
        </w:rPr>
        <w:t>%</w:t>
      </w:r>
      <w:r>
        <w:rPr>
          <w:rFonts w:hint="eastAsia" w:ascii="宋体" w:hAnsi="宋体" w:cs="宋体"/>
          <w:sz w:val="24"/>
          <w:szCs w:val="24"/>
          <w:highlight w:val="none"/>
        </w:rPr>
        <w:t>。</w:t>
      </w:r>
    </w:p>
    <w:p>
      <w:pPr>
        <w:spacing w:line="360" w:lineRule="auto"/>
        <w:ind w:firstLine="480" w:firstLineChars="200"/>
        <w:rPr>
          <w:rFonts w:ascii="宋体" w:cs="宋体"/>
          <w:sz w:val="24"/>
          <w:szCs w:val="24"/>
        </w:rPr>
      </w:pPr>
      <w:r>
        <w:rPr>
          <w:rFonts w:ascii="宋体" w:hAnsi="宋体" w:cs="宋体"/>
          <w:sz w:val="24"/>
          <w:szCs w:val="24"/>
        </w:rPr>
        <w:t xml:space="preserve">17.2 </w:t>
      </w:r>
      <w:r>
        <w:rPr>
          <w:rFonts w:hint="eastAsia" w:ascii="宋体" w:hAnsi="宋体" w:cs="宋体"/>
          <w:sz w:val="24"/>
          <w:szCs w:val="24"/>
        </w:rPr>
        <w:t>投标保证金的货币为人民币，并采用下列任何一种形式：</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电汇；</w:t>
      </w:r>
      <w:r>
        <w:rPr>
          <w:rFonts w:ascii="宋体" w:hAnsi="宋体" w:cs="宋体"/>
          <w:sz w:val="24"/>
          <w:szCs w:val="24"/>
        </w:rPr>
        <w:t xml:space="preserve"> </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支票（须提前一个工作日）；</w:t>
      </w:r>
      <w:r>
        <w:rPr>
          <w:rFonts w:ascii="宋体" w:hAnsi="宋体" w:cs="宋体"/>
          <w:sz w:val="24"/>
          <w:szCs w:val="24"/>
        </w:rPr>
        <w:t xml:space="preserve"> </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银行汇票；</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本票；</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金融机构、担保机构出具的保函。</w:t>
      </w:r>
    </w:p>
    <w:p>
      <w:pPr>
        <w:spacing w:line="360" w:lineRule="auto"/>
        <w:ind w:firstLine="480" w:firstLineChars="200"/>
        <w:rPr>
          <w:rFonts w:ascii="宋体" w:cs="宋体"/>
          <w:sz w:val="24"/>
          <w:szCs w:val="24"/>
        </w:rPr>
      </w:pPr>
      <w:r>
        <w:rPr>
          <w:rFonts w:ascii="宋体" w:hAnsi="宋体" w:cs="宋体"/>
          <w:sz w:val="24"/>
          <w:szCs w:val="24"/>
        </w:rPr>
        <w:t xml:space="preserve">17.3 </w:t>
      </w:r>
      <w:r>
        <w:rPr>
          <w:rFonts w:hint="eastAsia" w:ascii="宋体" w:hAnsi="宋体" w:cs="宋体"/>
          <w:sz w:val="24"/>
          <w:szCs w:val="24"/>
        </w:rPr>
        <w:t>凡没有根据本须知第</w:t>
      </w:r>
      <w:r>
        <w:rPr>
          <w:rFonts w:ascii="宋体" w:hAnsi="宋体" w:cs="宋体"/>
          <w:sz w:val="24"/>
          <w:szCs w:val="24"/>
        </w:rPr>
        <w:t>17.1</w:t>
      </w:r>
      <w:r>
        <w:rPr>
          <w:rFonts w:hint="eastAsia" w:ascii="宋体" w:hAnsi="宋体" w:cs="宋体"/>
          <w:sz w:val="24"/>
          <w:szCs w:val="24"/>
        </w:rPr>
        <w:t>和</w:t>
      </w:r>
      <w:r>
        <w:rPr>
          <w:rFonts w:ascii="宋体" w:hAnsi="宋体" w:cs="宋体"/>
          <w:sz w:val="24"/>
          <w:szCs w:val="24"/>
        </w:rPr>
        <w:t>17.2</w:t>
      </w:r>
      <w:r>
        <w:rPr>
          <w:rFonts w:hint="eastAsia" w:ascii="宋体" w:hAnsi="宋体" w:cs="宋体"/>
          <w:sz w:val="24"/>
          <w:szCs w:val="24"/>
        </w:rPr>
        <w:t>条的规定随附投标保证金的投标，投标无效。投标人提交的投标保证金，将以转账形式予以退回。请各投标人在中标公告公布之后将单位退保证金公账户信息发送电子邮件至采购代理机构指定邮箱，如未发送，保证金逾期未退还将由投标人承担。</w:t>
      </w:r>
    </w:p>
    <w:p>
      <w:pPr>
        <w:spacing w:line="360" w:lineRule="auto"/>
        <w:ind w:firstLine="480" w:firstLineChars="200"/>
        <w:rPr>
          <w:rFonts w:ascii="宋体" w:cs="宋体"/>
          <w:sz w:val="24"/>
        </w:rPr>
      </w:pPr>
      <w:r>
        <w:rPr>
          <w:rFonts w:ascii="宋体" w:hAnsi="宋体" w:cs="宋体"/>
          <w:sz w:val="24"/>
          <w:szCs w:val="24"/>
        </w:rPr>
        <w:t xml:space="preserve">17.4 </w:t>
      </w:r>
      <w:r>
        <w:rPr>
          <w:rFonts w:hint="eastAsia" w:ascii="宋体" w:hAnsi="宋体" w:cs="宋体"/>
          <w:sz w:val="24"/>
          <w:szCs w:val="24"/>
        </w:rPr>
        <w:t>未中标投标人的投标保证金</w:t>
      </w:r>
      <w:r>
        <w:rPr>
          <w:rFonts w:ascii="宋体" w:hAnsi="宋体" w:cs="宋体"/>
          <w:sz w:val="24"/>
          <w:szCs w:val="24"/>
        </w:rPr>
        <w:t xml:space="preserve">, </w:t>
      </w:r>
      <w:r>
        <w:rPr>
          <w:rFonts w:hint="eastAsia" w:ascii="宋体" w:hAnsi="宋体" w:cs="宋体"/>
          <w:sz w:val="24"/>
        </w:rPr>
        <w:t>自中标通知书发出之日起</w:t>
      </w:r>
      <w:r>
        <w:rPr>
          <w:rFonts w:ascii="宋体" w:hAnsi="宋体" w:cs="宋体"/>
          <w:sz w:val="24"/>
        </w:rPr>
        <w:t>5</w:t>
      </w:r>
      <w:r>
        <w:rPr>
          <w:rFonts w:hint="eastAsia" w:ascii="宋体" w:hAnsi="宋体" w:cs="宋体"/>
          <w:sz w:val="24"/>
        </w:rPr>
        <w:t>个工作日内退还投标人。</w:t>
      </w:r>
    </w:p>
    <w:p>
      <w:pPr>
        <w:spacing w:line="360" w:lineRule="auto"/>
        <w:ind w:firstLine="480" w:firstLineChars="200"/>
        <w:rPr>
          <w:rFonts w:ascii="宋体" w:cs="宋体"/>
          <w:sz w:val="24"/>
          <w:szCs w:val="24"/>
        </w:rPr>
      </w:pPr>
      <w:r>
        <w:rPr>
          <w:rFonts w:ascii="宋体" w:hAnsi="宋体" w:cs="宋体"/>
          <w:sz w:val="24"/>
          <w:szCs w:val="24"/>
        </w:rPr>
        <w:t xml:space="preserve">17.5 </w:t>
      </w:r>
      <w:r>
        <w:rPr>
          <w:rFonts w:hint="eastAsia" w:ascii="宋体" w:hAnsi="宋体" w:cs="宋体"/>
          <w:sz w:val="24"/>
          <w:szCs w:val="24"/>
        </w:rPr>
        <w:t>中标投标人的投标保证金，自政府采购合同签订之日起</w:t>
      </w:r>
      <w:r>
        <w:rPr>
          <w:rFonts w:ascii="宋体" w:hAnsi="宋体" w:cs="宋体"/>
          <w:sz w:val="24"/>
          <w:szCs w:val="24"/>
        </w:rPr>
        <w:t>5</w:t>
      </w:r>
      <w:r>
        <w:rPr>
          <w:rFonts w:hint="eastAsia" w:ascii="宋体" w:hAnsi="宋体" w:cs="宋体"/>
          <w:sz w:val="24"/>
          <w:szCs w:val="24"/>
        </w:rPr>
        <w:t>个工作日内退还。</w:t>
      </w:r>
    </w:p>
    <w:p>
      <w:pPr>
        <w:numPr>
          <w:ilvl w:val="1"/>
          <w:numId w:val="10"/>
        </w:numPr>
        <w:spacing w:line="360" w:lineRule="auto"/>
        <w:rPr>
          <w:rFonts w:ascii="宋体" w:cs="宋体"/>
          <w:sz w:val="24"/>
          <w:szCs w:val="24"/>
        </w:rPr>
      </w:pPr>
      <w:r>
        <w:rPr>
          <w:rFonts w:hint="eastAsia" w:ascii="宋体" w:hAnsi="宋体" w:cs="宋体"/>
          <w:sz w:val="24"/>
          <w:szCs w:val="24"/>
        </w:rPr>
        <w:t>下列任何情况发生时，投标保证金将不予退还：</w:t>
      </w:r>
    </w:p>
    <w:p>
      <w:pPr>
        <w:tabs>
          <w:tab w:val="left" w:pos="900"/>
        </w:tabs>
        <w:spacing w:line="360" w:lineRule="auto"/>
        <w:ind w:left="48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）投标人在招标文件中规定的投标有效期内撤回其投标；</w:t>
      </w:r>
    </w:p>
    <w:p>
      <w:pPr>
        <w:tabs>
          <w:tab w:val="left" w:pos="900"/>
        </w:tabs>
        <w:spacing w:line="360" w:lineRule="auto"/>
        <w:ind w:left="48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）投标人行贿采购人或采购代理机构或评标专家或试图影响招标结果的行为；</w:t>
      </w:r>
    </w:p>
    <w:p>
      <w:pPr>
        <w:tabs>
          <w:tab w:val="left" w:pos="900"/>
        </w:tabs>
        <w:spacing w:line="360" w:lineRule="auto"/>
        <w:ind w:left="48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）中标人在规定期限内未能根据本须知第</w:t>
      </w:r>
      <w:r>
        <w:rPr>
          <w:rFonts w:ascii="宋体" w:hAnsi="宋体" w:cs="宋体"/>
          <w:sz w:val="24"/>
          <w:szCs w:val="24"/>
        </w:rPr>
        <w:t>31</w:t>
      </w:r>
      <w:r>
        <w:rPr>
          <w:rFonts w:hint="eastAsia" w:ascii="宋体" w:hAnsi="宋体" w:cs="宋体"/>
          <w:sz w:val="24"/>
          <w:szCs w:val="24"/>
        </w:rPr>
        <w:t>条规定签订合同；</w:t>
      </w:r>
    </w:p>
    <w:p>
      <w:pPr>
        <w:tabs>
          <w:tab w:val="left" w:pos="900"/>
        </w:tabs>
        <w:spacing w:line="360" w:lineRule="auto"/>
        <w:ind w:left="48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）投标人在提交投标文件时或答复质疑及澄清时提供虚假或伪造的证明材料及数据；</w:t>
      </w:r>
    </w:p>
    <w:p>
      <w:pPr>
        <w:spacing w:line="360" w:lineRule="auto"/>
        <w:ind w:left="480"/>
        <w:rPr>
          <w:rFonts w:ascii="宋体" w:cs="宋体"/>
          <w:color w:val="00000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法律、行政法规和招标文件规定的其他情况。</w:t>
      </w:r>
    </w:p>
    <w:p>
      <w:pPr>
        <w:spacing w:line="360" w:lineRule="auto"/>
        <w:ind w:firstLine="482" w:firstLineChars="200"/>
        <w:rPr>
          <w:rFonts w:ascii="宋体" w:cs="宋体"/>
          <w:b/>
          <w:kern w:val="0"/>
          <w:sz w:val="24"/>
          <w:szCs w:val="24"/>
          <w:lang w:val="zh-CN"/>
        </w:rPr>
      </w:pPr>
      <w:r>
        <w:rPr>
          <w:rFonts w:ascii="宋体" w:hAnsi="宋体" w:cs="宋体"/>
          <w:b/>
          <w:color w:val="000000"/>
          <w:sz w:val="24"/>
          <w:szCs w:val="24"/>
        </w:rPr>
        <w:t>1</w:t>
      </w:r>
      <w:r>
        <w:rPr>
          <w:rFonts w:ascii="宋体" w:hAnsi="宋体" w:cs="宋体"/>
          <w:b/>
          <w:kern w:val="0"/>
          <w:sz w:val="24"/>
          <w:szCs w:val="24"/>
          <w:lang w:val="zh-CN"/>
        </w:rPr>
        <w:t xml:space="preserve">7.7 </w:t>
      </w:r>
      <w:r>
        <w:rPr>
          <w:rFonts w:hint="eastAsia" w:ascii="宋体" w:hAnsi="宋体" w:cs="宋体"/>
          <w:b/>
          <w:kern w:val="0"/>
          <w:sz w:val="24"/>
          <w:szCs w:val="24"/>
          <w:lang w:val="zh-CN"/>
        </w:rPr>
        <w:t>中标服务费</w:t>
      </w:r>
    </w:p>
    <w:p>
      <w:pPr>
        <w:spacing w:line="360" w:lineRule="auto"/>
        <w:ind w:firstLine="482" w:firstLineChars="200"/>
        <w:rPr>
          <w:rFonts w:ascii="宋体" w:cs="宋体"/>
          <w:b/>
          <w:sz w:val="24"/>
          <w:szCs w:val="24"/>
        </w:rPr>
      </w:pPr>
      <w:r>
        <w:rPr>
          <w:rFonts w:ascii="宋体" w:hAnsi="宋体" w:cs="宋体"/>
          <w:b/>
          <w:kern w:val="0"/>
          <w:sz w:val="24"/>
          <w:szCs w:val="24"/>
          <w:lang w:val="zh-CN"/>
        </w:rPr>
        <w:t>17.7.1</w:t>
      </w:r>
      <w:r>
        <w:rPr>
          <w:rFonts w:hint="eastAsia" w:ascii="宋体" w:hAnsi="宋体" w:cs="宋体"/>
          <w:b/>
          <w:kern w:val="0"/>
          <w:sz w:val="24"/>
          <w:szCs w:val="24"/>
          <w:lang w:val="zh-CN"/>
        </w:rPr>
        <w:t>中标人应</w:t>
      </w:r>
      <w:r>
        <w:rPr>
          <w:rFonts w:hint="eastAsia" w:ascii="宋体" w:hAnsi="宋体" w:cs="宋体"/>
          <w:b/>
          <w:sz w:val="24"/>
          <w:szCs w:val="24"/>
        </w:rPr>
        <w:t>在领取中标通知书时向采购代理机构交纳中标服务费。</w:t>
      </w:r>
    </w:p>
    <w:p>
      <w:pPr>
        <w:spacing w:line="360" w:lineRule="auto"/>
        <w:ind w:firstLine="482" w:firstLineChars="200"/>
        <w:rPr>
          <w:rFonts w:hint="eastAsia" w:ascii="宋体" w:hAnsi="宋体" w:cs="宋体"/>
          <w:b/>
          <w:sz w:val="24"/>
        </w:rPr>
      </w:pPr>
      <w:r>
        <w:rPr>
          <w:rFonts w:ascii="宋体" w:hAnsi="宋体" w:cs="宋体"/>
          <w:b/>
          <w:sz w:val="24"/>
          <w:szCs w:val="24"/>
        </w:rPr>
        <w:t>17.7.2</w:t>
      </w:r>
      <w:r>
        <w:rPr>
          <w:rFonts w:hint="eastAsia" w:ascii="宋体" w:hAnsi="宋体" w:cs="宋体"/>
          <w:b/>
          <w:sz w:val="24"/>
          <w:szCs w:val="24"/>
        </w:rPr>
        <w:t>中标服务费</w:t>
      </w:r>
      <w:r>
        <w:rPr>
          <w:rFonts w:hint="eastAsia" w:ascii="宋体" w:hAnsi="宋体" w:cs="宋体"/>
          <w:b/>
          <w:sz w:val="24"/>
        </w:rPr>
        <w:t>以中标通知书的中标金额作为收取的计算基数，参照原《招标代理服务收费管理暂行办法》（计价格</w:t>
      </w:r>
      <w:r>
        <w:rPr>
          <w:rFonts w:ascii="宋体" w:hAnsi="宋体" w:cs="宋体"/>
          <w:b/>
          <w:sz w:val="24"/>
        </w:rPr>
        <w:t>[2002]1980</w:t>
      </w:r>
      <w:r>
        <w:rPr>
          <w:rFonts w:hint="eastAsia" w:ascii="宋体" w:hAnsi="宋体" w:cs="宋体"/>
          <w:b/>
          <w:sz w:val="24"/>
        </w:rPr>
        <w:t>号）的规定，按差额定率累进法计算。</w:t>
      </w:r>
    </w:p>
    <w:p>
      <w:pPr>
        <w:pStyle w:val="2"/>
      </w:pPr>
    </w:p>
    <w:p>
      <w:pPr>
        <w:spacing w:line="360" w:lineRule="auto"/>
        <w:ind w:firstLine="482" w:firstLineChars="200"/>
        <w:rPr>
          <w:rFonts w:ascii="宋体" w:cs="宋体"/>
          <w:b/>
          <w:sz w:val="24"/>
          <w:szCs w:val="24"/>
        </w:rPr>
      </w:pPr>
      <w:r>
        <w:rPr>
          <w:rFonts w:ascii="宋体" w:hAnsi="宋体" w:cs="宋体"/>
          <w:b/>
          <w:sz w:val="24"/>
          <w:szCs w:val="24"/>
        </w:rPr>
        <w:t>18.</w:t>
      </w:r>
      <w:r>
        <w:rPr>
          <w:rFonts w:hint="eastAsia" w:ascii="宋体" w:hAnsi="宋体" w:cs="宋体"/>
          <w:b/>
          <w:sz w:val="24"/>
          <w:szCs w:val="24"/>
        </w:rPr>
        <w:t>投标有效期</w:t>
      </w:r>
    </w:p>
    <w:p>
      <w:pPr>
        <w:spacing w:line="360" w:lineRule="auto"/>
        <w:ind w:firstLine="480" w:firstLineChars="200"/>
        <w:rPr>
          <w:rFonts w:ascii="宋体" w:cs="宋体"/>
          <w:sz w:val="24"/>
          <w:szCs w:val="24"/>
        </w:rPr>
      </w:pPr>
      <w:r>
        <w:rPr>
          <w:rFonts w:ascii="宋体" w:hAnsi="宋体" w:cs="宋体"/>
          <w:sz w:val="24"/>
          <w:szCs w:val="24"/>
        </w:rPr>
        <w:t xml:space="preserve">18.1 </w:t>
      </w:r>
      <w:r>
        <w:rPr>
          <w:rFonts w:hint="eastAsia" w:ascii="宋体" w:hAnsi="宋体" w:cs="宋体"/>
          <w:sz w:val="24"/>
          <w:szCs w:val="24"/>
        </w:rPr>
        <w:t>投标应自本须知第</w:t>
      </w:r>
      <w:r>
        <w:rPr>
          <w:rFonts w:ascii="宋体" w:hAnsi="宋体" w:cs="宋体"/>
          <w:sz w:val="24"/>
          <w:szCs w:val="24"/>
        </w:rPr>
        <w:t>24.1</w:t>
      </w:r>
      <w:r>
        <w:rPr>
          <w:rFonts w:hint="eastAsia" w:ascii="宋体" w:hAnsi="宋体" w:cs="宋体"/>
          <w:sz w:val="24"/>
          <w:szCs w:val="24"/>
        </w:rPr>
        <w:t>条规定的开标日起，并在“投标人须知前附表”中所述时期内保持有效。投标有效期不足的投标将被视为非响应性投标而作无效投标处理。</w:t>
      </w:r>
    </w:p>
    <w:p>
      <w:pPr>
        <w:spacing w:line="360" w:lineRule="auto"/>
        <w:ind w:firstLine="480" w:firstLineChars="200"/>
        <w:rPr>
          <w:rFonts w:ascii="宋体" w:cs="宋体"/>
          <w:sz w:val="24"/>
          <w:szCs w:val="24"/>
        </w:rPr>
      </w:pPr>
      <w:r>
        <w:rPr>
          <w:rFonts w:ascii="宋体" w:hAnsi="宋体" w:cs="宋体"/>
          <w:sz w:val="24"/>
          <w:szCs w:val="24"/>
        </w:rPr>
        <w:t xml:space="preserve">18.2 </w:t>
      </w:r>
      <w:r>
        <w:rPr>
          <w:rFonts w:hint="eastAsia" w:ascii="宋体" w:hAnsi="宋体" w:cs="宋体"/>
          <w:sz w:val="24"/>
          <w:szCs w:val="24"/>
        </w:rPr>
        <w:t>特殊情况下，在原投标有效期截止之前，采购人可要求合格投标人同意延长投标有效期。这种要求与答复均应以书面形式提交。合格投标人可拒绝采购代理机构的这种要求，其投标保证金将予以退还。接受延长投标有效期的合格投标人将不会被要求和允许修正其投标，而只会被要求相应地延长其投标保证金的有效期。在这种情况下，本须知第</w:t>
      </w:r>
      <w:r>
        <w:rPr>
          <w:rFonts w:ascii="宋体" w:hAnsi="宋体" w:cs="宋体"/>
          <w:sz w:val="24"/>
          <w:szCs w:val="24"/>
        </w:rPr>
        <w:t>17</w:t>
      </w:r>
      <w:r>
        <w:rPr>
          <w:rFonts w:hint="eastAsia" w:ascii="宋体" w:hAnsi="宋体" w:cs="宋体"/>
          <w:sz w:val="24"/>
          <w:szCs w:val="24"/>
        </w:rPr>
        <w:t>条有关投标保证金的退还和不予退还的规定将在延长了的有效期内继续有效。</w:t>
      </w:r>
    </w:p>
    <w:p>
      <w:pPr>
        <w:spacing w:line="360" w:lineRule="auto"/>
        <w:ind w:firstLine="482" w:firstLineChars="200"/>
        <w:rPr>
          <w:rFonts w:hint="eastAsia" w:ascii="宋体" w:eastAsia="宋体" w:cs="宋体"/>
          <w:b/>
          <w:sz w:val="24"/>
          <w:szCs w:val="24"/>
          <w:lang w:eastAsia="zh-CN"/>
        </w:rPr>
      </w:pPr>
      <w:r>
        <w:rPr>
          <w:rFonts w:ascii="宋体" w:hAnsi="宋体" w:cs="宋体"/>
          <w:b/>
          <w:sz w:val="24"/>
          <w:szCs w:val="24"/>
        </w:rPr>
        <w:t>19.</w:t>
      </w:r>
      <w:r>
        <w:rPr>
          <w:rFonts w:hint="eastAsia" w:ascii="宋体" w:hAnsi="宋体" w:cs="宋体"/>
          <w:b/>
          <w:sz w:val="24"/>
          <w:szCs w:val="24"/>
        </w:rPr>
        <w:t>投标文件的制作和签署</w:t>
      </w:r>
    </w:p>
    <w:p>
      <w:pPr>
        <w:tabs>
          <w:tab w:val="left" w:pos="588"/>
        </w:tabs>
        <w:spacing w:line="360" w:lineRule="auto"/>
        <w:ind w:firstLine="480" w:firstLineChars="200"/>
        <w:rPr>
          <w:rFonts w:hint="eastAsia" w:ascii="宋体" w:hAnsi="宋体" w:eastAsia="宋体" w:cs="宋体"/>
          <w:kern w:val="0"/>
          <w:sz w:val="24"/>
          <w:szCs w:val="24"/>
          <w:highlight w:val="none"/>
        </w:rPr>
      </w:pPr>
      <w:bookmarkStart w:id="55" w:name="_Toc14776839"/>
      <w:bookmarkStart w:id="56" w:name="_Toc2511972"/>
      <w:bookmarkStart w:id="57" w:name="_Toc2355231"/>
      <w:bookmarkStart w:id="58" w:name="_Toc493422651"/>
      <w:bookmarkStart w:id="59" w:name="_Toc322446892"/>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1投标人</w:t>
      </w:r>
      <w:r>
        <w:rPr>
          <w:rFonts w:hint="eastAsia" w:ascii="宋体" w:hAnsi="宋体" w:eastAsia="宋体" w:cs="宋体"/>
          <w:kern w:val="0"/>
          <w:sz w:val="24"/>
          <w:szCs w:val="24"/>
          <w:highlight w:val="none"/>
        </w:rPr>
        <w:t>在</w:t>
      </w:r>
      <w:r>
        <w:rPr>
          <w:rFonts w:hint="eastAsia" w:ascii="宋体" w:hAnsi="宋体" w:eastAsia="宋体" w:cs="宋体"/>
          <w:kern w:val="0"/>
          <w:sz w:val="24"/>
          <w:szCs w:val="24"/>
          <w:highlight w:val="none"/>
          <w:lang w:val="en-US" w:eastAsia="zh-CN"/>
        </w:rPr>
        <w:t>招标</w:t>
      </w:r>
      <w:r>
        <w:rPr>
          <w:rFonts w:hint="eastAsia" w:ascii="宋体" w:hAnsi="宋体" w:eastAsia="宋体" w:cs="宋体"/>
          <w:kern w:val="0"/>
          <w:sz w:val="24"/>
          <w:szCs w:val="24"/>
          <w:highlight w:val="none"/>
        </w:rPr>
        <w:t>过程中相关文件的签订、履行、通知等事项的书面文件中的单位盖章、印章、公章等处均仅指与</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名称全称相一致的法定代表人章，不得使用其他形式（如带有“专用章”等字样）的印章。</w:t>
      </w:r>
      <w:bookmarkStart w:id="60" w:name="_Hlt491765640"/>
      <w:bookmarkEnd w:id="60"/>
    </w:p>
    <w:p>
      <w:pPr>
        <w:pStyle w:val="57"/>
        <w:rPr>
          <w:rFonts w:hint="eastAsia"/>
        </w:rPr>
      </w:pPr>
      <w:r>
        <w:rPr>
          <w:rFonts w:hint="eastAsia" w:ascii="宋体" w:hAnsi="宋体" w:eastAsia="宋体" w:cs="宋体"/>
          <w:kern w:val="0"/>
          <w:sz w:val="24"/>
          <w:szCs w:val="24"/>
          <w:highlight w:val="none"/>
          <w:lang w:val="en-US" w:eastAsia="zh-CN"/>
        </w:rPr>
        <w:t>1</w:t>
      </w:r>
      <w:r>
        <w:rPr>
          <w:rFonts w:hint="eastAsia" w:hAnsi="宋体" w:eastAsia="宋体"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.2投标</w:t>
      </w:r>
      <w:r>
        <w:rPr>
          <w:rFonts w:hint="eastAsia" w:hAnsi="宋体" w:eastAsia="宋体" w:cs="宋体"/>
          <w:kern w:val="0"/>
          <w:sz w:val="24"/>
          <w:szCs w:val="24"/>
          <w:highlight w:val="none"/>
          <w:lang w:val="en-US" w:eastAsia="zh-CN"/>
        </w:rPr>
        <w:t>文</w:t>
      </w:r>
      <w:r>
        <w:rPr>
          <w:rFonts w:hint="eastAsia" w:ascii="宋体" w:hAnsi="宋体" w:eastAsia="宋体" w:cs="宋体"/>
          <w:kern w:val="0"/>
          <w:sz w:val="24"/>
          <w:szCs w:val="24"/>
          <w:highlight w:val="none"/>
          <w:lang w:val="en-US" w:eastAsia="zh-CN"/>
        </w:rPr>
        <w:t>件的制作和签署</w:t>
      </w:r>
      <w:r>
        <w:rPr>
          <w:rFonts w:hint="eastAsia" w:ascii="宋体" w:hAnsi="宋体" w:eastAsia="宋体" w:cs="宋体"/>
          <w:kern w:val="0"/>
          <w:sz w:val="24"/>
          <w:szCs w:val="24"/>
          <w:highlight w:val="none"/>
        </w:rPr>
        <w:t>格按照政采云电子投标流程制作</w:t>
      </w:r>
      <w:r>
        <w:rPr>
          <w:rFonts w:hint="eastAsia" w:ascii="宋体" w:hAnsi="宋体" w:eastAsia="宋体" w:cs="宋体"/>
          <w:kern w:val="0"/>
          <w:sz w:val="24"/>
          <w:szCs w:val="24"/>
          <w:highlight w:val="none"/>
          <w:lang w:val="en-US" w:eastAsia="zh-CN"/>
        </w:rPr>
        <w:t>签署</w:t>
      </w:r>
      <w:r>
        <w:rPr>
          <w:rFonts w:hint="eastAsia" w:hAnsi="宋体" w:eastAsia="宋体" w:cs="宋体"/>
          <w:kern w:val="0"/>
          <w:sz w:val="24"/>
          <w:szCs w:val="24"/>
          <w:highlight w:val="none"/>
          <w:lang w:val="en-US" w:eastAsia="zh-CN"/>
        </w:rPr>
        <w:t>电子章</w:t>
      </w:r>
      <w:r>
        <w:rPr>
          <w:rFonts w:hint="eastAsia" w:ascii="宋体" w:hAnsi="宋体" w:eastAsia="宋体" w:cs="宋体"/>
          <w:kern w:val="0"/>
          <w:sz w:val="24"/>
          <w:szCs w:val="24"/>
          <w:highlight w:val="none"/>
        </w:rPr>
        <w:t>并上传电子投标文件</w:t>
      </w:r>
      <w:r>
        <w:rPr>
          <w:rFonts w:hint="eastAsia" w:ascii="宋体" w:hAnsi="宋体" w:eastAsia="宋体" w:cs="宋体"/>
          <w:kern w:val="0"/>
          <w:sz w:val="24"/>
          <w:szCs w:val="24"/>
          <w:highlight w:val="none"/>
          <w:lang w:eastAsia="zh-CN"/>
        </w:rPr>
        <w:t>。</w:t>
      </w:r>
    </w:p>
    <w:p>
      <w:pPr>
        <w:spacing w:line="360" w:lineRule="auto"/>
        <w:rPr>
          <w:rFonts w:ascii="宋体" w:cs="宋体"/>
          <w:b/>
          <w:sz w:val="24"/>
          <w:szCs w:val="24"/>
        </w:rPr>
      </w:pPr>
      <w:r>
        <w:rPr>
          <w:rFonts w:hint="eastAsia" w:ascii="宋体" w:hAnsi="宋体" w:cs="宋体"/>
          <w:b/>
          <w:sz w:val="24"/>
          <w:szCs w:val="24"/>
        </w:rPr>
        <w:t>四、投标文件的密封和递交</w:t>
      </w:r>
      <w:bookmarkEnd w:id="55"/>
      <w:bookmarkEnd w:id="56"/>
      <w:bookmarkEnd w:id="57"/>
      <w:bookmarkEnd w:id="58"/>
      <w:bookmarkEnd w:id="59"/>
    </w:p>
    <w:p>
      <w:pPr>
        <w:spacing w:line="360" w:lineRule="auto"/>
        <w:ind w:firstLine="482" w:firstLineChars="200"/>
        <w:rPr>
          <w:rFonts w:ascii="宋体" w:cs="宋体"/>
          <w:b/>
          <w:sz w:val="24"/>
          <w:szCs w:val="24"/>
        </w:rPr>
      </w:pPr>
      <w:r>
        <w:rPr>
          <w:rFonts w:ascii="宋体" w:hAnsi="宋体" w:cs="宋体"/>
          <w:b/>
          <w:sz w:val="24"/>
          <w:szCs w:val="24"/>
        </w:rPr>
        <w:t>20.</w:t>
      </w:r>
      <w:r>
        <w:rPr>
          <w:rFonts w:hint="eastAsia" w:ascii="宋体" w:hAnsi="宋体" w:cs="宋体"/>
          <w:b/>
          <w:sz w:val="24"/>
          <w:szCs w:val="24"/>
        </w:rPr>
        <w:t>投标文件的密封和标记</w:t>
      </w:r>
    </w:p>
    <w:p>
      <w:pPr>
        <w:tabs>
          <w:tab w:val="left" w:pos="588"/>
        </w:tabs>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20.1</w:t>
      </w:r>
      <w:r>
        <w:rPr>
          <w:rFonts w:hint="eastAsia" w:ascii="宋体" w:hAnsi="宋体" w:eastAsia="宋体" w:cs="宋体"/>
          <w:kern w:val="0"/>
          <w:sz w:val="24"/>
          <w:szCs w:val="24"/>
          <w:highlight w:val="none"/>
        </w:rPr>
        <w:t>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pPr>
        <w:tabs>
          <w:tab w:val="left" w:pos="588"/>
        </w:tabs>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投标人</w:t>
      </w:r>
      <w:r>
        <w:rPr>
          <w:rFonts w:hint="eastAsia" w:ascii="宋体" w:hAnsi="宋体" w:eastAsia="宋体" w:cs="宋体"/>
          <w:kern w:val="0"/>
          <w:sz w:val="24"/>
          <w:szCs w:val="24"/>
          <w:highlight w:val="none"/>
        </w:rPr>
        <w:t>因自身原因导致电子投标文件无法导入电子评标系统的，该</w:t>
      </w:r>
      <w:r>
        <w:rPr>
          <w:rFonts w:hint="eastAsia" w:ascii="宋体" w:hAnsi="宋体" w:eastAsia="宋体" w:cs="宋体"/>
          <w:kern w:val="0"/>
          <w:sz w:val="24"/>
          <w:szCs w:val="24"/>
          <w:highlight w:val="none"/>
          <w:lang w:eastAsia="zh-CN"/>
        </w:rPr>
        <w:t>投标文件</w:t>
      </w:r>
      <w:r>
        <w:rPr>
          <w:rFonts w:hint="eastAsia" w:ascii="宋体" w:hAnsi="宋体" w:eastAsia="宋体" w:cs="宋体"/>
          <w:kern w:val="0"/>
          <w:sz w:val="24"/>
          <w:szCs w:val="24"/>
          <w:highlight w:val="none"/>
        </w:rPr>
        <w:t>视为无效文件。</w:t>
      </w:r>
    </w:p>
    <w:p>
      <w:pPr>
        <w:tabs>
          <w:tab w:val="left" w:pos="588"/>
        </w:tabs>
        <w:spacing w:line="360" w:lineRule="auto"/>
        <w:ind w:firstLine="480" w:firstLineChars="200"/>
        <w:rPr>
          <w:rFonts w:ascii="宋体" w:cs="宋体"/>
          <w:sz w:val="24"/>
          <w:szCs w:val="24"/>
          <w:highlight w:val="none"/>
        </w:rPr>
      </w:pP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电子投标文件具有法律效力,与其他形式的</w:t>
      </w:r>
      <w:r>
        <w:rPr>
          <w:rFonts w:hint="eastAsia" w:ascii="宋体" w:hAnsi="宋体" w:eastAsia="宋体" w:cs="宋体"/>
          <w:kern w:val="0"/>
          <w:sz w:val="24"/>
          <w:szCs w:val="24"/>
          <w:highlight w:val="none"/>
          <w:lang w:eastAsia="zh-CN"/>
        </w:rPr>
        <w:t>投标文件</w:t>
      </w:r>
      <w:r>
        <w:rPr>
          <w:rFonts w:hint="eastAsia" w:ascii="宋体" w:hAnsi="宋体" w:eastAsia="宋体" w:cs="宋体"/>
          <w:kern w:val="0"/>
          <w:sz w:val="24"/>
          <w:szCs w:val="24"/>
          <w:highlight w:val="none"/>
        </w:rPr>
        <w:t>在内容和格式上等同，若投标文件与招标文件要求不一致，其内容影响成交结果时，责任由</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自行承担。</w:t>
      </w:r>
    </w:p>
    <w:p>
      <w:pPr>
        <w:spacing w:line="360" w:lineRule="auto"/>
        <w:ind w:firstLine="482" w:firstLineChars="200"/>
        <w:rPr>
          <w:rFonts w:ascii="宋体" w:cs="宋体"/>
          <w:b/>
          <w:sz w:val="24"/>
          <w:szCs w:val="24"/>
        </w:rPr>
      </w:pPr>
      <w:r>
        <w:rPr>
          <w:rFonts w:ascii="宋体" w:hAnsi="宋体" w:cs="宋体"/>
          <w:b/>
          <w:sz w:val="24"/>
          <w:szCs w:val="24"/>
        </w:rPr>
        <w:t>21.</w:t>
      </w:r>
      <w:r>
        <w:rPr>
          <w:rFonts w:hint="eastAsia" w:ascii="宋体" w:hAnsi="宋体" w:cs="宋体"/>
          <w:b/>
          <w:sz w:val="24"/>
          <w:szCs w:val="24"/>
        </w:rPr>
        <w:t>投标截止时间</w:t>
      </w:r>
    </w:p>
    <w:p>
      <w:pPr>
        <w:spacing w:line="360" w:lineRule="auto"/>
        <w:ind w:firstLine="480" w:firstLineChars="200"/>
        <w:rPr>
          <w:rFonts w:ascii="宋体" w:cs="宋体"/>
          <w:sz w:val="24"/>
          <w:szCs w:val="24"/>
        </w:rPr>
      </w:pPr>
      <w:r>
        <w:rPr>
          <w:rFonts w:ascii="宋体" w:hAnsi="宋体" w:cs="宋体"/>
          <w:sz w:val="24"/>
          <w:szCs w:val="24"/>
        </w:rPr>
        <w:t xml:space="preserve">21.1 </w:t>
      </w:r>
      <w:r>
        <w:rPr>
          <w:rFonts w:hint="eastAsia" w:ascii="宋体" w:hAnsi="宋体" w:cs="宋体"/>
          <w:sz w:val="24"/>
          <w:szCs w:val="24"/>
        </w:rPr>
        <w:t>投标人应当在投标截止时间（详见“投标人须知前附表”）前将投标文件密封送达至指定的投标文件递交地点，递交地点应是“投标人须知前附表”中指明的地址。</w:t>
      </w:r>
    </w:p>
    <w:p>
      <w:pPr>
        <w:spacing w:line="360" w:lineRule="auto"/>
        <w:ind w:firstLine="480" w:firstLineChars="200"/>
        <w:rPr>
          <w:rFonts w:ascii="宋体" w:cs="宋体"/>
          <w:sz w:val="24"/>
          <w:szCs w:val="24"/>
        </w:rPr>
      </w:pPr>
      <w:r>
        <w:rPr>
          <w:rFonts w:ascii="宋体" w:hAnsi="宋体" w:cs="宋体"/>
          <w:sz w:val="24"/>
          <w:szCs w:val="24"/>
        </w:rPr>
        <w:t xml:space="preserve">21.2 </w:t>
      </w:r>
      <w:r>
        <w:rPr>
          <w:rFonts w:hint="eastAsia" w:ascii="宋体" w:hAnsi="宋体" w:cs="宋体"/>
          <w:sz w:val="24"/>
          <w:szCs w:val="24"/>
        </w:rPr>
        <w:t>采购代理机构可以按本须知第</w:t>
      </w:r>
      <w:r>
        <w:rPr>
          <w:rFonts w:ascii="宋体" w:hAnsi="宋体" w:cs="宋体"/>
          <w:sz w:val="24"/>
          <w:szCs w:val="24"/>
        </w:rPr>
        <w:t>8</w:t>
      </w:r>
      <w:r>
        <w:rPr>
          <w:rFonts w:hint="eastAsia" w:ascii="宋体" w:hAnsi="宋体" w:cs="宋体"/>
          <w:sz w:val="24"/>
          <w:szCs w:val="24"/>
        </w:rPr>
        <w:t>条规定，通知修改招标文件适当延长投标截止时间。在此情况下，采购代理机构、采购人和投标人受投标截止时间制约的所有权利和义务均应延长至新的截止期。</w:t>
      </w:r>
    </w:p>
    <w:p>
      <w:pPr>
        <w:spacing w:line="360" w:lineRule="auto"/>
        <w:ind w:firstLine="482" w:firstLineChars="200"/>
        <w:rPr>
          <w:rFonts w:ascii="宋体" w:cs="宋体"/>
          <w:b/>
          <w:sz w:val="24"/>
          <w:szCs w:val="24"/>
        </w:rPr>
      </w:pPr>
      <w:r>
        <w:rPr>
          <w:rFonts w:ascii="宋体" w:hAnsi="宋体" w:cs="宋体"/>
          <w:b/>
          <w:sz w:val="24"/>
          <w:szCs w:val="24"/>
        </w:rPr>
        <w:t>22.</w:t>
      </w:r>
      <w:r>
        <w:rPr>
          <w:rFonts w:hint="eastAsia" w:ascii="宋体" w:hAnsi="宋体" w:cs="宋体"/>
          <w:b/>
          <w:sz w:val="24"/>
          <w:szCs w:val="24"/>
        </w:rPr>
        <w:t>迟交的投标文件</w:t>
      </w:r>
    </w:p>
    <w:p>
      <w:pPr>
        <w:spacing w:line="360" w:lineRule="auto"/>
        <w:ind w:firstLine="482" w:firstLineChars="200"/>
        <w:rPr>
          <w:rFonts w:ascii="宋体" w:cs="宋体"/>
          <w:b/>
          <w:sz w:val="24"/>
          <w:szCs w:val="24"/>
        </w:rPr>
      </w:pPr>
      <w:r>
        <w:rPr>
          <w:rFonts w:ascii="宋体" w:hAnsi="宋体" w:cs="宋体"/>
          <w:b/>
          <w:sz w:val="24"/>
          <w:szCs w:val="24"/>
        </w:rPr>
        <w:t xml:space="preserve">22.1 </w:t>
      </w:r>
      <w:r>
        <w:rPr>
          <w:rFonts w:hint="eastAsia" w:ascii="宋体" w:hAnsi="宋体" w:cs="宋体"/>
          <w:b/>
          <w:sz w:val="24"/>
          <w:szCs w:val="24"/>
        </w:rPr>
        <w:t>采购人、采购代理机构将拒绝接收在本须知第</w:t>
      </w:r>
      <w:r>
        <w:rPr>
          <w:rFonts w:ascii="宋体" w:hAnsi="宋体" w:cs="宋体"/>
          <w:b/>
          <w:sz w:val="24"/>
          <w:szCs w:val="24"/>
        </w:rPr>
        <w:t>21</w:t>
      </w:r>
      <w:r>
        <w:rPr>
          <w:rFonts w:hint="eastAsia" w:ascii="宋体" w:hAnsi="宋体" w:cs="宋体"/>
          <w:b/>
          <w:sz w:val="24"/>
          <w:szCs w:val="24"/>
        </w:rPr>
        <w:t>条规定的截止期后送达的任何投标文件。</w:t>
      </w:r>
      <w:r>
        <w:rPr>
          <w:rFonts w:ascii="宋体" w:hAnsi="宋体" w:cs="宋体"/>
          <w:b/>
          <w:sz w:val="24"/>
          <w:szCs w:val="24"/>
        </w:rPr>
        <w:t xml:space="preserve"> </w:t>
      </w:r>
    </w:p>
    <w:p>
      <w:pPr>
        <w:spacing w:line="360" w:lineRule="auto"/>
        <w:ind w:firstLine="482" w:firstLineChars="200"/>
        <w:rPr>
          <w:rFonts w:ascii="宋体" w:cs="宋体"/>
          <w:b/>
          <w:sz w:val="24"/>
          <w:szCs w:val="24"/>
        </w:rPr>
      </w:pPr>
      <w:r>
        <w:rPr>
          <w:rFonts w:ascii="宋体" w:hAnsi="宋体" w:cs="宋体"/>
          <w:b/>
          <w:sz w:val="24"/>
          <w:szCs w:val="24"/>
        </w:rPr>
        <w:t>23.</w:t>
      </w:r>
      <w:r>
        <w:rPr>
          <w:rFonts w:hint="eastAsia" w:ascii="宋体" w:hAnsi="宋体" w:cs="宋体"/>
          <w:b/>
          <w:sz w:val="24"/>
          <w:szCs w:val="24"/>
        </w:rPr>
        <w:t>投标文件的修改与撤回</w:t>
      </w:r>
    </w:p>
    <w:p>
      <w:pPr>
        <w:spacing w:line="360" w:lineRule="auto"/>
        <w:ind w:firstLine="480" w:firstLineChars="200"/>
        <w:rPr>
          <w:rFonts w:ascii="宋体" w:cs="宋体"/>
          <w:sz w:val="24"/>
          <w:szCs w:val="24"/>
        </w:rPr>
      </w:pPr>
      <w:r>
        <w:rPr>
          <w:rFonts w:ascii="宋体" w:hAnsi="宋体" w:cs="宋体"/>
          <w:sz w:val="24"/>
          <w:szCs w:val="24"/>
        </w:rPr>
        <w:t xml:space="preserve">23.1 </w:t>
      </w:r>
      <w:r>
        <w:rPr>
          <w:rFonts w:hint="eastAsia" w:ascii="宋体" w:hAnsi="宋体" w:cs="宋体"/>
          <w:sz w:val="24"/>
          <w:szCs w:val="24"/>
        </w:rPr>
        <w:t>投标人在递交投标文件后，可以修改或撤回其投标，但投标人必须在规定的投标截止时间之前将修改或撤回的书面通知递交到采购代理机构。</w:t>
      </w:r>
    </w:p>
    <w:p>
      <w:pPr>
        <w:spacing w:line="360" w:lineRule="auto"/>
        <w:ind w:firstLine="480" w:firstLineChars="200"/>
        <w:rPr>
          <w:rFonts w:ascii="宋体" w:cs="宋体"/>
          <w:sz w:val="24"/>
          <w:szCs w:val="24"/>
        </w:rPr>
      </w:pPr>
      <w:r>
        <w:rPr>
          <w:rFonts w:ascii="宋体" w:hAnsi="宋体" w:cs="宋体"/>
          <w:sz w:val="24"/>
          <w:szCs w:val="24"/>
        </w:rPr>
        <w:t xml:space="preserve">23.2 </w:t>
      </w:r>
      <w:r>
        <w:rPr>
          <w:rFonts w:hint="eastAsia" w:ascii="宋体" w:hAnsi="宋体" w:cs="宋体"/>
          <w:sz w:val="24"/>
          <w:szCs w:val="24"/>
        </w:rPr>
        <w:t>投标人的修改或撤回通知应按本须知第</w:t>
      </w:r>
      <w:r>
        <w:rPr>
          <w:rFonts w:ascii="宋体" w:hAnsi="宋体" w:cs="宋体"/>
          <w:sz w:val="24"/>
          <w:szCs w:val="24"/>
        </w:rPr>
        <w:t>20</w:t>
      </w:r>
      <w:r>
        <w:rPr>
          <w:rFonts w:hint="eastAsia" w:ascii="宋体" w:hAnsi="宋体" w:cs="宋体"/>
          <w:sz w:val="24"/>
          <w:szCs w:val="24"/>
        </w:rPr>
        <w:t>条规定编制、密封、标记和递交。</w:t>
      </w:r>
    </w:p>
    <w:p>
      <w:pPr>
        <w:spacing w:line="360" w:lineRule="auto"/>
        <w:ind w:firstLine="480" w:firstLineChars="200"/>
        <w:rPr>
          <w:rFonts w:ascii="宋体" w:cs="宋体"/>
          <w:sz w:val="24"/>
          <w:szCs w:val="24"/>
        </w:rPr>
      </w:pPr>
      <w:r>
        <w:rPr>
          <w:rFonts w:ascii="宋体" w:hAnsi="宋体" w:cs="宋体"/>
          <w:sz w:val="24"/>
          <w:szCs w:val="24"/>
        </w:rPr>
        <w:t xml:space="preserve">23.3 </w:t>
      </w:r>
      <w:r>
        <w:rPr>
          <w:rFonts w:hint="eastAsia" w:ascii="宋体" w:hAnsi="宋体" w:cs="宋体"/>
          <w:sz w:val="24"/>
          <w:szCs w:val="24"/>
        </w:rPr>
        <w:t>在投标截止时间之后，投标人不得对其投标做任何修改。</w:t>
      </w:r>
    </w:p>
    <w:p>
      <w:pPr>
        <w:spacing w:line="360" w:lineRule="auto"/>
        <w:ind w:firstLine="480" w:firstLineChars="200"/>
        <w:rPr>
          <w:rFonts w:ascii="宋体" w:cs="宋体"/>
          <w:sz w:val="24"/>
          <w:szCs w:val="24"/>
        </w:rPr>
      </w:pPr>
      <w:r>
        <w:rPr>
          <w:rFonts w:ascii="宋体" w:hAnsi="宋体" w:cs="宋体"/>
          <w:sz w:val="24"/>
          <w:szCs w:val="24"/>
        </w:rPr>
        <w:t xml:space="preserve">23.4 </w:t>
      </w:r>
      <w:r>
        <w:rPr>
          <w:rFonts w:hint="eastAsia" w:ascii="宋体" w:hAnsi="宋体" w:cs="宋体"/>
          <w:sz w:val="24"/>
          <w:szCs w:val="24"/>
        </w:rPr>
        <w:t>从投标截止时间至投标人在投标书格式中确定的投标有效期期满这段时间内，投标人不得撤回其投标，否则其投标保证金将按照本须知第</w:t>
      </w:r>
      <w:r>
        <w:rPr>
          <w:rFonts w:ascii="宋体" w:hAnsi="宋体" w:cs="宋体"/>
          <w:sz w:val="24"/>
          <w:szCs w:val="24"/>
        </w:rPr>
        <w:t>17.7</w:t>
      </w:r>
      <w:r>
        <w:rPr>
          <w:rFonts w:hint="eastAsia" w:ascii="宋体" w:hAnsi="宋体" w:cs="宋体"/>
          <w:sz w:val="24"/>
          <w:szCs w:val="24"/>
        </w:rPr>
        <w:t>条的规定不予退还。</w:t>
      </w:r>
      <w:bookmarkStart w:id="61" w:name="_Toc322446893"/>
      <w:bookmarkStart w:id="62" w:name="_Toc14776840"/>
      <w:bookmarkStart w:id="63" w:name="_Toc2511973"/>
      <w:bookmarkStart w:id="64" w:name="_Toc493422652"/>
      <w:bookmarkStart w:id="65" w:name="_Toc2355232"/>
    </w:p>
    <w:p>
      <w:pPr>
        <w:spacing w:line="360" w:lineRule="auto"/>
        <w:rPr>
          <w:rFonts w:ascii="宋体" w:cs="宋体"/>
          <w:b/>
          <w:sz w:val="24"/>
          <w:szCs w:val="24"/>
        </w:rPr>
      </w:pPr>
      <w:r>
        <w:rPr>
          <w:rFonts w:hint="eastAsia" w:ascii="宋体" w:hAnsi="宋体" w:cs="宋体"/>
          <w:b/>
          <w:sz w:val="24"/>
          <w:szCs w:val="24"/>
        </w:rPr>
        <w:t>五、开标与评标</w:t>
      </w:r>
      <w:bookmarkEnd w:id="61"/>
      <w:bookmarkEnd w:id="62"/>
      <w:bookmarkEnd w:id="63"/>
      <w:bookmarkEnd w:id="64"/>
      <w:bookmarkEnd w:id="65"/>
    </w:p>
    <w:p>
      <w:pPr>
        <w:spacing w:line="360" w:lineRule="auto"/>
        <w:ind w:firstLine="482" w:firstLineChars="200"/>
        <w:rPr>
          <w:rFonts w:ascii="宋体" w:cs="宋体"/>
          <w:b/>
          <w:sz w:val="24"/>
          <w:szCs w:val="24"/>
        </w:rPr>
      </w:pPr>
      <w:r>
        <w:rPr>
          <w:rFonts w:ascii="宋体" w:hAnsi="宋体" w:cs="宋体"/>
          <w:b/>
          <w:sz w:val="24"/>
          <w:szCs w:val="24"/>
        </w:rPr>
        <w:t>24.</w:t>
      </w:r>
      <w:r>
        <w:rPr>
          <w:rFonts w:hint="eastAsia" w:ascii="宋体" w:hAnsi="宋体" w:cs="宋体"/>
          <w:b/>
          <w:sz w:val="24"/>
          <w:szCs w:val="24"/>
        </w:rPr>
        <w:t>开标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24.1采购单位应当按采购邀请的规定，在投标文件递交截止时间的同一时间和预先确定的地点组织开标活动，并邀请所有投标人代表参加。投标人代表应再电子系统上签名报到以证明其出席。</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24.2采购人和采购代理机构将按投标人须知资料表中规定的开标时间和地点组织公开开标并邀请所有投标人代表参加。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24.3 本项目实行电子投标文件，电子投标文件的有关要求按投标人须知资料表要求，投标人应该使用投标人 CA 锁对电子投标文件加密，否则，其投标文件将被拒绝评审。开标时，投标人必须使用加密该文件的 CA锁， 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24.4 采购人或采购代理机构将对开标过程进行记录，由参加开标的各投标人和相关工作人员确认，并存档备查。</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24.5 投标人代表对开标过程和开标记录有疑义，以及认为采购人、采购代理机构相关工作人员有需要回避的情形的，应当在线上提出询问或者回避申请。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24.6开标流程将按照政采云不见面开标平台的开标流程进行。25.投标人的资格性审查</w:t>
      </w:r>
    </w:p>
    <w:p>
      <w:pPr>
        <w:spacing w:line="360" w:lineRule="auto"/>
        <w:ind w:firstLine="480" w:firstLineChars="200"/>
        <w:jc w:val="left"/>
        <w:rPr>
          <w:rFonts w:ascii="宋体" w:cs="宋体"/>
          <w:sz w:val="24"/>
          <w:szCs w:val="24"/>
        </w:rPr>
      </w:pPr>
      <w:r>
        <w:rPr>
          <w:rFonts w:hint="eastAsia" w:ascii="宋体" w:hAnsi="宋体" w:cs="宋体"/>
          <w:sz w:val="24"/>
          <w:szCs w:val="24"/>
        </w:rPr>
        <w:t>公开招标采购项目开标结束后，采购人或采购代理机构对投标人提交的资格证明材料进行审查，并在对应的审查意见一栏记录审查意见，合格投标人不足</w:t>
      </w:r>
      <w:r>
        <w:rPr>
          <w:rFonts w:ascii="宋体" w:hAnsi="宋体" w:cs="宋体"/>
          <w:sz w:val="24"/>
          <w:szCs w:val="24"/>
        </w:rPr>
        <w:t>3</w:t>
      </w:r>
      <w:r>
        <w:rPr>
          <w:rFonts w:hint="eastAsia" w:ascii="宋体" w:hAnsi="宋体" w:cs="宋体"/>
          <w:sz w:val="24"/>
          <w:szCs w:val="24"/>
        </w:rPr>
        <w:t>家的，不再开展评标工作。</w:t>
      </w:r>
    </w:p>
    <w:p>
      <w:pPr>
        <w:spacing w:line="360" w:lineRule="auto"/>
        <w:ind w:firstLine="482" w:firstLineChars="200"/>
        <w:rPr>
          <w:rFonts w:ascii="宋体" w:cs="宋体"/>
          <w:sz w:val="24"/>
          <w:szCs w:val="24"/>
        </w:rPr>
      </w:pPr>
      <w:r>
        <w:rPr>
          <w:rFonts w:ascii="宋体" w:hAnsi="宋体" w:cs="宋体"/>
          <w:b/>
          <w:sz w:val="24"/>
          <w:szCs w:val="24"/>
        </w:rPr>
        <w:t>26.</w:t>
      </w:r>
      <w:r>
        <w:rPr>
          <w:rFonts w:hint="eastAsia" w:ascii="宋体" w:hAnsi="宋体" w:cs="宋体"/>
          <w:b/>
          <w:sz w:val="24"/>
          <w:szCs w:val="24"/>
        </w:rPr>
        <w:t>评标</w:t>
      </w:r>
    </w:p>
    <w:p>
      <w:pPr>
        <w:spacing w:line="360" w:lineRule="auto"/>
        <w:ind w:firstLine="482" w:firstLineChars="200"/>
        <w:rPr>
          <w:rFonts w:ascii="宋体" w:cs="宋体"/>
          <w:sz w:val="24"/>
          <w:szCs w:val="24"/>
        </w:rPr>
      </w:pPr>
      <w:r>
        <w:rPr>
          <w:rFonts w:ascii="宋体" w:hAnsi="宋体" w:cs="宋体"/>
          <w:b/>
          <w:bCs/>
          <w:sz w:val="24"/>
          <w:szCs w:val="24"/>
        </w:rPr>
        <w:t xml:space="preserve">26.1 </w:t>
      </w:r>
      <w:r>
        <w:rPr>
          <w:rFonts w:hint="eastAsia" w:ascii="宋体" w:hAnsi="宋体" w:cs="宋体"/>
          <w:b/>
          <w:bCs/>
          <w:sz w:val="24"/>
          <w:szCs w:val="24"/>
        </w:rPr>
        <w:t>评标委员会</w:t>
      </w:r>
    </w:p>
    <w:p>
      <w:pPr>
        <w:spacing w:line="360" w:lineRule="auto"/>
        <w:ind w:firstLine="480" w:firstLineChars="200"/>
        <w:rPr>
          <w:rFonts w:ascii="宋体" w:cs="宋体"/>
          <w:sz w:val="24"/>
          <w:szCs w:val="24"/>
        </w:rPr>
      </w:pPr>
      <w:r>
        <w:rPr>
          <w:rFonts w:ascii="宋体" w:hAnsi="宋体" w:cs="宋体"/>
          <w:sz w:val="24"/>
          <w:szCs w:val="24"/>
        </w:rPr>
        <w:t>26.1.1</w:t>
      </w:r>
      <w:r>
        <w:rPr>
          <w:rFonts w:hint="eastAsia" w:ascii="宋体" w:hAnsi="宋体" w:cs="宋体"/>
          <w:sz w:val="24"/>
          <w:szCs w:val="24"/>
        </w:rPr>
        <w:t>采购人或者采购代理机构将从新疆政府采购网的政府采购评审专家库中，通过随机方式抽取评审专家。</w:t>
      </w:r>
    </w:p>
    <w:p>
      <w:pPr>
        <w:spacing w:line="360" w:lineRule="auto"/>
        <w:ind w:firstLine="480" w:firstLineChars="200"/>
        <w:rPr>
          <w:rFonts w:ascii="宋体" w:hAnsi="宋体" w:cs="宋体"/>
          <w:sz w:val="24"/>
          <w:szCs w:val="24"/>
        </w:rPr>
      </w:pPr>
      <w:r>
        <w:rPr>
          <w:rFonts w:hint="eastAsia" w:ascii="宋体" w:hAnsi="宋体" w:cs="宋体"/>
          <w:sz w:val="24"/>
          <w:szCs w:val="24"/>
        </w:rPr>
        <w:t>26.1.2 评标委员会由采购人代表和评审专家组成，成员人数应当为5人以上单数，其中评审专家不得少于成员总数的三分之二。</w:t>
      </w:r>
    </w:p>
    <w:p>
      <w:pPr>
        <w:spacing w:line="360" w:lineRule="auto"/>
        <w:ind w:firstLine="480" w:firstLineChars="200"/>
        <w:rPr>
          <w:rFonts w:ascii="宋体" w:cs="宋体"/>
          <w:sz w:val="24"/>
          <w:szCs w:val="24"/>
        </w:rPr>
      </w:pPr>
      <w:r>
        <w:rPr>
          <w:rFonts w:ascii="宋体" w:hAnsi="宋体" w:cs="宋体"/>
          <w:sz w:val="24"/>
          <w:szCs w:val="24"/>
        </w:rPr>
        <w:t>26.1.3</w:t>
      </w:r>
      <w:r>
        <w:rPr>
          <w:rFonts w:hint="eastAsia" w:ascii="宋体" w:hAnsi="宋体" w:cs="宋体"/>
          <w:sz w:val="24"/>
          <w:szCs w:val="24"/>
        </w:rPr>
        <w:t>评标委员会负责评标工作，应当对合格投标人（通过资格审查）的投标文件进行审查、评价投标文件是否符合招标文件的商务、技术等实质性要求，要求投标人对投标文件有关事项作出澄清或者说明，对投标文件进行比较和评价等，确定中标候选人名单或根据采购人委托直接确定中标人，根据全体评标成员签字的原始评标记录和评标结果编写评标报告。</w:t>
      </w:r>
    </w:p>
    <w:p>
      <w:pPr>
        <w:spacing w:line="360" w:lineRule="auto"/>
        <w:ind w:firstLine="482" w:firstLineChars="200"/>
        <w:rPr>
          <w:rFonts w:ascii="宋体" w:cs="宋体"/>
          <w:b/>
          <w:bCs/>
          <w:sz w:val="24"/>
          <w:szCs w:val="24"/>
        </w:rPr>
      </w:pPr>
      <w:r>
        <w:rPr>
          <w:rFonts w:ascii="宋体" w:hAnsi="宋体" w:cs="宋体"/>
          <w:b/>
          <w:bCs/>
          <w:sz w:val="24"/>
          <w:szCs w:val="24"/>
        </w:rPr>
        <w:t>26.2</w:t>
      </w:r>
      <w:r>
        <w:rPr>
          <w:rFonts w:hint="eastAsia" w:ascii="宋体" w:hAnsi="宋体" w:cs="宋体"/>
          <w:b/>
          <w:bCs/>
          <w:sz w:val="24"/>
          <w:szCs w:val="24"/>
        </w:rPr>
        <w:t>评标方法：</w:t>
      </w:r>
      <w:r>
        <w:rPr>
          <w:rFonts w:hint="eastAsia" w:ascii="宋体" w:hAnsi="宋体" w:cs="宋体"/>
          <w:sz w:val="24"/>
          <w:szCs w:val="24"/>
        </w:rPr>
        <w:t>详见投标人须知前附表。</w:t>
      </w:r>
    </w:p>
    <w:p>
      <w:pPr>
        <w:spacing w:line="360" w:lineRule="auto"/>
        <w:ind w:firstLine="482" w:firstLineChars="200"/>
        <w:rPr>
          <w:rFonts w:ascii="宋体" w:cs="宋体"/>
          <w:sz w:val="24"/>
          <w:szCs w:val="24"/>
        </w:rPr>
      </w:pPr>
      <w:r>
        <w:rPr>
          <w:rFonts w:ascii="宋体" w:hAnsi="宋体" w:cs="宋体"/>
          <w:b/>
          <w:bCs/>
          <w:sz w:val="24"/>
          <w:szCs w:val="24"/>
        </w:rPr>
        <w:t xml:space="preserve">26.3 </w:t>
      </w:r>
      <w:r>
        <w:rPr>
          <w:rFonts w:hint="eastAsia" w:ascii="宋体" w:hAnsi="宋体" w:cs="宋体"/>
          <w:b/>
          <w:bCs/>
          <w:sz w:val="24"/>
          <w:szCs w:val="24"/>
        </w:rPr>
        <w:t>投标文件的澄清</w:t>
      </w:r>
    </w:p>
    <w:p>
      <w:pPr>
        <w:spacing w:line="360" w:lineRule="auto"/>
        <w:ind w:firstLine="480" w:firstLineChars="200"/>
        <w:rPr>
          <w:rFonts w:ascii="宋体" w:cs="宋体"/>
          <w:sz w:val="24"/>
          <w:szCs w:val="24"/>
        </w:rPr>
      </w:pPr>
      <w:r>
        <w:rPr>
          <w:rFonts w:ascii="宋体" w:hAnsi="宋体" w:cs="宋体"/>
          <w:sz w:val="24"/>
          <w:szCs w:val="24"/>
        </w:rPr>
        <w:t xml:space="preserve">26.3.1 </w:t>
      </w:r>
      <w:r>
        <w:rPr>
          <w:rFonts w:hint="eastAsia" w:ascii="宋体" w:hAnsi="宋体" w:cs="宋体"/>
          <w:sz w:val="24"/>
          <w:szCs w:val="24"/>
        </w:rPr>
        <w:t>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的内容为投标文件的组成部分。</w:t>
      </w:r>
    </w:p>
    <w:p>
      <w:pPr>
        <w:spacing w:line="360" w:lineRule="auto"/>
        <w:ind w:firstLine="482" w:firstLineChars="200"/>
        <w:rPr>
          <w:rFonts w:ascii="宋体" w:cs="宋体"/>
          <w:sz w:val="24"/>
          <w:szCs w:val="24"/>
        </w:rPr>
      </w:pPr>
      <w:r>
        <w:rPr>
          <w:rFonts w:ascii="宋体" w:hAnsi="宋体" w:cs="宋体"/>
          <w:b/>
          <w:bCs/>
          <w:sz w:val="24"/>
          <w:szCs w:val="24"/>
        </w:rPr>
        <w:t xml:space="preserve">26.4 </w:t>
      </w:r>
      <w:r>
        <w:rPr>
          <w:rFonts w:hint="eastAsia" w:ascii="宋体" w:hAnsi="宋体" w:cs="宋体"/>
          <w:b/>
          <w:sz w:val="24"/>
          <w:szCs w:val="24"/>
        </w:rPr>
        <w:t>投标文件的初审（符合性审查）</w:t>
      </w:r>
    </w:p>
    <w:p>
      <w:pPr>
        <w:spacing w:line="360" w:lineRule="auto"/>
        <w:ind w:firstLine="480" w:firstLineChars="200"/>
        <w:rPr>
          <w:rFonts w:ascii="宋体" w:cs="宋体"/>
          <w:sz w:val="24"/>
          <w:szCs w:val="24"/>
        </w:rPr>
      </w:pPr>
      <w:r>
        <w:rPr>
          <w:rFonts w:ascii="宋体" w:hAnsi="宋体" w:cs="宋体"/>
          <w:sz w:val="24"/>
          <w:szCs w:val="24"/>
        </w:rPr>
        <w:t>26.4.1</w:t>
      </w:r>
      <w:r>
        <w:rPr>
          <w:rFonts w:hint="eastAsia" w:ascii="宋体" w:hAnsi="宋体" w:cs="宋体"/>
          <w:sz w:val="24"/>
          <w:szCs w:val="24"/>
        </w:rPr>
        <w:t>评标委员会将对符合资格的投标人的投标文件进行符合性审查，以确定其是否满足招标文件的实质性要求。</w:t>
      </w:r>
    </w:p>
    <w:p>
      <w:pPr>
        <w:spacing w:line="360" w:lineRule="auto"/>
        <w:ind w:firstLine="480" w:firstLineChars="200"/>
        <w:rPr>
          <w:rFonts w:ascii="宋体" w:cs="宋体"/>
          <w:sz w:val="24"/>
          <w:szCs w:val="24"/>
        </w:rPr>
      </w:pPr>
      <w:r>
        <w:rPr>
          <w:rFonts w:ascii="宋体" w:hAnsi="宋体" w:cs="宋体"/>
          <w:sz w:val="24"/>
          <w:szCs w:val="24"/>
        </w:rPr>
        <w:t xml:space="preserve">26.4.2 </w:t>
      </w:r>
      <w:r>
        <w:rPr>
          <w:rFonts w:hint="eastAsia" w:ascii="宋体" w:hAnsi="宋体" w:cs="宋体"/>
          <w:sz w:val="24"/>
          <w:szCs w:val="24"/>
        </w:rPr>
        <w:t>投标文件报价出现前后不一致的，按照下列规定修正：</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）开标一览表内容与投标文件中相应内容不一致的，以开标一览表为准；</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）大写金额和小写金额不一致的，以大写金额为准；</w:t>
      </w:r>
    </w:p>
    <w:p>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）单价金额小数点或者百分比有明显错位的，以开标一览表的总价为准，并修改单价；</w:t>
      </w:r>
    </w:p>
    <w:p>
      <w:pPr>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pPr>
        <w:spacing w:line="360" w:lineRule="auto"/>
        <w:ind w:firstLine="480" w:firstLineChars="200"/>
        <w:rPr>
          <w:rFonts w:ascii="宋体" w:cs="宋体"/>
          <w:sz w:val="24"/>
          <w:szCs w:val="24"/>
        </w:rPr>
      </w:pPr>
      <w:r>
        <w:rPr>
          <w:rFonts w:hint="eastAsia" w:ascii="宋体" w:hAnsi="宋体" w:cs="宋体"/>
          <w:sz w:val="24"/>
          <w:szCs w:val="24"/>
        </w:rPr>
        <w:t>同时出现两种以上不一致的，按照前款规定的顺序修正。修正后的报价按照本须知第</w:t>
      </w:r>
      <w:r>
        <w:rPr>
          <w:rFonts w:ascii="宋体" w:hAnsi="宋体" w:cs="宋体"/>
          <w:sz w:val="24"/>
          <w:szCs w:val="24"/>
        </w:rPr>
        <w:t>26.3.1</w:t>
      </w:r>
      <w:r>
        <w:rPr>
          <w:rFonts w:hint="eastAsia" w:ascii="宋体" w:hAnsi="宋体" w:cs="宋体"/>
          <w:sz w:val="24"/>
          <w:szCs w:val="24"/>
        </w:rPr>
        <w:t>条的规定经投标人确认后产生约束力，投标人不确认的，其投标无效。</w:t>
      </w:r>
    </w:p>
    <w:p>
      <w:pPr>
        <w:spacing w:line="360" w:lineRule="auto"/>
        <w:ind w:firstLine="480" w:firstLineChars="200"/>
        <w:rPr>
          <w:rFonts w:ascii="宋体" w:cs="宋体"/>
          <w:sz w:val="24"/>
          <w:szCs w:val="24"/>
        </w:rPr>
      </w:pPr>
      <w:r>
        <w:rPr>
          <w:rFonts w:ascii="宋体" w:hAnsi="宋体" w:cs="宋体"/>
          <w:sz w:val="24"/>
          <w:szCs w:val="24"/>
        </w:rPr>
        <w:t xml:space="preserve">26.4.3 </w:t>
      </w:r>
      <w:r>
        <w:rPr>
          <w:rFonts w:hint="eastAsia" w:ascii="宋体" w:hAnsi="宋体" w:cs="宋体"/>
          <w:sz w:val="24"/>
          <w:szCs w:val="24"/>
        </w:rPr>
        <w:t>对于投标文件中不构成实质性偏差的不正规、不一致或不规则，评标委员会将进行综合打分。</w:t>
      </w:r>
    </w:p>
    <w:p>
      <w:pPr>
        <w:spacing w:line="360" w:lineRule="auto"/>
        <w:ind w:firstLine="480" w:firstLineChars="200"/>
        <w:rPr>
          <w:rFonts w:ascii="宋体" w:cs="宋体"/>
          <w:sz w:val="24"/>
          <w:szCs w:val="24"/>
        </w:rPr>
      </w:pPr>
      <w:r>
        <w:rPr>
          <w:rFonts w:ascii="宋体" w:hAnsi="宋体" w:cs="宋体"/>
          <w:sz w:val="24"/>
          <w:szCs w:val="24"/>
        </w:rPr>
        <w:t xml:space="preserve">26.4.4 </w:t>
      </w:r>
      <w:r>
        <w:rPr>
          <w:rFonts w:hint="eastAsia" w:ascii="宋体" w:hAnsi="宋体" w:cs="宋体"/>
          <w:sz w:val="24"/>
          <w:szCs w:val="24"/>
        </w:rPr>
        <w:t>在详细评标之前，根据本须知第</w:t>
      </w:r>
      <w:r>
        <w:rPr>
          <w:rFonts w:ascii="宋体" w:hAnsi="宋体" w:cs="宋体"/>
          <w:sz w:val="24"/>
          <w:szCs w:val="24"/>
        </w:rPr>
        <w:t>26.4.5</w:t>
      </w:r>
      <w:r>
        <w:rPr>
          <w:rFonts w:hint="eastAsia" w:ascii="宋体" w:hAnsi="宋体" w:cs="宋体"/>
          <w:sz w:val="24"/>
          <w:szCs w:val="24"/>
        </w:rPr>
        <w:t>条和第</w:t>
      </w:r>
      <w:r>
        <w:rPr>
          <w:rFonts w:ascii="宋体" w:hAnsi="宋体" w:cs="宋体"/>
          <w:sz w:val="24"/>
          <w:szCs w:val="24"/>
        </w:rPr>
        <w:t>26.4.6</w:t>
      </w:r>
      <w:r>
        <w:rPr>
          <w:rFonts w:hint="eastAsia" w:ascii="宋体" w:hAnsi="宋体" w:cs="宋体"/>
          <w:sz w:val="24"/>
          <w:szCs w:val="24"/>
        </w:rPr>
        <w:t>条的规定，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评标委员会决定投标的响应性只根据投标本身的内容，而不寻求外部的证据。</w:t>
      </w:r>
    </w:p>
    <w:p>
      <w:pPr>
        <w:spacing w:line="360" w:lineRule="auto"/>
        <w:ind w:firstLine="482" w:firstLineChars="200"/>
        <w:rPr>
          <w:rFonts w:ascii="宋体" w:cs="宋体"/>
          <w:b/>
          <w:sz w:val="24"/>
          <w:szCs w:val="24"/>
        </w:rPr>
      </w:pPr>
      <w:r>
        <w:rPr>
          <w:rFonts w:ascii="宋体" w:hAnsi="宋体" w:cs="宋体"/>
          <w:b/>
          <w:sz w:val="24"/>
          <w:szCs w:val="24"/>
        </w:rPr>
        <w:t xml:space="preserve">26.4.5 </w:t>
      </w:r>
      <w:r>
        <w:rPr>
          <w:rFonts w:hint="eastAsia" w:ascii="宋体" w:hAnsi="宋体" w:cs="宋体"/>
          <w:b/>
          <w:sz w:val="24"/>
          <w:szCs w:val="24"/>
        </w:rPr>
        <w:t>实质上没有响应招标文件要求的投标将作无效投标处理。投标人不得通过修正或撤销不合要求的偏离或保留从而使其投标成为实质上响应的投标。投标人存在下列情况之一的，投标无效：</w:t>
      </w:r>
    </w:p>
    <w:p>
      <w:pPr>
        <w:numPr>
          <w:ilvl w:val="0"/>
          <w:numId w:val="11"/>
        </w:numPr>
        <w:tabs>
          <w:tab w:val="left" w:pos="780"/>
          <w:tab w:val="left" w:pos="900"/>
          <w:tab w:val="clear" w:pos="1140"/>
        </w:tabs>
        <w:spacing w:line="360" w:lineRule="auto"/>
        <w:ind w:left="0" w:firstLine="482" w:firstLineChars="200"/>
      </w:pPr>
      <w:bookmarkStart w:id="66" w:name="OLE_LINK6"/>
      <w:r>
        <w:rPr>
          <w:rFonts w:hint="eastAsia" w:ascii="宋体" w:hAnsi="宋体" w:cs="宋体"/>
          <w:b/>
          <w:sz w:val="24"/>
          <w:szCs w:val="24"/>
          <w:u w:val="single"/>
        </w:rPr>
        <w:t>投标文件未按照招标文件要求签署、盖章、提交的，或签字人无法定代表人有效委托书的</w:t>
      </w:r>
      <w:bookmarkEnd w:id="66"/>
      <w:r>
        <w:rPr>
          <w:rFonts w:hint="eastAsia" w:ascii="宋体" w:hAnsi="宋体" w:cs="宋体"/>
          <w:b/>
          <w:sz w:val="24"/>
          <w:szCs w:val="24"/>
          <w:u w:val="single"/>
        </w:rPr>
        <w:t>；</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报价超过招标文件中规定的预算金额或者最高限价的；</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合同履行期限不满足招标文件要求的；</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投标文件含有采购人不能接受的附加条件的；</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投标有效期不足；</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投标报价不全，或投标人在同一份投标文件中对同一招标货物或服务报有两个或多个报价的，但招标文件要求提交备选投标的除外；</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不接受评委对投标文件报价出现前后不一致的修正；</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投标人有串通投标、弄虚作假、行贿等违法行为；</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投标文件没有对招标文件的实质性要求和条件作出响应的；</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法律、法规和招标文件中规定的其他无效情形；</w:t>
      </w:r>
    </w:p>
    <w:p>
      <w:pPr>
        <w:tabs>
          <w:tab w:val="left" w:pos="780"/>
          <w:tab w:val="left" w:pos="900"/>
        </w:tabs>
        <w:spacing w:line="360" w:lineRule="auto"/>
        <w:ind w:left="482"/>
        <w:rPr>
          <w:rFonts w:ascii="宋体" w:cs="宋体"/>
          <w:b/>
          <w:sz w:val="24"/>
          <w:szCs w:val="24"/>
        </w:rPr>
      </w:pPr>
      <w:r>
        <w:rPr>
          <w:rFonts w:ascii="宋体" w:hAnsi="宋体" w:cs="宋体"/>
          <w:b/>
          <w:sz w:val="24"/>
          <w:szCs w:val="24"/>
        </w:rPr>
        <w:t>26.4.6</w:t>
      </w:r>
      <w:r>
        <w:rPr>
          <w:rFonts w:hint="eastAsia" w:ascii="宋体" w:hAnsi="宋体" w:cs="宋体"/>
          <w:b/>
          <w:sz w:val="24"/>
          <w:szCs w:val="24"/>
        </w:rPr>
        <w:t>有下列情形之一的，视为投标人串通投标，其投标无效：</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1</w:t>
      </w:r>
      <w:r>
        <w:rPr>
          <w:rFonts w:hint="eastAsia" w:ascii="宋体" w:hAnsi="宋体" w:cs="宋体"/>
          <w:b/>
          <w:sz w:val="24"/>
          <w:szCs w:val="24"/>
        </w:rPr>
        <w:t>）</w:t>
      </w:r>
      <w:r>
        <w:rPr>
          <w:rFonts w:hint="eastAsia" w:ascii="宋体" w:hAnsi="宋体" w:cs="宋体"/>
          <w:b/>
          <w:sz w:val="24"/>
          <w:szCs w:val="24"/>
          <w:u w:val="single"/>
        </w:rPr>
        <w:t>不同投标人的投标文件由同一单位或者个人编制；</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2</w:t>
      </w:r>
      <w:r>
        <w:rPr>
          <w:rFonts w:hint="eastAsia" w:ascii="宋体" w:hAnsi="宋体" w:cs="宋体"/>
          <w:b/>
          <w:sz w:val="24"/>
          <w:szCs w:val="24"/>
        </w:rPr>
        <w:t>）</w:t>
      </w:r>
      <w:r>
        <w:rPr>
          <w:rFonts w:hint="eastAsia" w:ascii="宋体" w:hAnsi="宋体" w:cs="宋体"/>
          <w:b/>
          <w:sz w:val="24"/>
          <w:szCs w:val="24"/>
          <w:u w:val="single"/>
        </w:rPr>
        <w:t>不同投标人委托同一单位或者个人办理投标事宜；</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3</w:t>
      </w:r>
      <w:r>
        <w:rPr>
          <w:rFonts w:hint="eastAsia" w:ascii="宋体" w:hAnsi="宋体" w:cs="宋体"/>
          <w:b/>
          <w:sz w:val="24"/>
          <w:szCs w:val="24"/>
        </w:rPr>
        <w:t>）</w:t>
      </w:r>
      <w:r>
        <w:rPr>
          <w:rFonts w:hint="eastAsia" w:ascii="宋体" w:hAnsi="宋体" w:cs="宋体"/>
          <w:b/>
          <w:sz w:val="24"/>
          <w:szCs w:val="24"/>
          <w:u w:val="single"/>
        </w:rPr>
        <w:t>不同投标人的投标文件载明的项目管理成员或者联系人员为同一人；</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4</w:t>
      </w:r>
      <w:r>
        <w:rPr>
          <w:rFonts w:hint="eastAsia" w:ascii="宋体" w:hAnsi="宋体" w:cs="宋体"/>
          <w:b/>
          <w:sz w:val="24"/>
          <w:szCs w:val="24"/>
        </w:rPr>
        <w:t>）</w:t>
      </w:r>
      <w:r>
        <w:rPr>
          <w:rFonts w:hint="eastAsia" w:ascii="宋体" w:hAnsi="宋体" w:cs="宋体"/>
          <w:b/>
          <w:sz w:val="24"/>
          <w:szCs w:val="24"/>
          <w:u w:val="single"/>
        </w:rPr>
        <w:t>不同投标人的投标文件异常一致或者投标报价呈规律性差异；</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5</w:t>
      </w:r>
      <w:r>
        <w:rPr>
          <w:rFonts w:hint="eastAsia" w:ascii="宋体" w:hAnsi="宋体" w:cs="宋体"/>
          <w:b/>
          <w:sz w:val="24"/>
          <w:szCs w:val="24"/>
        </w:rPr>
        <w:t>）</w:t>
      </w:r>
      <w:r>
        <w:rPr>
          <w:rFonts w:hint="eastAsia" w:ascii="宋体" w:hAnsi="宋体" w:cs="宋体"/>
          <w:b/>
          <w:sz w:val="24"/>
          <w:szCs w:val="24"/>
          <w:u w:val="single"/>
        </w:rPr>
        <w:t>不同投标人的投标文件相互混装；</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6</w:t>
      </w:r>
      <w:r>
        <w:rPr>
          <w:rFonts w:hint="eastAsia" w:ascii="宋体" w:hAnsi="宋体" w:cs="宋体"/>
          <w:b/>
          <w:sz w:val="24"/>
          <w:szCs w:val="24"/>
        </w:rPr>
        <w:t>）</w:t>
      </w:r>
      <w:r>
        <w:rPr>
          <w:rFonts w:hint="eastAsia" w:ascii="宋体" w:hAnsi="宋体" w:cs="宋体"/>
          <w:b/>
          <w:sz w:val="24"/>
          <w:szCs w:val="24"/>
          <w:u w:val="single"/>
        </w:rPr>
        <w:t>不同投标人的投标保证金从同一单位或者个人的账户转出。</w:t>
      </w:r>
    </w:p>
    <w:p>
      <w:pPr>
        <w:spacing w:line="360" w:lineRule="auto"/>
        <w:ind w:firstLine="482" w:firstLineChars="200"/>
        <w:rPr>
          <w:rFonts w:ascii="宋体" w:cs="宋体"/>
          <w:sz w:val="24"/>
          <w:szCs w:val="24"/>
        </w:rPr>
      </w:pPr>
      <w:r>
        <w:rPr>
          <w:rFonts w:ascii="宋体" w:hAnsi="宋体" w:cs="宋体"/>
          <w:b/>
          <w:bCs/>
          <w:sz w:val="24"/>
          <w:szCs w:val="24"/>
        </w:rPr>
        <w:t xml:space="preserve">26.5 </w:t>
      </w:r>
      <w:r>
        <w:rPr>
          <w:rFonts w:hint="eastAsia" w:ascii="宋体" w:hAnsi="宋体" w:cs="宋体"/>
          <w:b/>
          <w:sz w:val="24"/>
          <w:szCs w:val="24"/>
        </w:rPr>
        <w:t>投标文件的详细评审</w:t>
      </w:r>
    </w:p>
    <w:p>
      <w:pPr>
        <w:spacing w:line="360" w:lineRule="auto"/>
        <w:ind w:firstLine="480" w:firstLineChars="200"/>
        <w:rPr>
          <w:rFonts w:ascii="宋体" w:cs="宋体"/>
          <w:sz w:val="24"/>
          <w:szCs w:val="24"/>
        </w:rPr>
      </w:pPr>
      <w:r>
        <w:rPr>
          <w:rFonts w:ascii="宋体" w:hAnsi="宋体" w:cs="宋体"/>
          <w:sz w:val="24"/>
          <w:szCs w:val="24"/>
        </w:rPr>
        <w:t xml:space="preserve">26.5.1 </w:t>
      </w:r>
      <w:r>
        <w:rPr>
          <w:rFonts w:hint="eastAsia" w:ascii="宋体" w:hAnsi="宋体" w:cs="宋体"/>
          <w:sz w:val="24"/>
          <w:szCs w:val="24"/>
        </w:rPr>
        <w:t>评标委员会将按照本须知第</w:t>
      </w:r>
      <w:r>
        <w:rPr>
          <w:rFonts w:ascii="宋体" w:hAnsi="宋体" w:cs="宋体"/>
          <w:sz w:val="24"/>
          <w:szCs w:val="24"/>
        </w:rPr>
        <w:t>26.4</w:t>
      </w:r>
      <w:r>
        <w:rPr>
          <w:rFonts w:hint="eastAsia" w:ascii="宋体" w:hAnsi="宋体" w:cs="宋体"/>
          <w:sz w:val="24"/>
          <w:szCs w:val="24"/>
        </w:rPr>
        <w:t>条规定，只对确定为实质上响应招标文件要求的投标进行详细评审。</w:t>
      </w:r>
    </w:p>
    <w:p>
      <w:pPr>
        <w:spacing w:line="360" w:lineRule="auto"/>
        <w:ind w:firstLine="480" w:firstLineChars="200"/>
        <w:rPr>
          <w:rFonts w:ascii="宋体" w:cs="宋体"/>
          <w:sz w:val="24"/>
          <w:szCs w:val="24"/>
        </w:rPr>
      </w:pPr>
      <w:r>
        <w:rPr>
          <w:rFonts w:ascii="宋体" w:hAnsi="宋体" w:cs="宋体"/>
          <w:sz w:val="24"/>
          <w:szCs w:val="24"/>
        </w:rPr>
        <w:t xml:space="preserve">26.5.2 </w:t>
      </w:r>
      <w:r>
        <w:rPr>
          <w:rFonts w:hint="eastAsia" w:ascii="宋体" w:hAnsi="宋体" w:cs="宋体"/>
          <w:sz w:val="24"/>
          <w:szCs w:val="24"/>
        </w:rPr>
        <w:t>详细评审即以招标文件为依据，对所有实质上响应的投标分别从“商务”、“技术”和“价格”三个方面进行评审并按照百分制进行综合打分（详见第六章评标标准）。</w:t>
      </w:r>
    </w:p>
    <w:p>
      <w:pPr>
        <w:spacing w:line="360" w:lineRule="auto"/>
        <w:ind w:firstLine="482" w:firstLineChars="200"/>
        <w:rPr>
          <w:rFonts w:ascii="宋体" w:cs="宋体"/>
          <w:b/>
          <w:sz w:val="24"/>
          <w:szCs w:val="24"/>
        </w:rPr>
      </w:pPr>
      <w:r>
        <w:rPr>
          <w:rFonts w:ascii="宋体" w:hAnsi="宋体" w:cs="宋体"/>
          <w:b/>
          <w:sz w:val="24"/>
          <w:szCs w:val="24"/>
        </w:rPr>
        <w:t>26.6</w:t>
      </w:r>
      <w:r>
        <w:rPr>
          <w:rFonts w:hint="eastAsia" w:ascii="宋体" w:hAnsi="宋体" w:cs="宋体"/>
          <w:b/>
          <w:sz w:val="24"/>
          <w:szCs w:val="24"/>
        </w:rPr>
        <w:t>中标人的确定</w:t>
      </w:r>
    </w:p>
    <w:p>
      <w:pPr>
        <w:spacing w:line="360" w:lineRule="auto"/>
        <w:ind w:firstLine="480" w:firstLineChars="200"/>
        <w:rPr>
          <w:rFonts w:ascii="宋体" w:cs="宋体"/>
          <w:sz w:val="24"/>
          <w:szCs w:val="24"/>
        </w:rPr>
      </w:pPr>
      <w:r>
        <w:rPr>
          <w:rFonts w:hint="eastAsia" w:ascii="宋体" w:hAnsi="宋体" w:cs="宋体"/>
          <w:sz w:val="24"/>
          <w:szCs w:val="24"/>
        </w:rPr>
        <w:t>评标委员会对进入详细评审的投标人进行综合评分并按得分由高到低顺序排列，得分相同的，按投标报价由低到高顺序排列，得分且投标报价相同的，按评审因素的技术指标评审得分高低顺序。由采购人按照评标委员会推荐的中标候选人顺序确定中标投标人。</w:t>
      </w:r>
    </w:p>
    <w:p>
      <w:pPr>
        <w:spacing w:line="360" w:lineRule="auto"/>
        <w:ind w:firstLine="482" w:firstLineChars="200"/>
        <w:rPr>
          <w:rFonts w:ascii="宋体" w:cs="宋体"/>
          <w:b/>
          <w:sz w:val="24"/>
          <w:szCs w:val="24"/>
        </w:rPr>
      </w:pPr>
      <w:r>
        <w:rPr>
          <w:rFonts w:ascii="宋体" w:hAnsi="宋体" w:cs="宋体"/>
          <w:b/>
          <w:sz w:val="24"/>
          <w:szCs w:val="24"/>
        </w:rPr>
        <w:t>27.</w:t>
      </w:r>
      <w:r>
        <w:rPr>
          <w:rFonts w:hint="eastAsia" w:ascii="宋体" w:hAnsi="宋体" w:cs="宋体"/>
          <w:b/>
          <w:sz w:val="24"/>
          <w:szCs w:val="24"/>
        </w:rPr>
        <w:t>与采购代理机构、采购人和评标委员会的接触</w:t>
      </w:r>
    </w:p>
    <w:p>
      <w:pPr>
        <w:spacing w:line="360" w:lineRule="auto"/>
        <w:ind w:firstLine="480" w:firstLineChars="200"/>
        <w:rPr>
          <w:rFonts w:ascii="宋体" w:cs="宋体"/>
          <w:sz w:val="24"/>
          <w:szCs w:val="24"/>
        </w:rPr>
      </w:pPr>
      <w:r>
        <w:rPr>
          <w:rFonts w:ascii="宋体" w:hAnsi="宋体" w:cs="宋体"/>
          <w:sz w:val="24"/>
          <w:szCs w:val="24"/>
        </w:rPr>
        <w:t xml:space="preserve">27.1 </w:t>
      </w:r>
      <w:r>
        <w:rPr>
          <w:rFonts w:hint="eastAsia" w:ascii="宋体" w:hAnsi="宋体" w:cs="宋体"/>
          <w:sz w:val="24"/>
          <w:szCs w:val="24"/>
        </w:rPr>
        <w:t>除本须知第</w:t>
      </w:r>
      <w:r>
        <w:rPr>
          <w:rFonts w:ascii="宋体" w:hAnsi="宋体" w:cs="宋体"/>
          <w:sz w:val="24"/>
          <w:szCs w:val="24"/>
        </w:rPr>
        <w:t>26.3</w:t>
      </w:r>
      <w:r>
        <w:rPr>
          <w:rFonts w:hint="eastAsia" w:ascii="宋体" w:hAnsi="宋体" w:cs="宋体"/>
          <w:sz w:val="24"/>
          <w:szCs w:val="24"/>
        </w:rPr>
        <w:t>条的规定外，从开标之日起至公布中标结果之日止，投标人不得就与其投标有关的事项与采购代理机构、采购人以及评标委员会成员接触，但经评标委员会同意的澄清、答疑期间除外。</w:t>
      </w:r>
    </w:p>
    <w:p>
      <w:pPr>
        <w:spacing w:line="360" w:lineRule="auto"/>
        <w:ind w:firstLine="480" w:firstLineChars="200"/>
        <w:rPr>
          <w:rFonts w:ascii="宋体" w:cs="宋体"/>
          <w:sz w:val="24"/>
          <w:szCs w:val="24"/>
        </w:rPr>
      </w:pPr>
      <w:r>
        <w:rPr>
          <w:rFonts w:ascii="宋体" w:hAnsi="宋体" w:cs="宋体"/>
          <w:sz w:val="24"/>
          <w:szCs w:val="24"/>
        </w:rPr>
        <w:t xml:space="preserve">27.2 </w:t>
      </w:r>
      <w:r>
        <w:rPr>
          <w:rFonts w:hint="eastAsia" w:ascii="宋体" w:hAnsi="宋体" w:cs="宋体"/>
          <w:sz w:val="24"/>
          <w:szCs w:val="24"/>
        </w:rPr>
        <w:t>投标人试图对采购代理机构、采购人和评标委员会的评标、比较或授予合同的决定进行影响，都可能导致其投标无效。</w:t>
      </w:r>
      <w:bookmarkStart w:id="67" w:name="_Toc2511974"/>
      <w:bookmarkStart w:id="68" w:name="_Toc14776841"/>
      <w:bookmarkStart w:id="69" w:name="_Toc2355233"/>
      <w:bookmarkStart w:id="70" w:name="_Toc493422653"/>
      <w:bookmarkStart w:id="71" w:name="_Toc322446894"/>
    </w:p>
    <w:p>
      <w:pPr>
        <w:spacing w:line="360" w:lineRule="auto"/>
        <w:rPr>
          <w:rFonts w:ascii="宋体" w:cs="宋体"/>
          <w:sz w:val="24"/>
          <w:szCs w:val="24"/>
        </w:rPr>
      </w:pPr>
    </w:p>
    <w:p>
      <w:pPr>
        <w:spacing w:line="360" w:lineRule="auto"/>
        <w:rPr>
          <w:rFonts w:ascii="宋体" w:cs="宋体"/>
          <w:b/>
          <w:sz w:val="24"/>
          <w:szCs w:val="24"/>
        </w:rPr>
      </w:pPr>
      <w:r>
        <w:rPr>
          <w:rFonts w:hint="eastAsia" w:ascii="宋体" w:hAnsi="宋体" w:cs="宋体"/>
          <w:b/>
          <w:sz w:val="24"/>
          <w:szCs w:val="24"/>
        </w:rPr>
        <w:t>六、授予合同</w:t>
      </w:r>
      <w:bookmarkEnd w:id="67"/>
      <w:bookmarkEnd w:id="68"/>
      <w:bookmarkEnd w:id="69"/>
      <w:bookmarkEnd w:id="70"/>
      <w:bookmarkEnd w:id="71"/>
    </w:p>
    <w:p>
      <w:pPr>
        <w:spacing w:line="360" w:lineRule="auto"/>
        <w:ind w:firstLine="482" w:firstLineChars="200"/>
        <w:rPr>
          <w:rFonts w:ascii="宋体" w:cs="宋体"/>
          <w:b/>
          <w:sz w:val="24"/>
          <w:szCs w:val="24"/>
        </w:rPr>
      </w:pPr>
      <w:r>
        <w:rPr>
          <w:rFonts w:ascii="宋体" w:hAnsi="宋体" w:cs="宋体"/>
          <w:b/>
          <w:sz w:val="24"/>
          <w:szCs w:val="24"/>
        </w:rPr>
        <w:t>28.</w:t>
      </w:r>
      <w:r>
        <w:rPr>
          <w:rFonts w:hint="eastAsia" w:ascii="宋体" w:hAnsi="宋体" w:cs="宋体"/>
          <w:b/>
          <w:sz w:val="24"/>
          <w:szCs w:val="24"/>
        </w:rPr>
        <w:t>合同授予标准</w:t>
      </w:r>
    </w:p>
    <w:p>
      <w:pPr>
        <w:spacing w:line="360" w:lineRule="auto"/>
        <w:ind w:firstLine="480" w:firstLineChars="200"/>
        <w:rPr>
          <w:rFonts w:ascii="宋体" w:cs="宋体"/>
          <w:sz w:val="24"/>
          <w:szCs w:val="24"/>
        </w:rPr>
      </w:pPr>
      <w:r>
        <w:rPr>
          <w:rFonts w:ascii="宋体" w:hAnsi="宋体" w:cs="宋体"/>
          <w:sz w:val="24"/>
          <w:szCs w:val="24"/>
        </w:rPr>
        <w:t xml:space="preserve">28.1 </w:t>
      </w:r>
      <w:r>
        <w:rPr>
          <w:rFonts w:hint="eastAsia" w:ascii="宋体" w:hAnsi="宋体" w:cs="宋体"/>
          <w:sz w:val="24"/>
          <w:szCs w:val="24"/>
        </w:rPr>
        <w:t>除第</w:t>
      </w:r>
      <w:r>
        <w:rPr>
          <w:rFonts w:ascii="宋体" w:hAnsi="宋体" w:cs="宋体"/>
          <w:sz w:val="24"/>
          <w:szCs w:val="24"/>
        </w:rPr>
        <w:t>31</w:t>
      </w:r>
      <w:r>
        <w:rPr>
          <w:rFonts w:hint="eastAsia" w:ascii="宋体" w:hAnsi="宋体" w:cs="宋体"/>
          <w:sz w:val="24"/>
          <w:szCs w:val="24"/>
        </w:rPr>
        <w:t>条的规定之外，采购代理机构将把合同授予被确定为实质上响应招标文件的要求并有履行合同能力的具有合理报价的合格投标人。</w:t>
      </w:r>
    </w:p>
    <w:p>
      <w:pPr>
        <w:spacing w:line="360" w:lineRule="auto"/>
        <w:ind w:firstLine="482" w:firstLineChars="200"/>
        <w:rPr>
          <w:rFonts w:ascii="宋体" w:cs="宋体"/>
          <w:b/>
          <w:sz w:val="24"/>
          <w:szCs w:val="24"/>
        </w:rPr>
      </w:pPr>
      <w:r>
        <w:rPr>
          <w:rFonts w:ascii="宋体" w:hAnsi="宋体" w:cs="宋体"/>
          <w:b/>
          <w:sz w:val="24"/>
          <w:szCs w:val="24"/>
        </w:rPr>
        <w:t>29.</w:t>
      </w:r>
      <w:r>
        <w:rPr>
          <w:rFonts w:hint="eastAsia" w:ascii="宋体" w:hAnsi="宋体" w:cs="宋体"/>
          <w:b/>
          <w:sz w:val="24"/>
          <w:szCs w:val="24"/>
        </w:rPr>
        <w:t>接受和拒绝任何或所有投标的权利</w:t>
      </w:r>
    </w:p>
    <w:p>
      <w:pPr>
        <w:spacing w:line="360" w:lineRule="auto"/>
        <w:ind w:firstLine="480" w:firstLineChars="200"/>
        <w:rPr>
          <w:rFonts w:ascii="宋体" w:cs="宋体"/>
          <w:sz w:val="24"/>
          <w:szCs w:val="24"/>
        </w:rPr>
      </w:pPr>
      <w:r>
        <w:rPr>
          <w:rFonts w:ascii="宋体" w:hAnsi="宋体" w:cs="宋体"/>
          <w:sz w:val="24"/>
          <w:szCs w:val="24"/>
        </w:rPr>
        <w:t>29.1</w:t>
      </w:r>
      <w:r>
        <w:rPr>
          <w:rFonts w:hint="eastAsia" w:ascii="宋体" w:hAnsi="宋体" w:cs="宋体"/>
          <w:sz w:val="24"/>
          <w:szCs w:val="24"/>
        </w:rPr>
        <w:t>采购人或采购代理机构保留依法定事由、不可抗力或政府采购主管部门相关要求，拒绝任何或所有投标的权利，或宣布招标无效的权利。对受影响的投标人不承担任何责任。</w:t>
      </w:r>
    </w:p>
    <w:p>
      <w:pPr>
        <w:spacing w:line="360" w:lineRule="auto"/>
        <w:ind w:firstLine="482" w:firstLineChars="200"/>
        <w:rPr>
          <w:rFonts w:ascii="宋体" w:cs="宋体"/>
          <w:b/>
          <w:sz w:val="24"/>
          <w:szCs w:val="24"/>
        </w:rPr>
      </w:pPr>
      <w:r>
        <w:rPr>
          <w:rFonts w:ascii="宋体" w:hAnsi="宋体" w:cs="宋体"/>
          <w:b/>
          <w:sz w:val="24"/>
          <w:szCs w:val="24"/>
        </w:rPr>
        <w:t>30.</w:t>
      </w:r>
      <w:r>
        <w:rPr>
          <w:rFonts w:hint="eastAsia" w:ascii="宋体" w:hAnsi="宋体" w:cs="宋体"/>
          <w:b/>
          <w:sz w:val="24"/>
          <w:szCs w:val="24"/>
        </w:rPr>
        <w:t>中标通知书</w:t>
      </w:r>
    </w:p>
    <w:p>
      <w:pPr>
        <w:spacing w:line="360" w:lineRule="auto"/>
        <w:ind w:firstLine="480" w:firstLineChars="200"/>
        <w:rPr>
          <w:rFonts w:ascii="宋体" w:cs="宋体"/>
          <w:sz w:val="24"/>
          <w:szCs w:val="24"/>
        </w:rPr>
      </w:pPr>
      <w:r>
        <w:rPr>
          <w:rFonts w:ascii="宋体" w:hAnsi="宋体" w:cs="宋体"/>
          <w:sz w:val="24"/>
          <w:szCs w:val="24"/>
        </w:rPr>
        <w:t xml:space="preserve">30.1 </w:t>
      </w:r>
      <w:r>
        <w:rPr>
          <w:rFonts w:hint="eastAsia" w:ascii="宋体" w:hAnsi="宋体" w:cs="宋体"/>
          <w:sz w:val="24"/>
          <w:szCs w:val="24"/>
        </w:rPr>
        <w:t>中标人确定后，采购代理机构将向中标人发出中标通知书，告知未中标人本人的评审得分与排序。</w:t>
      </w:r>
    </w:p>
    <w:p>
      <w:pPr>
        <w:spacing w:line="360" w:lineRule="auto"/>
        <w:ind w:firstLine="480" w:firstLineChars="200"/>
        <w:rPr>
          <w:rFonts w:ascii="宋体" w:cs="宋体"/>
          <w:sz w:val="24"/>
          <w:szCs w:val="24"/>
        </w:rPr>
      </w:pPr>
      <w:r>
        <w:rPr>
          <w:rFonts w:ascii="宋体" w:hAnsi="宋体" w:cs="宋体"/>
          <w:sz w:val="24"/>
          <w:szCs w:val="24"/>
        </w:rPr>
        <w:t xml:space="preserve">30.2 </w:t>
      </w:r>
      <w:r>
        <w:rPr>
          <w:rFonts w:hint="eastAsia" w:ascii="宋体" w:hAnsi="宋体" w:cs="宋体"/>
          <w:sz w:val="24"/>
          <w:szCs w:val="24"/>
        </w:rPr>
        <w:t>中标通知书是合同的一个组成部分，没有提交书面中标通知书所签署的合同属于无效合同。</w:t>
      </w:r>
    </w:p>
    <w:p>
      <w:pPr>
        <w:spacing w:line="360" w:lineRule="auto"/>
        <w:ind w:firstLine="480" w:firstLineChars="200"/>
        <w:rPr>
          <w:rFonts w:ascii="宋体" w:cs="宋体"/>
          <w:sz w:val="24"/>
          <w:szCs w:val="24"/>
        </w:rPr>
      </w:pPr>
      <w:r>
        <w:rPr>
          <w:rFonts w:ascii="宋体" w:hAnsi="宋体" w:cs="宋体"/>
          <w:sz w:val="24"/>
          <w:szCs w:val="24"/>
        </w:rPr>
        <w:t>30.3</w:t>
      </w:r>
      <w:r>
        <w:rPr>
          <w:rFonts w:hint="eastAsia" w:ascii="宋体" w:hAnsi="宋体" w:cs="宋体"/>
          <w:sz w:val="24"/>
          <w:szCs w:val="24"/>
        </w:rPr>
        <w:t>中标结果公告发布后，中标人到代理机构领取中标通知书，未中标的投标人到代理机构领取落标通知书。</w:t>
      </w:r>
    </w:p>
    <w:p>
      <w:pPr>
        <w:spacing w:line="360" w:lineRule="auto"/>
        <w:ind w:firstLine="482" w:firstLineChars="200"/>
        <w:rPr>
          <w:rFonts w:ascii="宋体" w:cs="宋体"/>
          <w:b/>
          <w:sz w:val="24"/>
          <w:szCs w:val="24"/>
        </w:rPr>
      </w:pPr>
      <w:r>
        <w:rPr>
          <w:rFonts w:ascii="宋体" w:hAnsi="宋体" w:cs="宋体"/>
          <w:b/>
          <w:sz w:val="24"/>
          <w:szCs w:val="24"/>
        </w:rPr>
        <w:t>31.</w:t>
      </w:r>
      <w:r>
        <w:rPr>
          <w:rFonts w:hint="eastAsia" w:ascii="宋体" w:hAnsi="宋体" w:cs="宋体"/>
          <w:b/>
          <w:sz w:val="24"/>
          <w:szCs w:val="24"/>
        </w:rPr>
        <w:t>签订合同</w:t>
      </w:r>
    </w:p>
    <w:p>
      <w:pPr>
        <w:spacing w:line="360" w:lineRule="auto"/>
        <w:ind w:firstLine="480" w:firstLineChars="200"/>
        <w:rPr>
          <w:rFonts w:ascii="宋体" w:cs="宋体"/>
          <w:sz w:val="24"/>
          <w:szCs w:val="24"/>
        </w:rPr>
      </w:pPr>
      <w:r>
        <w:rPr>
          <w:rFonts w:ascii="宋体" w:hAnsi="宋体" w:cs="宋体"/>
          <w:sz w:val="24"/>
          <w:szCs w:val="24"/>
        </w:rPr>
        <w:t>31.1</w:t>
      </w:r>
      <w:r>
        <w:rPr>
          <w:rFonts w:hint="eastAsia" w:ascii="宋体" w:hAnsi="宋体" w:cs="宋体"/>
          <w:sz w:val="24"/>
          <w:szCs w:val="24"/>
        </w:rPr>
        <w:t>中标人应当自中标通知书发出之日起三十日内，按照招标文件和中标人投标文件的约定，与采购人签订书面合同。所签订的合同不得对招标文件和中标供商投标文件作实质性修改。</w:t>
      </w:r>
    </w:p>
    <w:p>
      <w:pPr>
        <w:spacing w:line="360" w:lineRule="auto"/>
        <w:ind w:firstLine="480" w:firstLineChars="200"/>
        <w:rPr>
          <w:rFonts w:ascii="宋体" w:hAnsi="宋体" w:cs="宋体"/>
          <w:sz w:val="24"/>
        </w:rPr>
      </w:pPr>
      <w:r>
        <w:rPr>
          <w:rFonts w:ascii="宋体" w:hAnsi="宋体" w:cs="宋体"/>
          <w:sz w:val="24"/>
          <w:szCs w:val="24"/>
        </w:rPr>
        <w:t>31.2</w:t>
      </w:r>
      <w:r>
        <w:rPr>
          <w:rFonts w:hint="eastAsia" w:ascii="宋体" w:hAnsi="宋体" w:cs="宋体"/>
          <w:sz w:val="24"/>
        </w:rPr>
        <w:t>如中标人没有按照本须知</w:t>
      </w:r>
      <w:r>
        <w:rPr>
          <w:rFonts w:ascii="宋体" w:hAnsi="宋体" w:cs="宋体"/>
          <w:sz w:val="24"/>
        </w:rPr>
        <w:t>31.1</w:t>
      </w:r>
      <w:r>
        <w:rPr>
          <w:rFonts w:hint="eastAsia" w:ascii="宋体" w:hAnsi="宋体" w:cs="宋体"/>
          <w:sz w:val="24"/>
        </w:rPr>
        <w:t>条规定执行，应当依法承担法律责任，投标保证金也将不予退还。在此情况下，招标采购单位可将合同授予排名在中标人下一位的中标候选人，也可以重新招标。</w:t>
      </w:r>
    </w:p>
    <w:p>
      <w:pPr>
        <w:pStyle w:val="21"/>
        <w:ind w:firstLine="480" w:firstLineChars="200"/>
        <w:rPr>
          <w:rFonts w:ascii="宋体" w:hAnsi="宋体" w:cs="宋体"/>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rPr>
        <w:t>31.3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rPr>
          <w:rFonts w:ascii="宋体" w:cs="宋体"/>
          <w:w w:val="90"/>
          <w:sz w:val="36"/>
        </w:rPr>
      </w:pPr>
      <w:bookmarkStart w:id="72" w:name="_Toc14776842"/>
      <w:bookmarkStart w:id="73" w:name="_Toc2511975"/>
    </w:p>
    <w:p>
      <w:pPr>
        <w:rPr>
          <w:rFonts w:ascii="宋体" w:cs="宋体"/>
          <w:w w:val="90"/>
          <w:sz w:val="36"/>
        </w:rPr>
      </w:pPr>
    </w:p>
    <w:p>
      <w:pPr>
        <w:rPr>
          <w:rFonts w:ascii="宋体" w:cs="宋体"/>
          <w:w w:val="90"/>
          <w:sz w:val="36"/>
        </w:rPr>
      </w:pPr>
    </w:p>
    <w:p>
      <w:pPr>
        <w:rPr>
          <w:rFonts w:ascii="宋体" w:cs="宋体"/>
          <w:w w:val="90"/>
          <w:sz w:val="36"/>
        </w:rPr>
      </w:pPr>
    </w:p>
    <w:p>
      <w:pPr>
        <w:pStyle w:val="21"/>
      </w:pPr>
    </w:p>
    <w:p>
      <w:pPr>
        <w:pStyle w:val="21"/>
      </w:pPr>
    </w:p>
    <w:p>
      <w:pPr>
        <w:pStyle w:val="21"/>
      </w:pPr>
    </w:p>
    <w:p>
      <w:pPr>
        <w:pStyle w:val="21"/>
      </w:pPr>
    </w:p>
    <w:p>
      <w:pPr>
        <w:pStyle w:val="21"/>
      </w:pPr>
    </w:p>
    <w:p>
      <w:pPr>
        <w:pStyle w:val="3"/>
        <w:spacing w:before="100" w:beforeAutospacing="1" w:after="100" w:afterAutospacing="1" w:line="360" w:lineRule="auto"/>
        <w:jc w:val="center"/>
        <w:rPr>
          <w:rFonts w:ascii="宋体" w:cs="宋体"/>
          <w:w w:val="90"/>
          <w:sz w:val="36"/>
        </w:rPr>
        <w:sectPr>
          <w:footerReference r:id="rId6" w:type="default"/>
          <w:pgSz w:w="11907" w:h="16840"/>
          <w:pgMar w:top="1440" w:right="1469" w:bottom="1440" w:left="1622" w:header="851" w:footer="992" w:gutter="0"/>
          <w:pgBorders>
            <w:top w:val="none" w:sz="0" w:space="0"/>
            <w:left w:val="none" w:sz="0" w:space="0"/>
            <w:bottom w:val="none" w:sz="0" w:space="0"/>
            <w:right w:val="none" w:sz="0" w:space="0"/>
          </w:pgBorders>
          <w:cols w:space="720" w:num="1"/>
          <w:docGrid w:linePitch="312" w:charSpace="0"/>
        </w:sectPr>
      </w:pPr>
      <w:bookmarkStart w:id="74" w:name="_Toc44704904"/>
      <w:bookmarkStart w:id="75" w:name="_Toc44705272"/>
      <w:bookmarkStart w:id="76" w:name="_Toc44705051"/>
      <w:r>
        <w:rPr>
          <w:rFonts w:hint="eastAsia" w:ascii="宋体" w:hAnsi="宋体" w:cs="宋体"/>
          <w:w w:val="90"/>
        </w:rPr>
        <w:t>第四章</w:t>
      </w:r>
      <w:r>
        <w:rPr>
          <w:rFonts w:ascii="宋体" w:hAnsi="宋体" w:cs="宋体"/>
          <w:w w:val="90"/>
        </w:rPr>
        <w:t xml:space="preserve"> </w:t>
      </w:r>
      <w:r>
        <w:rPr>
          <w:rFonts w:hint="eastAsia" w:ascii="宋体" w:hAnsi="宋体" w:cs="宋体"/>
          <w:w w:val="90"/>
        </w:rPr>
        <w:t>合同文本格式</w:t>
      </w:r>
      <w:bookmarkEnd w:id="72"/>
      <w:bookmarkEnd w:id="73"/>
      <w:bookmarkEnd w:id="74"/>
      <w:bookmarkEnd w:id="75"/>
      <w:bookmarkEnd w:id="76"/>
    </w:p>
    <w:p>
      <w:pPr>
        <w:jc w:val="center"/>
        <w:rPr>
          <w:rFonts w:ascii="宋体" w:hAnsi="宋体"/>
          <w:sz w:val="24"/>
          <w:szCs w:val="24"/>
        </w:rPr>
      </w:pPr>
      <w:bookmarkStart w:id="77" w:name="_Toc44700089"/>
      <w:bookmarkStart w:id="78" w:name="_Toc14776843"/>
      <w:bookmarkStart w:id="79" w:name="_Toc44705273"/>
      <w:bookmarkStart w:id="80" w:name="_Toc44704905"/>
      <w:bookmarkStart w:id="81" w:name="_Toc44705052"/>
      <w:bookmarkStart w:id="82" w:name="_Toc2511976"/>
      <w:r>
        <w:rPr>
          <w:rFonts w:hint="eastAsia" w:ascii="宋体" w:hAnsi="宋体"/>
          <w:sz w:val="44"/>
          <w:szCs w:val="44"/>
        </w:rPr>
        <w:t>第四章 政府采购合同</w:t>
      </w:r>
      <w:bookmarkEnd w:id="77"/>
    </w:p>
    <w:p>
      <w:pPr>
        <w:spacing w:line="440" w:lineRule="exact"/>
        <w:ind w:firstLine="412" w:firstLineChars="200"/>
        <w:jc w:val="center"/>
        <w:rPr>
          <w:rFonts w:hint="eastAsia" w:ascii="宋体" w:hAnsi="宋体" w:eastAsia="宋体"/>
          <w:spacing w:val="-2"/>
          <w:szCs w:val="21"/>
          <w:lang w:eastAsia="zh-CN"/>
        </w:rPr>
      </w:pPr>
      <w:r>
        <w:rPr>
          <w:rFonts w:hint="eastAsia" w:ascii="宋体" w:hAnsi="宋体"/>
          <w:spacing w:val="-2"/>
          <w:szCs w:val="21"/>
        </w:rPr>
        <w:t>合同样本</w:t>
      </w:r>
      <w:r>
        <w:rPr>
          <w:rFonts w:hint="eastAsia" w:ascii="宋体" w:hAnsi="宋体"/>
          <w:spacing w:val="-2"/>
          <w:szCs w:val="21"/>
          <w:lang w:eastAsia="zh-CN"/>
        </w:rPr>
        <w:t>（</w:t>
      </w:r>
      <w:r>
        <w:rPr>
          <w:rFonts w:hint="eastAsia" w:ascii="宋体" w:hAnsi="宋体"/>
          <w:spacing w:val="-2"/>
          <w:szCs w:val="21"/>
          <w:lang w:val="en-US" w:eastAsia="zh-CN"/>
        </w:rPr>
        <w:t>以实际签订为准</w:t>
      </w:r>
      <w:r>
        <w:rPr>
          <w:rFonts w:hint="eastAsia" w:ascii="宋体" w:hAnsi="宋体"/>
          <w:spacing w:val="-2"/>
          <w:szCs w:val="21"/>
          <w:lang w:eastAsia="zh-CN"/>
        </w:rPr>
        <w:t>）</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第一章 体检协议书（范文）</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甲方：</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 xml:space="preserve">乙方： </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双方本着加强劳动保护和对员工健康负责的态度，共同为甲方员工提供健康管理服务，为了明确甲乙双方的责任和义务，经双方友好协商，协议如下：</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1.甲方负责全面组织、安排员工进行健康体检工作，并指定联系人       ，</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电话       ，并由联系人和乙方共同协商安排好时间、地点及相关事宜。</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2.乙方负责对         干部职工的体检方案的设计，在甲方的认可下，实施体检方案，并根据方案的具体项目周密地安排好员工的体检工作，同时负责把体检的相关注意事项告知甲方。</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3.乙方要以严肃认真、及时准确、高度负责的态度和行为，为甲方员工提供优质高效的健康管理服务。为了确保质量，甲方要向乙方提供参检人员的基本信息。乙方应派出有经验并具有中级以上职称的医务人员对甲方参检员工进行体检，并将主检人员安排情况告知甲方。乙方不得让没有经验的中级职称以下人员（尤其是实习生）对甲方参检员工进行体检：如有发现，甲方有权拒付全部体检费用。</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4.乙方对此次健康体检的报告负责，若在规定体检项目和应有技术水平范围内，因工作缺陷造成体检质量问题的（即应发现而未发现的严重恶性病变），乙方应负责予以合理解释，如果造成负面影响的，应给予当事人适当补救措施。乙方对体检结果负责三个月。</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5.为了进一步向甲方员工提供健康管理服务，乙方承诺给甲方员工免费建立和维护健康档案，为甲方员工的常见病和多发病提供一次健康教育讲座回访（甲方负责组织，或由甲方点题讲座），为甲方所在地建立和维护健康教育一幅专栏。</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6.体检项目：</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7.体检费每人    元，名单由甲方提供，共         人，体检费按实际体检人数结算，在体检结束后           个月内支付。</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8.本协议未尽事宜由双方协商解决。</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9.本协议一式四份，甲乙双方各持两份，具有同等效力，本协议自签订之日起生效。</w:t>
      </w:r>
    </w:p>
    <w:p>
      <w:pPr>
        <w:spacing w:line="440" w:lineRule="exact"/>
        <w:ind w:firstLine="472" w:firstLineChars="200"/>
        <w:rPr>
          <w:rFonts w:hint="eastAsia" w:ascii="宋体" w:hAnsi="宋体"/>
          <w:spacing w:val="-2"/>
          <w:sz w:val="24"/>
          <w:szCs w:val="24"/>
        </w:rPr>
      </w:pP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甲方（盖章）：                      乙方（盖章）：</w:t>
      </w:r>
    </w:p>
    <w:p>
      <w:pPr>
        <w:spacing w:line="440" w:lineRule="exact"/>
        <w:ind w:firstLine="472" w:firstLineChars="200"/>
        <w:rPr>
          <w:rFonts w:hint="eastAsia" w:ascii="宋体" w:hAnsi="宋体"/>
          <w:spacing w:val="-2"/>
          <w:sz w:val="24"/>
          <w:szCs w:val="24"/>
        </w:rPr>
      </w:pP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法人代表或代理人：             法人代表或代理人：</w:t>
      </w:r>
    </w:p>
    <w:p/>
    <w:p>
      <w:pPr>
        <w:pStyle w:val="21"/>
      </w:pPr>
    </w:p>
    <w:p/>
    <w:p>
      <w:pPr>
        <w:pStyle w:val="3"/>
        <w:jc w:val="center"/>
      </w:pPr>
    </w:p>
    <w:p>
      <w:pPr>
        <w:pStyle w:val="3"/>
        <w:jc w:val="center"/>
      </w:pPr>
    </w:p>
    <w:p>
      <w:pPr>
        <w:rPr>
          <w:rFonts w:hint="eastAsia"/>
        </w:rPr>
      </w:pPr>
      <w:r>
        <w:rPr>
          <w:rFonts w:hint="eastAsia"/>
        </w:rPr>
        <w:br w:type="page"/>
      </w:r>
    </w:p>
    <w:p>
      <w:pPr>
        <w:pStyle w:val="3"/>
        <w:jc w:val="center"/>
        <w:rPr>
          <w:rFonts w:hint="eastAsia"/>
        </w:rPr>
      </w:pPr>
    </w:p>
    <w:p>
      <w:pPr>
        <w:pStyle w:val="3"/>
        <w:jc w:val="center"/>
        <w:rPr>
          <w:rFonts w:hint="eastAsia"/>
        </w:rPr>
      </w:pPr>
    </w:p>
    <w:p>
      <w:pPr>
        <w:pStyle w:val="3"/>
        <w:jc w:val="center"/>
        <w:rPr>
          <w:rFonts w:hint="eastAsia"/>
        </w:rPr>
      </w:pPr>
    </w:p>
    <w:p>
      <w:pPr>
        <w:pStyle w:val="3"/>
        <w:jc w:val="center"/>
        <w:rPr>
          <w:rFonts w:ascii="宋体" w:cs="宋体"/>
          <w:w w:val="90"/>
        </w:rPr>
      </w:pPr>
      <w:r>
        <w:rPr>
          <w:rFonts w:hint="eastAsia"/>
        </w:rPr>
        <w:t>第五章</w:t>
      </w:r>
      <w:r>
        <w:t xml:space="preserve"> </w:t>
      </w:r>
      <w:r>
        <w:rPr>
          <w:rFonts w:hint="eastAsia"/>
        </w:rPr>
        <w:t>采购需求</w:t>
      </w:r>
      <w:bookmarkEnd w:id="78"/>
      <w:bookmarkEnd w:id="79"/>
      <w:bookmarkEnd w:id="80"/>
      <w:bookmarkEnd w:id="81"/>
      <w:bookmarkEnd w:id="82"/>
      <w:bookmarkStart w:id="83" w:name="_Toc2511994"/>
      <w:bookmarkStart w:id="84" w:name="_Toc14776844"/>
    </w:p>
    <w:p>
      <w:pPr>
        <w:widowControl/>
        <w:snapToGrid w:val="0"/>
        <w:spacing w:line="216" w:lineRule="auto"/>
        <w:ind w:firstLine="567" w:firstLineChars="300"/>
        <w:textAlignment w:val="baseline"/>
        <w:rPr>
          <w:rFonts w:hint="eastAsia" w:ascii="仿宋" w:hAnsi="仿宋" w:eastAsia="仿宋"/>
          <w:sz w:val="32"/>
          <w:szCs w:val="32"/>
          <w:highlight w:val="yellow"/>
        </w:rPr>
      </w:pPr>
      <w:r>
        <w:rPr>
          <w:w w:val="90"/>
        </w:rPr>
        <w:br w:type="page"/>
      </w:r>
    </w:p>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bottom"/>
        <w:rPr>
          <w:rFonts w:hint="eastAsia" w:ascii="宋体" w:hAnsi="宋体"/>
          <w:b w:val="0"/>
          <w:bCs w:val="0"/>
          <w:color w:val="000000"/>
          <w:sz w:val="56"/>
          <w:szCs w:val="56"/>
          <w:lang w:val="en-US" w:eastAsia="zh-CN"/>
        </w:rPr>
      </w:pPr>
      <w:r>
        <w:rPr>
          <w:rFonts w:hint="eastAsia"/>
          <w:sz w:val="40"/>
          <w:szCs w:val="36"/>
        </w:rPr>
        <w:t>采购需求</w:t>
      </w:r>
    </w:p>
    <w:p>
      <w:pPr>
        <w:pStyle w:val="2"/>
        <w:keepNext w:val="0"/>
        <w:keepLines w:val="0"/>
        <w:pageBreakBefore w:val="0"/>
        <w:widowControl w:val="0"/>
        <w:numPr>
          <w:ilvl w:val="0"/>
          <w:numId w:val="0"/>
        </w:numPr>
        <w:kinsoku/>
        <w:wordWrap/>
        <w:overflowPunct/>
        <w:topLinePunct w:val="0"/>
        <w:autoSpaceDE/>
        <w:bidi w:val="0"/>
        <w:adjustRightInd/>
        <w:spacing w:line="360" w:lineRule="auto"/>
        <w:jc w:val="center"/>
        <w:rPr>
          <w:rFonts w:hint="eastAsia" w:ascii="宋体" w:hAnsi="宋体" w:eastAsia="宋体" w:cs="Times New Roman"/>
          <w:b/>
          <w:bCs/>
          <w:caps w:val="0"/>
          <w:color w:val="000000"/>
          <w:kern w:val="2"/>
          <w:sz w:val="32"/>
          <w:szCs w:val="32"/>
          <w:lang w:val="en-US" w:eastAsia="zh-CN" w:bidi="ar-SA"/>
        </w:rPr>
      </w:pPr>
      <w:r>
        <w:rPr>
          <w:rFonts w:hint="eastAsia" w:ascii="宋体" w:hAnsi="宋体" w:cs="Times New Roman"/>
          <w:b/>
          <w:bCs/>
          <w:caps w:val="0"/>
          <w:color w:val="000000"/>
          <w:kern w:val="2"/>
          <w:sz w:val="32"/>
          <w:szCs w:val="32"/>
          <w:lang w:val="en-US" w:eastAsia="zh-CN" w:bidi="ar-SA"/>
        </w:rPr>
        <w:t>体检</w:t>
      </w:r>
      <w:r>
        <w:rPr>
          <w:rFonts w:hint="eastAsia" w:ascii="宋体" w:hAnsi="宋体" w:eastAsia="宋体" w:cs="Times New Roman"/>
          <w:b/>
          <w:bCs/>
          <w:caps w:val="0"/>
          <w:color w:val="000000"/>
          <w:kern w:val="2"/>
          <w:sz w:val="32"/>
          <w:szCs w:val="32"/>
          <w:lang w:val="en-US" w:eastAsia="zh-CN" w:bidi="ar-SA"/>
        </w:rPr>
        <w:t>人数</w:t>
      </w:r>
    </w:p>
    <w:tbl>
      <w:tblPr>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260"/>
        <w:gridCol w:w="3750"/>
        <w:gridCol w:w="133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标项</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单位名称</w:t>
            </w:r>
          </w:p>
        </w:tc>
        <w:tc>
          <w:tcPr>
            <w:tcW w:w="13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男（人）</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标项四-1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教育局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乌鲁木齐高新技术产业开发区（乌鲁木齐市新市区）安宁渠镇第一中心幼儿园（</w:t>
            </w:r>
            <w:r>
              <w:rPr>
                <w:rFonts w:hint="eastAsia" w:ascii="宋体" w:hAnsi="宋体" w:eastAsia="宋体" w:cs="宋体"/>
                <w:i w:val="0"/>
                <w:iCs w:val="0"/>
                <w:color w:val="000000"/>
                <w:kern w:val="0"/>
                <w:sz w:val="24"/>
                <w:szCs w:val="24"/>
                <w:u w:val="none"/>
                <w:bdr w:val="none" w:color="auto" w:sz="0" w:space="0"/>
                <w:lang w:val="en-US" w:eastAsia="zh-CN" w:bidi="ar"/>
              </w:rPr>
              <w:t>17幼）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乌鲁木齐高新技术产业开发区（乌鲁木齐市新市区）安宁渠镇第二中心幼儿园（</w:t>
            </w:r>
            <w:r>
              <w:rPr>
                <w:rFonts w:hint="eastAsia" w:ascii="宋体" w:hAnsi="宋体" w:eastAsia="宋体" w:cs="宋体"/>
                <w:i w:val="0"/>
                <w:iCs w:val="0"/>
                <w:color w:val="000000"/>
                <w:kern w:val="0"/>
                <w:sz w:val="24"/>
                <w:szCs w:val="24"/>
                <w:u w:val="none"/>
                <w:bdr w:val="none" w:color="auto" w:sz="0" w:space="0"/>
                <w:lang w:val="en-US" w:eastAsia="zh-CN" w:bidi="ar"/>
              </w:rPr>
              <w:t>28幼）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乌鲁木齐高新技术产业开发区（乌鲁木齐市新市区）安宁渠镇第三中心幼儿园（</w:t>
            </w:r>
            <w:r>
              <w:rPr>
                <w:rFonts w:hint="eastAsia" w:ascii="宋体" w:hAnsi="宋体" w:eastAsia="宋体" w:cs="宋体"/>
                <w:i w:val="0"/>
                <w:iCs w:val="0"/>
                <w:color w:val="000000"/>
                <w:kern w:val="0"/>
                <w:sz w:val="24"/>
                <w:szCs w:val="24"/>
                <w:u w:val="none"/>
                <w:bdr w:val="none" w:color="auto" w:sz="0" w:space="0"/>
                <w:lang w:val="en-US" w:eastAsia="zh-CN" w:bidi="ar"/>
              </w:rPr>
              <w:t>36幼）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乌鲁木齐高新技术产业开发区（乌鲁木齐市新市区）地窝堡乡第一中心幼儿园（</w:t>
            </w:r>
            <w:r>
              <w:rPr>
                <w:rFonts w:hint="eastAsia" w:ascii="宋体" w:hAnsi="宋体" w:eastAsia="宋体" w:cs="宋体"/>
                <w:i w:val="0"/>
                <w:iCs w:val="0"/>
                <w:color w:val="000000"/>
                <w:kern w:val="0"/>
                <w:sz w:val="24"/>
                <w:szCs w:val="24"/>
                <w:u w:val="none"/>
                <w:bdr w:val="none" w:color="auto" w:sz="0" w:space="0"/>
                <w:lang w:val="en-US" w:eastAsia="zh-CN" w:bidi="ar"/>
              </w:rPr>
              <w:t>35幼）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乌鲁木齐高新技术产业开发区（乌鲁木齐市新市区）地窝堡乡第二中心幼儿园（</w:t>
            </w:r>
            <w:r>
              <w:rPr>
                <w:rFonts w:hint="eastAsia" w:ascii="宋体" w:hAnsi="宋体" w:eastAsia="宋体" w:cs="宋体"/>
                <w:i w:val="0"/>
                <w:iCs w:val="0"/>
                <w:color w:val="000000"/>
                <w:kern w:val="0"/>
                <w:sz w:val="24"/>
                <w:szCs w:val="24"/>
                <w:u w:val="none"/>
                <w:bdr w:val="none" w:color="auto" w:sz="0" w:space="0"/>
                <w:lang w:val="en-US" w:eastAsia="zh-CN" w:bidi="ar"/>
              </w:rPr>
              <w:t>34幼）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乌鲁木齐高新技术产业开发区（乌鲁木齐市新市区）青格达湖乡中心幼儿园（</w:t>
            </w:r>
            <w:r>
              <w:rPr>
                <w:rFonts w:hint="eastAsia" w:ascii="宋体" w:hAnsi="宋体" w:eastAsia="宋体" w:cs="宋体"/>
                <w:i w:val="0"/>
                <w:iCs w:val="0"/>
                <w:color w:val="000000"/>
                <w:kern w:val="0"/>
                <w:sz w:val="24"/>
                <w:szCs w:val="24"/>
                <w:u w:val="none"/>
                <w:bdr w:val="none" w:color="auto" w:sz="0" w:space="0"/>
                <w:lang w:val="en-US" w:eastAsia="zh-CN" w:bidi="ar"/>
              </w:rPr>
              <w:t>18幼）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乌鲁木齐高新技术产业开发区（乌鲁木齐市新市区）六十户乡中心幼儿园（</w:t>
            </w:r>
            <w:r>
              <w:rPr>
                <w:rFonts w:hint="eastAsia" w:ascii="宋体" w:hAnsi="宋体" w:eastAsia="宋体" w:cs="宋体"/>
                <w:i w:val="0"/>
                <w:iCs w:val="0"/>
                <w:color w:val="000000"/>
                <w:kern w:val="0"/>
                <w:sz w:val="24"/>
                <w:szCs w:val="24"/>
                <w:u w:val="none"/>
                <w:bdr w:val="none" w:color="auto" w:sz="0" w:space="0"/>
                <w:lang w:val="en-US" w:eastAsia="zh-CN" w:bidi="ar"/>
              </w:rPr>
              <w:t>19幼）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乌鲁木齐市第十四幼儿园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乌鲁木齐市第十五幼儿园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乌鲁木齐市第十六幼儿园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乌鲁木齐市第二十三幼儿园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乌鲁木齐市第三十三幼儿园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乌鲁木齐市第四十三幼儿园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乌鲁木齐市第九中学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乌鲁木齐市第二十九中学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乌鲁木齐市第三十五小学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标项四-2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乌鲁木齐市第三十六小学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乌鲁木齐市第三十七中学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乌鲁木齐市第四十四中学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3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乌鲁木齐市第四十七中学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w:t>
            </w:r>
          </w:p>
        </w:tc>
      </w:tr>
    </w:tbl>
    <w:p>
      <w:pPr>
        <w:rPr>
          <w:rFonts w:hint="eastAsia"/>
          <w:lang w:val="en-US" w:eastAsia="zh-CN"/>
        </w:rPr>
      </w:pPr>
    </w:p>
    <w:p>
      <w:pPr>
        <w:widowControl/>
        <w:snapToGrid w:val="0"/>
        <w:spacing w:line="216" w:lineRule="auto"/>
        <w:ind w:firstLine="1687" w:firstLineChars="600"/>
        <w:textAlignment w:val="baseline"/>
        <w:rPr>
          <w:rFonts w:hint="eastAsia" w:eastAsia="宋体"/>
          <w:b/>
          <w:sz w:val="28"/>
          <w:lang w:val="en-US" w:eastAsia="zh-CN"/>
        </w:rPr>
      </w:pPr>
      <w:r>
        <w:rPr>
          <w:rFonts w:hint="eastAsia"/>
          <w:b/>
          <w:sz w:val="28"/>
          <w:lang w:eastAsia="zh-CN"/>
        </w:rPr>
        <w:t>2025年度高新区(新市区)</w:t>
      </w:r>
      <w:r>
        <w:rPr>
          <w:rFonts w:hint="eastAsia"/>
          <w:b/>
          <w:sz w:val="28"/>
          <w:lang w:val="en-US" w:eastAsia="zh-CN"/>
        </w:rPr>
        <w:t>)政府干部职工</w:t>
      </w:r>
      <w:r>
        <w:rPr>
          <w:rFonts w:hint="eastAsia"/>
          <w:b/>
          <w:sz w:val="28"/>
        </w:rPr>
        <w:t>体检计划</w:t>
      </w:r>
      <w:r>
        <w:rPr>
          <w:rFonts w:hint="eastAsia"/>
          <w:b/>
          <w:sz w:val="28"/>
          <w:lang w:val="en-US" w:eastAsia="zh-CN"/>
        </w:rPr>
        <w:t>A</w:t>
      </w:r>
    </w:p>
    <w:tbl>
      <w:tblPr>
        <w:tblStyle w:val="47"/>
        <w:tblpPr w:leftFromText="180" w:rightFromText="180" w:vertAnchor="text" w:horzAnchor="page" w:tblpX="973" w:tblpY="91"/>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25"/>
        <w:gridCol w:w="2970"/>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80" w:type="dxa"/>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项目分类</w:t>
            </w:r>
          </w:p>
        </w:tc>
        <w:tc>
          <w:tcPr>
            <w:tcW w:w="3595" w:type="dxa"/>
            <w:gridSpan w:val="2"/>
            <w:noWrap w:val="0"/>
            <w:vAlign w:val="center"/>
          </w:tcPr>
          <w:p>
            <w:pPr>
              <w:autoSpaceDN w:val="0"/>
              <w:snapToGrid w:val="0"/>
              <w:spacing w:line="300" w:lineRule="exact"/>
              <w:ind w:left="-334" w:leftChars="-159"/>
              <w:jc w:val="center"/>
              <w:textAlignment w:val="bottom"/>
              <w:rPr>
                <w:rFonts w:hint="eastAsia" w:ascii="宋体" w:hAnsi="宋体"/>
                <w:b/>
                <w:snapToGrid w:val="0"/>
                <w:color w:val="000000"/>
                <w:szCs w:val="21"/>
              </w:rPr>
            </w:pPr>
            <w:r>
              <w:rPr>
                <w:rFonts w:hint="eastAsia" w:ascii="宋体" w:hAnsi="宋体"/>
                <w:b/>
                <w:snapToGrid w:val="0"/>
                <w:color w:val="000000"/>
                <w:szCs w:val="21"/>
              </w:rPr>
              <w:t>检查项目</w:t>
            </w:r>
          </w:p>
        </w:tc>
        <w:tc>
          <w:tcPr>
            <w:tcW w:w="4835" w:type="dxa"/>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80" w:type="dxa"/>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一般检查</w:t>
            </w:r>
          </w:p>
        </w:tc>
        <w:tc>
          <w:tcPr>
            <w:tcW w:w="3595" w:type="dxa"/>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身高、体重、血压、</w:t>
            </w:r>
          </w:p>
          <w:p>
            <w:pPr>
              <w:autoSpaceDN w:val="0"/>
              <w:snapToGrid w:val="0"/>
              <w:spacing w:line="300" w:lineRule="exact"/>
              <w:ind w:firstLine="735" w:firstLineChars="350"/>
              <w:textAlignment w:val="bottom"/>
              <w:rPr>
                <w:rFonts w:hint="eastAsia" w:ascii="宋体" w:hAnsi="宋体"/>
                <w:snapToGrid w:val="0"/>
                <w:color w:val="000000"/>
                <w:szCs w:val="21"/>
              </w:rPr>
            </w:pPr>
            <w:r>
              <w:rPr>
                <w:rFonts w:hint="eastAsia" w:ascii="宋体" w:hAnsi="宋体"/>
                <w:color w:val="000000"/>
                <w:szCs w:val="21"/>
              </w:rPr>
              <w:t>体重指数、臀围、</w:t>
            </w:r>
            <w:r>
              <w:rPr>
                <w:rFonts w:hint="eastAsia" w:ascii="宋体" w:hAnsi="宋体"/>
                <w:color w:val="000000"/>
                <w:szCs w:val="21"/>
                <w:lang w:eastAsia="zh-CN"/>
              </w:rPr>
              <w:t>腰</w:t>
            </w:r>
            <w:r>
              <w:rPr>
                <w:rFonts w:hint="eastAsia" w:ascii="宋体" w:hAnsi="宋体"/>
                <w:color w:val="000000"/>
                <w:szCs w:val="21"/>
              </w:rPr>
              <w:t>围</w:t>
            </w:r>
          </w:p>
        </w:tc>
        <w:tc>
          <w:tcPr>
            <w:tcW w:w="4835" w:type="dxa"/>
            <w:noWrap w:val="0"/>
            <w:vAlign w:val="center"/>
          </w:tcPr>
          <w:p>
            <w:pPr>
              <w:autoSpaceDN w:val="0"/>
              <w:snapToGrid w:val="0"/>
              <w:spacing w:line="300" w:lineRule="exact"/>
              <w:textAlignment w:val="bottom"/>
              <w:rPr>
                <w:rFonts w:hint="eastAsia" w:ascii="宋体" w:hAnsi="宋体"/>
                <w:b/>
                <w:snapToGrid w:val="0"/>
                <w:color w:val="000000"/>
                <w:szCs w:val="21"/>
              </w:rPr>
            </w:pPr>
            <w:r>
              <w:rPr>
                <w:rFonts w:hint="eastAsia" w:ascii="宋体" w:hAnsi="宋体"/>
                <w:color w:val="000000"/>
                <w:sz w:val="22"/>
                <w:szCs w:val="22"/>
              </w:rPr>
              <w:t>了解身高、体重、血压、</w:t>
            </w:r>
            <w:r>
              <w:rPr>
                <w:rFonts w:hint="eastAsia" w:ascii="宋体" w:hAnsi="宋体"/>
                <w:color w:val="000000"/>
                <w:szCs w:val="21"/>
              </w:rPr>
              <w:t>臀围、</w:t>
            </w:r>
            <w:r>
              <w:rPr>
                <w:rFonts w:hint="eastAsia" w:ascii="宋体" w:hAnsi="宋体"/>
                <w:color w:val="000000"/>
                <w:sz w:val="22"/>
                <w:szCs w:val="22"/>
              </w:rPr>
              <w:t>腹围等基本情况以及是否有体重超标等。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3595" w:type="dxa"/>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体检问卷</w:t>
            </w:r>
          </w:p>
        </w:tc>
        <w:tc>
          <w:tcPr>
            <w:tcW w:w="4835" w:type="dxa"/>
            <w:noWrap w:val="0"/>
            <w:vAlign w:val="center"/>
          </w:tcPr>
          <w:p>
            <w:pPr>
              <w:spacing w:line="240" w:lineRule="atLeast"/>
              <w:rPr>
                <w:rFonts w:hint="eastAsia" w:ascii="宋体" w:hAnsi="宋体"/>
                <w:b/>
                <w:color w:val="000000"/>
                <w:sz w:val="24"/>
              </w:rPr>
            </w:pPr>
            <w:r>
              <w:rPr>
                <w:rFonts w:hint="eastAsia" w:ascii="宋体" w:hAnsi="宋体"/>
                <w:snapToGrid w:val="0"/>
                <w:color w:val="000000"/>
                <w:szCs w:val="21"/>
              </w:rPr>
              <w:t>了解生活方式、个人史、家族史、健康体检史等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临床</w:t>
            </w:r>
          </w:p>
          <w:p>
            <w:pPr>
              <w:autoSpaceDN w:val="0"/>
              <w:snapToGrid w:val="0"/>
              <w:spacing w:line="300" w:lineRule="exact"/>
              <w:jc w:val="center"/>
              <w:textAlignment w:val="bottom"/>
              <w:rPr>
                <w:rFonts w:hint="eastAsia" w:ascii="宋体" w:hAnsi="宋体"/>
                <w:b/>
                <w:szCs w:val="21"/>
              </w:rPr>
            </w:pPr>
            <w:r>
              <w:rPr>
                <w:rFonts w:hint="eastAsia" w:ascii="宋体" w:hAnsi="宋体"/>
                <w:b/>
                <w:snapToGrid w:val="0"/>
                <w:color w:val="000000"/>
                <w:szCs w:val="21"/>
              </w:rPr>
              <w:t>检查</w:t>
            </w:r>
          </w:p>
        </w:tc>
        <w:tc>
          <w:tcPr>
            <w:tcW w:w="3595" w:type="dxa"/>
            <w:gridSpan w:val="2"/>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eastAsia="新宋体"/>
                <w:spacing w:val="-10"/>
                <w:szCs w:val="18"/>
              </w:rPr>
              <w:t>内科</w:t>
            </w:r>
          </w:p>
        </w:tc>
        <w:tc>
          <w:tcPr>
            <w:tcW w:w="4835" w:type="dxa"/>
            <w:noWrap w:val="0"/>
            <w:vAlign w:val="center"/>
          </w:tcPr>
          <w:p>
            <w:pPr>
              <w:adjustRightInd w:val="0"/>
              <w:snapToGrid w:val="0"/>
              <w:spacing w:line="400" w:lineRule="exact"/>
              <w:rPr>
                <w:rFonts w:hint="eastAsia" w:ascii="宋体" w:hAnsi="宋体"/>
                <w:snapToGrid w:val="0"/>
                <w:color w:val="000000"/>
                <w:szCs w:val="21"/>
              </w:rPr>
            </w:pPr>
            <w:r>
              <w:rPr>
                <w:rFonts w:hint="eastAsia" w:ascii="宋体" w:hAnsi="宋体" w:eastAsia="新宋体"/>
                <w:spacing w:val="-10"/>
                <w:szCs w:val="18"/>
              </w:rPr>
              <w:t>心血管、呼吸系统、神经系统、肝脾、发育营养等。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3595" w:type="dxa"/>
            <w:gridSpan w:val="2"/>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eastAsia="新宋体"/>
                <w:spacing w:val="-10"/>
                <w:szCs w:val="18"/>
              </w:rPr>
              <w:t>外科</w:t>
            </w:r>
          </w:p>
        </w:tc>
        <w:tc>
          <w:tcPr>
            <w:tcW w:w="4835" w:type="dxa"/>
            <w:noWrap w:val="0"/>
            <w:vAlign w:val="center"/>
          </w:tcPr>
          <w:p>
            <w:pPr>
              <w:adjustRightInd w:val="0"/>
              <w:snapToGrid w:val="0"/>
              <w:spacing w:line="400" w:lineRule="exact"/>
              <w:rPr>
                <w:rFonts w:hint="eastAsia" w:ascii="宋体" w:hAnsi="宋体"/>
                <w:snapToGrid w:val="0"/>
                <w:color w:val="000000"/>
                <w:szCs w:val="21"/>
              </w:rPr>
            </w:pPr>
            <w:r>
              <w:rPr>
                <w:rFonts w:hint="eastAsia" w:ascii="宋体" w:hAnsi="宋体" w:eastAsia="新宋体"/>
                <w:spacing w:val="-10"/>
                <w:szCs w:val="18"/>
              </w:rPr>
              <w:t>浅表淋巴、皮肤黏膜、脊柱、四肢、关节活动、甲状腺。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continue"/>
            <w:noWrap w:val="0"/>
            <w:vAlign w:val="center"/>
          </w:tcPr>
          <w:p>
            <w:pPr>
              <w:autoSpaceDN w:val="0"/>
              <w:snapToGrid w:val="0"/>
              <w:spacing w:line="300" w:lineRule="exact"/>
              <w:jc w:val="center"/>
              <w:textAlignment w:val="bottom"/>
              <w:rPr>
                <w:rFonts w:hint="eastAsia" w:ascii="宋体" w:hAnsi="宋体" w:eastAsia="宋体"/>
                <w:b/>
                <w:szCs w:val="21"/>
                <w:lang w:eastAsia="zh-CN"/>
              </w:rPr>
            </w:pPr>
          </w:p>
        </w:tc>
        <w:tc>
          <w:tcPr>
            <w:tcW w:w="3595" w:type="dxa"/>
            <w:gridSpan w:val="2"/>
            <w:noWrap w:val="0"/>
            <w:vAlign w:val="center"/>
          </w:tcPr>
          <w:p>
            <w:pPr>
              <w:adjustRightInd w:val="0"/>
              <w:snapToGrid w:val="0"/>
              <w:spacing w:line="400" w:lineRule="exact"/>
              <w:jc w:val="center"/>
              <w:rPr>
                <w:rFonts w:hint="eastAsia" w:ascii="宋体" w:hAnsi="宋体" w:eastAsia="新宋体"/>
                <w:b w:val="0"/>
                <w:bCs/>
                <w:spacing w:val="-10"/>
                <w:szCs w:val="18"/>
              </w:rPr>
            </w:pPr>
            <w:r>
              <w:rPr>
                <w:rFonts w:hint="eastAsia" w:ascii="宋体" w:hAnsi="宋体"/>
                <w:b w:val="0"/>
                <w:bCs/>
                <w:szCs w:val="21"/>
                <w:lang w:eastAsia="zh-CN"/>
              </w:rPr>
              <w:t>口腔科</w:t>
            </w:r>
          </w:p>
        </w:tc>
        <w:tc>
          <w:tcPr>
            <w:tcW w:w="4835" w:type="dxa"/>
            <w:noWrap w:val="0"/>
            <w:vAlign w:val="center"/>
          </w:tcPr>
          <w:p>
            <w:pPr>
              <w:adjustRightInd w:val="0"/>
              <w:snapToGrid w:val="0"/>
              <w:spacing w:line="400" w:lineRule="exact"/>
              <w:rPr>
                <w:rFonts w:hint="eastAsia" w:ascii="宋体" w:hAnsi="宋体" w:eastAsia="新宋体"/>
                <w:spacing w:val="-10"/>
                <w:szCs w:val="18"/>
              </w:rPr>
            </w:pPr>
            <w:r>
              <w:rPr>
                <w:rFonts w:hint="eastAsia" w:ascii="宋体" w:hAnsi="宋体" w:eastAsia="新宋体"/>
                <w:spacing w:val="-10"/>
                <w:szCs w:val="18"/>
                <w:lang w:eastAsia="zh-CN"/>
              </w:rPr>
              <w:t>牙体</w:t>
            </w:r>
            <w:r>
              <w:rPr>
                <w:rFonts w:hint="eastAsia" w:ascii="宋体" w:hAnsi="宋体" w:eastAsia="新宋体"/>
                <w:spacing w:val="-10"/>
                <w:szCs w:val="18"/>
              </w:rPr>
              <w:t>、牙列、牙龈、</w:t>
            </w:r>
            <w:r>
              <w:rPr>
                <w:rFonts w:hint="eastAsia" w:ascii="宋体" w:hAnsi="宋体" w:eastAsia="新宋体"/>
                <w:spacing w:val="-10"/>
                <w:szCs w:val="18"/>
                <w:lang w:eastAsia="zh-CN"/>
              </w:rPr>
              <w:t>牙周及</w:t>
            </w:r>
            <w:r>
              <w:rPr>
                <w:rFonts w:hint="eastAsia" w:ascii="宋体" w:hAnsi="宋体" w:eastAsia="新宋体"/>
                <w:spacing w:val="-10"/>
                <w:szCs w:val="18"/>
              </w:rPr>
              <w:t>粘膜等。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血</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规</w:t>
            </w:r>
          </w:p>
          <w:p>
            <w:pPr>
              <w:autoSpaceDN w:val="0"/>
              <w:snapToGrid w:val="0"/>
              <w:spacing w:line="30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白细胞（WBC）</w:t>
            </w:r>
          </w:p>
        </w:tc>
        <w:tc>
          <w:tcPr>
            <w:tcW w:w="4835" w:type="dxa"/>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szCs w:val="21"/>
              </w:rPr>
              <w:t>了解病毒或细菌感染，如面色苍白或皮下出血点应及时查一次，以便及早发现血液系统疾病（白血病、贫血、溶血、败血症及凝血功能）。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中性粒细胞百分比（NE%）</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淋巴细胞百分比（LY%）</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单核细胞百分比（MO%）</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嗜酸性细胞百分比（EO%）</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嗜碱性细胞百分比（BA%）</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中性粒细胞计数(NE#)</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淋巴细胞计数(LY#)</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单核细胞计数(MO#)</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嗜酸性细胞技术(EO#)</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嗜碱性细胞计数(BA#)</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有核红细胞百分比(NRBC%)</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有核红细胞计数(NRBC#)</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红细胞计数(RBC)</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血红蛋白(HGB)</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红细胞压积(HCT)</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平均红细胞体积(MCV)</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平均血红蛋白(MCH)</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平均血红蛋白浓度(MCHC)</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红细胞分布宽度(RDW)</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血小板计数(PLT)</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血小板平均体积(MPV)</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血小板压积(PCT)</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血小板平均分布宽度(PDW)</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snapToGrid w:val="0"/>
              <w:spacing w:line="300" w:lineRule="exact"/>
              <w:jc w:val="center"/>
              <w:rPr>
                <w:rFonts w:hint="eastAsia" w:ascii="宋体" w:hAnsi="宋体"/>
                <w:b/>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尿</w:t>
            </w: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snapToGrid w:val="0"/>
              <w:spacing w:line="300" w:lineRule="exact"/>
              <w:jc w:val="center"/>
              <w:rPr>
                <w:rFonts w:hint="eastAsia" w:ascii="宋体" w:hAnsi="宋体" w:eastAsia="宋体"/>
                <w:b/>
                <w:color w:val="000000"/>
                <w:szCs w:val="21"/>
                <w:lang w:eastAsia="zh-CN"/>
              </w:rPr>
            </w:pPr>
          </w:p>
          <w:p>
            <w:pPr>
              <w:snapToGrid w:val="0"/>
              <w:spacing w:line="300" w:lineRule="exact"/>
              <w:jc w:val="center"/>
              <w:rPr>
                <w:rFonts w:hint="eastAsia" w:ascii="宋体" w:hAnsi="宋体"/>
                <w:b/>
                <w:szCs w:val="21"/>
              </w:rPr>
            </w:pPr>
            <w:r>
              <w:rPr>
                <w:rFonts w:hint="eastAsia" w:ascii="宋体" w:hAnsi="宋体"/>
                <w:b/>
                <w:color w:val="000000"/>
                <w:szCs w:val="21"/>
              </w:rPr>
              <w:t>规</w:t>
            </w: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尿葡萄糖</w:t>
            </w:r>
          </w:p>
        </w:tc>
        <w:tc>
          <w:tcPr>
            <w:tcW w:w="4835" w:type="dxa"/>
            <w:vMerge w:val="restart"/>
            <w:noWrap w:val="0"/>
            <w:vAlign w:val="center"/>
          </w:tcPr>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color w:val="000000"/>
                <w:szCs w:val="21"/>
              </w:rPr>
            </w:pPr>
            <w:r>
              <w:rPr>
                <w:rFonts w:hint="eastAsia" w:ascii="宋体" w:hAnsi="宋体"/>
                <w:szCs w:val="21"/>
              </w:rPr>
              <w:t>尿常规13项检查，了解有否尿道感染、肾炎或血尿，以便排除肾或输尿管或膀胱、或高血压病、糖尿病中、晚期等疾病引起的肾脏功能改变。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胆红素</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尿比重</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潜血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酸碱度</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尿蛋白</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尿胆原</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亚硝酸盐</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尿白细胞</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颜色</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混浊度</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上皮细胞（镜检）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颗粒管型（镜检）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透明管型（镜检）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80" w:type="dxa"/>
            <w:vMerge w:val="restart"/>
            <w:noWrap w:val="0"/>
            <w:vAlign w:val="center"/>
          </w:tcPr>
          <w:p>
            <w:pPr>
              <w:autoSpaceDN w:val="0"/>
              <w:spacing w:line="280" w:lineRule="exact"/>
              <w:jc w:val="center"/>
              <w:textAlignment w:val="bottom"/>
              <w:rPr>
                <w:rFonts w:hint="eastAsia" w:ascii="宋体" w:hAnsi="宋体"/>
                <w:color w:val="000000"/>
                <w:kern w:val="0"/>
                <w:szCs w:val="21"/>
                <w:lang w:val="en-US" w:eastAsia="zh-CN"/>
              </w:rPr>
            </w:pPr>
            <w:r>
              <w:rPr>
                <w:rFonts w:hint="eastAsia" w:ascii="宋体" w:hAnsi="宋体"/>
                <w:b/>
                <w:color w:val="000000"/>
                <w:szCs w:val="21"/>
              </w:rPr>
              <w:t>肾功能</w:t>
            </w:r>
          </w:p>
        </w:tc>
        <w:tc>
          <w:tcPr>
            <w:tcW w:w="625" w:type="dxa"/>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血糖</w:t>
            </w:r>
          </w:p>
        </w:tc>
        <w:tc>
          <w:tcPr>
            <w:tcW w:w="4835" w:type="dxa"/>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eastAsia="新宋体"/>
                <w:spacing w:val="-10"/>
                <w:szCs w:val="18"/>
                <w:lang w:eastAsia="zh-CN"/>
              </w:rPr>
              <w:t>了解</w:t>
            </w:r>
            <w:r>
              <w:rPr>
                <w:rFonts w:hint="eastAsia" w:ascii="宋体" w:hAnsi="宋体" w:eastAsia="新宋体"/>
                <w:spacing w:val="-10"/>
                <w:szCs w:val="18"/>
              </w:rPr>
              <w:t>有无空腹血糖受损、胰岛腺体功能受损，糖尿病早期筛查</w:t>
            </w:r>
            <w:r>
              <w:rPr>
                <w:rFonts w:hint="eastAsia" w:ascii="宋体" w:hAnsi="宋体" w:eastAsia="新宋体"/>
                <w:spacing w:val="-10"/>
                <w:szCs w:val="18"/>
                <w:lang w:eastAsia="zh-CN"/>
              </w:rPr>
              <w:t>；</w:t>
            </w:r>
            <w:r>
              <w:rPr>
                <w:rFonts w:hint="eastAsia" w:ascii="宋体" w:hAnsi="宋体"/>
                <w:szCs w:val="21"/>
              </w:rPr>
              <w:t>了解有否肾炎，肾病综合征</w:t>
            </w:r>
            <w:r>
              <w:rPr>
                <w:rFonts w:hint="eastAsia" w:ascii="宋体" w:hAnsi="宋体"/>
                <w:szCs w:val="21"/>
                <w:lang w:val="en-US" w:eastAsia="zh-CN"/>
              </w:rPr>
              <w:t>；</w:t>
            </w:r>
            <w:r>
              <w:rPr>
                <w:rFonts w:hint="eastAsia" w:ascii="宋体" w:hAnsi="宋体" w:eastAsia="新宋体"/>
                <w:spacing w:val="-10"/>
                <w:szCs w:val="18"/>
              </w:rPr>
              <w:t>检查有无痛风可能，其次是肾功能减退、白血病、多发性骨髓瘤</w:t>
            </w:r>
            <w:r>
              <w:rPr>
                <w:rFonts w:hint="eastAsia" w:ascii="宋体" w:hAnsi="宋体" w:eastAsia="新宋体"/>
                <w:spacing w:val="-1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noWrap w:val="0"/>
            <w:vAlign w:val="center"/>
          </w:tcPr>
          <w:p>
            <w:pPr>
              <w:autoSpaceDN w:val="0"/>
              <w:spacing w:line="280" w:lineRule="exact"/>
              <w:jc w:val="center"/>
              <w:textAlignment w:val="bottom"/>
              <w:rPr>
                <w:rFonts w:hint="eastAsia" w:ascii="宋体" w:hAnsi="宋体"/>
                <w:color w:val="000000"/>
                <w:kern w:val="0"/>
                <w:szCs w:val="21"/>
                <w:lang w:val="en-US" w:eastAsia="zh-CN"/>
              </w:rPr>
            </w:pPr>
          </w:p>
        </w:tc>
        <w:tc>
          <w:tcPr>
            <w:tcW w:w="625" w:type="dxa"/>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尿酸</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widowControl/>
              <w:snapToGrid w:val="0"/>
              <w:spacing w:line="300" w:lineRule="exact"/>
              <w:jc w:val="center"/>
            </w:pPr>
          </w:p>
        </w:tc>
        <w:tc>
          <w:tcPr>
            <w:tcW w:w="625" w:type="dxa"/>
            <w:vMerge w:val="restart"/>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肾功二项</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尿素氮：肌酐</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vMerge w:val="continue"/>
            <w:noWrap w:val="0"/>
            <w:vAlign w:val="center"/>
          </w:tcPr>
          <w:p>
            <w:pPr>
              <w:widowControl/>
              <w:snapToGrid w:val="0"/>
              <w:spacing w:line="300" w:lineRule="exact"/>
              <w:jc w:val="center"/>
            </w:pPr>
          </w:p>
        </w:tc>
        <w:tc>
          <w:tcPr>
            <w:tcW w:w="625" w:type="dxa"/>
            <w:vMerge w:val="continue"/>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肌酐</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vMerge w:val="continue"/>
            <w:noWrap w:val="0"/>
            <w:vAlign w:val="center"/>
          </w:tcPr>
          <w:p>
            <w:pPr>
              <w:widowControl/>
              <w:snapToGrid w:val="0"/>
              <w:spacing w:line="300" w:lineRule="exact"/>
              <w:jc w:val="center"/>
            </w:pPr>
          </w:p>
        </w:tc>
        <w:tc>
          <w:tcPr>
            <w:tcW w:w="625" w:type="dxa"/>
            <w:vMerge w:val="continue"/>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尿素氮</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snapToGrid w:val="0"/>
              <w:spacing w:line="360" w:lineRule="exact"/>
              <w:jc w:val="center"/>
              <w:rPr>
                <w:rFonts w:hint="eastAsia" w:ascii="宋体" w:hAnsi="宋体"/>
                <w:b/>
                <w:szCs w:val="21"/>
              </w:rPr>
            </w:pPr>
            <w:r>
              <w:rPr>
                <w:rFonts w:hint="eastAsia" w:ascii="宋体" w:hAnsi="宋体"/>
                <w:b/>
                <w:szCs w:val="21"/>
              </w:rPr>
              <w:t>血脂四项</w:t>
            </w:r>
          </w:p>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甘油三酯</w:t>
            </w:r>
          </w:p>
        </w:tc>
        <w:tc>
          <w:tcPr>
            <w:tcW w:w="4835" w:type="dxa"/>
            <w:vMerge w:val="restart"/>
            <w:noWrap w:val="0"/>
            <w:vAlign w:val="center"/>
          </w:tcPr>
          <w:p>
            <w:pPr>
              <w:jc w:val="both"/>
              <w:rPr>
                <w:rFonts w:hint="eastAsia" w:ascii="宋体" w:hAnsi="宋体"/>
                <w:szCs w:val="21"/>
              </w:rPr>
            </w:pPr>
          </w:p>
          <w:p>
            <w:pPr>
              <w:jc w:val="both"/>
            </w:pPr>
            <w:r>
              <w:rPr>
                <w:rFonts w:hint="eastAsia" w:ascii="宋体" w:hAnsi="宋体"/>
                <w:szCs w:val="21"/>
              </w:rPr>
              <w:t>了解目前甘油三酯及总胆固醇的变化情况，有无血脂代谢异常等，及早把异常高脂血症的危险降低到最安全的范围，减少冠心病发生率及死亡率。</w:t>
            </w:r>
          </w:p>
          <w:p>
            <w:pPr>
              <w:autoSpaceDN w:val="0"/>
              <w:snapToGrid w:val="0"/>
              <w:spacing w:line="300" w:lineRule="auto"/>
              <w:jc w:val="both"/>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总胆固醇</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高密度脂蛋白胆固醇</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低密度脂蛋白胆固醇</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0" w:type="dxa"/>
            <w:noWrap w:val="0"/>
            <w:vAlign w:val="center"/>
          </w:tcPr>
          <w:p>
            <w:pPr>
              <w:snapToGrid w:val="0"/>
              <w:spacing w:line="300" w:lineRule="exact"/>
              <w:jc w:val="center"/>
              <w:rPr>
                <w:rFonts w:hint="eastAsia" w:ascii="宋体" w:hAnsi="宋体"/>
                <w:b/>
                <w:szCs w:val="21"/>
              </w:rPr>
            </w:pPr>
          </w:p>
        </w:tc>
        <w:tc>
          <w:tcPr>
            <w:tcW w:w="625" w:type="dxa"/>
            <w:noWrap w:val="0"/>
            <w:vAlign w:val="center"/>
          </w:tcPr>
          <w:p>
            <w:pPr>
              <w:autoSpaceDN w:val="0"/>
              <w:spacing w:line="280" w:lineRule="exact"/>
              <w:jc w:val="center"/>
              <w:textAlignment w:val="bottom"/>
              <w:rPr>
                <w:rFonts w:hint="eastAsia" w:ascii="宋体" w:hAnsi="宋体"/>
                <w:color w:val="auto"/>
                <w:kern w:val="0"/>
                <w:sz w:val="21"/>
                <w:szCs w:val="21"/>
                <w:lang w:val="en-US" w:eastAsia="zh-CN" w:bidi="ar-SA"/>
              </w:rPr>
            </w:pPr>
            <w:r>
              <w:rPr>
                <w:rFonts w:hint="eastAsia" w:ascii="宋体" w:hAnsi="宋体"/>
                <w:color w:val="auto"/>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电解质组合（血清）</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测定血清钾、钠、氯、钙。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0" w:type="dxa"/>
            <w:vMerge w:val="restart"/>
            <w:noWrap w:val="0"/>
            <w:vAlign w:val="center"/>
          </w:tcPr>
          <w:p>
            <w:pPr>
              <w:snapToGrid w:val="0"/>
              <w:spacing w:line="360" w:lineRule="exact"/>
              <w:jc w:val="center"/>
              <w:rPr>
                <w:rFonts w:hint="eastAsia" w:ascii="宋体" w:hAnsi="宋体"/>
                <w:b/>
                <w:color w:val="000000"/>
                <w:szCs w:val="21"/>
              </w:rPr>
            </w:pPr>
            <w:r>
              <w:rPr>
                <w:rFonts w:hint="eastAsia" w:ascii="宋体" w:hAnsi="宋体"/>
                <w:b/>
                <w:color w:val="000000"/>
                <w:szCs w:val="21"/>
              </w:rPr>
              <w:t>肝功</w:t>
            </w:r>
            <w:r>
              <w:rPr>
                <w:rFonts w:hint="eastAsia" w:ascii="宋体" w:hAnsi="宋体"/>
                <w:b/>
                <w:color w:val="000000"/>
                <w:szCs w:val="21"/>
                <w:lang w:eastAsia="zh-CN"/>
              </w:rPr>
              <w:t>五</w:t>
            </w:r>
            <w:r>
              <w:rPr>
                <w:rFonts w:hint="eastAsia" w:ascii="宋体" w:hAnsi="宋体"/>
                <w:b/>
                <w:color w:val="000000"/>
                <w:szCs w:val="21"/>
              </w:rPr>
              <w:t>项</w:t>
            </w:r>
          </w:p>
          <w:p>
            <w:pPr>
              <w:widowControl/>
              <w:snapToGrid w:val="0"/>
              <w:spacing w:line="360" w:lineRule="exact"/>
              <w:jc w:val="center"/>
              <w:rPr>
                <w:rFonts w:hint="eastAsia" w:ascii="宋体" w:hAnsi="宋体"/>
                <w:b/>
                <w:szCs w:val="21"/>
              </w:rPr>
            </w:pPr>
          </w:p>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1</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总胆红素</w:t>
            </w:r>
          </w:p>
        </w:tc>
        <w:tc>
          <w:tcPr>
            <w:tcW w:w="4835" w:type="dxa"/>
            <w:vMerge w:val="restart"/>
            <w:noWrap w:val="0"/>
            <w:vAlign w:val="center"/>
          </w:tcPr>
          <w:p>
            <w:pPr>
              <w:autoSpaceDN w:val="0"/>
              <w:snapToGrid w:val="0"/>
              <w:spacing w:line="300" w:lineRule="auto"/>
              <w:jc w:val="both"/>
              <w:textAlignment w:val="bottom"/>
              <w:rPr>
                <w:rFonts w:hint="eastAsia" w:ascii="宋体" w:hAnsi="宋体"/>
                <w:color w:val="000000"/>
                <w:szCs w:val="21"/>
              </w:rPr>
            </w:pPr>
            <w:r>
              <w:rPr>
                <w:rFonts w:hint="eastAsia" w:ascii="宋体" w:hAnsi="宋体"/>
                <w:szCs w:val="21"/>
              </w:rPr>
              <w:t>了解有无肝功能损害及目前损害的程度及是否影响到肝脏代谢功能。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门冬氨酸氨基转移酶</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丙氨酸氨基转移酶</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4</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白蛋白</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总蛋白</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restart"/>
            <w:noWrap w:val="0"/>
            <w:vAlign w:val="center"/>
          </w:tcPr>
          <w:p>
            <w:pPr>
              <w:snapToGrid w:val="0"/>
              <w:spacing w:line="360" w:lineRule="exact"/>
              <w:jc w:val="center"/>
              <w:rPr>
                <w:rFonts w:hint="eastAsia" w:ascii="宋体" w:hAnsi="宋体"/>
                <w:b/>
                <w:szCs w:val="21"/>
              </w:rPr>
            </w:pPr>
            <w:r>
              <w:rPr>
                <w:rFonts w:hint="eastAsia" w:ascii="宋体" w:hAnsi="宋体" w:eastAsia="宋体" w:cs="宋体"/>
                <w:b/>
                <w:bCs w:val="0"/>
                <w:i w:val="0"/>
                <w:iCs w:val="0"/>
                <w:color w:val="000000"/>
                <w:sz w:val="22"/>
                <w:szCs w:val="22"/>
                <w:lang w:eastAsia="zh-CN"/>
              </w:rPr>
              <w:t>甲状腺功能三项</w:t>
            </w:r>
          </w:p>
        </w:tc>
        <w:tc>
          <w:tcPr>
            <w:tcW w:w="625" w:type="dxa"/>
            <w:noWrap w:val="0"/>
            <w:vAlign w:val="center"/>
          </w:tcPr>
          <w:p>
            <w:pPr>
              <w:widowControl/>
              <w:snapToGrid w:val="0"/>
              <w:spacing w:line="340" w:lineRule="exact"/>
              <w:jc w:val="center"/>
              <w:rPr>
                <w:rFonts w:hint="eastAsia" w:ascii="宋体" w:hAnsi="宋体"/>
                <w:color w:val="000000"/>
                <w:kern w:val="0"/>
                <w:szCs w:val="21"/>
                <w:lang w:val="en-US" w:eastAsia="zh-CN"/>
              </w:rPr>
            </w:pPr>
            <w:r>
              <w:rPr>
                <w:rFonts w:hint="eastAsia" w:ascii="宋体" w:hAnsi="宋体" w:eastAsia="宋体" w:cs="宋体"/>
                <w:b w:val="0"/>
                <w:bCs/>
                <w:i w:val="0"/>
                <w:iCs w:val="0"/>
                <w:color w:val="000000"/>
                <w:kern w:val="0"/>
                <w:sz w:val="22"/>
                <w:szCs w:val="22"/>
                <w:lang w:val="en-US" w:eastAsia="zh-CN"/>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三碘甲状腺原氨酸</w:t>
            </w:r>
          </w:p>
        </w:tc>
        <w:tc>
          <w:tcPr>
            <w:tcW w:w="4835" w:type="dxa"/>
            <w:vMerge w:val="restart"/>
            <w:noWrap w:val="0"/>
            <w:vAlign w:val="center"/>
          </w:tcPr>
          <w:p>
            <w:pPr>
              <w:spacing w:line="400" w:lineRule="exact"/>
              <w:rPr>
                <w:rFonts w:hint="eastAsia" w:ascii="宋体" w:hAnsi="宋体"/>
                <w:color w:val="000000"/>
                <w:szCs w:val="21"/>
              </w:rPr>
            </w:pPr>
            <w:r>
              <w:rPr>
                <w:rFonts w:hint="eastAsia" w:ascii="宋体" w:hAnsi="宋体" w:eastAsia="新宋体"/>
                <w:spacing w:val="-10"/>
                <w:szCs w:val="18"/>
                <w:lang w:eastAsia="zh-CN"/>
              </w:rPr>
              <w:t>了解目前有无甲状腺功能改变及甲状腺病变的具体类型、病变程度等。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甲状腺素</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促甲状腺素</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restart"/>
            <w:noWrap w:val="0"/>
            <w:vAlign w:val="center"/>
          </w:tcPr>
          <w:p>
            <w:pPr>
              <w:widowControl/>
              <w:snapToGrid w:val="0"/>
              <w:spacing w:line="360" w:lineRule="exact"/>
              <w:jc w:val="center"/>
              <w:rPr>
                <w:rFonts w:hint="eastAsia" w:ascii="宋体" w:hAnsi="宋体"/>
                <w:b/>
                <w:color w:val="auto"/>
                <w:szCs w:val="21"/>
              </w:rPr>
            </w:pPr>
            <w:r>
              <w:rPr>
                <w:rFonts w:hint="eastAsia" w:ascii="宋体" w:hAnsi="宋体"/>
                <w:color w:val="auto"/>
                <w:szCs w:val="21"/>
              </w:rPr>
              <w:t>肿瘤筛查</w:t>
            </w:r>
          </w:p>
        </w:tc>
        <w:tc>
          <w:tcPr>
            <w:tcW w:w="625" w:type="dxa"/>
            <w:noWrap w:val="0"/>
            <w:vAlign w:val="center"/>
          </w:tcPr>
          <w:p>
            <w:pPr>
              <w:autoSpaceDN w:val="0"/>
              <w:snapToGrid w:val="0"/>
              <w:spacing w:line="300" w:lineRule="exact"/>
              <w:ind w:firstLine="210" w:firstLineChars="100"/>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甲胎蛋白(AFP)</w:t>
            </w:r>
            <w:r>
              <w:rPr>
                <w:rFonts w:hint="eastAsia" w:ascii="宋体" w:hAnsi="宋体"/>
                <w:b w:val="0"/>
                <w:bCs/>
                <w:color w:val="auto"/>
                <w:sz w:val="24"/>
                <w:lang w:val="en-US" w:eastAsia="zh-CN"/>
              </w:rPr>
              <w:t>（男、未婚女）</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原发性肝癌筛查。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color w:val="auto"/>
                <w:szCs w:val="21"/>
              </w:rPr>
            </w:pPr>
          </w:p>
        </w:tc>
        <w:tc>
          <w:tcPr>
            <w:tcW w:w="625" w:type="dxa"/>
            <w:noWrap w:val="0"/>
            <w:vAlign w:val="center"/>
          </w:tcPr>
          <w:p>
            <w:pPr>
              <w:widowControl/>
              <w:snapToGrid w:val="0"/>
              <w:spacing w:line="300" w:lineRule="exact"/>
              <w:jc w:val="center"/>
              <w:rPr>
                <w:rFonts w:hint="eastAsia" w:ascii="宋体" w:hAnsi="宋体"/>
                <w:color w:val="auto"/>
                <w:kern w:val="0"/>
                <w:szCs w:val="21"/>
                <w:lang w:val="en-US" w:eastAsia="zh-CN"/>
              </w:rPr>
            </w:pPr>
            <w:r>
              <w:rPr>
                <w:rFonts w:hint="eastAsia" w:ascii="宋体" w:hAnsi="宋体"/>
                <w:color w:val="auto"/>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auto"/>
                <w:szCs w:val="21"/>
              </w:rPr>
            </w:pPr>
            <w:r>
              <w:rPr>
                <w:rFonts w:hint="eastAsia" w:ascii="宋体" w:hAnsi="宋体"/>
                <w:color w:val="auto"/>
                <w:szCs w:val="21"/>
              </w:rPr>
              <w:t>癌胚抗原(CEA)</w:t>
            </w:r>
            <w:r>
              <w:rPr>
                <w:rFonts w:hint="eastAsia" w:ascii="宋体" w:hAnsi="宋体"/>
                <w:b w:val="0"/>
                <w:bCs/>
                <w:color w:val="auto"/>
                <w:sz w:val="24"/>
                <w:lang w:val="en-US" w:eastAsia="zh-CN"/>
              </w:rPr>
              <w:t>（男）</w:t>
            </w:r>
          </w:p>
        </w:tc>
        <w:tc>
          <w:tcPr>
            <w:tcW w:w="4835" w:type="dxa"/>
            <w:noWrap w:val="0"/>
            <w:vAlign w:val="center"/>
          </w:tcPr>
          <w:p>
            <w:pPr>
              <w:rPr>
                <w:rFonts w:hint="eastAsia" w:ascii="宋体" w:hAnsi="宋体"/>
                <w:color w:val="auto"/>
                <w:szCs w:val="21"/>
              </w:rPr>
            </w:pPr>
            <w:r>
              <w:rPr>
                <w:rFonts w:hint="eastAsia" w:ascii="宋体" w:hAnsi="宋体" w:eastAsia="新宋体"/>
                <w:color w:val="auto"/>
                <w:spacing w:val="-10"/>
                <w:szCs w:val="18"/>
              </w:rPr>
              <w:t>消化系统及泌尿系统肿瘤筛查。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color w:val="auto"/>
                <w:szCs w:val="21"/>
              </w:rPr>
            </w:pPr>
          </w:p>
        </w:tc>
        <w:tc>
          <w:tcPr>
            <w:tcW w:w="625" w:type="dxa"/>
            <w:noWrap w:val="0"/>
            <w:vAlign w:val="center"/>
          </w:tcPr>
          <w:p>
            <w:pPr>
              <w:widowControl/>
              <w:snapToGrid w:val="0"/>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3</w:t>
            </w:r>
          </w:p>
        </w:tc>
        <w:tc>
          <w:tcPr>
            <w:tcW w:w="2970" w:type="dxa"/>
            <w:noWrap w:val="0"/>
            <w:vAlign w:val="center"/>
          </w:tcPr>
          <w:p>
            <w:pPr>
              <w:autoSpaceDN w:val="0"/>
              <w:snapToGrid w:val="0"/>
              <w:spacing w:line="300" w:lineRule="exact"/>
              <w:textAlignment w:val="bottom"/>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血清铁蛋白测定</w:t>
            </w:r>
            <w:r>
              <w:rPr>
                <w:rFonts w:hint="eastAsia" w:ascii="宋体" w:hAnsi="宋体"/>
                <w:b w:val="0"/>
                <w:bCs/>
                <w:color w:val="auto"/>
                <w:sz w:val="24"/>
                <w:lang w:val="en-US" w:eastAsia="zh-CN"/>
              </w:rPr>
              <w:t>（男）</w:t>
            </w:r>
          </w:p>
        </w:tc>
        <w:tc>
          <w:tcPr>
            <w:tcW w:w="4835" w:type="dxa"/>
            <w:noWrap w:val="0"/>
            <w:vAlign w:val="center"/>
          </w:tcPr>
          <w:p>
            <w:pPr>
              <w:autoSpaceDN w:val="0"/>
              <w:snapToGrid w:val="0"/>
              <w:spacing w:line="300" w:lineRule="exact"/>
              <w:textAlignment w:val="bottom"/>
              <w:rPr>
                <w:rFonts w:hint="eastAsia" w:ascii="宋体" w:hAnsi="宋体" w:eastAsia="宋体" w:cs="Times New Roman"/>
                <w:color w:val="auto"/>
                <w:szCs w:val="21"/>
              </w:rPr>
            </w:pPr>
            <w:r>
              <w:rPr>
                <w:rFonts w:hint="eastAsia" w:ascii="宋体" w:hAnsi="宋体" w:eastAsia="宋体" w:cs="Times New Roman"/>
                <w:color w:val="auto"/>
                <w:szCs w:val="21"/>
              </w:rPr>
              <w:t>肝癌、贫血的筛查，早期预警或辅助诊断。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color w:val="auto"/>
                <w:szCs w:val="21"/>
              </w:rPr>
            </w:pPr>
          </w:p>
        </w:tc>
        <w:tc>
          <w:tcPr>
            <w:tcW w:w="625" w:type="dxa"/>
            <w:noWrap w:val="0"/>
            <w:vAlign w:val="center"/>
          </w:tcPr>
          <w:p>
            <w:pPr>
              <w:widowControl/>
              <w:snapToGrid w:val="0"/>
              <w:spacing w:line="30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4</w:t>
            </w:r>
          </w:p>
        </w:tc>
        <w:tc>
          <w:tcPr>
            <w:tcW w:w="2970" w:type="dxa"/>
            <w:noWrap w:val="0"/>
            <w:vAlign w:val="center"/>
          </w:tcPr>
          <w:p>
            <w:pPr>
              <w:adjustRightInd w:val="0"/>
              <w:snapToGrid w:val="0"/>
              <w:spacing w:line="400" w:lineRule="exact"/>
              <w:jc w:val="center"/>
              <w:rPr>
                <w:rFonts w:hint="eastAsia" w:ascii="宋体" w:hAnsi="宋体" w:eastAsia="新宋体"/>
                <w:color w:val="auto"/>
                <w:spacing w:val="-10"/>
                <w:kern w:val="2"/>
                <w:sz w:val="18"/>
                <w:szCs w:val="18"/>
                <w:lang w:val="en-US" w:eastAsia="zh-CN" w:bidi="ar-SA"/>
              </w:rPr>
            </w:pPr>
            <w:r>
              <w:rPr>
                <w:rFonts w:hint="eastAsia" w:ascii="宋体" w:hAnsi="宋体" w:eastAsia="宋体" w:cs="Times New Roman"/>
                <w:color w:val="auto"/>
                <w:szCs w:val="21"/>
              </w:rPr>
              <w:t>总前列腺特异抗原(TPSA)</w:t>
            </w:r>
            <w:r>
              <w:rPr>
                <w:rFonts w:hint="eastAsia" w:ascii="宋体" w:hAnsi="宋体" w:eastAsia="宋体" w:cs="Times New Roman"/>
                <w:color w:val="auto"/>
                <w:szCs w:val="21"/>
                <w:lang w:eastAsia="zh-CN"/>
              </w:rPr>
              <w:t>（男）</w:t>
            </w:r>
          </w:p>
        </w:tc>
        <w:tc>
          <w:tcPr>
            <w:tcW w:w="4835" w:type="dxa"/>
            <w:noWrap w:val="0"/>
            <w:vAlign w:val="center"/>
          </w:tcPr>
          <w:p>
            <w:pPr>
              <w:adjustRightInd w:val="0"/>
              <w:snapToGrid w:val="0"/>
              <w:spacing w:line="400" w:lineRule="exact"/>
              <w:rPr>
                <w:rFonts w:hint="eastAsia" w:ascii="宋体" w:hAnsi="宋体" w:eastAsia="新宋体"/>
                <w:color w:val="auto"/>
                <w:spacing w:val="-10"/>
                <w:kern w:val="2"/>
                <w:sz w:val="21"/>
                <w:szCs w:val="18"/>
                <w:lang w:val="en-US" w:eastAsia="zh-CN" w:bidi="ar-SA"/>
              </w:rPr>
            </w:pPr>
            <w:r>
              <w:rPr>
                <w:rFonts w:hint="eastAsia" w:ascii="宋体" w:hAnsi="宋体" w:eastAsia="新宋体"/>
                <w:color w:val="auto"/>
                <w:spacing w:val="-10"/>
                <w:szCs w:val="18"/>
              </w:rPr>
              <w:t>前列腺炎症、前列腺良/恶性病变等筛查，早期预警或辅助诊断。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color w:val="auto"/>
                <w:szCs w:val="21"/>
              </w:rPr>
            </w:pPr>
          </w:p>
        </w:tc>
        <w:tc>
          <w:tcPr>
            <w:tcW w:w="625" w:type="dxa"/>
            <w:noWrap w:val="0"/>
            <w:vAlign w:val="center"/>
          </w:tcPr>
          <w:p>
            <w:pPr>
              <w:widowControl/>
              <w:snapToGrid w:val="0"/>
              <w:spacing w:line="30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5</w:t>
            </w:r>
          </w:p>
        </w:tc>
        <w:tc>
          <w:tcPr>
            <w:tcW w:w="2970" w:type="dxa"/>
            <w:noWrap w:val="0"/>
            <w:vAlign w:val="center"/>
          </w:tcPr>
          <w:p>
            <w:pPr>
              <w:adjustRightInd w:val="0"/>
              <w:snapToGrid w:val="0"/>
              <w:spacing w:line="400" w:lineRule="exact"/>
              <w:rPr>
                <w:rFonts w:hint="eastAsia" w:ascii="宋体" w:hAnsi="宋体" w:eastAsia="新宋体"/>
                <w:color w:val="auto"/>
                <w:spacing w:val="-10"/>
                <w:kern w:val="2"/>
                <w:sz w:val="18"/>
                <w:szCs w:val="18"/>
                <w:lang w:val="en-US" w:eastAsia="zh-CN" w:bidi="ar-SA"/>
              </w:rPr>
            </w:pPr>
            <w:r>
              <w:rPr>
                <w:rFonts w:hint="eastAsia" w:ascii="宋体" w:hAnsi="宋体" w:eastAsia="宋体" w:cs="Times New Roman"/>
                <w:b w:val="0"/>
                <w:bCs/>
                <w:color w:val="auto"/>
                <w:sz w:val="24"/>
                <w:lang w:val="en-US" w:eastAsia="zh-CN"/>
              </w:rPr>
              <w:t>糖类抗原(CA 153）</w:t>
            </w:r>
            <w:r>
              <w:rPr>
                <w:rFonts w:hint="eastAsia" w:ascii="宋体" w:hAnsi="宋体"/>
                <w:b w:val="0"/>
                <w:bCs/>
                <w:color w:val="auto"/>
                <w:sz w:val="24"/>
                <w:lang w:val="en-US" w:eastAsia="zh-CN"/>
              </w:rPr>
              <w:t>（未婚女）</w:t>
            </w:r>
          </w:p>
        </w:tc>
        <w:tc>
          <w:tcPr>
            <w:tcW w:w="4835" w:type="dxa"/>
            <w:noWrap w:val="0"/>
            <w:vAlign w:val="center"/>
          </w:tcPr>
          <w:p>
            <w:pPr>
              <w:autoSpaceDN w:val="0"/>
              <w:snapToGrid w:val="0"/>
              <w:spacing w:line="300" w:lineRule="exact"/>
              <w:textAlignment w:val="bottom"/>
              <w:rPr>
                <w:rFonts w:hint="eastAsia" w:ascii="宋体" w:hAnsi="宋体" w:eastAsia="宋体" w:cs="Times New Roman"/>
                <w:color w:val="auto"/>
                <w:szCs w:val="21"/>
              </w:rPr>
            </w:pPr>
            <w:r>
              <w:rPr>
                <w:rFonts w:hint="eastAsia" w:ascii="宋体" w:hAnsi="宋体" w:eastAsia="新宋体"/>
                <w:color w:val="auto"/>
                <w:spacing w:val="-10"/>
                <w:szCs w:val="18"/>
              </w:rPr>
              <w:t>乳腺癌的筛查，早期预警或辅助诊断。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0" w:type="dxa"/>
            <w:noWrap w:val="0"/>
            <w:vAlign w:val="center"/>
          </w:tcPr>
          <w:p>
            <w:pPr>
              <w:widowControl/>
              <w:snapToGrid w:val="0"/>
              <w:spacing w:line="300" w:lineRule="exact"/>
              <w:jc w:val="center"/>
              <w:rPr>
                <w:rFonts w:hint="eastAsia" w:ascii="宋体" w:hAnsi="宋体"/>
                <w:b/>
                <w:color w:val="auto"/>
                <w:szCs w:val="21"/>
                <w:lang w:eastAsia="zh-CN"/>
              </w:rPr>
            </w:pPr>
            <w:r>
              <w:rPr>
                <w:rFonts w:hint="eastAsia" w:ascii="宋体" w:hAnsi="宋体"/>
                <w:b/>
                <w:color w:val="auto"/>
                <w:szCs w:val="21"/>
                <w:lang w:eastAsia="zh-CN"/>
              </w:rPr>
              <w:t>糖尿病</w:t>
            </w:r>
          </w:p>
          <w:p>
            <w:pPr>
              <w:widowControl/>
              <w:snapToGrid w:val="0"/>
              <w:spacing w:line="300" w:lineRule="exact"/>
              <w:jc w:val="center"/>
              <w:rPr>
                <w:rFonts w:hint="eastAsia" w:ascii="宋体" w:hAnsi="宋体"/>
                <w:b/>
                <w:color w:val="auto"/>
                <w:szCs w:val="21"/>
              </w:rPr>
            </w:pPr>
            <w:r>
              <w:rPr>
                <w:rFonts w:hint="eastAsia" w:ascii="宋体" w:hAnsi="宋体"/>
                <w:b/>
                <w:color w:val="auto"/>
                <w:szCs w:val="21"/>
                <w:lang w:eastAsia="zh-CN"/>
              </w:rPr>
              <w:t>早期</w:t>
            </w:r>
            <w:r>
              <w:rPr>
                <w:rFonts w:hint="eastAsia" w:ascii="宋体" w:hAnsi="宋体"/>
                <w:b/>
                <w:color w:val="auto"/>
                <w:szCs w:val="21"/>
              </w:rPr>
              <w:t>筛查</w:t>
            </w:r>
          </w:p>
        </w:tc>
        <w:tc>
          <w:tcPr>
            <w:tcW w:w="625" w:type="dxa"/>
            <w:noWrap w:val="0"/>
            <w:vAlign w:val="center"/>
          </w:tcPr>
          <w:p>
            <w:pPr>
              <w:widowControl/>
              <w:snapToGrid w:val="0"/>
              <w:spacing w:line="300" w:lineRule="exact"/>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color w:val="auto"/>
                <w:szCs w:val="21"/>
                <w:lang w:eastAsia="zh-CN"/>
              </w:rPr>
            </w:pPr>
            <w:r>
              <w:rPr>
                <w:rFonts w:hint="eastAsia" w:ascii="宋体" w:hAnsi="宋体" w:eastAsia="新宋体"/>
                <w:color w:val="auto"/>
                <w:spacing w:val="-10"/>
                <w:szCs w:val="18"/>
              </w:rPr>
              <w:t>糖化血红蛋白</w:t>
            </w:r>
          </w:p>
        </w:tc>
        <w:tc>
          <w:tcPr>
            <w:tcW w:w="4835" w:type="dxa"/>
            <w:noWrap w:val="0"/>
            <w:vAlign w:val="center"/>
          </w:tcPr>
          <w:p>
            <w:pPr>
              <w:autoSpaceDN w:val="0"/>
              <w:snapToGrid w:val="0"/>
              <w:spacing w:line="300" w:lineRule="auto"/>
              <w:textAlignment w:val="bottom"/>
              <w:rPr>
                <w:rFonts w:hint="eastAsia" w:ascii="宋体" w:hAnsi="宋体"/>
                <w:color w:val="auto"/>
                <w:szCs w:val="21"/>
                <w:lang w:eastAsia="zh-CN"/>
              </w:rPr>
            </w:pPr>
            <w:r>
              <w:rPr>
                <w:rFonts w:hint="eastAsia" w:ascii="宋体" w:hAnsi="宋体" w:eastAsia="新宋体"/>
                <w:color w:val="auto"/>
                <w:spacing w:val="-10"/>
                <w:szCs w:val="18"/>
              </w:rPr>
              <w:t>反映近2-3个月血糖平均水平。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幽门螺旋杆菌检测</w:t>
            </w:r>
          </w:p>
        </w:tc>
        <w:tc>
          <w:tcPr>
            <w:tcW w:w="625" w:type="dxa"/>
            <w:noWrap w:val="0"/>
            <w:vAlign w:val="center"/>
          </w:tcPr>
          <w:p>
            <w:pPr>
              <w:autoSpaceDN w:val="0"/>
              <w:snapToGrid w:val="0"/>
              <w:spacing w:line="300" w:lineRule="exact"/>
              <w:ind w:firstLine="210" w:firstLineChars="100"/>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 xml:space="preserve"> C14尿素呼气试验</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了解有无幽门螺旋杆菌的感染。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特殊检查</w:t>
            </w:r>
          </w:p>
        </w:tc>
        <w:tc>
          <w:tcPr>
            <w:tcW w:w="625" w:type="dxa"/>
            <w:noWrap w:val="0"/>
            <w:vAlign w:val="center"/>
          </w:tcPr>
          <w:p>
            <w:pPr>
              <w:autoSpaceDN w:val="0"/>
              <w:snapToGrid w:val="0"/>
              <w:spacing w:line="300" w:lineRule="exact"/>
              <w:ind w:firstLine="210" w:firstLineChars="100"/>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肝纤维化扫描</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了解肝脏纤维化程度，早期肝硬化筛查。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noWrap w:val="0"/>
            <w:vAlign w:val="center"/>
          </w:tcPr>
          <w:p>
            <w:pPr>
              <w:autoSpaceDN w:val="0"/>
              <w:spacing w:line="300" w:lineRule="exact"/>
              <w:textAlignment w:val="center"/>
              <w:rPr>
                <w:rFonts w:hint="eastAsia" w:ascii="宋体" w:hAnsi="宋体"/>
                <w:b/>
                <w:color w:val="auto"/>
              </w:rPr>
            </w:pPr>
          </w:p>
          <w:p>
            <w:pPr>
              <w:autoSpaceDN w:val="0"/>
              <w:spacing w:line="300" w:lineRule="exact"/>
              <w:textAlignment w:val="center"/>
              <w:rPr>
                <w:rFonts w:hint="eastAsia" w:ascii="宋体" w:hAnsi="宋体"/>
                <w:b/>
                <w:color w:val="auto"/>
              </w:rPr>
            </w:pPr>
            <w:r>
              <w:rPr>
                <w:rFonts w:hint="eastAsia" w:ascii="宋体" w:hAnsi="宋体"/>
                <w:b/>
                <w:color w:val="auto"/>
              </w:rPr>
              <w:t>放射</w:t>
            </w:r>
            <w:r>
              <w:rPr>
                <w:rFonts w:hint="eastAsia" w:ascii="宋体" w:hAnsi="宋体"/>
                <w:b/>
                <w:color w:val="auto"/>
                <w:lang w:eastAsia="zh-CN"/>
              </w:rPr>
              <w:t>检查</w:t>
            </w:r>
          </w:p>
          <w:p>
            <w:pPr>
              <w:widowControl/>
              <w:snapToGrid w:val="0"/>
              <w:spacing w:line="300" w:lineRule="exact"/>
              <w:rPr>
                <w:rFonts w:hint="eastAsia" w:ascii="宋体" w:hAnsi="宋体"/>
                <w:b/>
                <w:color w:val="auto"/>
              </w:rPr>
            </w:pPr>
          </w:p>
        </w:tc>
        <w:tc>
          <w:tcPr>
            <w:tcW w:w="625" w:type="dxa"/>
            <w:noWrap w:val="0"/>
            <w:vAlign w:val="center"/>
          </w:tcPr>
          <w:p>
            <w:pPr>
              <w:widowControl/>
              <w:snapToGrid w:val="0"/>
              <w:spacing w:line="300" w:lineRule="exact"/>
              <w:jc w:val="center"/>
              <w:rPr>
                <w:rFonts w:hint="eastAsia" w:ascii="宋体" w:hAnsi="宋体"/>
                <w:color w:val="auto"/>
                <w:kern w:val="0"/>
                <w:szCs w:val="21"/>
              </w:rPr>
            </w:pPr>
            <w:r>
              <w:rPr>
                <w:rFonts w:hint="eastAsia" w:ascii="宋体" w:hAnsi="宋体"/>
                <w:color w:val="auto"/>
                <w:kern w:val="0"/>
                <w:szCs w:val="21"/>
              </w:rPr>
              <w:t>1</w:t>
            </w:r>
          </w:p>
        </w:tc>
        <w:tc>
          <w:tcPr>
            <w:tcW w:w="2970" w:type="dxa"/>
            <w:noWrap w:val="0"/>
            <w:vAlign w:val="center"/>
          </w:tcPr>
          <w:p>
            <w:pPr>
              <w:autoSpaceDN w:val="0"/>
              <w:snapToGrid w:val="0"/>
              <w:spacing w:line="300" w:lineRule="exact"/>
              <w:textAlignment w:val="bottom"/>
              <w:rPr>
                <w:rFonts w:hint="eastAsia" w:ascii="宋体" w:hAnsi="宋体" w:eastAsia="宋体"/>
                <w:color w:val="auto"/>
                <w:szCs w:val="21"/>
                <w:lang w:eastAsia="zh-CN"/>
              </w:rPr>
            </w:pPr>
            <w:r>
              <w:rPr>
                <w:rFonts w:hint="eastAsia" w:ascii="宋体" w:hAnsi="宋体" w:eastAsia="宋体"/>
                <w:color w:val="auto"/>
                <w:szCs w:val="21"/>
                <w:lang w:val="en-US" w:eastAsia="zh-CN"/>
              </w:rPr>
              <w:t xml:space="preserve"> </w:t>
            </w:r>
            <w:r>
              <w:rPr>
                <w:rFonts w:hint="eastAsia" w:ascii="宋体" w:hAnsi="宋体" w:eastAsia="宋体"/>
                <w:color w:val="auto"/>
                <w:szCs w:val="21"/>
                <w:lang w:eastAsia="zh-CN"/>
              </w:rPr>
              <w:t>胸部正位片</w:t>
            </w:r>
          </w:p>
        </w:tc>
        <w:tc>
          <w:tcPr>
            <w:tcW w:w="4835" w:type="dxa"/>
            <w:noWrap w:val="0"/>
            <w:vAlign w:val="center"/>
          </w:tcPr>
          <w:p>
            <w:pPr>
              <w:spacing w:line="400" w:lineRule="exact"/>
              <w:rPr>
                <w:rFonts w:hint="eastAsia" w:ascii="宋体" w:hAnsi="宋体"/>
                <w:color w:val="auto"/>
                <w:sz w:val="24"/>
              </w:rPr>
            </w:pPr>
            <w:r>
              <w:rPr>
                <w:rFonts w:hint="eastAsia" w:ascii="宋体" w:hAnsi="宋体"/>
                <w:color w:val="auto"/>
                <w:szCs w:val="21"/>
              </w:rPr>
              <w:t>了解有无肺部、胸廓、纵膈等部位的疾病。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80" w:type="dxa"/>
            <w:noWrap w:val="0"/>
            <w:vAlign w:val="center"/>
          </w:tcPr>
          <w:p>
            <w:pPr>
              <w:autoSpaceDN w:val="0"/>
              <w:snapToGrid w:val="0"/>
              <w:spacing w:line="360" w:lineRule="exact"/>
              <w:jc w:val="center"/>
              <w:textAlignment w:val="center"/>
              <w:rPr>
                <w:rFonts w:hint="eastAsia" w:ascii="宋体" w:hAnsi="宋体"/>
                <w:b/>
                <w:color w:val="auto"/>
                <w:szCs w:val="21"/>
              </w:rPr>
            </w:pPr>
            <w:r>
              <w:rPr>
                <w:rFonts w:hint="eastAsia" w:ascii="宋体" w:hAnsi="宋体"/>
                <w:b/>
                <w:color w:val="auto"/>
                <w:szCs w:val="21"/>
              </w:rPr>
              <w:t>心电图</w:t>
            </w:r>
          </w:p>
        </w:tc>
        <w:tc>
          <w:tcPr>
            <w:tcW w:w="625" w:type="dxa"/>
            <w:noWrap w:val="0"/>
            <w:vAlign w:val="center"/>
          </w:tcPr>
          <w:p>
            <w:pPr>
              <w:autoSpaceDN w:val="0"/>
              <w:snapToGrid w:val="0"/>
              <w:spacing w:line="360" w:lineRule="exact"/>
              <w:textAlignment w:val="bottom"/>
              <w:rPr>
                <w:rFonts w:hint="eastAsia" w:ascii="宋体" w:hAnsi="宋体"/>
                <w:color w:val="auto"/>
                <w:szCs w:val="21"/>
                <w:lang w:val="en-US" w:eastAsia="zh-CN"/>
              </w:rPr>
            </w:pPr>
            <w:r>
              <w:rPr>
                <w:rFonts w:hint="eastAsia" w:ascii="宋体" w:hAnsi="宋体"/>
                <w:color w:val="auto"/>
                <w:szCs w:val="21"/>
                <w:lang w:val="en-US" w:eastAsia="zh-CN"/>
              </w:rPr>
              <w:t xml:space="preserve">  1</w:t>
            </w:r>
          </w:p>
        </w:tc>
        <w:tc>
          <w:tcPr>
            <w:tcW w:w="2970" w:type="dxa"/>
            <w:noWrap w:val="0"/>
            <w:vAlign w:val="center"/>
          </w:tcPr>
          <w:p>
            <w:pPr>
              <w:autoSpaceDN w:val="0"/>
              <w:snapToGrid w:val="0"/>
              <w:spacing w:line="360" w:lineRule="exact"/>
              <w:jc w:val="both"/>
              <w:textAlignment w:val="bottom"/>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12导联心电图</w:t>
            </w:r>
          </w:p>
        </w:tc>
        <w:tc>
          <w:tcPr>
            <w:tcW w:w="4835" w:type="dxa"/>
            <w:noWrap w:val="0"/>
            <w:vAlign w:val="center"/>
          </w:tcPr>
          <w:p>
            <w:pPr>
              <w:autoSpaceDN w:val="0"/>
              <w:snapToGrid w:val="0"/>
              <w:textAlignment w:val="bottom"/>
              <w:rPr>
                <w:rFonts w:hint="eastAsia" w:ascii="宋体" w:hAnsi="宋体"/>
                <w:color w:val="auto"/>
                <w:szCs w:val="21"/>
              </w:rPr>
            </w:pPr>
            <w:r>
              <w:rPr>
                <w:rFonts w:hint="eastAsia" w:ascii="宋体" w:hAnsi="宋体"/>
                <w:color w:val="auto"/>
                <w:szCs w:val="21"/>
              </w:rPr>
              <w:t>了解心律不齐、心肌梗塞、心肌缺血、心率过缓/过速、心室电压增高等心脏疾病。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vMerge w:val="restart"/>
            <w:noWrap w:val="0"/>
            <w:vAlign w:val="center"/>
          </w:tcPr>
          <w:p>
            <w:pPr>
              <w:autoSpaceDN w:val="0"/>
              <w:snapToGrid w:val="0"/>
              <w:spacing w:line="360" w:lineRule="exact"/>
              <w:jc w:val="center"/>
              <w:textAlignment w:val="center"/>
              <w:rPr>
                <w:rFonts w:hint="eastAsia" w:ascii="宋体" w:hAnsi="宋体"/>
                <w:b/>
                <w:color w:val="auto"/>
                <w:szCs w:val="21"/>
              </w:rPr>
            </w:pPr>
          </w:p>
          <w:p>
            <w:pPr>
              <w:autoSpaceDN w:val="0"/>
              <w:snapToGrid w:val="0"/>
              <w:spacing w:line="360" w:lineRule="exact"/>
              <w:jc w:val="center"/>
              <w:textAlignment w:val="center"/>
              <w:rPr>
                <w:rFonts w:hint="eastAsia" w:ascii="宋体" w:hAnsi="宋体"/>
                <w:b/>
                <w:color w:val="auto"/>
                <w:szCs w:val="21"/>
              </w:rPr>
            </w:pPr>
          </w:p>
          <w:p>
            <w:pPr>
              <w:autoSpaceDN w:val="0"/>
              <w:snapToGrid w:val="0"/>
              <w:spacing w:line="360" w:lineRule="exact"/>
              <w:jc w:val="center"/>
              <w:textAlignment w:val="center"/>
              <w:rPr>
                <w:rFonts w:hint="eastAsia" w:ascii="宋体" w:hAnsi="宋体"/>
                <w:b/>
                <w:color w:val="auto"/>
                <w:szCs w:val="21"/>
              </w:rPr>
            </w:pPr>
            <w:r>
              <w:rPr>
                <w:rFonts w:hint="eastAsia" w:ascii="宋体" w:hAnsi="宋体"/>
                <w:b/>
                <w:color w:val="auto"/>
                <w:szCs w:val="21"/>
              </w:rPr>
              <w:t>超声</w:t>
            </w:r>
          </w:p>
          <w:p>
            <w:pPr>
              <w:autoSpaceDN w:val="0"/>
              <w:snapToGrid w:val="0"/>
              <w:spacing w:line="360" w:lineRule="exact"/>
              <w:jc w:val="center"/>
              <w:textAlignment w:val="center"/>
              <w:rPr>
                <w:rFonts w:hint="eastAsia" w:ascii="宋体" w:hAnsi="宋体"/>
                <w:b/>
                <w:color w:val="auto"/>
                <w:szCs w:val="21"/>
              </w:rPr>
            </w:pPr>
            <w:r>
              <w:rPr>
                <w:rFonts w:hint="eastAsia" w:ascii="宋体" w:hAnsi="宋体"/>
                <w:b/>
                <w:color w:val="auto"/>
                <w:szCs w:val="21"/>
              </w:rPr>
              <w:t>检查</w:t>
            </w: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1</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rPr>
              <w:t>肝、胆、脾、胰、双肾</w:t>
            </w:r>
          </w:p>
        </w:tc>
        <w:tc>
          <w:tcPr>
            <w:tcW w:w="4835" w:type="dxa"/>
            <w:noWrap w:val="0"/>
            <w:vAlign w:val="top"/>
          </w:tcPr>
          <w:p>
            <w:pPr>
              <w:rPr>
                <w:rFonts w:ascii="宋体" w:hAnsi="宋体"/>
                <w:color w:val="auto"/>
                <w:szCs w:val="21"/>
              </w:rPr>
            </w:pPr>
            <w:r>
              <w:rPr>
                <w:rFonts w:hint="eastAsia" w:ascii="宋体" w:hAnsi="宋体"/>
                <w:color w:val="auto"/>
                <w:szCs w:val="21"/>
              </w:rPr>
              <w:t>了解肝硬化、肝囊肿、肝癌、肝脓肿、肝血管瘤、肝脂肪、胆囊结石、胆囊息肉、胰腺癌、脾肿大等疾病情况。通过肾了解有否肾结石、肾肿瘤。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auto"/>
                <w:szCs w:val="21"/>
              </w:rPr>
            </w:pP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2</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rPr>
              <w:t>甲状腺</w:t>
            </w:r>
          </w:p>
        </w:tc>
        <w:tc>
          <w:tcPr>
            <w:tcW w:w="4835" w:type="dxa"/>
            <w:noWrap w:val="0"/>
            <w:vAlign w:val="center"/>
          </w:tcPr>
          <w:p>
            <w:pPr>
              <w:rPr>
                <w:rFonts w:hint="eastAsia" w:ascii="宋体" w:hAnsi="宋体"/>
                <w:color w:val="auto"/>
                <w:szCs w:val="21"/>
              </w:rPr>
            </w:pPr>
            <w:r>
              <w:rPr>
                <w:rFonts w:hint="eastAsia" w:ascii="宋体" w:hAnsi="宋体"/>
                <w:color w:val="auto"/>
                <w:szCs w:val="21"/>
              </w:rPr>
              <w:t>了解有无甲状腺结节、囊肿、良/恶性占位等疾病。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auto"/>
                <w:szCs w:val="21"/>
              </w:rPr>
            </w:pP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3</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rPr>
              <w:t>男：前列腺、膀胱</w:t>
            </w:r>
          </w:p>
        </w:tc>
        <w:tc>
          <w:tcPr>
            <w:tcW w:w="4835" w:type="dxa"/>
            <w:noWrap w:val="0"/>
            <w:vAlign w:val="center"/>
          </w:tcPr>
          <w:p>
            <w:pPr>
              <w:rPr>
                <w:rFonts w:ascii="宋体" w:hAnsi="宋体"/>
                <w:color w:val="auto"/>
                <w:szCs w:val="21"/>
              </w:rPr>
            </w:pPr>
            <w:r>
              <w:rPr>
                <w:rFonts w:hint="eastAsia" w:ascii="宋体" w:hAnsi="宋体"/>
                <w:color w:val="auto"/>
                <w:szCs w:val="21"/>
              </w:rPr>
              <w:t>了解前列腺增大、增生、钙化、结石、占位等疾病。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auto"/>
                <w:szCs w:val="21"/>
              </w:rPr>
            </w:pP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4</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lang w:eastAsia="zh-CN"/>
              </w:rPr>
              <w:t>已婚</w:t>
            </w:r>
            <w:r>
              <w:rPr>
                <w:rFonts w:hint="eastAsia" w:ascii="宋体" w:hAnsi="宋体"/>
                <w:color w:val="auto"/>
                <w:szCs w:val="21"/>
              </w:rPr>
              <w:t>女：阴道B超</w:t>
            </w:r>
          </w:p>
          <w:p>
            <w:pPr>
              <w:autoSpaceDN w:val="0"/>
              <w:spacing w:line="300" w:lineRule="exact"/>
              <w:ind w:firstLine="105" w:firstLineChars="50"/>
              <w:textAlignment w:val="bottom"/>
              <w:rPr>
                <w:rFonts w:hint="eastAsia" w:ascii="宋体" w:hAnsi="宋体" w:eastAsia="宋体"/>
                <w:color w:val="auto"/>
                <w:szCs w:val="21"/>
                <w:lang w:eastAsia="zh-CN"/>
              </w:rPr>
            </w:pPr>
            <w:r>
              <w:rPr>
                <w:rFonts w:hint="eastAsia" w:ascii="宋体" w:hAnsi="宋体"/>
                <w:color w:val="auto"/>
                <w:szCs w:val="21"/>
                <w:lang w:eastAsia="zh-CN"/>
              </w:rPr>
              <w:t>未婚女：子宫、附件</w:t>
            </w:r>
            <w:r>
              <w:rPr>
                <w:rFonts w:hint="eastAsia" w:ascii="宋体" w:hAnsi="宋体"/>
                <w:color w:val="auto"/>
                <w:szCs w:val="21"/>
                <w:lang w:val="en-US" w:eastAsia="zh-CN"/>
              </w:rPr>
              <w:t>B</w:t>
            </w:r>
            <w:r>
              <w:rPr>
                <w:rFonts w:hint="eastAsia" w:ascii="宋体" w:hAnsi="宋体"/>
                <w:color w:val="auto"/>
                <w:szCs w:val="21"/>
                <w:lang w:eastAsia="zh-CN"/>
              </w:rPr>
              <w:t>超</w:t>
            </w:r>
          </w:p>
        </w:tc>
        <w:tc>
          <w:tcPr>
            <w:tcW w:w="4835" w:type="dxa"/>
            <w:noWrap w:val="0"/>
            <w:vAlign w:val="top"/>
          </w:tcPr>
          <w:p>
            <w:pPr>
              <w:rPr>
                <w:rFonts w:hint="eastAsia" w:ascii="宋体" w:hAnsi="宋体"/>
                <w:color w:val="auto"/>
                <w:szCs w:val="21"/>
              </w:rPr>
            </w:pPr>
          </w:p>
          <w:p>
            <w:pPr>
              <w:rPr>
                <w:rFonts w:ascii="宋体" w:hAnsi="宋体"/>
                <w:color w:val="auto"/>
                <w:szCs w:val="21"/>
              </w:rPr>
            </w:pPr>
            <w:r>
              <w:rPr>
                <w:rFonts w:hint="eastAsia" w:ascii="宋体" w:hAnsi="宋体"/>
                <w:color w:val="auto"/>
                <w:szCs w:val="21"/>
              </w:rPr>
              <w:t>了解子宫肌瘤，宫颈癌，卵巢肿物、盆腔炎</w:t>
            </w:r>
            <w:r>
              <w:rPr>
                <w:rFonts w:hint="eastAsia" w:ascii="宋体" w:hAnsi="宋体"/>
                <w:color w:val="auto"/>
                <w:szCs w:val="21"/>
                <w:lang w:eastAsia="zh-CN"/>
              </w:rPr>
              <w:t>等疾病</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auto"/>
                <w:szCs w:val="21"/>
              </w:rPr>
            </w:pP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5</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rPr>
              <w:t>女：乳腺彩超</w:t>
            </w:r>
          </w:p>
        </w:tc>
        <w:tc>
          <w:tcPr>
            <w:tcW w:w="4835" w:type="dxa"/>
            <w:noWrap w:val="0"/>
            <w:vAlign w:val="top"/>
          </w:tcPr>
          <w:p>
            <w:pPr>
              <w:rPr>
                <w:rFonts w:hint="eastAsia" w:ascii="宋体" w:hAnsi="宋体"/>
                <w:color w:val="auto"/>
                <w:szCs w:val="21"/>
              </w:rPr>
            </w:pPr>
            <w:r>
              <w:rPr>
                <w:rFonts w:hint="eastAsia" w:ascii="宋体" w:hAnsi="宋体"/>
                <w:color w:val="auto"/>
                <w:szCs w:val="21"/>
              </w:rPr>
              <w:t>排除乳腺增生、乳腺结节、乳腺纤维瘤、乳腺癌等疾病。乳房组织病变诊断。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妇科检查</w:t>
            </w:r>
          </w:p>
        </w:tc>
        <w:tc>
          <w:tcPr>
            <w:tcW w:w="625" w:type="dxa"/>
            <w:noWrap w:val="0"/>
            <w:vAlign w:val="center"/>
          </w:tcPr>
          <w:p>
            <w:pPr>
              <w:autoSpaceDN w:val="0"/>
              <w:snapToGrid w:val="0"/>
              <w:spacing w:line="300" w:lineRule="exact"/>
              <w:ind w:firstLine="210" w:firstLineChars="100"/>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已婚：妇科TCT检查</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妇查（子宫肌瘤、卵巢囊肿、阴道炎）；宫颈防癌普查（宫颈炎、宫颈癌）；白带常规（查滴虫、霉菌）。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75" w:type="dxa"/>
            <w:gridSpan w:val="3"/>
            <w:noWrap w:val="0"/>
            <w:vAlign w:val="center"/>
          </w:tcPr>
          <w:p>
            <w:pPr>
              <w:autoSpaceDN w:val="0"/>
              <w:snapToGrid w:val="0"/>
              <w:spacing w:line="300" w:lineRule="auto"/>
              <w:textAlignment w:val="bottom"/>
              <w:rPr>
                <w:rFonts w:hint="eastAsia" w:ascii="宋体" w:hAnsi="宋体"/>
                <w:b/>
                <w:color w:val="auto"/>
                <w:sz w:val="24"/>
                <w:lang w:val="en-US" w:eastAsia="zh-CN"/>
              </w:rPr>
            </w:pPr>
            <w:r>
              <w:rPr>
                <w:rFonts w:hint="eastAsia" w:ascii="宋体" w:hAnsi="宋体"/>
                <w:b/>
                <w:color w:val="auto"/>
                <w:sz w:val="24"/>
                <w:lang w:val="en-US" w:eastAsia="zh-CN"/>
              </w:rPr>
              <w:t>建议可自费增加项目：</w:t>
            </w:r>
          </w:p>
        </w:tc>
        <w:tc>
          <w:tcPr>
            <w:tcW w:w="4835" w:type="dxa"/>
            <w:noWrap w:val="0"/>
            <w:vAlign w:val="center"/>
          </w:tcPr>
          <w:p>
            <w:pPr>
              <w:autoSpaceDN w:val="0"/>
              <w:snapToGrid w:val="0"/>
              <w:spacing w:line="300" w:lineRule="auto"/>
              <w:textAlignment w:val="bottom"/>
              <w:rPr>
                <w:rFonts w:hint="eastAsia" w:ascii="宋体" w:hAnsi="宋体"/>
                <w:b/>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restart"/>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rPr>
              <w:t>心</w:t>
            </w:r>
            <w:r>
              <w:rPr>
                <w:rFonts w:hint="eastAsia" w:ascii="宋体" w:hAnsi="宋体"/>
                <w:b w:val="0"/>
                <w:bCs w:val="0"/>
                <w:color w:val="auto"/>
                <w:szCs w:val="21"/>
                <w:lang w:eastAsia="zh-CN"/>
              </w:rPr>
              <w:t>脑血管</w:t>
            </w:r>
            <w:r>
              <w:rPr>
                <w:rFonts w:hint="eastAsia" w:ascii="宋体" w:hAnsi="宋体"/>
                <w:b w:val="0"/>
                <w:bCs w:val="0"/>
                <w:color w:val="auto"/>
                <w:szCs w:val="21"/>
              </w:rPr>
              <w:t>功能检查</w:t>
            </w:r>
          </w:p>
        </w:tc>
        <w:tc>
          <w:tcPr>
            <w:tcW w:w="625" w:type="dxa"/>
            <w:noWrap w:val="0"/>
            <w:vAlign w:val="center"/>
          </w:tcPr>
          <w:p>
            <w:pPr>
              <w:autoSpaceDN w:val="0"/>
              <w:snapToGrid w:val="0"/>
              <w:spacing w:line="300" w:lineRule="auto"/>
              <w:textAlignment w:val="bottom"/>
              <w:rPr>
                <w:rFonts w:hint="default" w:ascii="宋体" w:hAnsi="宋体"/>
                <w:b/>
                <w:bCs/>
                <w:color w:val="auto"/>
                <w:szCs w:val="21"/>
                <w:lang w:val="en-US" w:eastAsia="zh-CN"/>
              </w:rPr>
            </w:pPr>
            <w:r>
              <w:rPr>
                <w:rFonts w:hint="eastAsia" w:ascii="宋体" w:hAnsi="宋体"/>
                <w:b/>
                <w:bCs/>
                <w:color w:val="auto"/>
                <w:szCs w:val="21"/>
                <w:lang w:val="en-US" w:eastAsia="zh-CN"/>
              </w:rPr>
              <w:t xml:space="preserve"> </w:t>
            </w:r>
            <w:r>
              <w:rPr>
                <w:rFonts w:hint="eastAsia" w:ascii="宋体" w:hAnsi="宋体" w:eastAsia="宋体" w:cs="Times New Roman"/>
                <w:b w:val="0"/>
                <w:bCs w:val="0"/>
                <w:color w:val="auto"/>
                <w:szCs w:val="21"/>
                <w:lang w:val="en-US" w:eastAsia="zh-CN"/>
              </w:rPr>
              <w:t>1</w:t>
            </w:r>
          </w:p>
        </w:tc>
        <w:tc>
          <w:tcPr>
            <w:tcW w:w="2970" w:type="dxa"/>
            <w:noWrap w:val="0"/>
            <w:vAlign w:val="center"/>
          </w:tcPr>
          <w:p>
            <w:pPr>
              <w:widowControl/>
              <w:snapToGrid w:val="0"/>
              <w:spacing w:line="360" w:lineRule="exact"/>
              <w:jc w:val="center"/>
              <w:rPr>
                <w:rFonts w:hint="eastAsia" w:ascii="宋体" w:hAnsi="宋体"/>
                <w:b/>
                <w:color w:val="auto"/>
                <w:sz w:val="24"/>
                <w:lang w:val="en-US" w:eastAsia="zh-CN"/>
              </w:rPr>
            </w:pPr>
            <w:r>
              <w:rPr>
                <w:rFonts w:hint="eastAsia" w:ascii="宋体" w:hAnsi="宋体" w:eastAsia="新宋体" w:cs="Times New Roman"/>
                <w:color w:val="auto"/>
                <w:spacing w:val="-10"/>
                <w:sz w:val="18"/>
                <w:szCs w:val="18"/>
                <w:lang w:eastAsia="zh-CN"/>
              </w:rPr>
              <w:t>颈部血管彩超</w:t>
            </w:r>
          </w:p>
        </w:tc>
        <w:tc>
          <w:tcPr>
            <w:tcW w:w="4835" w:type="dxa"/>
            <w:noWrap w:val="0"/>
            <w:vAlign w:val="center"/>
          </w:tcPr>
          <w:p>
            <w:pPr>
              <w:widowControl/>
              <w:snapToGrid w:val="0"/>
              <w:spacing w:line="360" w:lineRule="exact"/>
              <w:jc w:val="both"/>
              <w:rPr>
                <w:rFonts w:hint="eastAsia" w:ascii="宋体" w:hAnsi="宋体"/>
                <w:b/>
                <w:color w:val="auto"/>
                <w:sz w:val="24"/>
                <w:lang w:val="en-US" w:eastAsia="zh-CN"/>
              </w:rPr>
            </w:pPr>
            <w:r>
              <w:rPr>
                <w:rFonts w:hint="eastAsia" w:ascii="宋体" w:hAnsi="宋体" w:eastAsia="新宋体"/>
                <w:color w:val="auto"/>
                <w:spacing w:val="-10"/>
                <w:szCs w:val="18"/>
              </w:rPr>
              <w:t>了解有无颈部血管内膜增厚、斑块、狭窄等。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p>
        </w:tc>
        <w:tc>
          <w:tcPr>
            <w:tcW w:w="625" w:type="dxa"/>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lang w:val="en-US" w:eastAsia="zh-CN"/>
              </w:rPr>
              <w:t>2</w:t>
            </w:r>
          </w:p>
        </w:tc>
        <w:tc>
          <w:tcPr>
            <w:tcW w:w="2970" w:type="dxa"/>
            <w:noWrap w:val="0"/>
            <w:vAlign w:val="center"/>
          </w:tcPr>
          <w:p>
            <w:pPr>
              <w:adjustRightInd w:val="0"/>
              <w:snapToGrid w:val="0"/>
              <w:spacing w:line="400" w:lineRule="exact"/>
              <w:jc w:val="center"/>
              <w:rPr>
                <w:rFonts w:hint="eastAsia" w:ascii="宋体" w:hAnsi="宋体" w:eastAsia="新宋体" w:cs="Times New Roman"/>
                <w:color w:val="auto"/>
                <w:spacing w:val="-10"/>
                <w:kern w:val="2"/>
                <w:sz w:val="18"/>
                <w:szCs w:val="18"/>
                <w:lang w:val="en-US" w:eastAsia="zh-CN" w:bidi="ar-SA"/>
              </w:rPr>
            </w:pPr>
            <w:r>
              <w:rPr>
                <w:rFonts w:hint="eastAsia" w:ascii="宋体" w:hAnsi="宋体" w:eastAsia="新宋体" w:cs="Times New Roman"/>
                <w:color w:val="auto"/>
                <w:spacing w:val="-10"/>
                <w:sz w:val="18"/>
                <w:szCs w:val="18"/>
                <w:lang w:val="en-US" w:eastAsia="zh-CN"/>
              </w:rPr>
              <w:t>心脏彩超</w:t>
            </w:r>
          </w:p>
        </w:tc>
        <w:tc>
          <w:tcPr>
            <w:tcW w:w="4835" w:type="dxa"/>
            <w:noWrap w:val="0"/>
            <w:vAlign w:val="center"/>
          </w:tcPr>
          <w:p>
            <w:pPr>
              <w:autoSpaceDN w:val="0"/>
              <w:snapToGrid w:val="0"/>
              <w:spacing w:line="300" w:lineRule="auto"/>
              <w:textAlignment w:val="bottom"/>
              <w:rPr>
                <w:rFonts w:hint="eastAsia" w:ascii="宋体" w:hAnsi="宋体"/>
                <w:b/>
                <w:color w:val="auto"/>
                <w:kern w:val="2"/>
                <w:sz w:val="24"/>
                <w:szCs w:val="24"/>
                <w:lang w:val="en-US" w:eastAsia="zh-CN" w:bidi="ar-SA"/>
              </w:rPr>
            </w:pPr>
            <w:r>
              <w:rPr>
                <w:rFonts w:hint="eastAsia" w:ascii="宋体" w:hAnsi="宋体" w:eastAsia="新宋体"/>
                <w:color w:val="auto"/>
                <w:spacing w:val="-10"/>
                <w:szCs w:val="18"/>
              </w:rPr>
              <w:t>了解心脏结构，评价心功能。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auto"/>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color w:val="auto"/>
                <w:spacing w:val="-10"/>
                <w:kern w:val="2"/>
                <w:sz w:val="18"/>
                <w:szCs w:val="18"/>
                <w:lang w:val="en-US" w:eastAsia="zh-CN" w:bidi="ar-SA"/>
              </w:rPr>
            </w:pPr>
            <w:r>
              <w:rPr>
                <w:rFonts w:hint="eastAsia" w:ascii="宋体" w:hAnsi="宋体" w:eastAsia="新宋体"/>
                <w:color w:val="auto"/>
                <w:spacing w:val="-10"/>
                <w:kern w:val="2"/>
                <w:sz w:val="18"/>
                <w:szCs w:val="18"/>
                <w:lang w:val="en-US" w:eastAsia="zh-CN" w:bidi="ar-SA"/>
              </w:rPr>
              <w:t>3</w:t>
            </w:r>
          </w:p>
        </w:tc>
        <w:tc>
          <w:tcPr>
            <w:tcW w:w="2970" w:type="dxa"/>
            <w:noWrap w:val="0"/>
            <w:vAlign w:val="center"/>
          </w:tcPr>
          <w:p>
            <w:pPr>
              <w:adjustRightInd w:val="0"/>
              <w:snapToGrid w:val="0"/>
              <w:spacing w:line="400" w:lineRule="exact"/>
              <w:jc w:val="center"/>
              <w:rPr>
                <w:rFonts w:hint="eastAsia" w:ascii="宋体" w:hAnsi="宋体" w:eastAsia="新宋体" w:cs="Times New Roman"/>
                <w:color w:val="auto"/>
                <w:spacing w:val="-10"/>
                <w:kern w:val="2"/>
                <w:sz w:val="18"/>
                <w:szCs w:val="18"/>
                <w:lang w:val="en-US" w:eastAsia="zh-CN" w:bidi="ar-SA"/>
              </w:rPr>
            </w:pPr>
            <w:r>
              <w:rPr>
                <w:rFonts w:hint="eastAsia" w:ascii="宋体" w:hAnsi="宋体" w:eastAsia="新宋体" w:cs="Times New Roman"/>
                <w:color w:val="auto"/>
                <w:spacing w:val="-10"/>
                <w:sz w:val="18"/>
                <w:szCs w:val="18"/>
              </w:rPr>
              <w:t>四肢多普勒血流图检查</w:t>
            </w:r>
          </w:p>
        </w:tc>
        <w:tc>
          <w:tcPr>
            <w:tcW w:w="4835" w:type="dxa"/>
            <w:noWrap w:val="0"/>
            <w:vAlign w:val="center"/>
          </w:tcPr>
          <w:p>
            <w:pPr>
              <w:tabs>
                <w:tab w:val="left" w:pos="886"/>
              </w:tabs>
              <w:adjustRightInd w:val="0"/>
              <w:snapToGrid w:val="0"/>
              <w:spacing w:line="240" w:lineRule="exact"/>
              <w:rPr>
                <w:rFonts w:hint="eastAsia" w:ascii="宋体" w:hAnsi="宋体" w:eastAsia="新宋体"/>
                <w:color w:val="auto"/>
                <w:spacing w:val="-10"/>
                <w:kern w:val="2"/>
                <w:sz w:val="21"/>
                <w:szCs w:val="18"/>
                <w:lang w:val="en-US" w:eastAsia="zh-CN" w:bidi="ar-SA"/>
              </w:rPr>
            </w:pPr>
            <w:r>
              <w:rPr>
                <w:rFonts w:hint="eastAsia" w:ascii="宋体" w:hAnsi="宋体" w:eastAsia="新宋体"/>
                <w:color w:val="auto"/>
                <w:spacing w:val="-10"/>
                <w:szCs w:val="18"/>
              </w:rPr>
              <w:t>对四肢血管弹性、硬化程度及动脉管腔的阻塞程度进行综合评估。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auto"/>
                <w:sz w:val="24"/>
                <w:lang w:eastAsia="zh-CN"/>
              </w:rPr>
            </w:pPr>
          </w:p>
        </w:tc>
        <w:tc>
          <w:tcPr>
            <w:tcW w:w="625" w:type="dxa"/>
            <w:noWrap w:val="0"/>
            <w:vAlign w:val="center"/>
          </w:tcPr>
          <w:p>
            <w:pPr>
              <w:adjustRightInd w:val="0"/>
              <w:snapToGrid w:val="0"/>
              <w:spacing w:line="400" w:lineRule="exact"/>
              <w:ind w:firstLine="160" w:firstLineChars="100"/>
              <w:rPr>
                <w:rFonts w:hint="default" w:ascii="宋体" w:hAnsi="宋体" w:eastAsia="新宋体"/>
                <w:color w:val="auto"/>
                <w:spacing w:val="-10"/>
                <w:kern w:val="2"/>
                <w:sz w:val="18"/>
                <w:szCs w:val="18"/>
                <w:lang w:val="en-US" w:eastAsia="zh-CN" w:bidi="ar-SA"/>
              </w:rPr>
            </w:pPr>
            <w:r>
              <w:rPr>
                <w:rFonts w:hint="eastAsia" w:ascii="宋体" w:hAnsi="宋体" w:eastAsia="新宋体"/>
                <w:color w:val="auto"/>
                <w:spacing w:val="-10"/>
                <w:kern w:val="2"/>
                <w:sz w:val="18"/>
                <w:szCs w:val="18"/>
                <w:lang w:val="en-US" w:eastAsia="zh-CN" w:bidi="ar-SA"/>
              </w:rPr>
              <w:t>4</w:t>
            </w:r>
          </w:p>
        </w:tc>
        <w:tc>
          <w:tcPr>
            <w:tcW w:w="2970" w:type="dxa"/>
            <w:noWrap w:val="0"/>
            <w:vAlign w:val="center"/>
          </w:tcPr>
          <w:p>
            <w:pPr>
              <w:adjustRightInd w:val="0"/>
              <w:snapToGrid w:val="0"/>
              <w:spacing w:line="400" w:lineRule="exact"/>
              <w:jc w:val="center"/>
              <w:rPr>
                <w:rFonts w:hint="eastAsia" w:ascii="宋体" w:hAnsi="宋体" w:eastAsia="新宋体" w:cs="Times New Roman"/>
                <w:color w:val="auto"/>
                <w:spacing w:val="-10"/>
                <w:sz w:val="18"/>
                <w:szCs w:val="18"/>
                <w:lang w:val="en-US" w:eastAsia="zh-CN"/>
              </w:rPr>
            </w:pPr>
            <w:r>
              <w:rPr>
                <w:rFonts w:hint="eastAsia" w:ascii="宋体" w:hAnsi="宋体" w:eastAsia="新宋体" w:cs="Times New Roman"/>
                <w:color w:val="auto"/>
                <w:spacing w:val="-10"/>
                <w:sz w:val="18"/>
                <w:szCs w:val="18"/>
                <w:lang w:val="en-US" w:eastAsia="zh-CN"/>
              </w:rPr>
              <w:t>颅内段血管彩色多普勒超声</w:t>
            </w:r>
          </w:p>
        </w:tc>
        <w:tc>
          <w:tcPr>
            <w:tcW w:w="4835" w:type="dxa"/>
            <w:noWrap w:val="0"/>
            <w:vAlign w:val="center"/>
          </w:tcPr>
          <w:p>
            <w:pPr>
              <w:adjustRightInd w:val="0"/>
              <w:snapToGrid w:val="0"/>
              <w:spacing w:line="400" w:lineRule="exact"/>
              <w:jc w:val="center"/>
              <w:rPr>
                <w:rFonts w:hint="eastAsia" w:ascii="宋体" w:hAnsi="宋体" w:eastAsia="新宋体" w:cs="Times New Roman"/>
                <w:color w:val="auto"/>
                <w:spacing w:val="-10"/>
                <w:sz w:val="18"/>
                <w:szCs w:val="18"/>
                <w:lang w:val="en-US" w:eastAsia="zh-CN"/>
              </w:rPr>
            </w:pPr>
            <w:r>
              <w:rPr>
                <w:rFonts w:hint="eastAsia" w:ascii="宋体" w:hAnsi="宋体" w:eastAsia="新宋体" w:cs="Times New Roman"/>
                <w:color w:val="auto"/>
                <w:spacing w:val="-10"/>
                <w:sz w:val="18"/>
                <w:szCs w:val="18"/>
                <w:lang w:val="en-US" w:eastAsia="zh-CN"/>
              </w:rPr>
              <w:t>通过检测颈动脉血流流速、血管弹性及血管阻力，评估脑血管功能，进行脑卒中风险筛查。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restart"/>
            <w:noWrap w:val="0"/>
            <w:vAlign w:val="center"/>
          </w:tcPr>
          <w:p>
            <w:pPr>
              <w:widowControl/>
              <w:snapToGrid w:val="0"/>
              <w:spacing w:line="360" w:lineRule="exact"/>
              <w:jc w:val="both"/>
              <w:rPr>
                <w:rFonts w:hint="eastAsia" w:ascii="宋体" w:hAnsi="宋体" w:eastAsia="新宋体"/>
                <w:spacing w:val="-10"/>
                <w:kern w:val="2"/>
                <w:sz w:val="21"/>
                <w:szCs w:val="18"/>
                <w:lang w:val="en-US" w:eastAsia="zh-CN" w:bidi="ar-SA"/>
              </w:rPr>
            </w:pPr>
            <w:r>
              <w:rPr>
                <w:rFonts w:hint="eastAsia" w:ascii="宋体" w:hAnsi="宋体" w:eastAsia="新宋体"/>
                <w:spacing w:val="-10"/>
                <w:szCs w:val="18"/>
                <w:lang w:eastAsia="zh-CN"/>
              </w:rPr>
              <w:t>肿瘤血液筛查</w:t>
            </w: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1</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癌胚抗原(CEA)</w:t>
            </w:r>
            <w:r>
              <w:rPr>
                <w:rFonts w:hint="eastAsia" w:ascii="宋体" w:hAnsi="宋体" w:eastAsia="新宋体"/>
                <w:spacing w:val="-10"/>
                <w:sz w:val="18"/>
                <w:szCs w:val="18"/>
                <w:lang w:eastAsia="zh-CN"/>
              </w:rPr>
              <w:t>（女）</w:t>
            </w:r>
          </w:p>
        </w:tc>
        <w:tc>
          <w:tcPr>
            <w:tcW w:w="4835" w:type="dxa"/>
            <w:noWrap w:val="0"/>
            <w:vAlign w:val="center"/>
          </w:tcPr>
          <w:p>
            <w:pPr>
              <w:adjustRightInd w:val="0"/>
              <w:snapToGrid w:val="0"/>
              <w:spacing w:line="400" w:lineRule="exact"/>
              <w:rPr>
                <w:rFonts w:hint="eastAsia" w:ascii="宋体" w:hAnsi="宋体" w:eastAsia="新宋体"/>
                <w:spacing w:val="-10"/>
                <w:szCs w:val="18"/>
                <w:lang w:val="en-US" w:eastAsia="zh-CN"/>
              </w:rPr>
            </w:pPr>
            <w:r>
              <w:rPr>
                <w:rFonts w:hint="eastAsia" w:ascii="宋体" w:hAnsi="宋体" w:eastAsia="新宋体"/>
                <w:spacing w:val="-10"/>
                <w:szCs w:val="18"/>
              </w:rPr>
              <w:t>消化系统肿瘤筛查，早期预警或辅助诊断。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2</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125)</w:t>
            </w:r>
            <w:r>
              <w:rPr>
                <w:rFonts w:hint="eastAsia" w:ascii="宋体" w:hAnsi="宋体" w:eastAsia="新宋体"/>
                <w:spacing w:val="-10"/>
                <w:sz w:val="18"/>
                <w:szCs w:val="18"/>
                <w:lang w:eastAsia="zh-CN"/>
              </w:rPr>
              <w:t>（女）</w:t>
            </w:r>
          </w:p>
        </w:tc>
        <w:tc>
          <w:tcPr>
            <w:tcW w:w="4835"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卵巢肿瘤筛查，早期预警或辅助诊断。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3</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甲胎蛋白(AFP)（已婚女）</w:t>
            </w:r>
          </w:p>
        </w:tc>
        <w:tc>
          <w:tcPr>
            <w:tcW w:w="4835" w:type="dxa"/>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原发性肝癌筛查。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4</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153）</w:t>
            </w:r>
            <w:r>
              <w:rPr>
                <w:rFonts w:hint="eastAsia" w:ascii="宋体" w:hAnsi="宋体" w:eastAsia="新宋体"/>
                <w:spacing w:val="-10"/>
                <w:sz w:val="18"/>
                <w:szCs w:val="18"/>
                <w:lang w:eastAsia="zh-CN"/>
              </w:rPr>
              <w:t>（已婚女）</w:t>
            </w:r>
          </w:p>
        </w:tc>
        <w:tc>
          <w:tcPr>
            <w:tcW w:w="4835"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乳腺癌的筛查，早期预警或辅助诊断。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5</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199）</w:t>
            </w:r>
          </w:p>
        </w:tc>
        <w:tc>
          <w:tcPr>
            <w:tcW w:w="4835"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胰腺癌，胃、结直肠癌的筛查，早期预警或辅助诊断。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noWrap w:val="0"/>
            <w:vAlign w:val="center"/>
          </w:tcPr>
          <w:p>
            <w:pPr>
              <w:widowControl/>
              <w:snapToGrid w:val="0"/>
              <w:spacing w:line="360" w:lineRule="exact"/>
              <w:jc w:val="both"/>
              <w:rPr>
                <w:rFonts w:hint="eastAsia" w:ascii="宋体" w:hAnsi="宋体" w:eastAsia="宋体"/>
                <w:b w:val="0"/>
                <w:bCs w:val="0"/>
                <w:color w:val="auto"/>
                <w:kern w:val="2"/>
                <w:sz w:val="21"/>
                <w:szCs w:val="21"/>
                <w:lang w:val="en-US" w:eastAsia="zh-CN" w:bidi="ar-SA"/>
              </w:rPr>
            </w:pPr>
            <w:r>
              <w:rPr>
                <w:rFonts w:hint="eastAsia" w:ascii="宋体" w:hAnsi="宋体"/>
                <w:b w:val="0"/>
                <w:bCs w:val="0"/>
                <w:color w:val="auto"/>
                <w:szCs w:val="21"/>
                <w:lang w:eastAsia="zh-CN"/>
              </w:rPr>
              <w:t>妇科检查</w:t>
            </w: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lang w:val="en-US" w:eastAsia="zh-CN"/>
              </w:rPr>
              <w:t>1</w:t>
            </w:r>
          </w:p>
        </w:tc>
        <w:tc>
          <w:tcPr>
            <w:tcW w:w="2970" w:type="dxa"/>
            <w:noWrap w:val="0"/>
            <w:vAlign w:val="center"/>
          </w:tcPr>
          <w:p>
            <w:pPr>
              <w:adjustRightInd w:val="0"/>
              <w:snapToGrid w:val="0"/>
              <w:spacing w:line="240" w:lineRule="exact"/>
              <w:jc w:val="left"/>
              <w:rPr>
                <w:rFonts w:hint="eastAsia" w:ascii="宋体" w:hAnsi="宋体" w:eastAsia="新宋体"/>
                <w:spacing w:val="-10"/>
                <w:kern w:val="2"/>
                <w:sz w:val="21"/>
                <w:szCs w:val="18"/>
                <w:lang w:val="en-US" w:eastAsia="zh-CN" w:bidi="ar-SA"/>
              </w:rPr>
            </w:pPr>
            <w:r>
              <w:rPr>
                <w:rFonts w:hint="eastAsia" w:ascii="宋体" w:hAnsi="宋体" w:eastAsia="新宋体"/>
                <w:spacing w:val="-10"/>
                <w:sz w:val="18"/>
                <w:szCs w:val="18"/>
              </w:rPr>
              <w:t>人乳头瘤状病毒DNA(妇科HPV)</w:t>
            </w:r>
            <w:r>
              <w:rPr>
                <w:rFonts w:hint="eastAsia" w:ascii="宋体" w:hAnsi="宋体" w:eastAsia="新宋体"/>
                <w:spacing w:val="-10"/>
                <w:sz w:val="18"/>
                <w:szCs w:val="18"/>
                <w:lang w:eastAsia="zh-CN"/>
              </w:rPr>
              <w:t>（已婚女）</w:t>
            </w:r>
          </w:p>
        </w:tc>
        <w:tc>
          <w:tcPr>
            <w:tcW w:w="4835" w:type="dxa"/>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确定有无人乳头状瘤病毒感染及类型。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080" w:type="dxa"/>
            <w:noWrap w:val="0"/>
            <w:vAlign w:val="center"/>
          </w:tcPr>
          <w:p>
            <w:pPr>
              <w:jc w:val="center"/>
              <w:rPr>
                <w:rFonts w:hint="eastAsia" w:ascii="宋体" w:hAnsi="宋体"/>
                <w:b/>
                <w:sz w:val="24"/>
              </w:rPr>
            </w:pPr>
            <w:r>
              <w:rPr>
                <w:rFonts w:hint="eastAsia" w:ascii="宋体" w:hAnsi="宋体"/>
                <w:b/>
                <w:sz w:val="24"/>
              </w:rPr>
              <w:t>体</w:t>
            </w:r>
          </w:p>
          <w:p>
            <w:pPr>
              <w:jc w:val="center"/>
              <w:rPr>
                <w:rFonts w:hint="eastAsia" w:ascii="宋体" w:hAnsi="宋体"/>
                <w:b/>
                <w:sz w:val="24"/>
              </w:rPr>
            </w:pPr>
            <w:r>
              <w:rPr>
                <w:rFonts w:hint="eastAsia" w:ascii="宋体" w:hAnsi="宋体"/>
                <w:b/>
                <w:sz w:val="24"/>
              </w:rPr>
              <w:t>检</w:t>
            </w:r>
          </w:p>
          <w:p>
            <w:pPr>
              <w:jc w:val="center"/>
              <w:rPr>
                <w:rFonts w:hint="eastAsia" w:ascii="宋体" w:hAnsi="宋体"/>
                <w:b/>
                <w:sz w:val="24"/>
                <w:lang w:eastAsia="zh-CN"/>
              </w:rPr>
            </w:pPr>
            <w:r>
              <w:rPr>
                <w:rFonts w:hint="eastAsia" w:ascii="宋体" w:hAnsi="宋体"/>
                <w:b/>
                <w:sz w:val="24"/>
                <w:lang w:eastAsia="zh-CN"/>
              </w:rPr>
              <w:t>特</w:t>
            </w:r>
          </w:p>
          <w:p>
            <w:pPr>
              <w:jc w:val="center"/>
              <w:rPr>
                <w:rFonts w:hint="eastAsia" w:ascii="宋体" w:hAnsi="宋体" w:eastAsia="宋体"/>
                <w:b/>
                <w:sz w:val="24"/>
                <w:lang w:eastAsia="zh-CN"/>
              </w:rPr>
            </w:pPr>
            <w:r>
              <w:rPr>
                <w:rFonts w:hint="eastAsia" w:ascii="宋体" w:hAnsi="宋体"/>
                <w:b/>
                <w:sz w:val="24"/>
                <w:lang w:eastAsia="zh-CN"/>
              </w:rPr>
              <w:t>色</w:t>
            </w:r>
          </w:p>
          <w:p>
            <w:pPr>
              <w:jc w:val="center"/>
              <w:rPr>
                <w:rFonts w:hint="eastAsia" w:ascii="宋体" w:hAnsi="宋体"/>
                <w:b/>
                <w:sz w:val="24"/>
              </w:rPr>
            </w:pPr>
            <w:r>
              <w:rPr>
                <w:rFonts w:hint="eastAsia" w:ascii="宋体" w:hAnsi="宋体"/>
                <w:b/>
                <w:sz w:val="24"/>
              </w:rPr>
              <w:t>服</w:t>
            </w:r>
          </w:p>
          <w:p>
            <w:pPr>
              <w:autoSpaceDN w:val="0"/>
              <w:snapToGrid w:val="0"/>
              <w:spacing w:line="360" w:lineRule="exact"/>
              <w:jc w:val="center"/>
              <w:textAlignment w:val="center"/>
              <w:rPr>
                <w:rFonts w:hint="eastAsia" w:ascii="宋体" w:hAnsi="宋体"/>
                <w:b/>
                <w:szCs w:val="21"/>
              </w:rPr>
            </w:pPr>
            <w:r>
              <w:rPr>
                <w:rFonts w:hint="eastAsia" w:ascii="宋体" w:hAnsi="宋体"/>
                <w:b/>
                <w:sz w:val="24"/>
              </w:rPr>
              <w:t>务</w:t>
            </w:r>
          </w:p>
        </w:tc>
        <w:tc>
          <w:tcPr>
            <w:tcW w:w="8430" w:type="dxa"/>
            <w:gridSpan w:val="3"/>
            <w:noWrap w:val="0"/>
            <w:vAlign w:val="center"/>
          </w:tcPr>
          <w:p>
            <w:pPr>
              <w:spacing w:line="360" w:lineRule="auto"/>
              <w:rPr>
                <w:rFonts w:ascii="宋体" w:hAnsi="宋体"/>
                <w:sz w:val="24"/>
              </w:rPr>
            </w:pPr>
            <w:r>
              <w:rPr>
                <w:rFonts w:hint="eastAsia" w:ascii="宋体" w:hAnsi="宋体"/>
                <w:sz w:val="24"/>
              </w:rPr>
              <w:t>1、提供免费营养早餐；</w:t>
            </w:r>
          </w:p>
          <w:p>
            <w:pPr>
              <w:spacing w:line="360" w:lineRule="auto"/>
              <w:rPr>
                <w:rFonts w:hint="eastAsia" w:ascii="宋体" w:hAnsi="宋体"/>
                <w:sz w:val="24"/>
              </w:rPr>
            </w:pPr>
            <w:r>
              <w:rPr>
                <w:rFonts w:hint="eastAsia" w:ascii="宋体" w:hAnsi="宋体"/>
                <w:sz w:val="24"/>
              </w:rPr>
              <w:t>2、建立健康档案，并向单位提供电子版体检信息；</w:t>
            </w:r>
          </w:p>
          <w:p>
            <w:pPr>
              <w:spacing w:line="360" w:lineRule="auto"/>
              <w:rPr>
                <w:rFonts w:hint="eastAsia" w:ascii="宋体" w:hAnsi="宋体"/>
                <w:sz w:val="24"/>
              </w:rPr>
            </w:pPr>
            <w:r>
              <w:rPr>
                <w:rFonts w:hint="eastAsia" w:ascii="宋体" w:hAnsi="宋体"/>
                <w:sz w:val="24"/>
              </w:rPr>
              <w:t>3、实施体检后24-48小时重大疾病通报制度；</w:t>
            </w:r>
          </w:p>
          <w:p>
            <w:pPr>
              <w:spacing w:line="360" w:lineRule="auto"/>
              <w:rPr>
                <w:rFonts w:hint="eastAsia" w:ascii="宋体" w:hAnsi="宋体"/>
                <w:sz w:val="24"/>
              </w:rPr>
            </w:pPr>
            <w:r>
              <w:rPr>
                <w:rFonts w:hint="eastAsia" w:ascii="宋体" w:hAnsi="宋体"/>
                <w:sz w:val="24"/>
              </w:rPr>
              <w:t>4、开通就诊绿色通道，为检出患者预约挂号就诊；</w:t>
            </w:r>
          </w:p>
          <w:p>
            <w:pPr>
              <w:autoSpaceDN w:val="0"/>
              <w:snapToGrid w:val="0"/>
              <w:spacing w:line="360" w:lineRule="auto"/>
              <w:textAlignment w:val="bottom"/>
              <w:rPr>
                <w:rFonts w:hint="eastAsia" w:ascii="宋体" w:hAnsi="宋体"/>
                <w:sz w:val="24"/>
              </w:rPr>
            </w:pPr>
            <w:r>
              <w:rPr>
                <w:rFonts w:hint="eastAsia" w:ascii="宋体" w:hAnsi="宋体"/>
                <w:sz w:val="24"/>
              </w:rPr>
              <w:t>5、提供免费检后咨询及健康教育服务，针对团体体检的高发疾病、常见疾病开展健康讲座。</w:t>
            </w:r>
          </w:p>
        </w:tc>
      </w:tr>
    </w:tbl>
    <w:p>
      <w:pPr>
        <w:rPr>
          <w:rFonts w:hint="eastAsia"/>
          <w:b/>
          <w:sz w:val="28"/>
          <w:lang w:val="en-US" w:eastAsia="zh-CN"/>
        </w:rPr>
      </w:pPr>
      <w:r>
        <w:rPr>
          <w:rFonts w:hint="eastAsia"/>
          <w:b/>
          <w:sz w:val="28"/>
          <w:lang w:val="en-US" w:eastAsia="zh-CN"/>
        </w:rPr>
        <w:br w:type="page"/>
      </w:r>
    </w:p>
    <w:p>
      <w:pPr>
        <w:widowControl/>
        <w:snapToGrid w:val="0"/>
        <w:spacing w:line="216" w:lineRule="auto"/>
        <w:ind w:firstLine="1687" w:firstLineChars="600"/>
        <w:textAlignment w:val="baseline"/>
        <w:rPr>
          <w:rFonts w:hint="eastAsia" w:eastAsia="宋体"/>
          <w:b/>
          <w:sz w:val="28"/>
          <w:lang w:val="en-US" w:eastAsia="zh-CN"/>
        </w:rPr>
      </w:pPr>
      <w:r>
        <w:rPr>
          <w:rFonts w:hint="eastAsia"/>
          <w:b/>
          <w:sz w:val="28"/>
          <w:lang w:val="en-US" w:eastAsia="zh-CN"/>
        </w:rPr>
        <w:t xml:space="preserve"> 2025年度</w:t>
      </w:r>
      <w:r>
        <w:rPr>
          <w:rFonts w:hint="eastAsia"/>
          <w:b/>
          <w:sz w:val="28"/>
          <w:lang w:eastAsia="zh-CN"/>
        </w:rPr>
        <w:t>高新区(新市区)</w:t>
      </w:r>
      <w:r>
        <w:rPr>
          <w:rFonts w:hint="eastAsia"/>
          <w:b/>
          <w:sz w:val="28"/>
          <w:lang w:val="en-US" w:eastAsia="zh-CN"/>
        </w:rPr>
        <w:t>)政府干部职工</w:t>
      </w:r>
      <w:r>
        <w:rPr>
          <w:rFonts w:hint="eastAsia"/>
          <w:b/>
          <w:sz w:val="28"/>
        </w:rPr>
        <w:t>体检计划</w:t>
      </w:r>
      <w:r>
        <w:rPr>
          <w:rFonts w:hint="eastAsia"/>
          <w:b/>
          <w:sz w:val="28"/>
          <w:lang w:val="en-US" w:eastAsia="zh-CN"/>
        </w:rPr>
        <w:t>B</w:t>
      </w:r>
    </w:p>
    <w:tbl>
      <w:tblPr>
        <w:tblStyle w:val="47"/>
        <w:tblpPr w:leftFromText="180" w:rightFromText="180" w:vertAnchor="text" w:horzAnchor="page" w:tblpX="973" w:tblpY="91"/>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25"/>
        <w:gridCol w:w="2970"/>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80" w:type="dxa"/>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项目分类</w:t>
            </w:r>
          </w:p>
        </w:tc>
        <w:tc>
          <w:tcPr>
            <w:tcW w:w="3595" w:type="dxa"/>
            <w:gridSpan w:val="2"/>
            <w:noWrap w:val="0"/>
            <w:vAlign w:val="center"/>
          </w:tcPr>
          <w:p>
            <w:pPr>
              <w:autoSpaceDN w:val="0"/>
              <w:snapToGrid w:val="0"/>
              <w:spacing w:line="300" w:lineRule="exact"/>
              <w:ind w:left="-334" w:leftChars="-159"/>
              <w:jc w:val="center"/>
              <w:textAlignment w:val="bottom"/>
              <w:rPr>
                <w:rFonts w:hint="eastAsia" w:ascii="宋体" w:hAnsi="宋体"/>
                <w:b/>
                <w:snapToGrid w:val="0"/>
                <w:color w:val="000000"/>
                <w:szCs w:val="21"/>
              </w:rPr>
            </w:pPr>
            <w:r>
              <w:rPr>
                <w:rFonts w:hint="eastAsia" w:ascii="宋体" w:hAnsi="宋体"/>
                <w:b/>
                <w:snapToGrid w:val="0"/>
                <w:color w:val="000000"/>
                <w:szCs w:val="21"/>
              </w:rPr>
              <w:t>检查项目</w:t>
            </w:r>
          </w:p>
        </w:tc>
        <w:tc>
          <w:tcPr>
            <w:tcW w:w="4830" w:type="dxa"/>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80" w:type="dxa"/>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一般检查</w:t>
            </w:r>
          </w:p>
        </w:tc>
        <w:tc>
          <w:tcPr>
            <w:tcW w:w="3595" w:type="dxa"/>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身高、体重、血压、</w:t>
            </w:r>
          </w:p>
          <w:p>
            <w:pPr>
              <w:autoSpaceDN w:val="0"/>
              <w:snapToGrid w:val="0"/>
              <w:spacing w:line="300" w:lineRule="exact"/>
              <w:ind w:firstLine="735" w:firstLineChars="350"/>
              <w:textAlignment w:val="bottom"/>
              <w:rPr>
                <w:rFonts w:hint="eastAsia" w:ascii="宋体" w:hAnsi="宋体"/>
                <w:snapToGrid w:val="0"/>
                <w:color w:val="000000"/>
                <w:szCs w:val="21"/>
              </w:rPr>
            </w:pPr>
            <w:r>
              <w:rPr>
                <w:rFonts w:hint="eastAsia" w:ascii="宋体" w:hAnsi="宋体"/>
                <w:color w:val="000000"/>
                <w:szCs w:val="21"/>
              </w:rPr>
              <w:t>体重指数、臀围、</w:t>
            </w:r>
            <w:r>
              <w:rPr>
                <w:rFonts w:hint="eastAsia" w:ascii="宋体" w:hAnsi="宋体"/>
                <w:color w:val="000000"/>
                <w:szCs w:val="21"/>
                <w:lang w:eastAsia="zh-CN"/>
              </w:rPr>
              <w:t>腰</w:t>
            </w:r>
            <w:r>
              <w:rPr>
                <w:rFonts w:hint="eastAsia" w:ascii="宋体" w:hAnsi="宋体"/>
                <w:color w:val="000000"/>
                <w:szCs w:val="21"/>
              </w:rPr>
              <w:t>围</w:t>
            </w:r>
          </w:p>
        </w:tc>
        <w:tc>
          <w:tcPr>
            <w:tcW w:w="4830" w:type="dxa"/>
            <w:noWrap w:val="0"/>
            <w:vAlign w:val="center"/>
          </w:tcPr>
          <w:p>
            <w:pPr>
              <w:autoSpaceDN w:val="0"/>
              <w:snapToGrid w:val="0"/>
              <w:spacing w:line="300" w:lineRule="exact"/>
              <w:textAlignment w:val="bottom"/>
              <w:rPr>
                <w:rFonts w:hint="eastAsia" w:ascii="宋体" w:hAnsi="宋体"/>
                <w:b/>
                <w:snapToGrid w:val="0"/>
                <w:color w:val="000000"/>
                <w:szCs w:val="21"/>
              </w:rPr>
            </w:pPr>
            <w:r>
              <w:rPr>
                <w:rFonts w:hint="eastAsia" w:ascii="宋体" w:hAnsi="宋体"/>
                <w:color w:val="000000"/>
                <w:sz w:val="22"/>
                <w:szCs w:val="22"/>
              </w:rPr>
              <w:t>了解身高、体重、血压、</w:t>
            </w:r>
            <w:r>
              <w:rPr>
                <w:rFonts w:hint="eastAsia" w:ascii="宋体" w:hAnsi="宋体"/>
                <w:color w:val="000000"/>
                <w:szCs w:val="21"/>
              </w:rPr>
              <w:t>臀围、</w:t>
            </w:r>
            <w:r>
              <w:rPr>
                <w:rFonts w:hint="eastAsia" w:ascii="宋体" w:hAnsi="宋体"/>
                <w:color w:val="000000"/>
                <w:sz w:val="22"/>
                <w:szCs w:val="22"/>
              </w:rPr>
              <w:t>腹围等基本情况以及是否有体重超标等。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3595" w:type="dxa"/>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体检问卷</w:t>
            </w:r>
          </w:p>
        </w:tc>
        <w:tc>
          <w:tcPr>
            <w:tcW w:w="4830" w:type="dxa"/>
            <w:noWrap w:val="0"/>
            <w:vAlign w:val="center"/>
          </w:tcPr>
          <w:p>
            <w:pPr>
              <w:spacing w:line="240" w:lineRule="atLeast"/>
              <w:rPr>
                <w:rFonts w:hint="eastAsia" w:ascii="宋体" w:hAnsi="宋体"/>
                <w:b/>
                <w:color w:val="000000"/>
                <w:sz w:val="24"/>
              </w:rPr>
            </w:pPr>
            <w:r>
              <w:rPr>
                <w:rFonts w:hint="eastAsia" w:ascii="宋体" w:hAnsi="宋体"/>
                <w:snapToGrid w:val="0"/>
                <w:color w:val="000000"/>
                <w:szCs w:val="21"/>
              </w:rPr>
              <w:t>了解生活方式、个人史、家族史、健康体检史等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血</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规</w:t>
            </w:r>
          </w:p>
          <w:p>
            <w:pPr>
              <w:autoSpaceDN w:val="0"/>
              <w:snapToGrid w:val="0"/>
              <w:spacing w:line="30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白细胞（WBC）</w:t>
            </w:r>
          </w:p>
        </w:tc>
        <w:tc>
          <w:tcPr>
            <w:tcW w:w="4830" w:type="dxa"/>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szCs w:val="21"/>
              </w:rPr>
              <w:t>了解病毒或细菌感染，如面色苍白或皮下出血点应及时查一次，以便及早发现血液系统疾病（白血病、贫血、溶血、败血症及凝血功能）。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中性粒细胞百分比（NE%）</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淋巴细胞百分比（LY%）</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单核细胞百分比（MO%）</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嗜酸性细胞百分比（EO%）</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嗜碱性细胞百分比（BA%）</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中性粒细胞计数(NE#)</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淋巴细胞计数(LY#)</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单核细胞计数(MO#)</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嗜酸性细胞技术(EO#)</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嗜碱性细胞计数(BA#)</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有核红细胞百分比(NRBC%)</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有核红细胞计数(NRBC#)</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红细胞计数(RBC)</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血红蛋白(HGB)</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红细胞压积(HCT)</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平均红细胞体积(MCV)</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平均血红蛋白(MCH)</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平均血红蛋白浓度(MCHC)</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红细胞分布宽度(RDW)</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血小板计数(PLT)</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血小板平均体积(MPV)</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血小板压积(PCT)</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血小板平均分布宽度(PDW)</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snapToGrid w:val="0"/>
              <w:spacing w:line="300" w:lineRule="exact"/>
              <w:jc w:val="center"/>
              <w:rPr>
                <w:rFonts w:hint="eastAsia" w:ascii="宋体" w:hAnsi="宋体"/>
                <w:b/>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尿</w:t>
            </w: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snapToGrid w:val="0"/>
              <w:spacing w:line="300" w:lineRule="exact"/>
              <w:jc w:val="center"/>
              <w:rPr>
                <w:rFonts w:hint="eastAsia" w:ascii="宋体" w:hAnsi="宋体" w:eastAsia="宋体"/>
                <w:b/>
                <w:color w:val="000000"/>
                <w:szCs w:val="21"/>
                <w:lang w:eastAsia="zh-CN"/>
              </w:rPr>
            </w:pPr>
          </w:p>
          <w:p>
            <w:pPr>
              <w:snapToGrid w:val="0"/>
              <w:spacing w:line="300" w:lineRule="exact"/>
              <w:jc w:val="center"/>
              <w:rPr>
                <w:rFonts w:hint="eastAsia" w:ascii="宋体" w:hAnsi="宋体"/>
                <w:b/>
                <w:szCs w:val="21"/>
              </w:rPr>
            </w:pPr>
            <w:r>
              <w:rPr>
                <w:rFonts w:hint="eastAsia" w:ascii="宋体" w:hAnsi="宋体"/>
                <w:b/>
                <w:color w:val="000000"/>
                <w:szCs w:val="21"/>
              </w:rPr>
              <w:t>规</w:t>
            </w: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尿葡萄糖</w:t>
            </w:r>
          </w:p>
        </w:tc>
        <w:tc>
          <w:tcPr>
            <w:tcW w:w="4830" w:type="dxa"/>
            <w:vMerge w:val="restart"/>
            <w:noWrap w:val="0"/>
            <w:vAlign w:val="center"/>
          </w:tcPr>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color w:val="000000"/>
                <w:szCs w:val="21"/>
              </w:rPr>
            </w:pPr>
            <w:r>
              <w:rPr>
                <w:rFonts w:hint="eastAsia" w:ascii="宋体" w:hAnsi="宋体"/>
                <w:szCs w:val="21"/>
              </w:rPr>
              <w:t>尿常规13项检查，了解有否尿道感染、肾炎或血尿，以便排除肾或输尿管或膀胱、或高血压病、糖尿病中、晚期等疾病引起的肾脏功能改变。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胆红素</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尿比重</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潜血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酸碱度</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尿蛋白</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尿胆原</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亚硝酸盐</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尿白细胞</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颜色</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混浊度</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上皮细胞（镜检）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颗粒管型（镜检）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透明管型（镜检）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80" w:type="dxa"/>
            <w:vMerge w:val="restart"/>
            <w:noWrap w:val="0"/>
            <w:vAlign w:val="center"/>
          </w:tcPr>
          <w:p>
            <w:pPr>
              <w:autoSpaceDN w:val="0"/>
              <w:spacing w:line="280" w:lineRule="exact"/>
              <w:jc w:val="center"/>
              <w:textAlignment w:val="bottom"/>
              <w:rPr>
                <w:rFonts w:hint="eastAsia" w:ascii="宋体" w:hAnsi="宋体"/>
                <w:color w:val="000000"/>
                <w:kern w:val="0"/>
                <w:szCs w:val="21"/>
                <w:lang w:val="en-US" w:eastAsia="zh-CN"/>
              </w:rPr>
            </w:pPr>
            <w:r>
              <w:rPr>
                <w:rFonts w:hint="eastAsia" w:ascii="宋体" w:hAnsi="宋体"/>
                <w:b/>
                <w:color w:val="000000"/>
                <w:szCs w:val="21"/>
              </w:rPr>
              <w:t>肾功能</w:t>
            </w:r>
          </w:p>
        </w:tc>
        <w:tc>
          <w:tcPr>
            <w:tcW w:w="625" w:type="dxa"/>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血糖</w:t>
            </w:r>
          </w:p>
        </w:tc>
        <w:tc>
          <w:tcPr>
            <w:tcW w:w="4830" w:type="dxa"/>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eastAsia="新宋体"/>
                <w:spacing w:val="-10"/>
                <w:szCs w:val="18"/>
                <w:lang w:eastAsia="zh-CN"/>
              </w:rPr>
              <w:t>了解</w:t>
            </w:r>
            <w:r>
              <w:rPr>
                <w:rFonts w:hint="eastAsia" w:ascii="宋体" w:hAnsi="宋体" w:eastAsia="新宋体"/>
                <w:spacing w:val="-10"/>
                <w:szCs w:val="18"/>
              </w:rPr>
              <w:t>有无空腹血糖受损、胰岛腺体功能受损，糖尿病早期筛查</w:t>
            </w:r>
            <w:r>
              <w:rPr>
                <w:rFonts w:hint="eastAsia" w:ascii="宋体" w:hAnsi="宋体" w:eastAsia="新宋体"/>
                <w:spacing w:val="-10"/>
                <w:szCs w:val="18"/>
                <w:lang w:eastAsia="zh-CN"/>
              </w:rPr>
              <w:t>；</w:t>
            </w:r>
            <w:r>
              <w:rPr>
                <w:rFonts w:hint="eastAsia" w:ascii="宋体" w:hAnsi="宋体"/>
                <w:szCs w:val="21"/>
              </w:rPr>
              <w:t>了解有否肾炎，肾病综合征</w:t>
            </w:r>
            <w:r>
              <w:rPr>
                <w:rFonts w:hint="eastAsia" w:ascii="宋体" w:hAnsi="宋体"/>
                <w:szCs w:val="21"/>
                <w:lang w:val="en-US" w:eastAsia="zh-CN"/>
              </w:rPr>
              <w:t>；</w:t>
            </w:r>
            <w:r>
              <w:rPr>
                <w:rFonts w:hint="eastAsia" w:ascii="宋体" w:hAnsi="宋体" w:eastAsia="新宋体"/>
                <w:spacing w:val="-10"/>
                <w:szCs w:val="18"/>
              </w:rPr>
              <w:t>检查有无痛风可能，其次是肾功能减退、白血病、多发性骨髓瘤</w:t>
            </w:r>
            <w:r>
              <w:rPr>
                <w:rFonts w:hint="eastAsia" w:ascii="宋体" w:hAnsi="宋体" w:eastAsia="新宋体"/>
                <w:spacing w:val="-1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noWrap w:val="0"/>
            <w:vAlign w:val="center"/>
          </w:tcPr>
          <w:p>
            <w:pPr>
              <w:autoSpaceDN w:val="0"/>
              <w:spacing w:line="280" w:lineRule="exact"/>
              <w:jc w:val="center"/>
              <w:textAlignment w:val="bottom"/>
              <w:rPr>
                <w:rFonts w:hint="eastAsia" w:ascii="宋体" w:hAnsi="宋体"/>
                <w:color w:val="000000"/>
                <w:kern w:val="0"/>
                <w:szCs w:val="21"/>
                <w:lang w:val="en-US" w:eastAsia="zh-CN"/>
              </w:rPr>
            </w:pPr>
          </w:p>
        </w:tc>
        <w:tc>
          <w:tcPr>
            <w:tcW w:w="625" w:type="dxa"/>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尿酸</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widowControl/>
              <w:snapToGrid w:val="0"/>
              <w:spacing w:line="300" w:lineRule="exact"/>
              <w:jc w:val="center"/>
            </w:pPr>
          </w:p>
        </w:tc>
        <w:tc>
          <w:tcPr>
            <w:tcW w:w="625" w:type="dxa"/>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尿素氮：肌酐</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vMerge w:val="continue"/>
            <w:noWrap w:val="0"/>
            <w:vAlign w:val="center"/>
          </w:tcPr>
          <w:p>
            <w:pPr>
              <w:widowControl/>
              <w:snapToGrid w:val="0"/>
              <w:spacing w:line="300" w:lineRule="exact"/>
              <w:jc w:val="center"/>
            </w:pPr>
          </w:p>
        </w:tc>
        <w:tc>
          <w:tcPr>
            <w:tcW w:w="625" w:type="dxa"/>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肌酐</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vMerge w:val="continue"/>
            <w:noWrap w:val="0"/>
            <w:vAlign w:val="center"/>
          </w:tcPr>
          <w:p>
            <w:pPr>
              <w:widowControl/>
              <w:snapToGrid w:val="0"/>
              <w:spacing w:line="300" w:lineRule="exact"/>
              <w:jc w:val="center"/>
            </w:pPr>
          </w:p>
        </w:tc>
        <w:tc>
          <w:tcPr>
            <w:tcW w:w="625" w:type="dxa"/>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尿素氮</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80" w:type="dxa"/>
            <w:vMerge w:val="restart"/>
            <w:noWrap w:val="0"/>
            <w:vAlign w:val="center"/>
          </w:tcPr>
          <w:p>
            <w:pPr>
              <w:snapToGrid w:val="0"/>
              <w:spacing w:line="300" w:lineRule="exact"/>
              <w:jc w:val="both"/>
              <w:rPr>
                <w:rFonts w:hint="eastAsia" w:ascii="宋体" w:hAnsi="宋体"/>
                <w:b/>
                <w:szCs w:val="21"/>
              </w:rPr>
            </w:pPr>
            <w:r>
              <w:rPr>
                <w:rFonts w:hint="eastAsia" w:ascii="宋体" w:hAnsi="宋体"/>
                <w:b/>
                <w:szCs w:val="21"/>
              </w:rPr>
              <w:t>血脂</w:t>
            </w:r>
            <w:r>
              <w:rPr>
                <w:rFonts w:hint="eastAsia" w:ascii="宋体" w:hAnsi="宋体"/>
                <w:b/>
                <w:szCs w:val="21"/>
                <w:lang w:eastAsia="zh-CN"/>
              </w:rPr>
              <w:t>二</w:t>
            </w:r>
            <w:r>
              <w:rPr>
                <w:rFonts w:hint="eastAsia" w:ascii="宋体" w:hAnsi="宋体"/>
                <w:b/>
                <w:szCs w:val="21"/>
              </w:rPr>
              <w:t>项</w:t>
            </w: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甘油三酯</w:t>
            </w:r>
          </w:p>
        </w:tc>
        <w:tc>
          <w:tcPr>
            <w:tcW w:w="4830" w:type="dxa"/>
            <w:vMerge w:val="restart"/>
            <w:noWrap w:val="0"/>
            <w:vAlign w:val="center"/>
          </w:tcPr>
          <w:p>
            <w:pPr>
              <w:jc w:val="both"/>
              <w:rPr>
                <w:rFonts w:hint="eastAsia" w:ascii="宋体" w:hAnsi="宋体"/>
                <w:color w:val="000000"/>
                <w:szCs w:val="21"/>
              </w:rPr>
            </w:pPr>
            <w:r>
              <w:rPr>
                <w:rFonts w:hint="eastAsia" w:ascii="宋体" w:hAnsi="宋体"/>
                <w:szCs w:val="21"/>
              </w:rPr>
              <w:t>了解目前甘油三酯及总胆固醇的变化情况，有无血脂代谢异常等，及早把异常高脂血症的危险降低到最安全的范围，减少冠心病发生率及死亡率。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总胆固醇</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noWrap w:val="0"/>
            <w:vAlign w:val="center"/>
          </w:tcPr>
          <w:p>
            <w:pPr>
              <w:snapToGrid w:val="0"/>
              <w:spacing w:line="300" w:lineRule="exact"/>
              <w:jc w:val="center"/>
              <w:rPr>
                <w:rFonts w:hint="eastAsia" w:ascii="宋体" w:hAnsi="宋体"/>
                <w:b/>
                <w:szCs w:val="21"/>
              </w:rPr>
            </w:pPr>
          </w:p>
        </w:tc>
        <w:tc>
          <w:tcPr>
            <w:tcW w:w="625" w:type="dxa"/>
            <w:noWrap w:val="0"/>
            <w:vAlign w:val="center"/>
          </w:tcPr>
          <w:p>
            <w:pPr>
              <w:autoSpaceDN w:val="0"/>
              <w:spacing w:line="280" w:lineRule="exact"/>
              <w:jc w:val="center"/>
              <w:textAlignment w:val="bottom"/>
              <w:rPr>
                <w:rFonts w:hint="eastAsia" w:ascii="宋体" w:hAnsi="宋体"/>
                <w:color w:val="auto"/>
                <w:kern w:val="0"/>
                <w:sz w:val="21"/>
                <w:szCs w:val="21"/>
                <w:lang w:val="en-US" w:eastAsia="zh-CN" w:bidi="ar-SA"/>
              </w:rPr>
            </w:pPr>
            <w:r>
              <w:rPr>
                <w:rFonts w:hint="eastAsia" w:ascii="宋体" w:hAnsi="宋体"/>
                <w:color w:val="auto"/>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电解质组合（血清）</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测定血清钾、钠、氯、钙。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0" w:type="dxa"/>
            <w:vMerge w:val="restart"/>
            <w:noWrap w:val="0"/>
            <w:vAlign w:val="center"/>
          </w:tcPr>
          <w:p>
            <w:pPr>
              <w:widowControl/>
              <w:snapToGrid w:val="0"/>
              <w:spacing w:line="360" w:lineRule="exact"/>
              <w:jc w:val="both"/>
              <w:rPr>
                <w:rFonts w:hint="eastAsia" w:ascii="宋体" w:hAnsi="宋体"/>
                <w:b/>
                <w:szCs w:val="21"/>
              </w:rPr>
            </w:pPr>
            <w:r>
              <w:rPr>
                <w:rFonts w:hint="eastAsia" w:ascii="宋体" w:hAnsi="宋体"/>
                <w:b/>
                <w:color w:val="000000"/>
                <w:szCs w:val="21"/>
              </w:rPr>
              <w:t>肝功</w:t>
            </w:r>
            <w:r>
              <w:rPr>
                <w:rFonts w:hint="eastAsia" w:ascii="宋体" w:hAnsi="宋体"/>
                <w:b/>
                <w:color w:val="000000"/>
                <w:szCs w:val="21"/>
                <w:lang w:eastAsia="zh-CN"/>
              </w:rPr>
              <w:t>五</w:t>
            </w:r>
            <w:r>
              <w:rPr>
                <w:rFonts w:hint="eastAsia" w:ascii="宋体" w:hAnsi="宋体"/>
                <w:b/>
                <w:color w:val="000000"/>
                <w:szCs w:val="21"/>
              </w:rPr>
              <w:t>项</w:t>
            </w:r>
          </w:p>
        </w:tc>
        <w:tc>
          <w:tcPr>
            <w:tcW w:w="625" w:type="dxa"/>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1</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总胆红素</w:t>
            </w:r>
          </w:p>
        </w:tc>
        <w:tc>
          <w:tcPr>
            <w:tcW w:w="4830" w:type="dxa"/>
            <w:vMerge w:val="restart"/>
            <w:noWrap w:val="0"/>
            <w:vAlign w:val="center"/>
          </w:tcPr>
          <w:p>
            <w:pPr>
              <w:autoSpaceDN w:val="0"/>
              <w:snapToGrid w:val="0"/>
              <w:spacing w:line="300" w:lineRule="auto"/>
              <w:jc w:val="both"/>
              <w:textAlignment w:val="bottom"/>
              <w:rPr>
                <w:rFonts w:hint="eastAsia" w:ascii="宋体" w:hAnsi="宋体"/>
                <w:color w:val="000000"/>
                <w:szCs w:val="21"/>
              </w:rPr>
            </w:pPr>
            <w:r>
              <w:rPr>
                <w:rFonts w:hint="eastAsia" w:ascii="宋体" w:hAnsi="宋体"/>
                <w:szCs w:val="21"/>
              </w:rPr>
              <w:t>了解有无肝功能损害及目前损害的程度及是否影响到肝脏代谢功能。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门冬氨酸氨基转移酶</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丙氨酸氨基转移酶</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4</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白蛋白</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总蛋白</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restart"/>
            <w:noWrap w:val="0"/>
            <w:vAlign w:val="center"/>
          </w:tcPr>
          <w:p>
            <w:pPr>
              <w:snapToGrid w:val="0"/>
              <w:spacing w:line="360" w:lineRule="exact"/>
              <w:jc w:val="center"/>
              <w:rPr>
                <w:rFonts w:hint="eastAsia" w:ascii="宋体" w:hAnsi="宋体"/>
                <w:b/>
                <w:szCs w:val="21"/>
              </w:rPr>
            </w:pPr>
            <w:r>
              <w:rPr>
                <w:rFonts w:hint="eastAsia" w:ascii="宋体" w:hAnsi="宋体" w:eastAsia="宋体" w:cs="宋体"/>
                <w:b/>
                <w:bCs w:val="0"/>
                <w:i w:val="0"/>
                <w:iCs w:val="0"/>
                <w:color w:val="000000"/>
                <w:sz w:val="22"/>
                <w:szCs w:val="22"/>
                <w:lang w:eastAsia="zh-CN"/>
              </w:rPr>
              <w:t>甲状腺功能三项</w:t>
            </w:r>
            <w:r>
              <w:rPr>
                <w:rFonts w:hint="eastAsia" w:ascii="宋体" w:hAnsi="宋体"/>
                <w:color w:val="000000"/>
                <w:szCs w:val="21"/>
                <w:lang w:eastAsia="zh-CN"/>
              </w:rPr>
              <w:t>（游离）</w:t>
            </w:r>
          </w:p>
        </w:tc>
        <w:tc>
          <w:tcPr>
            <w:tcW w:w="625" w:type="dxa"/>
            <w:noWrap w:val="0"/>
            <w:vAlign w:val="center"/>
          </w:tcPr>
          <w:p>
            <w:pPr>
              <w:widowControl/>
              <w:snapToGrid w:val="0"/>
              <w:spacing w:line="340" w:lineRule="exact"/>
              <w:jc w:val="center"/>
              <w:rPr>
                <w:rFonts w:hint="eastAsia" w:ascii="宋体" w:hAnsi="宋体"/>
                <w:color w:val="000000"/>
                <w:kern w:val="0"/>
                <w:szCs w:val="21"/>
                <w:lang w:val="en-US" w:eastAsia="zh-CN"/>
              </w:rPr>
            </w:pPr>
            <w:r>
              <w:rPr>
                <w:rFonts w:hint="eastAsia" w:ascii="宋体" w:hAnsi="宋体" w:eastAsia="宋体" w:cs="宋体"/>
                <w:b w:val="0"/>
                <w:bCs/>
                <w:i w:val="0"/>
                <w:iCs w:val="0"/>
                <w:color w:val="000000"/>
                <w:kern w:val="0"/>
                <w:sz w:val="22"/>
                <w:szCs w:val="22"/>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olor w:val="000000"/>
                <w:szCs w:val="21"/>
                <w:lang w:eastAsia="zh-CN"/>
              </w:rPr>
            </w:pPr>
            <w:r>
              <w:rPr>
                <w:rFonts w:hint="eastAsia" w:ascii="宋体" w:hAnsi="宋体"/>
                <w:color w:val="000000"/>
                <w:szCs w:val="21"/>
              </w:rPr>
              <w:t>三碘甲状腺原氨酸</w:t>
            </w:r>
            <w:r>
              <w:rPr>
                <w:rFonts w:hint="eastAsia" w:ascii="宋体" w:hAnsi="宋体"/>
                <w:color w:val="000000"/>
                <w:szCs w:val="21"/>
                <w:lang w:eastAsia="zh-CN"/>
              </w:rPr>
              <w:t>（游离）</w:t>
            </w:r>
          </w:p>
        </w:tc>
        <w:tc>
          <w:tcPr>
            <w:tcW w:w="4830" w:type="dxa"/>
            <w:vMerge w:val="restart"/>
            <w:noWrap w:val="0"/>
            <w:vAlign w:val="center"/>
          </w:tcPr>
          <w:p>
            <w:pPr>
              <w:spacing w:line="400" w:lineRule="exact"/>
              <w:rPr>
                <w:rFonts w:hint="eastAsia" w:ascii="宋体" w:hAnsi="宋体"/>
                <w:color w:val="000000"/>
                <w:szCs w:val="21"/>
              </w:rPr>
            </w:pPr>
            <w:r>
              <w:rPr>
                <w:rFonts w:hint="eastAsia" w:ascii="宋体" w:hAnsi="宋体" w:eastAsia="新宋体"/>
                <w:spacing w:val="-10"/>
                <w:szCs w:val="18"/>
                <w:lang w:eastAsia="zh-CN"/>
              </w:rPr>
              <w:t>了解目前有无甲状腺功能改变及甲状腺病变的具体类型、病变程度等。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甲状腺素</w:t>
            </w:r>
            <w:r>
              <w:rPr>
                <w:rFonts w:hint="eastAsia" w:ascii="宋体" w:hAnsi="宋体"/>
                <w:color w:val="000000"/>
                <w:szCs w:val="21"/>
                <w:lang w:eastAsia="zh-CN"/>
              </w:rPr>
              <w:t>（游离）</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促甲状腺素</w:t>
            </w:r>
            <w:r>
              <w:rPr>
                <w:rFonts w:hint="eastAsia" w:ascii="宋体" w:hAnsi="宋体"/>
                <w:color w:val="000000"/>
                <w:szCs w:val="21"/>
                <w:lang w:eastAsia="zh-CN"/>
              </w:rPr>
              <w:t>（游离）</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糖尿病筛查</w:t>
            </w:r>
          </w:p>
        </w:tc>
        <w:tc>
          <w:tcPr>
            <w:tcW w:w="625" w:type="dxa"/>
            <w:noWrap w:val="0"/>
            <w:vAlign w:val="center"/>
          </w:tcPr>
          <w:p>
            <w:pPr>
              <w:autoSpaceDN w:val="0"/>
              <w:snapToGrid w:val="0"/>
              <w:spacing w:line="300" w:lineRule="exact"/>
              <w:jc w:val="center"/>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糖化血红蛋白</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用于评定身体内2-3个月血糖的水平程度。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restart"/>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肿瘤筛查</w:t>
            </w:r>
          </w:p>
        </w:tc>
        <w:tc>
          <w:tcPr>
            <w:tcW w:w="625" w:type="dxa"/>
            <w:noWrap w:val="0"/>
            <w:vAlign w:val="center"/>
          </w:tcPr>
          <w:p>
            <w:pPr>
              <w:autoSpaceDN w:val="0"/>
              <w:snapToGrid w:val="0"/>
              <w:spacing w:line="300" w:lineRule="exact"/>
              <w:jc w:val="center"/>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癌胚抗原(CEA)</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消化系统及泌尿系统肿瘤筛查。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p>
        </w:tc>
        <w:tc>
          <w:tcPr>
            <w:tcW w:w="625" w:type="dxa"/>
            <w:noWrap w:val="0"/>
            <w:vAlign w:val="center"/>
          </w:tcPr>
          <w:p>
            <w:pPr>
              <w:autoSpaceDN w:val="0"/>
              <w:snapToGrid w:val="0"/>
              <w:spacing w:line="300" w:lineRule="exact"/>
              <w:jc w:val="center"/>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2</w:t>
            </w:r>
          </w:p>
        </w:tc>
        <w:tc>
          <w:tcPr>
            <w:tcW w:w="2970" w:type="dxa"/>
            <w:noWrap w:val="0"/>
            <w:vAlign w:val="center"/>
          </w:tcPr>
          <w:p>
            <w:pPr>
              <w:adjustRightInd w:val="0"/>
              <w:snapToGrid w:val="0"/>
              <w:spacing w:line="400" w:lineRule="exact"/>
              <w:jc w:val="center"/>
              <w:rPr>
                <w:rFonts w:hint="eastAsia" w:ascii="宋体" w:hAnsi="宋体" w:eastAsia="新宋体"/>
                <w:color w:val="auto"/>
                <w:spacing w:val="-10"/>
                <w:kern w:val="2"/>
                <w:sz w:val="18"/>
                <w:szCs w:val="18"/>
                <w:lang w:val="en-US" w:eastAsia="zh-CN" w:bidi="ar-SA"/>
              </w:rPr>
            </w:pPr>
            <w:r>
              <w:rPr>
                <w:rFonts w:hint="eastAsia" w:ascii="宋体" w:hAnsi="宋体" w:eastAsia="宋体" w:cs="Times New Roman"/>
                <w:color w:val="auto"/>
                <w:szCs w:val="21"/>
              </w:rPr>
              <w:t>总前列腺特异抗原(TPSA)</w:t>
            </w:r>
            <w:r>
              <w:rPr>
                <w:rFonts w:hint="eastAsia" w:ascii="宋体" w:hAnsi="宋体" w:eastAsia="宋体" w:cs="Times New Roman"/>
                <w:color w:val="auto"/>
                <w:szCs w:val="21"/>
                <w:lang w:eastAsia="zh-CN"/>
              </w:rPr>
              <w:t>（男）</w:t>
            </w:r>
          </w:p>
        </w:tc>
        <w:tc>
          <w:tcPr>
            <w:tcW w:w="4830" w:type="dxa"/>
            <w:noWrap w:val="0"/>
            <w:vAlign w:val="center"/>
          </w:tcPr>
          <w:p>
            <w:pPr>
              <w:adjustRightInd w:val="0"/>
              <w:snapToGrid w:val="0"/>
              <w:spacing w:line="400" w:lineRule="exact"/>
              <w:rPr>
                <w:rFonts w:hint="eastAsia" w:ascii="宋体" w:hAnsi="宋体" w:eastAsia="新宋体"/>
                <w:color w:val="auto"/>
                <w:spacing w:val="-10"/>
                <w:kern w:val="2"/>
                <w:sz w:val="21"/>
                <w:szCs w:val="18"/>
                <w:lang w:val="en-US" w:eastAsia="zh-CN" w:bidi="ar-SA"/>
              </w:rPr>
            </w:pPr>
            <w:r>
              <w:rPr>
                <w:rFonts w:hint="eastAsia" w:ascii="宋体" w:hAnsi="宋体" w:eastAsia="新宋体"/>
                <w:color w:val="auto"/>
                <w:spacing w:val="-10"/>
                <w:szCs w:val="18"/>
              </w:rPr>
              <w:t>前列腺炎症、前列腺良/恶性病变等筛查，早期预警或辅助诊断。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p>
        </w:tc>
        <w:tc>
          <w:tcPr>
            <w:tcW w:w="625" w:type="dxa"/>
            <w:noWrap w:val="0"/>
            <w:vAlign w:val="center"/>
          </w:tcPr>
          <w:p>
            <w:pPr>
              <w:autoSpaceDN w:val="0"/>
              <w:snapToGrid w:val="0"/>
              <w:spacing w:line="300" w:lineRule="exact"/>
              <w:jc w:val="center"/>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3</w:t>
            </w:r>
          </w:p>
        </w:tc>
        <w:tc>
          <w:tcPr>
            <w:tcW w:w="2970" w:type="dxa"/>
            <w:noWrap w:val="0"/>
            <w:vAlign w:val="center"/>
          </w:tcPr>
          <w:p>
            <w:pPr>
              <w:adjustRightInd w:val="0"/>
              <w:snapToGrid w:val="0"/>
              <w:spacing w:line="40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糖类抗原(CA 153）</w:t>
            </w:r>
            <w:r>
              <w:rPr>
                <w:rFonts w:hint="eastAsia" w:ascii="宋体" w:hAnsi="宋体" w:eastAsia="宋体" w:cs="Times New Roman"/>
                <w:color w:val="auto"/>
                <w:szCs w:val="21"/>
                <w:lang w:eastAsia="zh-CN"/>
              </w:rPr>
              <w:t>（已婚女）</w:t>
            </w:r>
          </w:p>
        </w:tc>
        <w:tc>
          <w:tcPr>
            <w:tcW w:w="4830"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乳腺癌的筛查，早期预警或辅助诊断。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特殊检查</w:t>
            </w:r>
          </w:p>
        </w:tc>
        <w:tc>
          <w:tcPr>
            <w:tcW w:w="625" w:type="dxa"/>
            <w:noWrap w:val="0"/>
            <w:vAlign w:val="center"/>
          </w:tcPr>
          <w:p>
            <w:pPr>
              <w:autoSpaceDN w:val="0"/>
              <w:snapToGrid w:val="0"/>
              <w:spacing w:line="300" w:lineRule="exact"/>
              <w:jc w:val="center"/>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颅内段血管彩色多普勒超声</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通过检测颈动脉血流流速、血管弹性及血管阻力，评估脑血管功能，进行脑卒中风险筛查。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noWrap w:val="0"/>
            <w:vAlign w:val="center"/>
          </w:tcPr>
          <w:p>
            <w:pPr>
              <w:autoSpaceDN w:val="0"/>
              <w:spacing w:line="280" w:lineRule="exact"/>
              <w:jc w:val="center"/>
              <w:textAlignment w:val="bottom"/>
              <w:rPr>
                <w:rFonts w:hint="eastAsia" w:ascii="宋体" w:hAnsi="宋体" w:eastAsia="宋体" w:cs="Times New Roman"/>
                <w:color w:val="auto"/>
                <w:kern w:val="0"/>
                <w:szCs w:val="21"/>
                <w:lang w:val="en-US" w:eastAsia="zh-CN"/>
              </w:rPr>
            </w:pPr>
          </w:p>
          <w:p>
            <w:pPr>
              <w:autoSpaceDN w:val="0"/>
              <w:spacing w:line="280" w:lineRule="exact"/>
              <w:jc w:val="center"/>
              <w:textAlignment w:val="bottom"/>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CT 检查</w:t>
            </w:r>
          </w:p>
          <w:p>
            <w:pPr>
              <w:autoSpaceDN w:val="0"/>
              <w:spacing w:line="280" w:lineRule="exact"/>
              <w:jc w:val="center"/>
              <w:textAlignment w:val="bottom"/>
              <w:rPr>
                <w:rFonts w:hint="eastAsia" w:ascii="宋体" w:hAnsi="宋体" w:eastAsia="宋体" w:cs="Times New Roman"/>
                <w:color w:val="auto"/>
                <w:kern w:val="0"/>
                <w:szCs w:val="21"/>
                <w:lang w:val="en-US" w:eastAsia="zh-CN"/>
              </w:rPr>
            </w:pPr>
          </w:p>
        </w:tc>
        <w:tc>
          <w:tcPr>
            <w:tcW w:w="625" w:type="dxa"/>
            <w:noWrap w:val="0"/>
            <w:vAlign w:val="center"/>
          </w:tcPr>
          <w:p>
            <w:pPr>
              <w:autoSpaceDN w:val="0"/>
              <w:spacing w:line="280" w:lineRule="exact"/>
              <w:jc w:val="center"/>
              <w:textAlignment w:val="bottom"/>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1</w:t>
            </w:r>
          </w:p>
        </w:tc>
        <w:tc>
          <w:tcPr>
            <w:tcW w:w="2970" w:type="dxa"/>
            <w:noWrap w:val="0"/>
            <w:vAlign w:val="center"/>
          </w:tcPr>
          <w:p>
            <w:pPr>
              <w:autoSpaceDN w:val="0"/>
              <w:spacing w:line="280" w:lineRule="exact"/>
              <w:jc w:val="both"/>
              <w:textAlignment w:val="bottom"/>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肺部CT检查</w:t>
            </w:r>
          </w:p>
        </w:tc>
        <w:tc>
          <w:tcPr>
            <w:tcW w:w="4830" w:type="dxa"/>
            <w:noWrap w:val="0"/>
            <w:vAlign w:val="center"/>
          </w:tcPr>
          <w:p>
            <w:pPr>
              <w:autoSpaceDN w:val="0"/>
              <w:spacing w:line="280" w:lineRule="exact"/>
              <w:jc w:val="center"/>
              <w:textAlignment w:val="bottom"/>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了解有无肺部、胸廓、纵膈等部位的疾病。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80" w:type="dxa"/>
            <w:noWrap w:val="0"/>
            <w:vAlign w:val="center"/>
          </w:tcPr>
          <w:p>
            <w:pPr>
              <w:autoSpaceDN w:val="0"/>
              <w:snapToGrid w:val="0"/>
              <w:spacing w:line="360" w:lineRule="exact"/>
              <w:jc w:val="center"/>
              <w:textAlignment w:val="center"/>
              <w:rPr>
                <w:rFonts w:hint="eastAsia" w:ascii="宋体" w:hAnsi="宋体"/>
                <w:b/>
                <w:color w:val="000000"/>
                <w:szCs w:val="21"/>
              </w:rPr>
            </w:pPr>
            <w:r>
              <w:rPr>
                <w:rFonts w:hint="eastAsia" w:ascii="宋体" w:hAnsi="宋体"/>
                <w:b/>
                <w:color w:val="000000"/>
                <w:szCs w:val="21"/>
              </w:rPr>
              <w:t>心电图</w:t>
            </w:r>
          </w:p>
        </w:tc>
        <w:tc>
          <w:tcPr>
            <w:tcW w:w="625" w:type="dxa"/>
            <w:noWrap w:val="0"/>
            <w:vAlign w:val="center"/>
          </w:tcPr>
          <w:p>
            <w:pPr>
              <w:autoSpaceDN w:val="0"/>
              <w:snapToGrid w:val="0"/>
              <w:spacing w:line="360" w:lineRule="exact"/>
              <w:textAlignment w:val="bottom"/>
              <w:rPr>
                <w:rFonts w:hint="eastAsia" w:ascii="宋体" w:hAnsi="宋体"/>
                <w:color w:val="000000"/>
                <w:szCs w:val="21"/>
                <w:lang w:val="en-US" w:eastAsia="zh-CN"/>
              </w:rPr>
            </w:pPr>
            <w:r>
              <w:rPr>
                <w:rFonts w:hint="eastAsia" w:ascii="宋体" w:hAnsi="宋体"/>
                <w:color w:val="000000"/>
                <w:szCs w:val="21"/>
                <w:lang w:val="en-US" w:eastAsia="zh-CN"/>
              </w:rPr>
              <w:t xml:space="preserve">  1</w:t>
            </w:r>
          </w:p>
        </w:tc>
        <w:tc>
          <w:tcPr>
            <w:tcW w:w="2970" w:type="dxa"/>
            <w:noWrap w:val="0"/>
            <w:vAlign w:val="center"/>
          </w:tcPr>
          <w:p>
            <w:pPr>
              <w:autoSpaceDN w:val="0"/>
              <w:snapToGrid w:val="0"/>
              <w:spacing w:line="360" w:lineRule="exact"/>
              <w:jc w:val="both"/>
              <w:textAlignment w:val="bottom"/>
              <w:rPr>
                <w:rFonts w:hint="eastAsia" w:ascii="宋体" w:hAnsi="宋体"/>
                <w:color w:val="000000"/>
                <w:szCs w:val="21"/>
              </w:rPr>
            </w:pPr>
            <w:r>
              <w:rPr>
                <w:rFonts w:hint="eastAsia" w:ascii="宋体" w:hAnsi="宋体"/>
                <w:color w:val="000000"/>
                <w:szCs w:val="21"/>
              </w:rPr>
              <w:t>12导联心电图</w:t>
            </w:r>
          </w:p>
        </w:tc>
        <w:tc>
          <w:tcPr>
            <w:tcW w:w="4830" w:type="dxa"/>
            <w:noWrap w:val="0"/>
            <w:vAlign w:val="center"/>
          </w:tcPr>
          <w:p>
            <w:pPr>
              <w:autoSpaceDN w:val="0"/>
              <w:snapToGrid w:val="0"/>
              <w:textAlignment w:val="bottom"/>
              <w:rPr>
                <w:rFonts w:hint="eastAsia" w:ascii="宋体" w:hAnsi="宋体"/>
                <w:color w:val="000000"/>
                <w:szCs w:val="21"/>
              </w:rPr>
            </w:pPr>
            <w:r>
              <w:rPr>
                <w:rFonts w:hint="eastAsia" w:ascii="宋体" w:hAnsi="宋体"/>
                <w:szCs w:val="21"/>
              </w:rPr>
              <w:t>了解心律不齐、心肌梗塞、心肌缺血、心率过缓/过速、心室电压增高等心脏疾病。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vMerge w:val="restart"/>
            <w:noWrap w:val="0"/>
            <w:vAlign w:val="center"/>
          </w:tcPr>
          <w:p>
            <w:pPr>
              <w:autoSpaceDN w:val="0"/>
              <w:snapToGrid w:val="0"/>
              <w:spacing w:line="360" w:lineRule="exact"/>
              <w:jc w:val="center"/>
              <w:textAlignment w:val="center"/>
              <w:rPr>
                <w:rFonts w:hint="eastAsia" w:ascii="宋体" w:hAnsi="宋体"/>
                <w:b/>
                <w:color w:val="000000"/>
                <w:szCs w:val="21"/>
              </w:rPr>
            </w:pPr>
          </w:p>
          <w:p>
            <w:pPr>
              <w:autoSpaceDN w:val="0"/>
              <w:snapToGrid w:val="0"/>
              <w:spacing w:line="360" w:lineRule="exact"/>
              <w:jc w:val="center"/>
              <w:textAlignment w:val="center"/>
              <w:rPr>
                <w:rFonts w:hint="eastAsia" w:ascii="宋体" w:hAnsi="宋体"/>
                <w:b/>
                <w:color w:val="000000"/>
                <w:szCs w:val="21"/>
              </w:rPr>
            </w:pPr>
          </w:p>
          <w:p>
            <w:pPr>
              <w:autoSpaceDN w:val="0"/>
              <w:snapToGrid w:val="0"/>
              <w:spacing w:line="360" w:lineRule="exact"/>
              <w:jc w:val="center"/>
              <w:textAlignment w:val="center"/>
              <w:rPr>
                <w:rFonts w:hint="eastAsia" w:ascii="宋体" w:hAnsi="宋体"/>
                <w:b/>
                <w:color w:val="000000"/>
                <w:szCs w:val="21"/>
              </w:rPr>
            </w:pPr>
            <w:r>
              <w:rPr>
                <w:rFonts w:hint="eastAsia" w:ascii="宋体" w:hAnsi="宋体"/>
                <w:b/>
                <w:color w:val="000000"/>
                <w:szCs w:val="21"/>
              </w:rPr>
              <w:t>超声</w:t>
            </w:r>
          </w:p>
          <w:p>
            <w:pPr>
              <w:autoSpaceDN w:val="0"/>
              <w:snapToGrid w:val="0"/>
              <w:spacing w:line="360" w:lineRule="exact"/>
              <w:jc w:val="center"/>
              <w:textAlignment w:val="center"/>
              <w:rPr>
                <w:rFonts w:hint="eastAsia" w:ascii="宋体" w:hAnsi="宋体"/>
                <w:b/>
                <w:color w:val="000000"/>
                <w:szCs w:val="21"/>
              </w:rPr>
            </w:pPr>
            <w:r>
              <w:rPr>
                <w:rFonts w:hint="eastAsia" w:ascii="宋体" w:hAnsi="宋体"/>
                <w:b/>
                <w:color w:val="000000"/>
                <w:szCs w:val="21"/>
              </w:rPr>
              <w:t>检查</w:t>
            </w: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pacing w:line="300" w:lineRule="exact"/>
              <w:ind w:firstLine="105" w:firstLineChars="50"/>
              <w:textAlignment w:val="bottom"/>
              <w:rPr>
                <w:rFonts w:hint="eastAsia" w:ascii="宋体" w:hAnsi="宋体"/>
                <w:color w:val="000000"/>
                <w:szCs w:val="21"/>
              </w:rPr>
            </w:pPr>
            <w:r>
              <w:rPr>
                <w:rFonts w:hint="eastAsia" w:ascii="宋体" w:hAnsi="宋体"/>
                <w:szCs w:val="21"/>
              </w:rPr>
              <w:t>肝、胆、脾、胰、双肾</w:t>
            </w:r>
          </w:p>
        </w:tc>
        <w:tc>
          <w:tcPr>
            <w:tcW w:w="4830" w:type="dxa"/>
            <w:noWrap w:val="0"/>
            <w:vAlign w:val="top"/>
          </w:tcPr>
          <w:p>
            <w:pPr>
              <w:rPr>
                <w:rFonts w:ascii="宋体" w:hAnsi="宋体"/>
                <w:szCs w:val="21"/>
              </w:rPr>
            </w:pPr>
            <w:r>
              <w:rPr>
                <w:rFonts w:hint="eastAsia" w:ascii="宋体" w:hAnsi="宋体"/>
                <w:szCs w:val="21"/>
              </w:rPr>
              <w:t>了解肝硬化、肝囊肿、肝癌、肝脓肿、肝血管瘤、肝脂肪、胆囊结石、胆囊息肉、胰腺癌、脾肿大等疾病情况。通过肾了解有否肾结石、肾肿瘤。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szCs w:val="21"/>
              </w:rPr>
              <w:t>甲状腺</w:t>
            </w:r>
          </w:p>
        </w:tc>
        <w:tc>
          <w:tcPr>
            <w:tcW w:w="4830" w:type="dxa"/>
            <w:noWrap w:val="0"/>
            <w:vAlign w:val="center"/>
          </w:tcPr>
          <w:p>
            <w:pPr>
              <w:rPr>
                <w:rFonts w:hint="eastAsia" w:ascii="宋体" w:hAnsi="宋体"/>
                <w:szCs w:val="21"/>
              </w:rPr>
            </w:pPr>
            <w:r>
              <w:rPr>
                <w:rFonts w:hint="eastAsia" w:ascii="宋体" w:hAnsi="宋体"/>
                <w:szCs w:val="21"/>
              </w:rPr>
              <w:t>了解有无甲状腺结节、囊肿、良/恶性占位等疾病。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pacing w:line="300" w:lineRule="exact"/>
              <w:ind w:firstLine="105" w:firstLineChars="50"/>
              <w:textAlignment w:val="bottom"/>
              <w:rPr>
                <w:rFonts w:hint="eastAsia" w:ascii="宋体" w:hAnsi="宋体"/>
                <w:color w:val="000000"/>
                <w:szCs w:val="21"/>
              </w:rPr>
            </w:pPr>
            <w:r>
              <w:rPr>
                <w:rFonts w:hint="eastAsia" w:ascii="宋体" w:hAnsi="宋体"/>
                <w:szCs w:val="21"/>
              </w:rPr>
              <w:t>男：前列腺、膀胱</w:t>
            </w:r>
          </w:p>
        </w:tc>
        <w:tc>
          <w:tcPr>
            <w:tcW w:w="4830" w:type="dxa"/>
            <w:noWrap w:val="0"/>
            <w:vAlign w:val="center"/>
          </w:tcPr>
          <w:p>
            <w:pPr>
              <w:rPr>
                <w:rFonts w:ascii="宋体" w:hAnsi="宋体"/>
                <w:szCs w:val="21"/>
              </w:rPr>
            </w:pPr>
            <w:r>
              <w:rPr>
                <w:rFonts w:hint="eastAsia" w:ascii="宋体" w:hAnsi="宋体"/>
                <w:szCs w:val="21"/>
              </w:rPr>
              <w:t>了解前列腺增大、增生、钙化、结石、占位等疾病。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szCs w:val="21"/>
                <w:lang w:eastAsia="zh-CN"/>
              </w:rPr>
              <w:t>已婚</w:t>
            </w:r>
            <w:r>
              <w:rPr>
                <w:rFonts w:hint="eastAsia" w:ascii="宋体" w:hAnsi="宋体"/>
                <w:szCs w:val="21"/>
              </w:rPr>
              <w:t>女：阴道B超</w:t>
            </w:r>
          </w:p>
          <w:p>
            <w:pPr>
              <w:autoSpaceDN w:val="0"/>
              <w:spacing w:line="300" w:lineRule="exact"/>
              <w:ind w:firstLine="105" w:firstLineChars="50"/>
              <w:textAlignment w:val="bottom"/>
              <w:rPr>
                <w:rFonts w:hint="eastAsia" w:ascii="宋体" w:hAnsi="宋体" w:eastAsia="宋体"/>
                <w:szCs w:val="21"/>
                <w:lang w:eastAsia="zh-CN"/>
              </w:rPr>
            </w:pPr>
            <w:r>
              <w:rPr>
                <w:rFonts w:hint="eastAsia" w:ascii="宋体" w:hAnsi="宋体"/>
                <w:szCs w:val="21"/>
                <w:lang w:eastAsia="zh-CN"/>
              </w:rPr>
              <w:t>未婚女：子宫、附件</w:t>
            </w:r>
            <w:r>
              <w:rPr>
                <w:rFonts w:hint="eastAsia" w:ascii="宋体" w:hAnsi="宋体"/>
                <w:szCs w:val="21"/>
                <w:lang w:val="en-US" w:eastAsia="zh-CN"/>
              </w:rPr>
              <w:t>B</w:t>
            </w:r>
            <w:r>
              <w:rPr>
                <w:rFonts w:hint="eastAsia" w:ascii="宋体" w:hAnsi="宋体"/>
                <w:szCs w:val="21"/>
                <w:lang w:eastAsia="zh-CN"/>
              </w:rPr>
              <w:t>超</w:t>
            </w:r>
          </w:p>
        </w:tc>
        <w:tc>
          <w:tcPr>
            <w:tcW w:w="4830" w:type="dxa"/>
            <w:noWrap w:val="0"/>
            <w:vAlign w:val="top"/>
          </w:tcPr>
          <w:p>
            <w:pPr>
              <w:rPr>
                <w:rFonts w:hint="eastAsia" w:ascii="宋体" w:hAnsi="宋体"/>
                <w:szCs w:val="21"/>
              </w:rPr>
            </w:pPr>
          </w:p>
          <w:p>
            <w:pPr>
              <w:rPr>
                <w:rFonts w:ascii="宋体" w:hAnsi="宋体"/>
                <w:szCs w:val="21"/>
              </w:rPr>
            </w:pPr>
            <w:r>
              <w:rPr>
                <w:rFonts w:hint="eastAsia" w:ascii="宋体" w:hAnsi="宋体"/>
                <w:szCs w:val="21"/>
              </w:rPr>
              <w:t>了解子宫肌瘤，宫颈癌，卵巢肿物、盆腔炎</w:t>
            </w:r>
            <w:r>
              <w:rPr>
                <w:rFonts w:hint="eastAsia" w:ascii="宋体" w:hAnsi="宋体"/>
                <w:szCs w:val="21"/>
                <w:lang w:eastAsia="zh-CN"/>
              </w:rPr>
              <w:t>等疾病</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szCs w:val="21"/>
              </w:rPr>
              <w:t>女：乳腺彩超</w:t>
            </w:r>
          </w:p>
        </w:tc>
        <w:tc>
          <w:tcPr>
            <w:tcW w:w="4830" w:type="dxa"/>
            <w:noWrap w:val="0"/>
            <w:vAlign w:val="top"/>
          </w:tcPr>
          <w:p>
            <w:pPr>
              <w:rPr>
                <w:rFonts w:hint="eastAsia" w:ascii="宋体" w:hAnsi="宋体"/>
                <w:szCs w:val="21"/>
              </w:rPr>
            </w:pPr>
            <w:r>
              <w:rPr>
                <w:rFonts w:hint="eastAsia" w:ascii="宋体" w:hAnsi="宋体"/>
                <w:szCs w:val="21"/>
              </w:rPr>
              <w:t>排除乳腺增生、乳腺结节、乳腺纤维瘤、乳腺癌等疾病。乳房组织病变诊断。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妇科检查</w:t>
            </w:r>
          </w:p>
        </w:tc>
        <w:tc>
          <w:tcPr>
            <w:tcW w:w="62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已婚：妇科检查</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妇查（子宫肌瘤、卵巢囊肿、阴道炎）；宫颈防癌普查（宫颈炎、宫颈癌）；白带常规（查滴虫、霉菌）。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75" w:type="dxa"/>
            <w:gridSpan w:val="3"/>
            <w:noWrap w:val="0"/>
            <w:vAlign w:val="center"/>
          </w:tcPr>
          <w:p>
            <w:pPr>
              <w:autoSpaceDN w:val="0"/>
              <w:snapToGrid w:val="0"/>
              <w:spacing w:line="300" w:lineRule="auto"/>
              <w:textAlignment w:val="bottom"/>
              <w:rPr>
                <w:rFonts w:hint="eastAsia" w:ascii="宋体" w:hAnsi="宋体"/>
                <w:b/>
                <w:color w:val="000000"/>
                <w:sz w:val="24"/>
                <w:lang w:val="en-US" w:eastAsia="zh-CN"/>
              </w:rPr>
            </w:pPr>
            <w:r>
              <w:rPr>
                <w:rFonts w:hint="eastAsia" w:ascii="宋体" w:hAnsi="宋体"/>
                <w:b/>
                <w:color w:val="000000"/>
                <w:sz w:val="24"/>
                <w:lang w:val="en-US" w:eastAsia="zh-CN"/>
              </w:rPr>
              <w:t>建议可自费增加项目：</w:t>
            </w:r>
          </w:p>
        </w:tc>
        <w:tc>
          <w:tcPr>
            <w:tcW w:w="4830" w:type="dxa"/>
            <w:noWrap w:val="0"/>
            <w:vAlign w:val="center"/>
          </w:tcPr>
          <w:p>
            <w:pPr>
              <w:autoSpaceDN w:val="0"/>
              <w:snapToGrid w:val="0"/>
              <w:spacing w:line="300" w:lineRule="auto"/>
              <w:textAlignment w:val="bottom"/>
              <w:rPr>
                <w:rFonts w:hint="eastAsia" w:ascii="宋体" w:hAnsi="宋体"/>
                <w:b/>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restart"/>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rPr>
              <w:t>心</w:t>
            </w:r>
            <w:r>
              <w:rPr>
                <w:rFonts w:hint="eastAsia" w:ascii="宋体" w:hAnsi="宋体"/>
                <w:b w:val="0"/>
                <w:bCs w:val="0"/>
                <w:color w:val="auto"/>
                <w:szCs w:val="21"/>
                <w:lang w:eastAsia="zh-CN"/>
              </w:rPr>
              <w:t>血管</w:t>
            </w:r>
            <w:r>
              <w:rPr>
                <w:rFonts w:hint="eastAsia" w:ascii="宋体" w:hAnsi="宋体"/>
                <w:b w:val="0"/>
                <w:bCs w:val="0"/>
                <w:color w:val="auto"/>
                <w:szCs w:val="21"/>
              </w:rPr>
              <w:t>功能检查</w:t>
            </w:r>
          </w:p>
        </w:tc>
        <w:tc>
          <w:tcPr>
            <w:tcW w:w="625" w:type="dxa"/>
            <w:noWrap w:val="0"/>
            <w:vAlign w:val="center"/>
          </w:tcPr>
          <w:p>
            <w:pPr>
              <w:autoSpaceDN w:val="0"/>
              <w:snapToGrid w:val="0"/>
              <w:spacing w:line="300" w:lineRule="auto"/>
              <w:textAlignment w:val="bottom"/>
              <w:rPr>
                <w:rFonts w:hint="default" w:ascii="宋体" w:hAnsi="宋体"/>
                <w:b/>
                <w:bCs/>
                <w:color w:val="000000"/>
                <w:szCs w:val="21"/>
                <w:lang w:val="en-US" w:eastAsia="zh-CN"/>
              </w:rPr>
            </w:pPr>
            <w:r>
              <w:rPr>
                <w:rFonts w:hint="eastAsia" w:ascii="宋体" w:hAnsi="宋体"/>
                <w:b/>
                <w:bCs/>
                <w:color w:val="000000"/>
                <w:szCs w:val="21"/>
                <w:lang w:val="en-US" w:eastAsia="zh-CN"/>
              </w:rPr>
              <w:t xml:space="preserve"> </w:t>
            </w:r>
            <w:r>
              <w:rPr>
                <w:rFonts w:hint="eastAsia" w:ascii="宋体" w:hAnsi="宋体" w:eastAsia="宋体" w:cs="Times New Roman"/>
                <w:b w:val="0"/>
                <w:bCs w:val="0"/>
                <w:color w:val="auto"/>
                <w:szCs w:val="21"/>
                <w:lang w:val="en-US" w:eastAsia="zh-CN"/>
              </w:rPr>
              <w:t>1</w:t>
            </w:r>
          </w:p>
        </w:tc>
        <w:tc>
          <w:tcPr>
            <w:tcW w:w="2970" w:type="dxa"/>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eastAsia="新宋体" w:cs="Times New Roman"/>
                <w:spacing w:val="-10"/>
                <w:sz w:val="18"/>
                <w:szCs w:val="18"/>
                <w:lang w:eastAsia="zh-CN"/>
              </w:rPr>
              <w:t>颈部血管彩超</w:t>
            </w:r>
          </w:p>
        </w:tc>
        <w:tc>
          <w:tcPr>
            <w:tcW w:w="4830" w:type="dxa"/>
            <w:noWrap w:val="0"/>
            <w:vAlign w:val="center"/>
          </w:tcPr>
          <w:p>
            <w:pPr>
              <w:widowControl/>
              <w:snapToGrid w:val="0"/>
              <w:spacing w:line="360" w:lineRule="exact"/>
              <w:jc w:val="both"/>
              <w:rPr>
                <w:rFonts w:hint="eastAsia" w:ascii="宋体" w:hAnsi="宋体"/>
                <w:b w:val="0"/>
                <w:bCs w:val="0"/>
                <w:color w:val="auto"/>
                <w:kern w:val="2"/>
                <w:sz w:val="21"/>
                <w:szCs w:val="21"/>
                <w:lang w:val="en-US" w:eastAsia="zh-CN" w:bidi="ar-SA"/>
              </w:rPr>
            </w:pPr>
            <w:r>
              <w:rPr>
                <w:rFonts w:hint="eastAsia" w:ascii="宋体" w:hAnsi="宋体" w:eastAsia="新宋体"/>
                <w:spacing w:val="-10"/>
                <w:szCs w:val="18"/>
              </w:rPr>
              <w:t>了解有无颈部血管内膜增厚、斑块、狭窄等。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80" w:type="dxa"/>
            <w:vMerge w:val="continue"/>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p>
        </w:tc>
        <w:tc>
          <w:tcPr>
            <w:tcW w:w="625" w:type="dxa"/>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lang w:val="en-US" w:eastAsia="zh-CN"/>
              </w:rPr>
              <w:t>2</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kern w:val="2"/>
                <w:sz w:val="18"/>
                <w:szCs w:val="18"/>
                <w:lang w:val="en-US" w:eastAsia="zh-CN" w:bidi="ar-SA"/>
              </w:rPr>
            </w:pPr>
            <w:r>
              <w:rPr>
                <w:rFonts w:hint="eastAsia" w:ascii="宋体" w:hAnsi="宋体" w:eastAsia="新宋体" w:cs="Times New Roman"/>
                <w:spacing w:val="-10"/>
                <w:sz w:val="18"/>
                <w:szCs w:val="18"/>
                <w:lang w:val="en-US" w:eastAsia="zh-CN"/>
              </w:rPr>
              <w:t>心脏彩超</w:t>
            </w:r>
          </w:p>
        </w:tc>
        <w:tc>
          <w:tcPr>
            <w:tcW w:w="4830" w:type="dxa"/>
            <w:noWrap w:val="0"/>
            <w:vAlign w:val="center"/>
          </w:tcPr>
          <w:p>
            <w:pPr>
              <w:autoSpaceDN w:val="0"/>
              <w:snapToGrid w:val="0"/>
              <w:spacing w:line="300" w:lineRule="auto"/>
              <w:textAlignment w:val="bottom"/>
              <w:rPr>
                <w:rFonts w:hint="eastAsia" w:ascii="宋体" w:hAnsi="宋体"/>
                <w:b/>
                <w:color w:val="000000"/>
                <w:kern w:val="2"/>
                <w:sz w:val="24"/>
                <w:szCs w:val="24"/>
                <w:lang w:val="en-US" w:eastAsia="zh-CN" w:bidi="ar-SA"/>
              </w:rPr>
            </w:pPr>
            <w:r>
              <w:rPr>
                <w:rFonts w:hint="eastAsia" w:ascii="宋体" w:hAnsi="宋体" w:eastAsia="新宋体"/>
                <w:spacing w:val="-10"/>
                <w:szCs w:val="18"/>
              </w:rPr>
              <w:t>了解心脏结构，评价心功能。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4</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kern w:val="2"/>
                <w:sz w:val="18"/>
                <w:szCs w:val="18"/>
                <w:lang w:val="en-US" w:eastAsia="zh-CN" w:bidi="ar-SA"/>
              </w:rPr>
            </w:pPr>
            <w:r>
              <w:rPr>
                <w:rFonts w:hint="eastAsia" w:ascii="宋体" w:hAnsi="宋体" w:eastAsia="新宋体" w:cs="Times New Roman"/>
                <w:spacing w:val="-10"/>
                <w:sz w:val="18"/>
                <w:szCs w:val="18"/>
              </w:rPr>
              <w:t>四肢多普勒血流图检查</w:t>
            </w:r>
          </w:p>
        </w:tc>
        <w:tc>
          <w:tcPr>
            <w:tcW w:w="4830" w:type="dxa"/>
            <w:noWrap w:val="0"/>
            <w:vAlign w:val="center"/>
          </w:tcPr>
          <w:p>
            <w:pPr>
              <w:tabs>
                <w:tab w:val="left" w:pos="886"/>
              </w:tabs>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对四肢血管弹性、硬化程度及动脉管腔的阻塞程度进行综合评估。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noWrap w:val="0"/>
            <w:vAlign w:val="center"/>
          </w:tcPr>
          <w:p>
            <w:pPr>
              <w:widowControl/>
              <w:snapToGrid w:val="0"/>
              <w:spacing w:line="360" w:lineRule="exact"/>
              <w:jc w:val="both"/>
              <w:rPr>
                <w:rFonts w:hint="eastAsia" w:ascii="宋体" w:hAnsi="宋体" w:eastAsia="新宋体"/>
                <w:b w:val="0"/>
                <w:bCs w:val="0"/>
                <w:color w:val="auto"/>
                <w:kern w:val="2"/>
                <w:sz w:val="21"/>
                <w:szCs w:val="21"/>
                <w:lang w:val="en-US" w:eastAsia="zh-CN" w:bidi="ar-SA"/>
              </w:rPr>
            </w:pPr>
            <w:r>
              <w:rPr>
                <w:rFonts w:hint="eastAsia" w:ascii="宋体" w:hAnsi="宋体" w:eastAsia="新宋体"/>
                <w:spacing w:val="-10"/>
                <w:szCs w:val="18"/>
              </w:rPr>
              <w:t>幽门螺旋杆菌</w:t>
            </w:r>
            <w:r>
              <w:rPr>
                <w:rFonts w:hint="eastAsia" w:ascii="宋体" w:hAnsi="宋体" w:eastAsia="新宋体"/>
                <w:spacing w:val="-10"/>
                <w:szCs w:val="18"/>
                <w:lang w:eastAsia="zh-CN"/>
              </w:rPr>
              <w:t>检查</w:t>
            </w:r>
          </w:p>
        </w:tc>
        <w:tc>
          <w:tcPr>
            <w:tcW w:w="625" w:type="dxa"/>
            <w:noWrap w:val="0"/>
            <w:vAlign w:val="center"/>
          </w:tcPr>
          <w:p>
            <w:pPr>
              <w:adjustRightInd w:val="0"/>
              <w:snapToGrid w:val="0"/>
              <w:spacing w:line="400" w:lineRule="exact"/>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 xml:space="preserve">  1</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kern w:val="2"/>
                <w:sz w:val="18"/>
                <w:szCs w:val="18"/>
                <w:lang w:val="en-US" w:eastAsia="zh-CN" w:bidi="ar-SA"/>
              </w:rPr>
            </w:pPr>
            <w:r>
              <w:rPr>
                <w:rFonts w:hint="eastAsia" w:ascii="宋体" w:hAnsi="宋体" w:eastAsia="新宋体" w:cs="Times New Roman"/>
                <w:spacing w:val="-10"/>
                <w:sz w:val="18"/>
                <w:szCs w:val="18"/>
              </w:rPr>
              <w:t>C13尿素呼气试验</w:t>
            </w:r>
          </w:p>
        </w:tc>
        <w:tc>
          <w:tcPr>
            <w:tcW w:w="4830" w:type="dxa"/>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了解有无幽门螺旋杆菌的感染。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restart"/>
            <w:noWrap w:val="0"/>
            <w:vAlign w:val="center"/>
          </w:tcPr>
          <w:p>
            <w:pPr>
              <w:widowControl/>
              <w:snapToGrid w:val="0"/>
              <w:spacing w:line="360" w:lineRule="exact"/>
              <w:jc w:val="both"/>
              <w:rPr>
                <w:rFonts w:hint="eastAsia" w:ascii="宋体" w:hAnsi="宋体" w:eastAsia="新宋体"/>
                <w:spacing w:val="-10"/>
                <w:kern w:val="2"/>
                <w:sz w:val="21"/>
                <w:szCs w:val="18"/>
                <w:lang w:val="en-US" w:eastAsia="zh-CN" w:bidi="ar-SA"/>
              </w:rPr>
            </w:pPr>
            <w:r>
              <w:rPr>
                <w:rFonts w:hint="eastAsia" w:ascii="宋体" w:hAnsi="宋体" w:eastAsia="新宋体"/>
                <w:spacing w:val="-10"/>
                <w:szCs w:val="18"/>
                <w:lang w:eastAsia="zh-CN"/>
              </w:rPr>
              <w:t>肿瘤血液筛查</w:t>
            </w: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1</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甲胎蛋白(AFP)</w:t>
            </w:r>
          </w:p>
        </w:tc>
        <w:tc>
          <w:tcPr>
            <w:tcW w:w="4830" w:type="dxa"/>
            <w:noWrap w:val="0"/>
            <w:vAlign w:val="center"/>
          </w:tcPr>
          <w:p>
            <w:pPr>
              <w:adjustRightInd w:val="0"/>
              <w:snapToGrid w:val="0"/>
              <w:spacing w:line="400" w:lineRule="exact"/>
              <w:jc w:val="both"/>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原发性肝癌筛查。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2</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125)</w:t>
            </w:r>
            <w:r>
              <w:rPr>
                <w:rFonts w:hint="eastAsia" w:ascii="宋体" w:hAnsi="宋体" w:eastAsia="新宋体"/>
                <w:spacing w:val="-10"/>
                <w:sz w:val="18"/>
                <w:szCs w:val="18"/>
                <w:lang w:eastAsia="zh-CN"/>
              </w:rPr>
              <w:t>（女）</w:t>
            </w:r>
          </w:p>
        </w:tc>
        <w:tc>
          <w:tcPr>
            <w:tcW w:w="4830"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卵巢肿瘤筛查，早期预警或辅助诊断。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3</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199）</w:t>
            </w:r>
          </w:p>
        </w:tc>
        <w:tc>
          <w:tcPr>
            <w:tcW w:w="4830"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胰腺癌，胃、结直肠癌的筛查，早期预警或辅助诊断。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noWrap w:val="0"/>
            <w:vAlign w:val="center"/>
          </w:tcPr>
          <w:p>
            <w:pPr>
              <w:widowControl/>
              <w:snapToGrid w:val="0"/>
              <w:spacing w:line="360" w:lineRule="exact"/>
              <w:jc w:val="both"/>
              <w:rPr>
                <w:rFonts w:hint="eastAsia" w:ascii="宋体" w:hAnsi="宋体" w:eastAsia="宋体"/>
                <w:b w:val="0"/>
                <w:bCs w:val="0"/>
                <w:color w:val="auto"/>
                <w:kern w:val="2"/>
                <w:sz w:val="21"/>
                <w:szCs w:val="21"/>
                <w:lang w:val="en-US" w:eastAsia="zh-CN" w:bidi="ar-SA"/>
              </w:rPr>
            </w:pPr>
            <w:r>
              <w:rPr>
                <w:rFonts w:hint="eastAsia" w:ascii="宋体" w:hAnsi="宋体"/>
                <w:b w:val="0"/>
                <w:bCs w:val="0"/>
                <w:color w:val="auto"/>
                <w:szCs w:val="21"/>
                <w:lang w:eastAsia="zh-CN"/>
              </w:rPr>
              <w:t>妇科检查</w:t>
            </w: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lang w:val="en-US" w:eastAsia="zh-CN"/>
              </w:rPr>
              <w:t>1</w:t>
            </w:r>
          </w:p>
        </w:tc>
        <w:tc>
          <w:tcPr>
            <w:tcW w:w="2970" w:type="dxa"/>
            <w:noWrap w:val="0"/>
            <w:vAlign w:val="center"/>
          </w:tcPr>
          <w:p>
            <w:pPr>
              <w:adjustRightInd w:val="0"/>
              <w:snapToGrid w:val="0"/>
              <w:spacing w:line="240" w:lineRule="exact"/>
              <w:jc w:val="center"/>
              <w:rPr>
                <w:rFonts w:hint="eastAsia" w:ascii="宋体" w:hAnsi="宋体" w:eastAsia="新宋体"/>
                <w:spacing w:val="-10"/>
                <w:kern w:val="2"/>
                <w:sz w:val="21"/>
                <w:szCs w:val="18"/>
                <w:lang w:val="en-US" w:eastAsia="zh-CN" w:bidi="ar-SA"/>
              </w:rPr>
            </w:pPr>
            <w:r>
              <w:rPr>
                <w:rFonts w:hint="eastAsia" w:ascii="宋体" w:hAnsi="宋体" w:eastAsia="新宋体"/>
                <w:spacing w:val="-10"/>
                <w:sz w:val="18"/>
                <w:szCs w:val="18"/>
              </w:rPr>
              <w:t>人乳头瘤状病毒DNA(妇科HPV)</w:t>
            </w:r>
            <w:r>
              <w:rPr>
                <w:rFonts w:hint="eastAsia" w:ascii="宋体" w:hAnsi="宋体" w:eastAsia="新宋体"/>
                <w:spacing w:val="-10"/>
                <w:sz w:val="18"/>
                <w:szCs w:val="18"/>
                <w:lang w:eastAsia="zh-CN"/>
              </w:rPr>
              <w:t>（女）</w:t>
            </w:r>
          </w:p>
        </w:tc>
        <w:tc>
          <w:tcPr>
            <w:tcW w:w="4830" w:type="dxa"/>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确定有无人乳头状瘤病毒感染及类型。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080" w:type="dxa"/>
            <w:noWrap w:val="0"/>
            <w:vAlign w:val="center"/>
          </w:tcPr>
          <w:p>
            <w:pPr>
              <w:jc w:val="center"/>
              <w:rPr>
                <w:rFonts w:hint="eastAsia" w:ascii="宋体" w:hAnsi="宋体"/>
                <w:b/>
                <w:sz w:val="24"/>
              </w:rPr>
            </w:pPr>
            <w:r>
              <w:rPr>
                <w:rFonts w:hint="eastAsia" w:ascii="宋体" w:hAnsi="宋体"/>
                <w:b/>
                <w:sz w:val="24"/>
              </w:rPr>
              <w:t>体</w:t>
            </w:r>
          </w:p>
          <w:p>
            <w:pPr>
              <w:jc w:val="center"/>
              <w:rPr>
                <w:rFonts w:hint="eastAsia" w:ascii="宋体" w:hAnsi="宋体"/>
                <w:b/>
                <w:sz w:val="24"/>
              </w:rPr>
            </w:pPr>
            <w:r>
              <w:rPr>
                <w:rFonts w:hint="eastAsia" w:ascii="宋体" w:hAnsi="宋体"/>
                <w:b/>
                <w:sz w:val="24"/>
              </w:rPr>
              <w:t>检</w:t>
            </w:r>
          </w:p>
          <w:p>
            <w:pPr>
              <w:jc w:val="center"/>
              <w:rPr>
                <w:rFonts w:hint="eastAsia" w:ascii="宋体" w:hAnsi="宋体"/>
                <w:b/>
                <w:sz w:val="24"/>
                <w:lang w:eastAsia="zh-CN"/>
              </w:rPr>
            </w:pPr>
            <w:r>
              <w:rPr>
                <w:rFonts w:hint="eastAsia" w:ascii="宋体" w:hAnsi="宋体"/>
                <w:b/>
                <w:sz w:val="24"/>
                <w:lang w:eastAsia="zh-CN"/>
              </w:rPr>
              <w:t>特</w:t>
            </w:r>
          </w:p>
          <w:p>
            <w:pPr>
              <w:jc w:val="center"/>
              <w:rPr>
                <w:rFonts w:hint="eastAsia" w:ascii="宋体" w:hAnsi="宋体" w:eastAsia="宋体"/>
                <w:b/>
                <w:sz w:val="24"/>
                <w:lang w:eastAsia="zh-CN"/>
              </w:rPr>
            </w:pPr>
            <w:r>
              <w:rPr>
                <w:rFonts w:hint="eastAsia" w:ascii="宋体" w:hAnsi="宋体"/>
                <w:b/>
                <w:sz w:val="24"/>
                <w:lang w:eastAsia="zh-CN"/>
              </w:rPr>
              <w:t>色</w:t>
            </w:r>
          </w:p>
          <w:p>
            <w:pPr>
              <w:jc w:val="center"/>
              <w:rPr>
                <w:rFonts w:hint="eastAsia" w:ascii="宋体" w:hAnsi="宋体"/>
                <w:b/>
                <w:sz w:val="24"/>
              </w:rPr>
            </w:pPr>
            <w:r>
              <w:rPr>
                <w:rFonts w:hint="eastAsia" w:ascii="宋体" w:hAnsi="宋体"/>
                <w:b/>
                <w:sz w:val="24"/>
              </w:rPr>
              <w:t>服</w:t>
            </w:r>
          </w:p>
          <w:p>
            <w:pPr>
              <w:autoSpaceDN w:val="0"/>
              <w:snapToGrid w:val="0"/>
              <w:spacing w:line="360" w:lineRule="exact"/>
              <w:jc w:val="center"/>
              <w:textAlignment w:val="center"/>
              <w:rPr>
                <w:rFonts w:hint="eastAsia" w:ascii="宋体" w:hAnsi="宋体"/>
                <w:b/>
                <w:szCs w:val="21"/>
              </w:rPr>
            </w:pPr>
            <w:r>
              <w:rPr>
                <w:rFonts w:hint="eastAsia" w:ascii="宋体" w:hAnsi="宋体"/>
                <w:b/>
                <w:sz w:val="24"/>
              </w:rPr>
              <w:t>务</w:t>
            </w:r>
          </w:p>
        </w:tc>
        <w:tc>
          <w:tcPr>
            <w:tcW w:w="8425" w:type="dxa"/>
            <w:gridSpan w:val="3"/>
            <w:noWrap w:val="0"/>
            <w:vAlign w:val="center"/>
          </w:tcPr>
          <w:p>
            <w:pPr>
              <w:spacing w:line="360" w:lineRule="auto"/>
              <w:rPr>
                <w:rFonts w:ascii="宋体" w:hAnsi="宋体"/>
                <w:sz w:val="24"/>
              </w:rPr>
            </w:pPr>
            <w:r>
              <w:rPr>
                <w:rFonts w:hint="eastAsia" w:ascii="宋体" w:hAnsi="宋体"/>
                <w:sz w:val="24"/>
              </w:rPr>
              <w:t>1、提供免费营养早餐；</w:t>
            </w:r>
          </w:p>
          <w:p>
            <w:pPr>
              <w:spacing w:line="360" w:lineRule="auto"/>
              <w:rPr>
                <w:rFonts w:hint="eastAsia" w:ascii="宋体" w:hAnsi="宋体"/>
                <w:sz w:val="24"/>
              </w:rPr>
            </w:pPr>
            <w:r>
              <w:rPr>
                <w:rFonts w:hint="eastAsia" w:ascii="宋体" w:hAnsi="宋体"/>
                <w:sz w:val="24"/>
              </w:rPr>
              <w:t>2、建立健康档案，并向单位提供电子版体检信息；</w:t>
            </w:r>
          </w:p>
          <w:p>
            <w:pPr>
              <w:spacing w:line="360" w:lineRule="auto"/>
              <w:rPr>
                <w:rFonts w:hint="eastAsia" w:ascii="宋体" w:hAnsi="宋体"/>
                <w:sz w:val="24"/>
              </w:rPr>
            </w:pPr>
            <w:r>
              <w:rPr>
                <w:rFonts w:hint="eastAsia" w:ascii="宋体" w:hAnsi="宋体"/>
                <w:sz w:val="24"/>
              </w:rPr>
              <w:t>3、实施体检后24-48小时重大疾病通报制度；</w:t>
            </w:r>
          </w:p>
          <w:p>
            <w:pPr>
              <w:spacing w:line="360" w:lineRule="auto"/>
              <w:rPr>
                <w:rFonts w:hint="eastAsia" w:ascii="宋体" w:hAnsi="宋体"/>
                <w:sz w:val="24"/>
              </w:rPr>
            </w:pPr>
            <w:r>
              <w:rPr>
                <w:rFonts w:hint="eastAsia" w:ascii="宋体" w:hAnsi="宋体"/>
                <w:sz w:val="24"/>
              </w:rPr>
              <w:t>4、开通就诊绿色通道，为检出患者预约挂号就诊；</w:t>
            </w:r>
          </w:p>
          <w:p>
            <w:pPr>
              <w:autoSpaceDN w:val="0"/>
              <w:snapToGrid w:val="0"/>
              <w:spacing w:line="360" w:lineRule="auto"/>
              <w:textAlignment w:val="bottom"/>
              <w:rPr>
                <w:rFonts w:hint="eastAsia" w:ascii="宋体" w:hAnsi="宋体"/>
                <w:sz w:val="24"/>
              </w:rPr>
            </w:pPr>
            <w:r>
              <w:rPr>
                <w:rFonts w:hint="eastAsia" w:ascii="宋体" w:hAnsi="宋体"/>
                <w:sz w:val="24"/>
              </w:rPr>
              <w:t>5、提供免费检后咨询及健康教育服务，针对团体体检的高发疾病、常见疾病开展健康讲座。</w:t>
            </w:r>
          </w:p>
        </w:tc>
      </w:tr>
    </w:tbl>
    <w:p>
      <w:pPr>
        <w:spacing w:line="440" w:lineRule="exact"/>
        <w:ind w:firstLine="474" w:firstLineChars="200"/>
        <w:rPr>
          <w:rFonts w:hint="eastAsia" w:ascii="宋体" w:hAnsi="宋体"/>
          <w:b/>
          <w:bCs/>
          <w:spacing w:val="-2"/>
          <w:sz w:val="24"/>
          <w:szCs w:val="24"/>
        </w:rPr>
      </w:pPr>
    </w:p>
    <w:p>
      <w:pPr>
        <w:spacing w:line="440" w:lineRule="exact"/>
        <w:ind w:firstLine="474" w:firstLineChars="200"/>
        <w:rPr>
          <w:rFonts w:hint="eastAsia" w:ascii="宋体" w:hAnsi="宋体"/>
          <w:b/>
          <w:bCs/>
          <w:spacing w:val="-2"/>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pacing w:val="-20"/>
          <w:sz w:val="32"/>
          <w:szCs w:val="32"/>
          <w:lang w:val="en-US" w:eastAsia="zh-CN"/>
        </w:rPr>
      </w:pPr>
    </w:p>
    <w:p>
      <w:pPr>
        <w:spacing w:line="440" w:lineRule="exact"/>
        <w:ind w:firstLine="474" w:firstLineChars="200"/>
        <w:rPr>
          <w:rFonts w:hint="eastAsia" w:ascii="宋体" w:hAnsi="宋体"/>
          <w:b/>
          <w:bCs/>
          <w:spacing w:val="-2"/>
          <w:sz w:val="24"/>
          <w:szCs w:val="24"/>
        </w:rPr>
      </w:pPr>
      <w:r>
        <w:rPr>
          <w:rFonts w:hint="eastAsia" w:ascii="宋体" w:hAnsi="宋体"/>
          <w:b/>
          <w:bCs/>
          <w:spacing w:val="-2"/>
          <w:sz w:val="24"/>
          <w:szCs w:val="24"/>
        </w:rPr>
        <w:t>备注：</w:t>
      </w:r>
    </w:p>
    <w:p>
      <w:pPr>
        <w:spacing w:line="440" w:lineRule="exact"/>
        <w:ind w:firstLine="474" w:firstLineChars="200"/>
        <w:rPr>
          <w:rFonts w:hint="eastAsia" w:ascii="宋体" w:hAnsi="宋体"/>
          <w:b/>
          <w:bCs/>
          <w:spacing w:val="-2"/>
          <w:sz w:val="24"/>
          <w:szCs w:val="24"/>
        </w:rPr>
      </w:pPr>
      <w:r>
        <w:rPr>
          <w:rFonts w:hint="eastAsia" w:ascii="宋体" w:hAnsi="宋体"/>
          <w:b/>
          <w:bCs/>
          <w:spacing w:val="-2"/>
          <w:sz w:val="24"/>
          <w:szCs w:val="24"/>
        </w:rPr>
        <w:t>1、以实际体检人数为准；</w:t>
      </w:r>
    </w:p>
    <w:p>
      <w:pPr>
        <w:spacing w:line="440" w:lineRule="exact"/>
        <w:ind w:firstLine="474" w:firstLineChars="200"/>
        <w:rPr>
          <w:rFonts w:hint="eastAsia" w:ascii="宋体" w:hAnsi="宋体"/>
          <w:b/>
          <w:bCs/>
          <w:spacing w:val="-2"/>
          <w:sz w:val="24"/>
          <w:szCs w:val="24"/>
        </w:rPr>
      </w:pPr>
      <w:r>
        <w:rPr>
          <w:rFonts w:hint="eastAsia" w:ascii="宋体" w:hAnsi="宋体"/>
          <w:b/>
          <w:bCs/>
          <w:spacing w:val="-2"/>
          <w:sz w:val="24"/>
          <w:szCs w:val="24"/>
        </w:rPr>
        <w:t>2、要求：一站式服务，医患分开，具有体检后健康跟踪、干预、治疗能力的体检医院；</w:t>
      </w:r>
    </w:p>
    <w:p>
      <w:pPr>
        <w:spacing w:line="440" w:lineRule="exact"/>
        <w:ind w:firstLine="474" w:firstLineChars="200"/>
        <w:rPr>
          <w:rFonts w:hint="eastAsia" w:ascii="宋体" w:hAnsi="宋体"/>
          <w:b/>
          <w:bCs/>
          <w:spacing w:val="-2"/>
          <w:sz w:val="24"/>
          <w:szCs w:val="24"/>
          <w:lang w:val="en-US" w:eastAsia="zh-CN"/>
        </w:rPr>
      </w:pPr>
      <w:r>
        <w:rPr>
          <w:rFonts w:hint="eastAsia" w:ascii="宋体" w:hAnsi="宋体"/>
          <w:b/>
          <w:bCs/>
          <w:spacing w:val="-2"/>
          <w:sz w:val="24"/>
          <w:szCs w:val="24"/>
          <w:lang w:val="en-US" w:eastAsia="zh-CN"/>
        </w:rPr>
        <w:t>3、</w:t>
      </w:r>
      <w:r>
        <w:rPr>
          <w:rFonts w:hint="eastAsia" w:ascii="宋体" w:hAnsi="宋体"/>
          <w:b/>
          <w:bCs/>
          <w:spacing w:val="-2"/>
          <w:sz w:val="24"/>
          <w:szCs w:val="24"/>
        </w:rPr>
        <w:t>除保证做好相关体检的服务工作以外，还要完成好我区安排的各项防病、应急工作以及我区干部（职工）及家属的门诊、住院等诊疗服务工作。</w:t>
      </w:r>
    </w:p>
    <w:p>
      <w:pPr>
        <w:pStyle w:val="21"/>
      </w:pPr>
    </w:p>
    <w:p>
      <w:pPr>
        <w:rPr>
          <w:rFonts w:hint="eastAsia" w:ascii="宋体" w:hAnsi="宋体" w:cs="宋体"/>
          <w:w w:val="90"/>
        </w:rPr>
      </w:pPr>
      <w:bookmarkStart w:id="85" w:name="_Toc44704906"/>
      <w:bookmarkStart w:id="86" w:name="_Toc44705274"/>
      <w:bookmarkStart w:id="87" w:name="_Toc44705053"/>
      <w:r>
        <w:rPr>
          <w:rFonts w:hint="eastAsia" w:ascii="宋体" w:hAnsi="宋体" w:cs="宋体"/>
          <w:w w:val="90"/>
        </w:rPr>
        <w:br w:type="page"/>
      </w:r>
    </w:p>
    <w:p>
      <w:pPr>
        <w:pStyle w:val="3"/>
        <w:spacing w:before="1680" w:beforeLines="700" w:after="0" w:line="360" w:lineRule="auto"/>
        <w:jc w:val="center"/>
        <w:rPr>
          <w:rFonts w:hint="eastAsia" w:ascii="宋体" w:hAnsi="宋体" w:cs="宋体"/>
          <w:w w:val="90"/>
        </w:rPr>
      </w:pPr>
    </w:p>
    <w:p>
      <w:pPr>
        <w:pStyle w:val="3"/>
        <w:spacing w:before="1680" w:beforeLines="700" w:after="0" w:line="360" w:lineRule="auto"/>
        <w:jc w:val="center"/>
        <w:rPr>
          <w:rFonts w:hint="eastAsia" w:ascii="宋体" w:hAnsi="宋体" w:cs="宋体"/>
          <w:w w:val="90"/>
        </w:rPr>
      </w:pPr>
    </w:p>
    <w:p>
      <w:pPr>
        <w:pStyle w:val="3"/>
        <w:spacing w:before="1680" w:beforeLines="700" w:after="0" w:line="360" w:lineRule="auto"/>
        <w:jc w:val="center"/>
        <w:rPr>
          <w:rFonts w:hint="eastAsia" w:ascii="宋体" w:hAnsi="宋体" w:cs="宋体"/>
          <w:w w:val="90"/>
        </w:rPr>
      </w:pPr>
    </w:p>
    <w:p>
      <w:pPr>
        <w:pStyle w:val="3"/>
        <w:spacing w:before="1680" w:beforeLines="700" w:after="0" w:line="360" w:lineRule="auto"/>
        <w:jc w:val="center"/>
        <w:rPr>
          <w:rFonts w:ascii="宋体" w:cs="宋体"/>
          <w:w w:val="90"/>
          <w:sz w:val="36"/>
        </w:rPr>
        <w:sectPr>
          <w:headerReference r:id="rId7" w:type="default"/>
          <w:footerReference r:id="rId8" w:type="default"/>
          <w:pgSz w:w="11907" w:h="16840"/>
          <w:pgMar w:top="1440" w:right="1469" w:bottom="1440" w:left="1622"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w w:val="90"/>
        </w:rPr>
        <w:t>第六章</w:t>
      </w:r>
      <w:r>
        <w:rPr>
          <w:rFonts w:ascii="宋体" w:hAnsi="宋体" w:cs="宋体"/>
          <w:w w:val="90"/>
        </w:rPr>
        <w:t xml:space="preserve"> </w:t>
      </w:r>
      <w:r>
        <w:rPr>
          <w:rFonts w:hint="eastAsia" w:ascii="宋体" w:hAnsi="宋体" w:cs="宋体"/>
          <w:w w:val="90"/>
        </w:rPr>
        <w:t>评标方法及评标标</w:t>
      </w:r>
      <w:bookmarkEnd w:id="83"/>
      <w:bookmarkEnd w:id="84"/>
      <w:r>
        <w:rPr>
          <w:rFonts w:hint="eastAsia" w:ascii="宋体" w:hAnsi="宋体" w:cs="宋体"/>
          <w:w w:val="90"/>
        </w:rPr>
        <w:t>准</w:t>
      </w:r>
      <w:bookmarkEnd w:id="85"/>
      <w:bookmarkEnd w:id="86"/>
      <w:bookmarkEnd w:id="87"/>
    </w:p>
    <w:p>
      <w:pPr>
        <w:spacing w:line="360" w:lineRule="auto"/>
        <w:ind w:firstLine="480" w:firstLineChars="200"/>
        <w:jc w:val="left"/>
        <w:rPr>
          <w:rFonts w:ascii="宋体" w:cs="宋体"/>
          <w:szCs w:val="21"/>
        </w:rPr>
      </w:pPr>
      <w:r>
        <w:rPr>
          <w:rFonts w:hint="eastAsia" w:ascii="宋体" w:hAnsi="宋体" w:cs="宋体"/>
          <w:sz w:val="24"/>
          <w:szCs w:val="24"/>
        </w:rPr>
        <w:t>采购项目开标结束后，采购人或者采购代理机构将依法对投标人的资格进行审查。审查记录表如下：</w:t>
      </w:r>
    </w:p>
    <w:tbl>
      <w:tblPr>
        <w:tblStyle w:val="47"/>
        <w:tblW w:w="9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4105"/>
        <w:gridCol w:w="2977"/>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568" w:type="dxa"/>
            <w:vMerge w:val="restart"/>
            <w:tcBorders>
              <w:top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hint="eastAsia" w:ascii="宋体" w:hAnsi="宋体" w:cs="宋体"/>
                <w:sz w:val="24"/>
                <w:szCs w:val="24"/>
              </w:rPr>
              <w:t>序号</w:t>
            </w:r>
          </w:p>
        </w:tc>
        <w:tc>
          <w:tcPr>
            <w:tcW w:w="4105" w:type="dxa"/>
            <w:vMerge w:val="restart"/>
            <w:tcBorders>
              <w:top w:val="single" w:color="auto" w:sz="4" w:space="0"/>
              <w:left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hint="eastAsia" w:ascii="宋体" w:hAnsi="宋体" w:cs="宋体"/>
                <w:sz w:val="24"/>
                <w:szCs w:val="24"/>
              </w:rPr>
              <w:t>审查因素</w:t>
            </w:r>
          </w:p>
        </w:tc>
        <w:tc>
          <w:tcPr>
            <w:tcW w:w="2977" w:type="dxa"/>
            <w:vMerge w:val="restart"/>
            <w:tcBorders>
              <w:top w:val="single" w:color="auto" w:sz="4" w:space="0"/>
              <w:left w:val="single" w:color="auto" w:sz="4" w:space="0"/>
              <w:bottom w:val="single" w:color="auto" w:sz="4" w:space="0"/>
            </w:tcBorders>
            <w:vAlign w:val="center"/>
          </w:tcPr>
          <w:p>
            <w:pPr>
              <w:widowControl/>
              <w:spacing w:line="360" w:lineRule="auto"/>
              <w:jc w:val="center"/>
              <w:rPr>
                <w:rFonts w:ascii="宋体" w:cs="宋体"/>
                <w:sz w:val="24"/>
                <w:szCs w:val="24"/>
              </w:rPr>
            </w:pPr>
            <w:r>
              <w:rPr>
                <w:rFonts w:hint="eastAsia" w:ascii="宋体" w:hAnsi="宋体" w:cs="宋体"/>
                <w:sz w:val="24"/>
                <w:szCs w:val="24"/>
              </w:rPr>
              <w:t>审查标准</w:t>
            </w:r>
          </w:p>
        </w:tc>
        <w:tc>
          <w:tcPr>
            <w:tcW w:w="1449" w:type="dxa"/>
            <w:gridSpan w:val="3"/>
            <w:tcBorders>
              <w:top w:val="single" w:color="auto" w:sz="4" w:space="0"/>
              <w:left w:val="single" w:color="auto" w:sz="4" w:space="0"/>
              <w:bottom w:val="single" w:color="auto" w:sz="4" w:space="0"/>
            </w:tcBorders>
            <w:vAlign w:val="center"/>
          </w:tcPr>
          <w:p>
            <w:pPr>
              <w:widowControl/>
              <w:spacing w:line="360" w:lineRule="auto"/>
              <w:jc w:val="center"/>
              <w:rPr>
                <w:rFonts w:ascii="宋体" w:cs="宋体"/>
                <w:sz w:val="24"/>
                <w:szCs w:val="24"/>
              </w:rPr>
            </w:pPr>
            <w:r>
              <w:rPr>
                <w:rFonts w:hint="eastAsia" w:ascii="宋体" w:hAnsi="宋体" w:cs="宋体"/>
                <w:sz w:val="24"/>
                <w:szCs w:val="24"/>
              </w:rPr>
              <w:t>投标人名称及审查意见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jc w:val="center"/>
        </w:trPr>
        <w:tc>
          <w:tcPr>
            <w:tcW w:w="568" w:type="dxa"/>
            <w:vMerge w:val="continue"/>
            <w:tcBorders>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p>
        </w:tc>
        <w:tc>
          <w:tcPr>
            <w:tcW w:w="4105"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ascii="宋体" w:hAnsi="宋体" w:cs="宋体"/>
                <w:sz w:val="24"/>
                <w:szCs w:val="24"/>
              </w:rPr>
              <w:t>1</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szCs w:val="24"/>
              </w:rPr>
            </w:pPr>
            <w:r>
              <w:rPr>
                <w:rFonts w:hint="eastAsia" w:ascii="宋体" w:hAnsi="宋体" w:cs="宋体"/>
                <w:sz w:val="24"/>
                <w:szCs w:val="24"/>
              </w:rPr>
              <w:t>具有独立承担民事责任的能力</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1.1</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ascii="宋体" w:hAnsi="宋体" w:cs="宋体"/>
                <w:sz w:val="24"/>
                <w:szCs w:val="24"/>
              </w:rPr>
              <w:t>2</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szCs w:val="24"/>
              </w:rPr>
            </w:pPr>
            <w:r>
              <w:rPr>
                <w:rFonts w:hint="eastAsia" w:ascii="宋体" w:hAnsi="宋体" w:cs="宋体"/>
                <w:sz w:val="24"/>
                <w:szCs w:val="24"/>
              </w:rPr>
              <w:t>具有良好的商业信誉和健全的财务会计制度</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1.2</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ascii="宋体" w:hAnsi="宋体" w:cs="宋体"/>
                <w:sz w:val="24"/>
                <w:szCs w:val="24"/>
              </w:rPr>
              <w:t>3</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szCs w:val="24"/>
              </w:rPr>
            </w:pPr>
            <w:r>
              <w:rPr>
                <w:rFonts w:hint="eastAsia" w:ascii="宋体" w:hAnsi="宋体" w:cs="宋体"/>
                <w:color w:val="000000"/>
                <w:sz w:val="24"/>
                <w:szCs w:val="24"/>
              </w:rPr>
              <w:t>具有履行合同所必需的设备和专业技术能力</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1.3</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ascii="宋体" w:hAnsi="宋体" w:cs="宋体"/>
                <w:sz w:val="24"/>
                <w:szCs w:val="24"/>
              </w:rPr>
              <w:t>4</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szCs w:val="24"/>
              </w:rPr>
            </w:pPr>
            <w:r>
              <w:rPr>
                <w:rFonts w:hint="eastAsia" w:ascii="宋体" w:hAnsi="宋体" w:cs="宋体"/>
                <w:color w:val="000000"/>
                <w:kern w:val="0"/>
                <w:sz w:val="24"/>
                <w:szCs w:val="24"/>
                <w:lang w:val="zh-CN"/>
              </w:rPr>
              <w:t>有依法缴纳税收和社会保障资金的良好记录</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1.4</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5</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bookmarkStart w:id="88" w:name="OLE_LINK5"/>
            <w:r>
              <w:rPr>
                <w:rFonts w:hint="eastAsia" w:ascii="宋体" w:hAnsi="宋体" w:cs="宋体"/>
                <w:color w:val="000000"/>
                <w:sz w:val="24"/>
                <w:szCs w:val="24"/>
              </w:rPr>
              <w:t>参加政府采购活动前三年内，在经营活动中没有重大违法记录</w:t>
            </w:r>
            <w:bookmarkEnd w:id="88"/>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1.5</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6</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r>
              <w:rPr>
                <w:rFonts w:hint="eastAsia" w:ascii="宋体" w:hAnsi="宋体" w:cs="宋体"/>
                <w:color w:val="000000"/>
                <w:sz w:val="24"/>
                <w:szCs w:val="24"/>
              </w:rPr>
              <w:t>符合招标文件第二章“投标人须知前附表”</w:t>
            </w:r>
            <w:r>
              <w:rPr>
                <w:rFonts w:ascii="宋体" w:hAnsi="宋体" w:cs="宋体"/>
                <w:color w:val="000000"/>
                <w:sz w:val="24"/>
                <w:szCs w:val="24"/>
              </w:rPr>
              <w:t>15.1</w:t>
            </w:r>
            <w:r>
              <w:rPr>
                <w:rFonts w:hint="eastAsia" w:ascii="宋体" w:hAnsi="宋体" w:cs="宋体"/>
                <w:color w:val="000000"/>
                <w:sz w:val="24"/>
                <w:szCs w:val="24"/>
              </w:rPr>
              <w:t>中第</w:t>
            </w:r>
            <w:r>
              <w:rPr>
                <w:rFonts w:ascii="宋体" w:hAnsi="宋体" w:cs="宋体"/>
                <w:color w:val="000000"/>
                <w:sz w:val="24"/>
                <w:szCs w:val="24"/>
              </w:rPr>
              <w:t>2</w:t>
            </w:r>
            <w:r>
              <w:rPr>
                <w:rFonts w:hint="eastAsia" w:ascii="宋体" w:hAnsi="宋体" w:cs="宋体"/>
                <w:color w:val="000000"/>
                <w:sz w:val="24"/>
                <w:szCs w:val="24"/>
              </w:rPr>
              <w:t>条的证明材料</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1.6</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7</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ascii="宋体" w:hAnsi="宋体" w:cs="宋体"/>
                <w:color w:val="000000"/>
                <w:sz w:val="24"/>
                <w:szCs w:val="24"/>
              </w:rPr>
              <w:t>符合招标文件第二章“投标人须知前附表”15.1中第3条的证明材料：</w:t>
            </w:r>
            <w:r>
              <w:rPr>
                <w:rFonts w:hint="eastAsia" w:ascii="宋体" w:hAnsi="宋体" w:cs="宋体"/>
                <w:color w:val="000000"/>
                <w:sz w:val="24"/>
                <w:szCs w:val="24"/>
                <w:u w:val="single"/>
              </w:rPr>
              <w:t>具有</w:t>
            </w:r>
            <w:r>
              <w:rPr>
                <w:rFonts w:hint="eastAsia" w:ascii="宋体" w:hAnsi="宋体" w:cs="宋体"/>
                <w:color w:val="000000"/>
                <w:sz w:val="24"/>
                <w:szCs w:val="24"/>
                <w:u w:val="single"/>
                <w:lang w:eastAsia="zh-CN"/>
              </w:rPr>
              <w:t>有效三级甲等综合医院资质</w:t>
            </w:r>
            <w:r>
              <w:rPr>
                <w:rFonts w:hint="eastAsia" w:ascii="宋体" w:hAnsi="宋体" w:cs="宋体"/>
                <w:color w:val="000000"/>
                <w:sz w:val="24"/>
                <w:szCs w:val="24"/>
                <w:u w:val="single"/>
              </w:rPr>
              <w:t>。</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bookmarkStart w:id="89" w:name="OLE_LINK4"/>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1.7</w:t>
            </w:r>
            <w:r>
              <w:rPr>
                <w:rFonts w:hint="eastAsia" w:ascii="宋体" w:hAnsi="宋体" w:cs="宋体"/>
                <w:color w:val="000000"/>
                <w:sz w:val="24"/>
                <w:szCs w:val="24"/>
              </w:rPr>
              <w:t>项要求</w:t>
            </w:r>
            <w:bookmarkEnd w:id="89"/>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8</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r>
              <w:rPr>
                <w:rFonts w:hint="eastAsia" w:ascii="宋体" w:hAnsi="宋体" w:cs="宋体"/>
                <w:color w:val="000000"/>
                <w:sz w:val="24"/>
                <w:szCs w:val="24"/>
              </w:rPr>
              <w:t>投标承诺书</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1.8</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9</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r>
              <w:rPr>
                <w:rFonts w:hint="eastAsia" w:ascii="宋体" w:hAnsi="宋体" w:cs="宋体"/>
                <w:color w:val="000000"/>
                <w:sz w:val="24"/>
                <w:szCs w:val="22"/>
              </w:rPr>
              <w:t>投标保证金凭证</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1.9</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7650" w:type="dxa"/>
            <w:gridSpan w:val="3"/>
            <w:tcBorders>
              <w:top w:val="single" w:color="auto" w:sz="4" w:space="0"/>
              <w:bottom w:val="single" w:color="auto" w:sz="4" w:space="0"/>
              <w:right w:val="single" w:color="auto" w:sz="4" w:space="0"/>
            </w:tcBorders>
          </w:tcPr>
          <w:p>
            <w:pPr>
              <w:spacing w:before="60" w:beforeLines="25" w:after="60" w:afterLines="25" w:line="360" w:lineRule="auto"/>
              <w:jc w:val="center"/>
              <w:rPr>
                <w:rFonts w:ascii="宋体" w:cs="宋体"/>
                <w:b/>
                <w:color w:val="000000"/>
                <w:sz w:val="24"/>
                <w:szCs w:val="24"/>
              </w:rPr>
            </w:pPr>
            <w:r>
              <w:rPr>
                <w:rFonts w:hint="eastAsia" w:ascii="宋体" w:hAnsi="宋体" w:cs="宋体"/>
                <w:b/>
                <w:color w:val="000000"/>
                <w:sz w:val="24"/>
                <w:szCs w:val="24"/>
              </w:rPr>
              <w:t>资格审查结论</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bl>
    <w:p>
      <w:pPr>
        <w:spacing w:line="360" w:lineRule="auto"/>
        <w:ind w:left="809" w:right="685" w:rightChars="326" w:hanging="808" w:hangingChars="337"/>
        <w:rPr>
          <w:rFonts w:ascii="宋体" w:cs="宋体"/>
          <w:b/>
          <w:sz w:val="30"/>
          <w:szCs w:val="30"/>
        </w:rPr>
      </w:pPr>
      <w:r>
        <w:rPr>
          <w:rFonts w:hint="eastAsia" w:ascii="宋体" w:hAnsi="宋体" w:cs="宋体"/>
          <w:sz w:val="24"/>
          <w:szCs w:val="24"/>
        </w:rPr>
        <w:t>说明：采购人或者采购代理机构对投标人提交的资格证明材料进行审查，并在对应的审查意见一栏记录审查意见：通过资格审查标注为√；未通过资格审查标注为×。未通过资格审查的投标不进入详细评审。</w:t>
      </w:r>
    </w:p>
    <w:p>
      <w:pPr>
        <w:widowControl/>
        <w:jc w:val="left"/>
        <w:rPr>
          <w:rFonts w:ascii="宋体" w:cs="宋体"/>
          <w:b/>
          <w:sz w:val="30"/>
          <w:szCs w:val="30"/>
        </w:rPr>
      </w:pPr>
      <w:r>
        <w:rPr>
          <w:rFonts w:ascii="宋体" w:cs="宋体"/>
          <w:b/>
          <w:sz w:val="30"/>
          <w:szCs w:val="30"/>
        </w:rPr>
        <w:br w:type="page"/>
      </w:r>
    </w:p>
    <w:p>
      <w:pPr>
        <w:pStyle w:val="4"/>
        <w:spacing w:line="288" w:lineRule="auto"/>
        <w:rPr>
          <w:rFonts w:ascii="宋体" w:hAnsi="宋体" w:eastAsia="宋体" w:cs="宋体"/>
          <w:sz w:val="36"/>
          <w:szCs w:val="24"/>
        </w:rPr>
      </w:pPr>
      <w:bookmarkStart w:id="90" w:name="_Toc44705275"/>
      <w:bookmarkStart w:id="91" w:name="_Toc44704907"/>
      <w:bookmarkStart w:id="92" w:name="_Toc44705054"/>
      <w:r>
        <w:rPr>
          <w:rFonts w:hint="eastAsia" w:ascii="宋体" w:hAnsi="宋体" w:eastAsia="宋体" w:cs="宋体"/>
          <w:sz w:val="36"/>
          <w:szCs w:val="24"/>
        </w:rPr>
        <w:t>第一部分：评标方法</w:t>
      </w:r>
      <w:bookmarkEnd w:id="90"/>
      <w:bookmarkEnd w:id="91"/>
      <w:bookmarkEnd w:id="92"/>
    </w:p>
    <w:p>
      <w:pPr>
        <w:spacing w:line="360" w:lineRule="auto"/>
        <w:ind w:firstLine="480"/>
        <w:rPr>
          <w:rFonts w:ascii="宋体" w:cs="宋体"/>
          <w:sz w:val="24"/>
          <w:szCs w:val="24"/>
        </w:rPr>
      </w:pPr>
      <w:r>
        <w:rPr>
          <w:rFonts w:hint="eastAsia" w:ascii="宋体" w:hAnsi="宋体" w:cs="宋体"/>
          <w:sz w:val="24"/>
          <w:szCs w:val="24"/>
        </w:rPr>
        <w:t>本项目采用综合评分法（是指投标文件满足招标文件全部实质性要求，且按照评审因素的量化指标评审得分最高的投标人为中标候选人的评标方法），总分</w:t>
      </w:r>
      <w:r>
        <w:rPr>
          <w:rFonts w:ascii="宋体" w:hAnsi="宋体" w:cs="宋体"/>
          <w:sz w:val="24"/>
          <w:szCs w:val="24"/>
        </w:rPr>
        <w:t>100</w:t>
      </w:r>
      <w:r>
        <w:rPr>
          <w:rFonts w:hint="eastAsia" w:ascii="宋体" w:hAnsi="宋体" w:cs="宋体"/>
          <w:sz w:val="24"/>
          <w:szCs w:val="24"/>
        </w:rPr>
        <w:t>分，其中价格占</w:t>
      </w:r>
      <w:r>
        <w:rPr>
          <w:rFonts w:ascii="宋体" w:hAnsi="宋体" w:cs="宋体"/>
          <w:sz w:val="24"/>
          <w:szCs w:val="24"/>
        </w:rPr>
        <w:t>10</w:t>
      </w:r>
      <w:r>
        <w:rPr>
          <w:rFonts w:hint="eastAsia" w:ascii="宋体" w:hAnsi="宋体" w:cs="宋体"/>
          <w:sz w:val="24"/>
          <w:szCs w:val="24"/>
        </w:rPr>
        <w:t>分</w:t>
      </w:r>
      <w:r>
        <w:rPr>
          <w:rFonts w:ascii="宋体" w:cs="宋体"/>
          <w:sz w:val="24"/>
          <w:szCs w:val="24"/>
        </w:rPr>
        <w:t>,</w:t>
      </w:r>
      <w:r>
        <w:rPr>
          <w:rFonts w:hint="eastAsia" w:ascii="宋体" w:hAnsi="宋体" w:cs="宋体"/>
          <w:sz w:val="24"/>
          <w:szCs w:val="24"/>
        </w:rPr>
        <w:t>商务、技术部分占</w:t>
      </w:r>
      <w:r>
        <w:rPr>
          <w:rFonts w:ascii="宋体" w:hAnsi="宋体" w:cs="宋体"/>
          <w:sz w:val="24"/>
          <w:szCs w:val="24"/>
        </w:rPr>
        <w:t>90</w:t>
      </w:r>
      <w:r>
        <w:rPr>
          <w:rFonts w:hint="eastAsia" w:ascii="宋体" w:hAnsi="宋体" w:cs="宋体"/>
          <w:sz w:val="24"/>
          <w:szCs w:val="24"/>
        </w:rPr>
        <w:t>分。</w:t>
      </w:r>
    </w:p>
    <w:p>
      <w:pPr>
        <w:pStyle w:val="4"/>
        <w:spacing w:line="288" w:lineRule="auto"/>
        <w:rPr>
          <w:rFonts w:ascii="宋体" w:hAnsi="宋体" w:eastAsia="宋体" w:cs="宋体"/>
          <w:bCs w:val="0"/>
          <w:sz w:val="36"/>
          <w:szCs w:val="24"/>
        </w:rPr>
      </w:pPr>
      <w:bookmarkStart w:id="93" w:name="_Toc44704908"/>
      <w:bookmarkStart w:id="94" w:name="_Toc44705055"/>
      <w:bookmarkStart w:id="95" w:name="_Toc44705276"/>
      <w:r>
        <w:rPr>
          <w:rFonts w:hint="eastAsia" w:ascii="宋体" w:hAnsi="宋体" w:eastAsia="宋体" w:cs="宋体"/>
          <w:bCs w:val="0"/>
          <w:sz w:val="36"/>
          <w:szCs w:val="24"/>
        </w:rPr>
        <w:t>第二部分：评标标准</w:t>
      </w:r>
      <w:bookmarkEnd w:id="93"/>
      <w:bookmarkEnd w:id="94"/>
      <w:bookmarkEnd w:id="95"/>
    </w:p>
    <w:p>
      <w:pPr>
        <w:spacing w:line="360" w:lineRule="auto"/>
        <w:ind w:firstLine="482" w:firstLineChars="200"/>
        <w:rPr>
          <w:rFonts w:ascii="宋体" w:cs="宋体"/>
          <w:b/>
          <w:bCs/>
          <w:sz w:val="24"/>
          <w:szCs w:val="24"/>
        </w:rPr>
      </w:pPr>
      <w:r>
        <w:rPr>
          <w:rFonts w:hint="eastAsia" w:ascii="宋体" w:hAnsi="宋体" w:cs="宋体"/>
          <w:b/>
          <w:bCs/>
          <w:sz w:val="24"/>
          <w:szCs w:val="24"/>
        </w:rPr>
        <w:t>一、符合性审查</w:t>
      </w:r>
    </w:p>
    <w:p>
      <w:pPr>
        <w:spacing w:line="360" w:lineRule="auto"/>
        <w:ind w:firstLine="482" w:firstLineChars="200"/>
        <w:rPr>
          <w:rFonts w:ascii="宋体" w:cs="宋体"/>
          <w:b/>
          <w:bCs/>
          <w:sz w:val="24"/>
          <w:szCs w:val="24"/>
        </w:rPr>
      </w:pPr>
      <w:r>
        <w:rPr>
          <w:rFonts w:hint="eastAsia" w:ascii="宋体" w:hAnsi="宋体" w:cs="宋体"/>
          <w:b/>
          <w:bCs/>
          <w:sz w:val="24"/>
          <w:szCs w:val="24"/>
        </w:rPr>
        <w:t>评标委员会根据招标文件第三章投标人须知第</w:t>
      </w:r>
      <w:r>
        <w:rPr>
          <w:rFonts w:ascii="宋体" w:hAnsi="宋体" w:cs="宋体"/>
          <w:b/>
          <w:bCs/>
          <w:sz w:val="24"/>
          <w:szCs w:val="24"/>
        </w:rPr>
        <w:t>26.4.5</w:t>
      </w:r>
      <w:r>
        <w:rPr>
          <w:rFonts w:hint="eastAsia" w:ascii="宋体" w:hAnsi="宋体" w:cs="宋体"/>
          <w:b/>
          <w:bCs/>
          <w:sz w:val="24"/>
          <w:szCs w:val="24"/>
        </w:rPr>
        <w:t>条和第</w:t>
      </w:r>
      <w:r>
        <w:rPr>
          <w:rFonts w:ascii="宋体" w:hAnsi="宋体" w:cs="宋体"/>
          <w:b/>
          <w:bCs/>
          <w:sz w:val="24"/>
          <w:szCs w:val="24"/>
        </w:rPr>
        <w:t>26.4.6</w:t>
      </w:r>
      <w:r>
        <w:rPr>
          <w:rFonts w:hint="eastAsia" w:ascii="宋体" w:hAnsi="宋体" w:cs="宋体"/>
          <w:b/>
          <w:bCs/>
          <w:sz w:val="24"/>
          <w:szCs w:val="24"/>
        </w:rPr>
        <w:t>条的规定，对通过资格审查的合格投标人的投标文件进行符合性审查，未通过符合性审查的投标不进入详细评审。</w:t>
      </w:r>
    </w:p>
    <w:p>
      <w:pPr>
        <w:spacing w:line="360" w:lineRule="auto"/>
        <w:ind w:firstLine="482" w:firstLineChars="200"/>
        <w:rPr>
          <w:rFonts w:ascii="宋体" w:cs="宋体"/>
          <w:b/>
          <w:bCs/>
          <w:sz w:val="24"/>
          <w:szCs w:val="24"/>
        </w:rPr>
      </w:pPr>
      <w:r>
        <w:rPr>
          <w:rFonts w:hint="eastAsia" w:ascii="宋体" w:hAnsi="宋体" w:cs="宋体"/>
          <w:b/>
          <w:bCs/>
          <w:sz w:val="24"/>
          <w:szCs w:val="24"/>
        </w:rPr>
        <w:t>二、详细评审</w:t>
      </w:r>
    </w:p>
    <w:p>
      <w:pPr>
        <w:spacing w:line="360" w:lineRule="auto"/>
        <w:ind w:firstLine="360" w:firstLineChars="150"/>
        <w:rPr>
          <w:rFonts w:ascii="宋体" w:cs="宋体"/>
          <w:sz w:val="24"/>
          <w:szCs w:val="24"/>
        </w:rPr>
      </w:pPr>
      <w:r>
        <w:rPr>
          <w:rFonts w:hint="eastAsia" w:ascii="宋体" w:hAnsi="宋体" w:cs="宋体"/>
          <w:sz w:val="24"/>
          <w:szCs w:val="24"/>
        </w:rPr>
        <w:t>（一）、价格分（</w:t>
      </w:r>
      <w:r>
        <w:rPr>
          <w:rFonts w:ascii="宋体" w:hAnsi="宋体" w:cs="宋体"/>
          <w:sz w:val="24"/>
          <w:szCs w:val="24"/>
        </w:rPr>
        <w:t>10</w:t>
      </w:r>
      <w:r>
        <w:rPr>
          <w:rFonts w:hint="eastAsia" w:ascii="宋体" w:hAnsi="宋体" w:cs="宋体"/>
          <w:sz w:val="24"/>
          <w:szCs w:val="24"/>
        </w:rPr>
        <w:t>分）</w:t>
      </w:r>
    </w:p>
    <w:p>
      <w:pPr>
        <w:spacing w:line="360" w:lineRule="auto"/>
        <w:ind w:firstLine="360" w:firstLineChars="150"/>
        <w:rPr>
          <w:rFonts w:ascii="宋体" w:cs="宋体"/>
          <w:sz w:val="24"/>
          <w:szCs w:val="24"/>
        </w:rPr>
      </w:pPr>
      <w:r>
        <w:rPr>
          <w:rFonts w:ascii="宋体" w:hAnsi="宋体" w:cs="宋体"/>
          <w:sz w:val="24"/>
          <w:szCs w:val="24"/>
        </w:rPr>
        <w:t>1</w:t>
      </w:r>
      <w:r>
        <w:rPr>
          <w:rFonts w:hint="eastAsia" w:ascii="宋体" w:hAnsi="宋体" w:cs="宋体"/>
          <w:sz w:val="24"/>
          <w:szCs w:val="24"/>
        </w:rPr>
        <w:t>．价格分统一采用低价优先法计算即满足招标文件要求且投标价格最低的有效投标报价（即除低于成本报价以外的所有报价）为评标基准价，其价格分为满分。有效投标报价必须不高于本采购项目的预算价，否则为无效报价。本项目各投标单位可以兼投但不能兼中，以（标项）顺序进行评审。第一标项的中标人若参与第二标项则其不进入报价计算，报价得分为0分，以此类推。</w:t>
      </w:r>
    </w:p>
    <w:p>
      <w:pPr>
        <w:spacing w:line="360" w:lineRule="auto"/>
        <w:ind w:firstLine="360" w:firstLineChars="150"/>
        <w:rPr>
          <w:rFonts w:ascii="宋体" w:cs="宋体"/>
          <w:sz w:val="24"/>
          <w:szCs w:val="24"/>
        </w:rPr>
      </w:pPr>
      <w:r>
        <w:rPr>
          <w:rFonts w:ascii="宋体" w:hAnsi="宋体" w:cs="宋体"/>
          <w:sz w:val="24"/>
          <w:szCs w:val="24"/>
        </w:rPr>
        <w:t>2</w:t>
      </w:r>
      <w:r>
        <w:rPr>
          <w:rFonts w:hint="eastAsia" w:ascii="宋体" w:hAnsi="宋体" w:cs="宋体"/>
          <w:sz w:val="24"/>
          <w:szCs w:val="24"/>
        </w:rPr>
        <w:t>．其他投标人的价格分统一按照以下公式计算：</w:t>
      </w:r>
    </w:p>
    <w:p>
      <w:pPr>
        <w:spacing w:line="360" w:lineRule="auto"/>
        <w:ind w:firstLine="360" w:firstLineChars="150"/>
        <w:rPr>
          <w:rFonts w:ascii="宋体" w:cs="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投标报价）×</w:t>
      </w:r>
      <w:r>
        <w:rPr>
          <w:rFonts w:ascii="宋体" w:hAnsi="宋体" w:cs="宋体"/>
          <w:sz w:val="24"/>
          <w:szCs w:val="24"/>
        </w:rPr>
        <w:t>10</w:t>
      </w:r>
    </w:p>
    <w:p>
      <w:pPr>
        <w:spacing w:line="360" w:lineRule="auto"/>
        <w:ind w:firstLine="360" w:firstLineChars="150"/>
        <w:rPr>
          <w:rFonts w:ascii="宋体" w:cs="宋体"/>
          <w:sz w:val="24"/>
          <w:szCs w:val="24"/>
        </w:rPr>
      </w:pPr>
      <w:r>
        <w:rPr>
          <w:rFonts w:ascii="宋体" w:hAnsi="宋体" w:cs="宋体"/>
          <w:sz w:val="24"/>
          <w:szCs w:val="24"/>
        </w:rPr>
        <w:t>3.</w:t>
      </w:r>
      <w:r>
        <w:rPr>
          <w:rFonts w:hint="eastAsia" w:ascii="宋体" w:hAnsi="宋体" w:cs="宋体"/>
          <w:sz w:val="24"/>
          <w:szCs w:val="24"/>
        </w:rPr>
        <w:t>最低报价不作为中标的保证。</w:t>
      </w:r>
    </w:p>
    <w:p>
      <w:pPr>
        <w:spacing w:line="360" w:lineRule="auto"/>
        <w:ind w:firstLine="360" w:firstLineChars="150"/>
        <w:rPr>
          <w:rFonts w:ascii="宋体" w:cs="宋体"/>
          <w:sz w:val="24"/>
          <w:szCs w:val="24"/>
        </w:rPr>
      </w:pPr>
      <w:r>
        <w:rPr>
          <w:rFonts w:ascii="宋体" w:hAnsi="宋体" w:cs="宋体"/>
          <w:sz w:val="24"/>
          <w:szCs w:val="24"/>
        </w:rPr>
        <w:t>4.</w:t>
      </w:r>
      <w:r>
        <w:rPr>
          <w:rFonts w:hint="eastAsia" w:ascii="宋体" w:hAnsi="宋体" w:cs="宋体"/>
          <w:sz w:val="24"/>
          <w:szCs w:val="24"/>
        </w:rPr>
        <w:t>“小型和微型企业产品”的价格按扣除10</w:t>
      </w:r>
      <w:r>
        <w:rPr>
          <w:rFonts w:ascii="宋体" w:hAnsi="宋体" w:cs="宋体"/>
          <w:sz w:val="24"/>
          <w:szCs w:val="24"/>
        </w:rPr>
        <w:t>%</w:t>
      </w:r>
      <w:r>
        <w:rPr>
          <w:rFonts w:hint="eastAsia" w:ascii="宋体" w:hAnsi="宋体" w:cs="宋体"/>
          <w:sz w:val="24"/>
          <w:szCs w:val="24"/>
        </w:rPr>
        <w:t>后的价格参与评审。</w:t>
      </w:r>
    </w:p>
    <w:p>
      <w:pPr>
        <w:spacing w:line="360" w:lineRule="auto"/>
        <w:ind w:firstLine="360" w:firstLineChars="150"/>
        <w:rPr>
          <w:rFonts w:ascii="宋体" w:cs="宋体"/>
          <w:sz w:val="24"/>
          <w:szCs w:val="24"/>
        </w:rPr>
      </w:pPr>
      <w:r>
        <w:rPr>
          <w:rFonts w:ascii="宋体" w:hAnsi="宋体" w:cs="宋体"/>
          <w:sz w:val="24"/>
          <w:szCs w:val="24"/>
        </w:rPr>
        <w:t>4.1</w:t>
      </w:r>
      <w:r>
        <w:rPr>
          <w:rFonts w:hint="eastAsia" w:ascii="宋体" w:hAnsi="宋体" w:cs="宋体"/>
          <w:sz w:val="24"/>
          <w:szCs w:val="24"/>
        </w:rPr>
        <w:t>投标人应在投标分项报价表中写明属于“小型和微型企业产品”的单价和小计，并如实提供对应的《中小企业声明函》（详见附件），否则不予进行价格扣除。</w:t>
      </w:r>
    </w:p>
    <w:p>
      <w:pPr>
        <w:spacing w:line="360" w:lineRule="auto"/>
        <w:ind w:firstLine="360" w:firstLineChars="150"/>
        <w:rPr>
          <w:rFonts w:ascii="宋体" w:cs="宋体"/>
          <w:sz w:val="24"/>
          <w:szCs w:val="24"/>
        </w:rPr>
      </w:pPr>
      <w:r>
        <w:rPr>
          <w:rFonts w:ascii="宋体" w:hAnsi="宋体" w:cs="宋体"/>
          <w:sz w:val="24"/>
          <w:szCs w:val="24"/>
        </w:rPr>
        <w:t>4.2</w:t>
      </w:r>
      <w:r>
        <w:rPr>
          <w:rFonts w:hint="eastAsia" w:ascii="宋体" w:hAnsi="宋体" w:cs="宋体"/>
          <w:sz w:val="24"/>
          <w:szCs w:val="24"/>
        </w:rPr>
        <w:t>中小企业划分标准参照《关于印发&lt;政府采购促进中小企业发展管理办法&gt;的通知》(财库〔2020〕46号）及《关于印发中小企业划型标准规定的通知》（工信部联企业[2011]300号）。</w:t>
      </w:r>
    </w:p>
    <w:p>
      <w:pPr>
        <w:spacing w:line="360" w:lineRule="auto"/>
        <w:ind w:firstLine="360" w:firstLineChars="150"/>
        <w:rPr>
          <w:rFonts w:ascii="宋体" w:cs="宋体"/>
          <w:sz w:val="24"/>
          <w:szCs w:val="24"/>
        </w:rPr>
      </w:pPr>
      <w:r>
        <w:rPr>
          <w:rFonts w:ascii="宋体" w:hAnsi="宋体" w:cs="宋体"/>
          <w:sz w:val="24"/>
          <w:szCs w:val="24"/>
        </w:rPr>
        <w:t>4.3</w:t>
      </w:r>
      <w:r>
        <w:rPr>
          <w:rFonts w:hint="eastAsia" w:ascii="宋体" w:hAnsi="宋体" w:cs="宋体"/>
          <w:sz w:val="24"/>
          <w:szCs w:val="24"/>
        </w:rPr>
        <w:t>监狱企业视同小型、微型企业</w:t>
      </w:r>
      <w:r>
        <w:rPr>
          <w:rFonts w:ascii="宋体" w:hAnsi="宋体" w:cs="宋体"/>
          <w:sz w:val="24"/>
          <w:szCs w:val="24"/>
        </w:rPr>
        <w:t xml:space="preserve">, </w:t>
      </w:r>
      <w:r>
        <w:rPr>
          <w:rFonts w:hint="eastAsia" w:ascii="宋体" w:hAnsi="宋体" w:cs="宋体"/>
          <w:sz w:val="24"/>
          <w:szCs w:val="24"/>
        </w:rPr>
        <w:t>监狱企业应当提供由省级以上监狱管理局、戒毒管理局</w:t>
      </w:r>
      <w:r>
        <w:rPr>
          <w:rFonts w:ascii="宋体" w:hAnsi="宋体" w:cs="宋体"/>
          <w:sz w:val="24"/>
          <w:szCs w:val="24"/>
        </w:rPr>
        <w:t>(</w:t>
      </w:r>
      <w:r>
        <w:rPr>
          <w:rFonts w:hint="eastAsia" w:ascii="宋体" w:hAnsi="宋体" w:cs="宋体"/>
          <w:sz w:val="24"/>
          <w:szCs w:val="24"/>
        </w:rPr>
        <w:t>含新疆生产建设兵团</w:t>
      </w:r>
      <w:r>
        <w:rPr>
          <w:rFonts w:ascii="宋体" w:hAnsi="宋体" w:cs="宋体"/>
          <w:sz w:val="24"/>
          <w:szCs w:val="24"/>
        </w:rPr>
        <w:t>)</w:t>
      </w:r>
      <w:r>
        <w:rPr>
          <w:rFonts w:hint="eastAsia" w:ascii="宋体" w:hAnsi="宋体" w:cs="宋体"/>
          <w:sz w:val="24"/>
          <w:szCs w:val="24"/>
        </w:rPr>
        <w:t>出具的属于监狱企业的证明文件。</w:t>
      </w:r>
    </w:p>
    <w:p>
      <w:pPr>
        <w:spacing w:line="360" w:lineRule="auto"/>
        <w:ind w:firstLine="360" w:firstLineChars="150"/>
        <w:rPr>
          <w:rFonts w:ascii="宋体" w:hAnsi="宋体" w:cs="宋体"/>
          <w:sz w:val="24"/>
          <w:szCs w:val="24"/>
        </w:rPr>
      </w:pPr>
      <w:r>
        <w:rPr>
          <w:rFonts w:ascii="宋体" w:hAnsi="宋体" w:cs="宋体"/>
          <w:sz w:val="24"/>
          <w:szCs w:val="24"/>
        </w:rPr>
        <w:t>4.4</w:t>
      </w:r>
      <w:r>
        <w:rPr>
          <w:rFonts w:hint="eastAsia" w:ascii="宋体" w:hAnsi="宋体" w:cs="宋体"/>
          <w:sz w:val="24"/>
          <w:szCs w:val="24"/>
        </w:rPr>
        <w:t>残疾人福利性单位视同小型、微型企业，符合条件的残疾人福利性单位在参加政府采购活动时，应当提供本通知规定的《残疾人福利性单位声明函》，并对声明的真实性负责。</w:t>
      </w:r>
    </w:p>
    <w:p>
      <w:pPr>
        <w:pStyle w:val="21"/>
      </w:pPr>
    </w:p>
    <w:p>
      <w:pPr>
        <w:spacing w:line="360" w:lineRule="auto"/>
        <w:ind w:firstLine="240" w:firstLineChars="100"/>
        <w:rPr>
          <w:rFonts w:ascii="宋体" w:cs="宋体"/>
          <w:sz w:val="24"/>
          <w:szCs w:val="24"/>
        </w:rPr>
      </w:pPr>
      <w:r>
        <w:rPr>
          <w:rFonts w:hint="eastAsia" w:ascii="宋体" w:hAnsi="宋体" w:cs="宋体"/>
          <w:sz w:val="24"/>
          <w:szCs w:val="24"/>
        </w:rPr>
        <w:t>（二）、商务技术部分（</w:t>
      </w:r>
      <w:r>
        <w:rPr>
          <w:rFonts w:ascii="宋体" w:hAnsi="宋体" w:cs="宋体"/>
          <w:sz w:val="24"/>
          <w:szCs w:val="24"/>
        </w:rPr>
        <w:t>90</w:t>
      </w:r>
      <w:r>
        <w:rPr>
          <w:rFonts w:hint="eastAsia" w:ascii="宋体" w:hAnsi="宋体" w:cs="宋体"/>
          <w:sz w:val="24"/>
          <w:szCs w:val="24"/>
        </w:rPr>
        <w:t>分）</w:t>
      </w:r>
    </w:p>
    <w:tbl>
      <w:tblPr>
        <w:tblStyle w:val="47"/>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72"/>
        <w:gridCol w:w="8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13" w:type="dxa"/>
            <w:vAlign w:val="center"/>
          </w:tcPr>
          <w:p>
            <w:pPr>
              <w:jc w:val="center"/>
              <w:rPr>
                <w:rFonts w:ascii="宋体" w:cs="仿宋"/>
                <w:b/>
                <w:kern w:val="0"/>
                <w:sz w:val="24"/>
              </w:rPr>
            </w:pPr>
            <w:bookmarkStart w:id="96" w:name="_Toc2511995"/>
            <w:r>
              <w:rPr>
                <w:rFonts w:hint="eastAsia" w:ascii="宋体" w:hAnsi="宋体" w:cs="仿宋"/>
                <w:b/>
                <w:kern w:val="0"/>
                <w:sz w:val="24"/>
              </w:rPr>
              <w:t>评分因素</w:t>
            </w:r>
          </w:p>
        </w:tc>
        <w:tc>
          <w:tcPr>
            <w:tcW w:w="9364" w:type="dxa"/>
            <w:gridSpan w:val="2"/>
            <w:vAlign w:val="center"/>
          </w:tcPr>
          <w:p>
            <w:pPr>
              <w:jc w:val="center"/>
              <w:rPr>
                <w:rFonts w:ascii="宋体" w:cs="仿宋"/>
                <w:b/>
                <w:kern w:val="0"/>
                <w:sz w:val="24"/>
              </w:rPr>
            </w:pPr>
            <w:r>
              <w:rPr>
                <w:rFonts w:hint="eastAsia" w:ascii="宋体" w:hAnsi="宋体" w:cs="仿宋"/>
                <w:b/>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Align w:val="center"/>
          </w:tcPr>
          <w:p>
            <w:pPr>
              <w:spacing w:line="360" w:lineRule="exact"/>
              <w:jc w:val="center"/>
              <w:rPr>
                <w:rFonts w:ascii="宋体" w:hAnsi="宋体" w:cs="宋体"/>
                <w:kern w:val="0"/>
                <w:sz w:val="24"/>
                <w:szCs w:val="24"/>
              </w:rPr>
            </w:pPr>
            <w:r>
              <w:rPr>
                <w:rFonts w:hint="eastAsia" w:ascii="宋体" w:hAnsi="宋体" w:cs="宋体"/>
                <w:kern w:val="0"/>
                <w:sz w:val="24"/>
                <w:szCs w:val="24"/>
              </w:rPr>
              <w:t>价格部分</w:t>
            </w:r>
          </w:p>
          <w:p>
            <w:pPr>
              <w:spacing w:line="360" w:lineRule="exact"/>
              <w:jc w:val="center"/>
              <w:rPr>
                <w:rFonts w:ascii="宋体" w:hAnsi="宋体" w:cs="宋体"/>
                <w:kern w:val="0"/>
                <w:sz w:val="24"/>
                <w:szCs w:val="24"/>
              </w:rPr>
            </w:pPr>
            <w:r>
              <w:rPr>
                <w:rFonts w:hint="eastAsia" w:ascii="宋体" w:hAnsi="宋体" w:cs="宋体"/>
                <w:kern w:val="0"/>
                <w:sz w:val="24"/>
                <w:szCs w:val="24"/>
              </w:rPr>
              <w:t>（10分）</w:t>
            </w:r>
          </w:p>
        </w:tc>
        <w:tc>
          <w:tcPr>
            <w:tcW w:w="9364" w:type="dxa"/>
            <w:gridSpan w:val="2"/>
            <w:vAlign w:val="center"/>
          </w:tcPr>
          <w:p>
            <w:pPr>
              <w:snapToGrid w:val="0"/>
              <w:spacing w:line="360" w:lineRule="exact"/>
              <w:rPr>
                <w:rFonts w:ascii="宋体" w:hAnsi="宋体" w:cs="宋体"/>
                <w:sz w:val="24"/>
                <w:szCs w:val="24"/>
              </w:rPr>
            </w:pPr>
            <w:r>
              <w:rPr>
                <w:rFonts w:hint="eastAsia" w:ascii="宋体" w:hAnsi="宋体" w:cs="宋体"/>
                <w:sz w:val="24"/>
                <w:szCs w:val="24"/>
              </w:rPr>
              <w:t>综合评分法中的价格分统一采用低价优先法计算，即满足招标文件要求且价格最低的投标报价为评标基准价，其价格分为满分。其他投标人的价格分统一按照下列公式计算：</w:t>
            </w:r>
          </w:p>
          <w:p>
            <w:pPr>
              <w:pStyle w:val="20"/>
              <w:spacing w:after="0" w:line="360" w:lineRule="exact"/>
              <w:ind w:firstLine="480" w:firstLineChars="200"/>
              <w:rPr>
                <w:rFonts w:ascii="宋体" w:hAnsi="宋体" w:cs="宋体"/>
                <w:sz w:val="24"/>
                <w:szCs w:val="24"/>
              </w:rPr>
            </w:pPr>
            <w:r>
              <w:rPr>
                <w:rFonts w:hint="eastAsia" w:ascii="宋体" w:hAnsi="宋体" w:cs="宋体"/>
                <w:sz w:val="24"/>
                <w:szCs w:val="24"/>
              </w:rPr>
              <w:t>投标人报价得分=(评标基准价／投标价格)×10%×100</w:t>
            </w:r>
          </w:p>
          <w:p>
            <w:pPr>
              <w:spacing w:line="360" w:lineRule="exact"/>
              <w:rPr>
                <w:rFonts w:hint="eastAsia" w:ascii="宋体" w:hAnsi="宋体" w:cs="宋体"/>
                <w:sz w:val="24"/>
                <w:szCs w:val="24"/>
              </w:rPr>
            </w:pPr>
            <w:r>
              <w:rPr>
                <w:rFonts w:hint="eastAsia" w:ascii="宋体" w:hAnsi="宋体" w:cs="宋体"/>
                <w:sz w:val="24"/>
                <w:szCs w:val="24"/>
              </w:rPr>
              <w:t>对小型和微型企业的价格给予10%的扣除，用扣除后的价格参与评审。</w:t>
            </w:r>
          </w:p>
          <w:p>
            <w:pPr>
              <w:pStyle w:val="2"/>
            </w:pPr>
            <w:r>
              <w:rPr>
                <w:rFonts w:hint="eastAsia" w:ascii="宋体" w:hAnsi="宋体" w:cs="宋体"/>
                <w:sz w:val="24"/>
                <w:szCs w:val="24"/>
              </w:rPr>
              <w:t>本项目各投标单位可以兼投但不能兼中，以（标项）顺序进行评审。</w:t>
            </w:r>
            <w:r>
              <w:rPr>
                <w:rFonts w:hint="eastAsia" w:ascii="宋体" w:hAnsi="宋体" w:cs="宋体"/>
                <w:sz w:val="24"/>
                <w:szCs w:val="24"/>
                <w:lang w:val="en-US" w:eastAsia="zh-CN"/>
              </w:rPr>
              <w:t>标项四-1</w:t>
            </w:r>
            <w:r>
              <w:rPr>
                <w:rFonts w:hint="eastAsia" w:ascii="宋体" w:hAnsi="宋体" w:cs="宋体"/>
                <w:sz w:val="24"/>
                <w:szCs w:val="24"/>
              </w:rPr>
              <w:t>的中标人若参与</w:t>
            </w:r>
            <w:r>
              <w:rPr>
                <w:rFonts w:hint="eastAsia" w:ascii="宋体" w:hAnsi="宋体" w:cs="宋体"/>
                <w:sz w:val="24"/>
                <w:szCs w:val="24"/>
                <w:lang w:val="en-US" w:eastAsia="zh-CN"/>
              </w:rPr>
              <w:t>标项四-2，</w:t>
            </w:r>
            <w:r>
              <w:rPr>
                <w:rFonts w:hint="eastAsia" w:ascii="宋体" w:hAnsi="宋体" w:cs="宋体"/>
                <w:sz w:val="24"/>
                <w:szCs w:val="24"/>
              </w:rPr>
              <w:t>则其不进入报价计算，报价得分为0分，以此类推。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913" w:type="dxa"/>
            <w:vMerge w:val="restart"/>
            <w:vAlign w:val="center"/>
          </w:tcPr>
          <w:p>
            <w:pPr>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商务部分</w:t>
            </w:r>
          </w:p>
          <w:p>
            <w:pPr>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35</w:t>
            </w:r>
            <w:r>
              <w:rPr>
                <w:rFonts w:hint="eastAsia" w:ascii="宋体" w:hAnsi="宋体" w:eastAsia="宋体" w:cs="宋体"/>
                <w:kern w:val="0"/>
                <w:sz w:val="24"/>
                <w:szCs w:val="24"/>
              </w:rPr>
              <w:t>分）</w:t>
            </w:r>
          </w:p>
        </w:tc>
        <w:tc>
          <w:tcPr>
            <w:tcW w:w="127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拟投入体检项目医疗人员配置情况（</w:t>
            </w:r>
            <w:r>
              <w:rPr>
                <w:rFonts w:hint="eastAsia" w:ascii="宋体" w:hAnsi="宋体" w:cs="宋体"/>
                <w:sz w:val="24"/>
                <w:szCs w:val="24"/>
                <w:lang w:val="en-US" w:eastAsia="zh-CN"/>
              </w:rPr>
              <w:t>10</w:t>
            </w:r>
            <w:r>
              <w:rPr>
                <w:rFonts w:hint="eastAsia" w:ascii="宋体" w:hAnsi="宋体" w:cs="宋体"/>
                <w:sz w:val="24"/>
                <w:szCs w:val="24"/>
              </w:rPr>
              <w:t>分）</w:t>
            </w:r>
          </w:p>
        </w:tc>
        <w:tc>
          <w:tcPr>
            <w:tcW w:w="809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根据投标人拟投入本次项目医务人员（社保缴纳）情况进行打分，</w:t>
            </w:r>
          </w:p>
          <w:p>
            <w:pPr>
              <w:snapToGrid w:val="0"/>
              <w:spacing w:line="360" w:lineRule="exact"/>
              <w:rPr>
                <w:rFonts w:hint="eastAsia" w:ascii="宋体" w:hAnsi="宋体" w:cs="宋体"/>
                <w:sz w:val="24"/>
                <w:szCs w:val="24"/>
              </w:rPr>
            </w:pPr>
            <w:r>
              <w:rPr>
                <w:rFonts w:hint="eastAsia" w:ascii="宋体" w:hAnsi="宋体" w:cs="宋体"/>
                <w:sz w:val="24"/>
                <w:szCs w:val="24"/>
              </w:rPr>
              <w:t>投入组长1人、主检医师1人，内科医师2～3人，外科医师2～3人，耳鼻咽喉科医师1人，眼科医师1人，口腔科医师1人，检验人员2人，心电图诊断医师2人，B超技师2～3人，放射人员2人，</w:t>
            </w:r>
            <w:r>
              <w:rPr>
                <w:rFonts w:hint="eastAsia" w:ascii="宋体" w:hAnsi="宋体" w:cs="宋体"/>
                <w:sz w:val="24"/>
                <w:szCs w:val="24"/>
                <w:lang w:val="en-US" w:eastAsia="zh-CN"/>
              </w:rPr>
              <w:t>其他</w:t>
            </w:r>
            <w:r>
              <w:rPr>
                <w:rFonts w:hint="eastAsia" w:ascii="宋体" w:hAnsi="宋体" w:cs="宋体"/>
                <w:sz w:val="24"/>
                <w:szCs w:val="24"/>
              </w:rPr>
              <w:t>检测人员3～4人，护士6人，统计员1人，联络员2人,满足招标文件要求得5分,每增加一个医(技)师得1分,每增加一个检测人员、护士、统计员加0.5分，每缺少1个人扣1分。此项最高10分，最低0分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rPr>
            </w:pPr>
          </w:p>
        </w:tc>
        <w:tc>
          <w:tcPr>
            <w:tcW w:w="1272" w:type="dxa"/>
            <w:vAlign w:val="center"/>
          </w:tcPr>
          <w:p>
            <w:pPr>
              <w:snapToGrid w:val="0"/>
              <w:spacing w:line="360" w:lineRule="exact"/>
              <w:rPr>
                <w:rFonts w:hint="eastAsia" w:ascii="宋体" w:hAnsi="宋体" w:cs="宋体"/>
                <w:sz w:val="24"/>
                <w:szCs w:val="24"/>
              </w:rPr>
            </w:pPr>
            <w:bookmarkStart w:id="97" w:name="OLE_LINK9"/>
            <w:r>
              <w:rPr>
                <w:rFonts w:hint="eastAsia" w:ascii="宋体" w:hAnsi="宋体" w:cs="宋体"/>
                <w:sz w:val="24"/>
                <w:szCs w:val="24"/>
              </w:rPr>
              <w:t>体检设备选型</w:t>
            </w:r>
          </w:p>
          <w:p>
            <w:pPr>
              <w:snapToGrid w:val="0"/>
              <w:spacing w:line="360" w:lineRule="exact"/>
              <w:rPr>
                <w:rFonts w:hint="eastAsia" w:ascii="宋体" w:hAnsi="宋体" w:cs="宋体"/>
                <w:sz w:val="24"/>
                <w:szCs w:val="24"/>
              </w:rPr>
            </w:pPr>
            <w:r>
              <w:rPr>
                <w:rFonts w:hint="eastAsia" w:ascii="宋体" w:hAnsi="宋体" w:cs="宋体"/>
                <w:sz w:val="24"/>
                <w:szCs w:val="24"/>
              </w:rPr>
              <w:t>（15分）</w:t>
            </w:r>
            <w:bookmarkEnd w:id="97"/>
          </w:p>
        </w:tc>
        <w:tc>
          <w:tcPr>
            <w:tcW w:w="809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根据本项目体检期间内所配备的设备等进行打分。</w:t>
            </w:r>
          </w:p>
          <w:p>
            <w:pPr>
              <w:snapToGrid w:val="0"/>
              <w:spacing w:line="360" w:lineRule="exact"/>
              <w:rPr>
                <w:rFonts w:hint="eastAsia" w:ascii="宋体" w:hAnsi="宋体" w:cs="宋体"/>
                <w:sz w:val="24"/>
                <w:szCs w:val="24"/>
              </w:rPr>
            </w:pPr>
            <w:r>
              <w:rPr>
                <w:rFonts w:hint="eastAsia" w:ascii="宋体" w:hAnsi="宋体" w:cs="宋体"/>
                <w:sz w:val="24"/>
                <w:szCs w:val="24"/>
              </w:rPr>
              <w:t>体检仪器设备齐全（满足甲方要求所有体检项设备）得15分，每缺一项体检设备扣1分，（未提供不得分）（提供有效证明材料）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rPr>
            </w:pPr>
          </w:p>
        </w:tc>
        <w:tc>
          <w:tcPr>
            <w:tcW w:w="127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经营业绩（</w:t>
            </w:r>
            <w:r>
              <w:rPr>
                <w:rFonts w:hint="eastAsia" w:ascii="宋体" w:hAnsi="宋体" w:cs="宋体"/>
                <w:sz w:val="24"/>
                <w:szCs w:val="24"/>
                <w:lang w:val="en-US" w:eastAsia="zh-CN"/>
              </w:rPr>
              <w:t>10</w:t>
            </w:r>
            <w:r>
              <w:rPr>
                <w:rFonts w:hint="eastAsia" w:ascii="宋体" w:hAnsi="宋体" w:cs="宋体"/>
                <w:sz w:val="24"/>
                <w:szCs w:val="24"/>
              </w:rPr>
              <w:t>分）</w:t>
            </w:r>
          </w:p>
        </w:tc>
        <w:tc>
          <w:tcPr>
            <w:tcW w:w="809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根据投标文件所提供的投标截止日前三年内</w:t>
            </w:r>
            <w:r>
              <w:rPr>
                <w:rFonts w:hint="eastAsia" w:ascii="宋体" w:hAnsi="宋体" w:cs="宋体"/>
                <w:sz w:val="24"/>
                <w:szCs w:val="24"/>
                <w:lang w:eastAsia="zh-CN"/>
              </w:rPr>
              <w:t>（</w:t>
            </w:r>
            <w:r>
              <w:rPr>
                <w:rFonts w:hint="eastAsia" w:ascii="宋体" w:hAnsi="宋体" w:cs="宋体"/>
                <w:sz w:val="24"/>
                <w:szCs w:val="24"/>
                <w:lang w:val="en-US" w:eastAsia="zh-CN"/>
              </w:rPr>
              <w:t>2022年至今</w:t>
            </w:r>
            <w:r>
              <w:rPr>
                <w:rFonts w:hint="eastAsia" w:ascii="宋体" w:hAnsi="宋体" w:cs="宋体"/>
                <w:sz w:val="24"/>
                <w:szCs w:val="24"/>
                <w:lang w:eastAsia="zh-CN"/>
              </w:rPr>
              <w:t>）</w:t>
            </w:r>
            <w:r>
              <w:rPr>
                <w:rFonts w:hint="eastAsia" w:ascii="宋体" w:hAnsi="宋体" w:cs="宋体"/>
                <w:sz w:val="24"/>
                <w:szCs w:val="24"/>
              </w:rPr>
              <w:t>同类项目经营业绩进行比较：（附合同或中标通知书复印件，每一份合同或中标通知书加2分，直至满</w:t>
            </w:r>
            <w:r>
              <w:rPr>
                <w:rFonts w:hint="eastAsia" w:ascii="宋体" w:hAnsi="宋体" w:cs="宋体"/>
                <w:sz w:val="24"/>
                <w:szCs w:val="24"/>
                <w:lang w:val="en-US" w:eastAsia="zh-CN"/>
              </w:rPr>
              <w:t>10</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Merge w:val="restart"/>
            <w:vAlign w:val="center"/>
          </w:tcPr>
          <w:p>
            <w:pPr>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技术部分</w:t>
            </w:r>
          </w:p>
          <w:p>
            <w:pPr>
              <w:spacing w:line="3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55</w:t>
            </w:r>
            <w:r>
              <w:rPr>
                <w:rFonts w:hint="eastAsia" w:ascii="宋体" w:hAnsi="宋体" w:eastAsia="宋体" w:cs="宋体"/>
                <w:kern w:val="0"/>
                <w:sz w:val="24"/>
                <w:szCs w:val="24"/>
                <w:lang w:val="en-US" w:eastAsia="zh-CN"/>
              </w:rPr>
              <w:t>分）</w:t>
            </w:r>
          </w:p>
        </w:tc>
        <w:tc>
          <w:tcPr>
            <w:tcW w:w="1272" w:type="dxa"/>
            <w:vAlign w:val="center"/>
          </w:tcPr>
          <w:p>
            <w:pPr>
              <w:snapToGrid w:val="0"/>
              <w:spacing w:line="360" w:lineRule="exact"/>
              <w:rPr>
                <w:rFonts w:hint="eastAsia" w:ascii="宋体" w:hAnsi="宋体" w:cs="宋体"/>
                <w:sz w:val="24"/>
                <w:szCs w:val="24"/>
                <w:lang w:val="en-US" w:eastAsia="zh-CN"/>
              </w:rPr>
            </w:pPr>
            <w:r>
              <w:rPr>
                <w:rFonts w:hint="eastAsia" w:ascii="宋体" w:hAnsi="宋体" w:cs="宋体"/>
                <w:sz w:val="24"/>
                <w:szCs w:val="24"/>
              </w:rPr>
              <w:t>体检服务方案</w:t>
            </w:r>
            <w:r>
              <w:rPr>
                <w:rFonts w:hint="eastAsia" w:ascii="宋体" w:hAnsi="宋体" w:cs="宋体"/>
                <w:sz w:val="24"/>
                <w:szCs w:val="24"/>
                <w:lang w:val="en-US" w:eastAsia="zh-CN"/>
              </w:rPr>
              <w:t>(20</w:t>
            </w:r>
            <w:r>
              <w:rPr>
                <w:rFonts w:hint="eastAsia" w:ascii="宋体" w:hAnsi="宋体" w:cs="宋体"/>
                <w:sz w:val="24"/>
                <w:szCs w:val="24"/>
              </w:rPr>
              <w:t>分</w:t>
            </w:r>
            <w:r>
              <w:rPr>
                <w:rFonts w:hint="eastAsia" w:ascii="宋体" w:hAnsi="宋体" w:cs="宋体"/>
                <w:sz w:val="24"/>
                <w:szCs w:val="24"/>
                <w:lang w:val="en-US" w:eastAsia="zh-CN"/>
              </w:rPr>
              <w:t>)</w:t>
            </w:r>
          </w:p>
        </w:tc>
        <w:tc>
          <w:tcPr>
            <w:tcW w:w="809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根据供应商提供的体检服务方案进行评审，方案包含①具体场次安排；②人数安排；③检前工作安排；④体检流程安排等，⑤早餐</w:t>
            </w:r>
            <w:r>
              <w:rPr>
                <w:rFonts w:hint="eastAsia" w:ascii="宋体" w:hAnsi="宋体" w:cs="宋体"/>
                <w:sz w:val="24"/>
                <w:szCs w:val="24"/>
                <w:lang w:val="en-US" w:eastAsia="zh-CN"/>
              </w:rPr>
              <w:t>的餐食方案 ；</w:t>
            </w:r>
            <w:r>
              <w:rPr>
                <w:rFonts w:hint="eastAsia" w:ascii="宋体" w:hAnsi="宋体" w:cs="宋体"/>
                <w:sz w:val="24"/>
                <w:szCs w:val="24"/>
              </w:rPr>
              <w:t>得</w:t>
            </w:r>
            <w:r>
              <w:rPr>
                <w:rFonts w:hint="eastAsia" w:ascii="宋体" w:hAnsi="宋体" w:cs="宋体"/>
                <w:sz w:val="24"/>
                <w:szCs w:val="24"/>
                <w:lang w:val="en-US" w:eastAsia="zh-CN"/>
              </w:rPr>
              <w:t>20</w:t>
            </w:r>
            <w:r>
              <w:rPr>
                <w:rFonts w:hint="eastAsia" w:ascii="宋体" w:hAnsi="宋体" w:cs="宋体"/>
                <w:sz w:val="24"/>
                <w:szCs w:val="24"/>
              </w:rPr>
              <w:t>分，每有一项内容缺失的扣4分，每存在一处缺陷扣2分，每项最多扣4分，</w:t>
            </w:r>
            <w:r>
              <w:rPr>
                <w:rFonts w:hint="eastAsia" w:ascii="宋体" w:hAnsi="宋体" w:cs="宋体"/>
                <w:sz w:val="24"/>
                <w:szCs w:val="24"/>
                <w:lang w:val="en-US" w:eastAsia="zh-CN"/>
              </w:rPr>
              <w:t>20</w:t>
            </w:r>
            <w:r>
              <w:rPr>
                <w:rFonts w:hint="eastAsia" w:ascii="宋体" w:hAnsi="宋体" w:cs="宋体"/>
                <w:sz w:val="24"/>
                <w:szCs w:val="24"/>
              </w:rPr>
              <w:t>分扣完为止。（注：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lang w:eastAsia="zh-CN"/>
              </w:rPr>
            </w:pPr>
          </w:p>
        </w:tc>
        <w:tc>
          <w:tcPr>
            <w:tcW w:w="1272" w:type="dxa"/>
            <w:vAlign w:val="center"/>
          </w:tcPr>
          <w:p>
            <w:pPr>
              <w:snapToGri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体检质量保证方案(</w:t>
            </w:r>
            <w:r>
              <w:rPr>
                <w:rFonts w:hint="eastAsia" w:ascii="宋体" w:hAnsi="宋体" w:cs="宋体"/>
                <w:sz w:val="24"/>
                <w:szCs w:val="24"/>
              </w:rPr>
              <w:t>16分</w:t>
            </w:r>
            <w:r>
              <w:rPr>
                <w:rFonts w:hint="eastAsia" w:ascii="宋体" w:hAnsi="宋体" w:cs="宋体"/>
                <w:sz w:val="24"/>
                <w:szCs w:val="24"/>
                <w:lang w:val="en-US" w:eastAsia="zh-CN"/>
              </w:rPr>
              <w:t>)</w:t>
            </w:r>
          </w:p>
        </w:tc>
        <w:tc>
          <w:tcPr>
            <w:tcW w:w="8092" w:type="dxa"/>
            <w:vAlign w:val="center"/>
          </w:tcPr>
          <w:p>
            <w:pPr>
              <w:snapToGri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根据供应商提供的体检质量保证方案进行评审，方案包含①质量管理组织机构；②人员职能分工；③质量控制目标；④质量保障措施等，得16分，每有一项内容缺失的扣4分，每存在一处缺陷扣2分，每项最多扣4分，16分扣完为止。（注：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rPr>
            </w:pPr>
          </w:p>
        </w:tc>
        <w:tc>
          <w:tcPr>
            <w:tcW w:w="1272" w:type="dxa"/>
            <w:vAlign w:val="center"/>
          </w:tcPr>
          <w:p>
            <w:pPr>
              <w:snapToGri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应急方案(9</w:t>
            </w:r>
            <w:r>
              <w:rPr>
                <w:rFonts w:hint="eastAsia" w:ascii="宋体" w:hAnsi="宋体" w:cs="宋体"/>
                <w:sz w:val="24"/>
                <w:szCs w:val="24"/>
              </w:rPr>
              <w:t>分</w:t>
            </w:r>
            <w:r>
              <w:rPr>
                <w:rFonts w:hint="eastAsia" w:ascii="宋体" w:hAnsi="宋体" w:cs="宋体"/>
                <w:sz w:val="24"/>
                <w:szCs w:val="24"/>
                <w:lang w:val="en-US" w:eastAsia="zh-CN"/>
              </w:rPr>
              <w:t>)</w:t>
            </w:r>
          </w:p>
        </w:tc>
        <w:tc>
          <w:tcPr>
            <w:tcW w:w="8092" w:type="dxa"/>
            <w:vAlign w:val="center"/>
          </w:tcPr>
          <w:p>
            <w:pPr>
              <w:snapToGrid w:val="0"/>
              <w:spacing w:line="360" w:lineRule="exact"/>
              <w:rPr>
                <w:rFonts w:hint="eastAsia" w:ascii="宋体" w:hAnsi="宋体" w:cs="宋体"/>
                <w:sz w:val="24"/>
                <w:szCs w:val="24"/>
                <w:lang w:val="en-US" w:eastAsia="zh-CN"/>
              </w:rPr>
            </w:pPr>
            <w:r>
              <w:rPr>
                <w:rFonts w:hint="eastAsia" w:ascii="宋体" w:hAnsi="宋体" w:cs="宋体"/>
                <w:sz w:val="24"/>
                <w:szCs w:val="24"/>
                <w:lang w:val="en-US" w:eastAsia="zh-CN"/>
              </w:rPr>
              <w:t>根据供应商提供的应急方案进行评审，方案包含①突发事件的处理；②晕针晕血等，得9分，每有一项内容缺失的扣4.5分，每存在一处缺陷扣2.5分，每项最多扣4.5分，9分扣完为止。（注：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rPr>
            </w:pPr>
          </w:p>
        </w:tc>
        <w:tc>
          <w:tcPr>
            <w:tcW w:w="1272" w:type="dxa"/>
            <w:vAlign w:val="top"/>
          </w:tcPr>
          <w:p>
            <w:pPr>
              <w:snapToGrid w:val="0"/>
              <w:spacing w:line="360" w:lineRule="exact"/>
              <w:rPr>
                <w:rFonts w:hint="eastAsia" w:ascii="宋体" w:hAnsi="宋体" w:cs="宋体"/>
                <w:sz w:val="24"/>
                <w:szCs w:val="24"/>
                <w:lang w:val="en-US" w:eastAsia="zh-CN"/>
              </w:rPr>
            </w:pPr>
            <w:r>
              <w:rPr>
                <w:rFonts w:hint="eastAsia" w:ascii="宋体" w:hAnsi="宋体" w:cs="宋体"/>
                <w:sz w:val="24"/>
                <w:szCs w:val="24"/>
                <w:lang w:val="en-US" w:eastAsia="zh-CN"/>
              </w:rPr>
              <w:t>后期服务方案</w:t>
            </w:r>
          </w:p>
          <w:p>
            <w:pPr>
              <w:snapToGri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(10</w:t>
            </w:r>
            <w:r>
              <w:rPr>
                <w:rFonts w:hint="eastAsia" w:ascii="宋体" w:hAnsi="宋体" w:cs="宋体"/>
                <w:sz w:val="24"/>
                <w:szCs w:val="24"/>
              </w:rPr>
              <w:t>分</w:t>
            </w:r>
            <w:r>
              <w:rPr>
                <w:rFonts w:hint="eastAsia" w:ascii="宋体" w:hAnsi="宋体" w:cs="宋体"/>
                <w:sz w:val="24"/>
                <w:szCs w:val="24"/>
                <w:lang w:val="en-US" w:eastAsia="zh-CN"/>
              </w:rPr>
              <w:t>)</w:t>
            </w:r>
          </w:p>
        </w:tc>
        <w:tc>
          <w:tcPr>
            <w:tcW w:w="8092" w:type="dxa"/>
            <w:vAlign w:val="top"/>
          </w:tcPr>
          <w:p>
            <w:pPr>
              <w:snapToGrid w:val="0"/>
              <w:spacing w:line="360" w:lineRule="exact"/>
              <w:rPr>
                <w:rFonts w:hint="eastAsia" w:ascii="宋体" w:hAnsi="宋体" w:cs="宋体"/>
                <w:sz w:val="24"/>
                <w:szCs w:val="24"/>
                <w:lang w:val="en-US" w:eastAsia="zh-Hans"/>
              </w:rPr>
            </w:pPr>
            <w:r>
              <w:rPr>
                <w:rFonts w:hint="eastAsia" w:ascii="宋体" w:hAnsi="宋体" w:cs="宋体"/>
                <w:sz w:val="24"/>
                <w:szCs w:val="24"/>
                <w:lang w:val="en-US" w:eastAsia="zh-CN"/>
              </w:rPr>
              <w:t>根据供应商针对本项目提供的后期服务方案进行评审，方案包含①复检；②挂号；③办理住院；④专家会诊等，⑤体检报告解读方式，得10分，每有一项内容缺失的扣2分，每存在一处缺陷扣1分，每项最多扣2分，10分扣完为止。（注：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r>
    </w:tbl>
    <w:p>
      <w:pPr>
        <w:rPr>
          <w:rFonts w:ascii="宋体" w:cs="宋体"/>
          <w:w w:val="90"/>
        </w:rPr>
      </w:pPr>
    </w:p>
    <w:p>
      <w:pPr>
        <w:rPr>
          <w:rFonts w:ascii="宋体" w:cs="宋体"/>
          <w:w w:val="90"/>
          <w:sz w:val="36"/>
        </w:rPr>
      </w:pPr>
      <w:bookmarkStart w:id="98" w:name="_Toc14776845"/>
    </w:p>
    <w:p>
      <w:pPr>
        <w:rPr>
          <w:rFonts w:ascii="宋体" w:cs="宋体"/>
          <w:w w:val="90"/>
          <w:sz w:val="36"/>
        </w:rPr>
      </w:pPr>
    </w:p>
    <w:p>
      <w:pPr>
        <w:pStyle w:val="21"/>
      </w:pPr>
    </w:p>
    <w:p>
      <w:pPr>
        <w:pStyle w:val="21"/>
      </w:pPr>
    </w:p>
    <w:p>
      <w:pPr>
        <w:pStyle w:val="21"/>
      </w:pPr>
    </w:p>
    <w:p>
      <w:pPr>
        <w:pStyle w:val="21"/>
      </w:pPr>
    </w:p>
    <w:p/>
    <w:p/>
    <w:p>
      <w:pPr>
        <w:rPr>
          <w:rFonts w:ascii="宋体" w:cs="宋体"/>
          <w:w w:val="90"/>
          <w:sz w:val="36"/>
        </w:rPr>
      </w:pPr>
    </w:p>
    <w:p>
      <w:pPr>
        <w:rPr>
          <w:rFonts w:hint="eastAsia" w:ascii="宋体" w:hAnsi="宋体" w:cs="宋体"/>
          <w:w w:val="90"/>
        </w:rPr>
      </w:pPr>
      <w:bookmarkStart w:id="99" w:name="_Toc44705277"/>
      <w:bookmarkStart w:id="100" w:name="_Toc44705056"/>
      <w:bookmarkStart w:id="101" w:name="_Toc44704909"/>
      <w:r>
        <w:rPr>
          <w:rFonts w:hint="eastAsia" w:ascii="宋体" w:hAnsi="宋体" w:cs="宋体"/>
          <w:w w:val="90"/>
        </w:rPr>
        <w:br w:type="page"/>
      </w:r>
    </w:p>
    <w:p>
      <w:pPr>
        <w:pStyle w:val="3"/>
        <w:spacing w:line="360" w:lineRule="auto"/>
        <w:jc w:val="center"/>
        <w:rPr>
          <w:rFonts w:hint="eastAsia" w:ascii="宋体" w:hAnsi="宋体" w:cs="宋体"/>
          <w:w w:val="90"/>
        </w:rPr>
      </w:pPr>
    </w:p>
    <w:p>
      <w:pPr>
        <w:pStyle w:val="3"/>
        <w:spacing w:line="360" w:lineRule="auto"/>
        <w:jc w:val="center"/>
        <w:rPr>
          <w:rFonts w:hint="eastAsia" w:ascii="宋体" w:hAnsi="宋体" w:cs="宋体"/>
          <w:w w:val="90"/>
        </w:rPr>
      </w:pPr>
    </w:p>
    <w:p>
      <w:pPr>
        <w:pStyle w:val="3"/>
        <w:spacing w:line="360" w:lineRule="auto"/>
        <w:jc w:val="center"/>
        <w:rPr>
          <w:rFonts w:hint="eastAsia" w:ascii="宋体" w:hAnsi="宋体" w:cs="宋体"/>
          <w:w w:val="90"/>
        </w:rPr>
      </w:pPr>
    </w:p>
    <w:p>
      <w:pPr>
        <w:pStyle w:val="3"/>
        <w:spacing w:line="360" w:lineRule="auto"/>
        <w:jc w:val="center"/>
        <w:rPr>
          <w:rFonts w:hint="eastAsia" w:ascii="宋体" w:hAnsi="宋体" w:cs="宋体"/>
          <w:w w:val="90"/>
        </w:rPr>
      </w:pPr>
    </w:p>
    <w:p>
      <w:pPr>
        <w:pStyle w:val="3"/>
        <w:spacing w:line="360" w:lineRule="auto"/>
        <w:jc w:val="center"/>
        <w:rPr>
          <w:rFonts w:ascii="宋体" w:cs="宋体"/>
          <w:w w:val="90"/>
        </w:rPr>
      </w:pPr>
      <w:r>
        <w:rPr>
          <w:rFonts w:hint="eastAsia" w:ascii="宋体" w:hAnsi="宋体" w:cs="宋体"/>
          <w:w w:val="90"/>
        </w:rPr>
        <w:t>第七章</w:t>
      </w:r>
      <w:r>
        <w:rPr>
          <w:rFonts w:ascii="宋体" w:hAnsi="宋体" w:cs="宋体"/>
          <w:w w:val="90"/>
        </w:rPr>
        <w:t xml:space="preserve"> </w:t>
      </w:r>
      <w:r>
        <w:rPr>
          <w:rFonts w:hint="eastAsia" w:ascii="宋体" w:hAnsi="宋体" w:cs="宋体"/>
          <w:w w:val="90"/>
        </w:rPr>
        <w:t>投标文件格式</w:t>
      </w:r>
      <w:bookmarkEnd w:id="96"/>
      <w:bookmarkEnd w:id="98"/>
      <w:bookmarkEnd w:id="99"/>
      <w:bookmarkEnd w:id="100"/>
      <w:bookmarkEnd w:id="101"/>
    </w:p>
    <w:p>
      <w:pPr>
        <w:widowControl/>
        <w:jc w:val="left"/>
        <w:rPr>
          <w:rFonts w:ascii="宋体"/>
          <w:kern w:val="0"/>
          <w:sz w:val="36"/>
          <w:szCs w:val="36"/>
          <w:lang w:val="zh-CN"/>
        </w:rPr>
      </w:pPr>
      <w:bookmarkStart w:id="102" w:name="_Toc2511996"/>
      <w:bookmarkStart w:id="103" w:name="_Toc2355254"/>
      <w:bookmarkStart w:id="104" w:name="_Toc14776846"/>
      <w:bookmarkStart w:id="105" w:name="_Toc497167403"/>
      <w:r>
        <w:rPr>
          <w:sz w:val="36"/>
          <w:szCs w:val="36"/>
        </w:rPr>
        <w:br w:type="page"/>
      </w:r>
    </w:p>
    <w:p>
      <w:pPr>
        <w:pStyle w:val="209"/>
        <w:ind w:firstLine="0" w:firstLineChars="0"/>
        <w:jc w:val="center"/>
        <w:rPr>
          <w:sz w:val="36"/>
          <w:szCs w:val="36"/>
        </w:rPr>
      </w:pPr>
    </w:p>
    <w:p>
      <w:pPr>
        <w:pStyle w:val="209"/>
        <w:ind w:firstLine="0" w:firstLineChars="0"/>
        <w:jc w:val="center"/>
        <w:rPr>
          <w:sz w:val="36"/>
          <w:szCs w:val="36"/>
        </w:rPr>
      </w:pPr>
    </w:p>
    <w:p>
      <w:pPr>
        <w:pStyle w:val="209"/>
        <w:ind w:firstLine="0" w:firstLineChars="0"/>
        <w:jc w:val="center"/>
        <w:rPr>
          <w:sz w:val="36"/>
          <w:szCs w:val="36"/>
        </w:rPr>
      </w:pPr>
    </w:p>
    <w:p>
      <w:pPr>
        <w:pStyle w:val="209"/>
        <w:ind w:firstLine="0" w:firstLineChars="0"/>
        <w:jc w:val="center"/>
        <w:rPr>
          <w:sz w:val="36"/>
          <w:szCs w:val="36"/>
        </w:rPr>
      </w:pPr>
    </w:p>
    <w:p>
      <w:pPr>
        <w:pStyle w:val="209"/>
        <w:ind w:firstLine="0" w:firstLineChars="0"/>
        <w:jc w:val="center"/>
        <w:rPr>
          <w:sz w:val="36"/>
          <w:szCs w:val="36"/>
        </w:rPr>
      </w:pPr>
    </w:p>
    <w:p>
      <w:pPr>
        <w:pStyle w:val="209"/>
        <w:ind w:firstLine="0" w:firstLineChars="0"/>
        <w:jc w:val="center"/>
        <w:rPr>
          <w:sz w:val="36"/>
          <w:szCs w:val="36"/>
        </w:rPr>
      </w:pPr>
    </w:p>
    <w:p>
      <w:pPr>
        <w:pStyle w:val="4"/>
        <w:jc w:val="center"/>
        <w:rPr>
          <w:rFonts w:ascii="宋体" w:hAnsi="宋体" w:eastAsia="宋体"/>
          <w:sz w:val="36"/>
          <w:szCs w:val="36"/>
        </w:rPr>
      </w:pPr>
      <w:bookmarkStart w:id="106" w:name="_Toc44705278"/>
      <w:bookmarkStart w:id="107" w:name="_Toc44704910"/>
      <w:bookmarkStart w:id="108" w:name="_Toc44705057"/>
      <w:r>
        <w:rPr>
          <w:rFonts w:hint="eastAsia" w:ascii="宋体" w:hAnsi="宋体" w:eastAsia="宋体"/>
          <w:sz w:val="36"/>
          <w:szCs w:val="36"/>
        </w:rPr>
        <w:t>投标文件</w:t>
      </w:r>
      <w:r>
        <w:rPr>
          <w:rFonts w:ascii="宋体" w:hAnsi="宋体" w:eastAsia="宋体"/>
          <w:sz w:val="36"/>
          <w:szCs w:val="36"/>
        </w:rPr>
        <w:t>-</w:t>
      </w:r>
      <w:r>
        <w:rPr>
          <w:rFonts w:hint="eastAsia" w:ascii="宋体" w:hAnsi="宋体" w:eastAsia="宋体"/>
          <w:sz w:val="36"/>
          <w:szCs w:val="36"/>
        </w:rPr>
        <w:t>资格证明文件</w:t>
      </w:r>
      <w:bookmarkEnd w:id="102"/>
      <w:bookmarkEnd w:id="103"/>
      <w:bookmarkEnd w:id="104"/>
      <w:bookmarkEnd w:id="106"/>
      <w:bookmarkStart w:id="109" w:name="_Toc2355255"/>
      <w:bookmarkStart w:id="110" w:name="_Toc2511997"/>
    </w:p>
    <w:bookmarkEnd w:id="105"/>
    <w:bookmarkEnd w:id="107"/>
    <w:bookmarkEnd w:id="108"/>
    <w:bookmarkEnd w:id="109"/>
    <w:bookmarkEnd w:id="110"/>
    <w:p>
      <w:pPr>
        <w:jc w:val="center"/>
        <w:rPr>
          <w:sz w:val="32"/>
        </w:rPr>
      </w:pPr>
    </w:p>
    <w:p>
      <w:pPr>
        <w:widowControl/>
        <w:spacing w:line="360" w:lineRule="auto"/>
        <w:jc w:val="left"/>
        <w:rPr>
          <w:rFonts w:ascii="宋体" w:cs="宋体"/>
          <w:b/>
          <w:sz w:val="36"/>
          <w:szCs w:val="44"/>
        </w:rPr>
      </w:pPr>
      <w:r>
        <w:rPr>
          <w:rFonts w:ascii="宋体" w:cs="宋体"/>
        </w:rPr>
        <w:br w:type="page"/>
      </w:r>
    </w:p>
    <w:p>
      <w:pPr>
        <w:spacing w:line="360" w:lineRule="auto"/>
        <w:rPr>
          <w:rFonts w:ascii="宋体" w:hAnsi="宋体" w:cs="宋体"/>
          <w:b/>
          <w:szCs w:val="21"/>
        </w:rPr>
      </w:pPr>
      <w:r>
        <w:rPr>
          <w:rFonts w:hint="eastAsia" w:ascii="宋体" w:hAnsi="宋体" w:cs="宋体"/>
          <w:b/>
          <w:szCs w:val="21"/>
        </w:rPr>
        <w:t>资格证明文件隔页纸格式</w:t>
      </w:r>
    </w:p>
    <w:p>
      <w:pPr>
        <w:pStyle w:val="21"/>
      </w:pPr>
    </w:p>
    <w:p>
      <w:pPr>
        <w:spacing w:line="360" w:lineRule="auto"/>
        <w:jc w:val="center"/>
        <w:rPr>
          <w:rFonts w:ascii="宋体" w:cs="宋体"/>
          <w:b/>
          <w:sz w:val="96"/>
        </w:rPr>
      </w:pPr>
    </w:p>
    <w:p>
      <w:pPr>
        <w:spacing w:line="360" w:lineRule="auto"/>
        <w:jc w:val="center"/>
        <w:rPr>
          <w:rFonts w:hint="eastAsia" w:ascii="宋体" w:hAnsi="宋体" w:cs="宋体"/>
          <w:b/>
          <w:sz w:val="80"/>
          <w:szCs w:val="80"/>
        </w:rPr>
      </w:pPr>
      <w:r>
        <w:rPr>
          <w:rFonts w:hint="eastAsia" w:ascii="宋体" w:hAnsi="宋体" w:cs="宋体"/>
          <w:b/>
          <w:sz w:val="80"/>
          <w:szCs w:val="80"/>
        </w:rPr>
        <w:t>（项目名称）</w:t>
      </w:r>
    </w:p>
    <w:p>
      <w:pPr>
        <w:pStyle w:val="2"/>
        <w:jc w:val="center"/>
        <w:rPr>
          <w:rFonts w:hint="default" w:eastAsia="宋体"/>
          <w:sz w:val="28"/>
          <w:szCs w:val="28"/>
          <w:lang w:val="en-US" w:eastAsia="zh-CN"/>
        </w:rPr>
      </w:pPr>
      <w:r>
        <w:rPr>
          <w:rFonts w:hint="eastAsia"/>
          <w:sz w:val="28"/>
          <w:szCs w:val="28"/>
          <w:lang w:val="en-US" w:eastAsia="zh-CN"/>
        </w:rPr>
        <w:t>标项名称：</w:t>
      </w:r>
    </w:p>
    <w:p>
      <w:pPr>
        <w:spacing w:line="360" w:lineRule="auto"/>
        <w:jc w:val="center"/>
        <w:rPr>
          <w:rFonts w:ascii="宋体" w:cs="宋体"/>
          <w:b/>
          <w:sz w:val="80"/>
          <w:szCs w:val="80"/>
        </w:rPr>
      </w:pPr>
    </w:p>
    <w:p>
      <w:pPr>
        <w:spacing w:line="360" w:lineRule="auto"/>
        <w:jc w:val="center"/>
        <w:rPr>
          <w:rFonts w:ascii="宋体" w:cs="宋体"/>
          <w:b/>
          <w:sz w:val="80"/>
          <w:szCs w:val="80"/>
        </w:rPr>
      </w:pPr>
      <w:r>
        <w:rPr>
          <w:rFonts w:hint="eastAsia" w:ascii="宋体" w:hAnsi="宋体" w:cs="宋体"/>
          <w:b/>
          <w:sz w:val="80"/>
          <w:szCs w:val="80"/>
        </w:rPr>
        <w:t>投标文件</w:t>
      </w:r>
      <w:r>
        <w:rPr>
          <w:rFonts w:ascii="宋体" w:cs="宋体"/>
          <w:b/>
          <w:sz w:val="80"/>
          <w:szCs w:val="80"/>
        </w:rPr>
        <w:t>-</w:t>
      </w:r>
      <w:r>
        <w:rPr>
          <w:rFonts w:hint="eastAsia" w:ascii="宋体" w:hAnsi="宋体" w:cs="宋体"/>
          <w:b/>
          <w:sz w:val="80"/>
          <w:szCs w:val="80"/>
        </w:rPr>
        <w:t>资格证明材料</w:t>
      </w:r>
    </w:p>
    <w:p>
      <w:pPr>
        <w:spacing w:line="360" w:lineRule="auto"/>
        <w:rPr>
          <w:rFonts w:ascii="宋体" w:cs="宋体"/>
          <w:b/>
        </w:rPr>
      </w:pPr>
    </w:p>
    <w:p>
      <w:pPr>
        <w:spacing w:line="360" w:lineRule="auto"/>
        <w:jc w:val="center"/>
        <w:rPr>
          <w:rFonts w:ascii="宋体" w:cs="宋体"/>
          <w:b/>
        </w:rPr>
      </w:pPr>
    </w:p>
    <w:p>
      <w:pPr>
        <w:spacing w:line="360" w:lineRule="auto"/>
        <w:rPr>
          <w:rFonts w:ascii="宋体" w:cs="宋体"/>
          <w:b/>
        </w:rPr>
      </w:pPr>
    </w:p>
    <w:p>
      <w:pPr>
        <w:spacing w:line="360" w:lineRule="auto"/>
        <w:jc w:val="center"/>
        <w:rPr>
          <w:rFonts w:ascii="宋体" w:cs="宋体"/>
          <w:b/>
        </w:rPr>
      </w:pPr>
    </w:p>
    <w:p>
      <w:pPr>
        <w:spacing w:line="360" w:lineRule="auto"/>
        <w:jc w:val="center"/>
        <w:rPr>
          <w:rFonts w:ascii="宋体" w:cs="宋体"/>
          <w:b/>
        </w:rPr>
      </w:pPr>
    </w:p>
    <w:p>
      <w:pPr>
        <w:spacing w:line="360" w:lineRule="auto"/>
        <w:rPr>
          <w:rFonts w:hint="eastAsia" w:ascii="宋体" w:hAnsi="宋体" w:cs="宋体"/>
          <w:b/>
          <w:sz w:val="36"/>
          <w:szCs w:val="36"/>
        </w:rPr>
      </w:pPr>
      <w:r>
        <w:rPr>
          <w:rFonts w:hint="eastAsia" w:ascii="宋体" w:hAnsi="宋体" w:cs="宋体"/>
          <w:b/>
          <w:sz w:val="36"/>
          <w:szCs w:val="36"/>
        </w:rPr>
        <w:t>招标编号：</w:t>
      </w:r>
    </w:p>
    <w:p>
      <w:pPr>
        <w:spacing w:line="360" w:lineRule="auto"/>
        <w:ind w:left="2992" w:hanging="2631"/>
        <w:rPr>
          <w:rFonts w:ascii="宋体" w:cs="宋体"/>
          <w:b/>
          <w:sz w:val="36"/>
          <w:szCs w:val="36"/>
        </w:rPr>
      </w:pPr>
    </w:p>
    <w:p>
      <w:pPr>
        <w:spacing w:line="360" w:lineRule="auto"/>
        <w:rPr>
          <w:rFonts w:ascii="宋体" w:cs="宋体"/>
          <w:b/>
          <w:sz w:val="36"/>
          <w:szCs w:val="36"/>
          <w:u w:val="single"/>
        </w:rPr>
      </w:pPr>
      <w:r>
        <w:rPr>
          <w:rFonts w:hint="eastAsia" w:ascii="宋体" w:hAnsi="宋体" w:cs="宋体"/>
          <w:b/>
          <w:sz w:val="36"/>
          <w:szCs w:val="36"/>
        </w:rPr>
        <w:t>投标人名称：</w:t>
      </w:r>
      <w:r>
        <w:rPr>
          <w:rFonts w:ascii="宋体" w:hAnsi="宋体" w:cs="宋体"/>
          <w:b/>
          <w:sz w:val="36"/>
          <w:szCs w:val="36"/>
        </w:rPr>
        <w:t xml:space="preserve"> </w:t>
      </w:r>
      <w:r>
        <w:rPr>
          <w:rFonts w:ascii="宋体" w:hAnsi="宋体" w:cs="宋体"/>
          <w:b/>
          <w:sz w:val="36"/>
          <w:szCs w:val="36"/>
          <w:u w:val="single"/>
        </w:rPr>
        <w:t xml:space="preserve">                </w:t>
      </w:r>
      <w:r>
        <w:rPr>
          <w:rFonts w:hint="eastAsia" w:ascii="宋体" w:hAnsi="宋体" w:cs="宋体"/>
          <w:b/>
          <w:sz w:val="36"/>
          <w:szCs w:val="36"/>
          <w:u w:val="single"/>
        </w:rPr>
        <w:t>（盖公章）</w:t>
      </w:r>
    </w:p>
    <w:p>
      <w:pPr>
        <w:spacing w:line="360" w:lineRule="auto"/>
        <w:rPr>
          <w:rFonts w:ascii="宋体" w:cs="宋体"/>
          <w:b/>
          <w:sz w:val="36"/>
          <w:szCs w:val="36"/>
        </w:rPr>
      </w:pPr>
    </w:p>
    <w:p>
      <w:pPr>
        <w:spacing w:line="360" w:lineRule="auto"/>
        <w:jc w:val="center"/>
        <w:rPr>
          <w:rFonts w:ascii="宋体" w:cs="宋体"/>
          <w:b/>
          <w:sz w:val="36"/>
          <w:szCs w:val="36"/>
        </w:rPr>
      </w:pPr>
      <w:r>
        <w:rPr>
          <w:rFonts w:ascii="宋体" w:hAnsi="宋体" w:cs="宋体"/>
          <w:b/>
          <w:sz w:val="36"/>
          <w:szCs w:val="36"/>
        </w:rPr>
        <w:t xml:space="preserve"> </w:t>
      </w:r>
      <w:r>
        <w:rPr>
          <w:rFonts w:hint="eastAsia" w:ascii="宋体" w:hAnsi="宋体" w:cs="宋体"/>
          <w:b/>
          <w:sz w:val="36"/>
          <w:szCs w:val="36"/>
        </w:rPr>
        <w:t>年</w:t>
      </w:r>
      <w:r>
        <w:rPr>
          <w:rFonts w:ascii="宋体" w:hAnsi="宋体" w:cs="宋体"/>
          <w:b/>
          <w:sz w:val="36"/>
          <w:szCs w:val="36"/>
        </w:rPr>
        <w:t xml:space="preserve">  </w:t>
      </w:r>
      <w:r>
        <w:rPr>
          <w:rFonts w:hint="eastAsia" w:ascii="宋体" w:hAnsi="宋体" w:cs="宋体"/>
          <w:b/>
          <w:sz w:val="36"/>
          <w:szCs w:val="36"/>
        </w:rPr>
        <w:t>月</w:t>
      </w:r>
      <w:r>
        <w:rPr>
          <w:rFonts w:ascii="宋体" w:hAnsi="宋体" w:cs="宋体"/>
          <w:b/>
          <w:sz w:val="36"/>
          <w:szCs w:val="36"/>
        </w:rPr>
        <w:t xml:space="preserve">  </w:t>
      </w:r>
      <w:r>
        <w:rPr>
          <w:rFonts w:hint="eastAsia" w:ascii="宋体" w:hAnsi="宋体" w:cs="宋体"/>
          <w:b/>
          <w:sz w:val="36"/>
          <w:szCs w:val="36"/>
        </w:rPr>
        <w:t>日</w:t>
      </w:r>
    </w:p>
    <w:p>
      <w:pPr>
        <w:widowControl/>
        <w:spacing w:line="360" w:lineRule="auto"/>
        <w:jc w:val="left"/>
        <w:rPr>
          <w:rFonts w:ascii="宋体" w:cs="宋体"/>
          <w:b/>
          <w:sz w:val="36"/>
          <w:szCs w:val="36"/>
        </w:rPr>
      </w:pPr>
      <w:r>
        <w:rPr>
          <w:rFonts w:ascii="宋体" w:cs="宋体"/>
          <w:b/>
          <w:sz w:val="36"/>
          <w:szCs w:val="36"/>
        </w:rPr>
        <w:br w:type="page"/>
      </w:r>
    </w:p>
    <w:p>
      <w:pPr>
        <w:pStyle w:val="4"/>
        <w:rPr>
          <w:rFonts w:ascii="宋体" w:hAnsi="宋体" w:eastAsia="宋体" w:cs="宋体"/>
          <w:sz w:val="24"/>
          <w:szCs w:val="24"/>
        </w:rPr>
      </w:pPr>
      <w:bookmarkStart w:id="111" w:name="_Toc44704911"/>
      <w:bookmarkStart w:id="112" w:name="_Toc44705058"/>
      <w:bookmarkStart w:id="113" w:name="_Toc44705279"/>
      <w:r>
        <w:rPr>
          <w:rFonts w:hint="eastAsia" w:ascii="宋体" w:hAnsi="宋体" w:eastAsia="宋体" w:cs="宋体"/>
          <w:sz w:val="36"/>
          <w:szCs w:val="24"/>
        </w:rPr>
        <w:t>资格证明材料内容及格式</w:t>
      </w:r>
      <w:bookmarkEnd w:id="111"/>
      <w:bookmarkEnd w:id="112"/>
      <w:bookmarkEnd w:id="113"/>
    </w:p>
    <w:p>
      <w:pPr>
        <w:spacing w:line="360" w:lineRule="auto"/>
        <w:rPr>
          <w:rFonts w:ascii="宋体" w:cs="宋体"/>
          <w:color w:val="000000"/>
          <w:sz w:val="24"/>
          <w:szCs w:val="24"/>
        </w:rPr>
      </w:pPr>
      <w:r>
        <w:rPr>
          <w:rFonts w:hint="eastAsia" w:ascii="宋体" w:hAnsi="宋体" w:cs="宋体"/>
          <w:color w:val="000000"/>
          <w:sz w:val="24"/>
          <w:szCs w:val="24"/>
        </w:rPr>
        <w:t>一、目录</w:t>
      </w:r>
    </w:p>
    <w:p>
      <w:pPr>
        <w:tabs>
          <w:tab w:val="left" w:pos="720"/>
        </w:tabs>
        <w:autoSpaceDE w:val="0"/>
        <w:autoSpaceDN w:val="0"/>
        <w:adjustRightInd w:val="0"/>
        <w:spacing w:line="360" w:lineRule="auto"/>
        <w:ind w:right="17"/>
        <w:jc w:val="left"/>
        <w:rPr>
          <w:rFonts w:ascii="宋体" w:cs="宋体"/>
          <w:kern w:val="0"/>
          <w:sz w:val="24"/>
          <w:szCs w:val="24"/>
          <w:lang w:val="zh-CN"/>
        </w:rPr>
      </w:pPr>
      <w:r>
        <w:rPr>
          <w:rFonts w:ascii="宋体" w:hAnsi="宋体" w:cs="宋体"/>
          <w:color w:val="000000"/>
          <w:sz w:val="24"/>
          <w:szCs w:val="24"/>
        </w:rPr>
        <w:t>1</w:t>
      </w:r>
      <w:r>
        <w:rPr>
          <w:rFonts w:ascii="宋体" w:hAnsi="宋体" w:cs="宋体"/>
          <w:kern w:val="0"/>
          <w:sz w:val="24"/>
          <w:szCs w:val="24"/>
          <w:lang w:val="zh-CN"/>
        </w:rPr>
        <w:t>.1</w:t>
      </w:r>
      <w:r>
        <w:rPr>
          <w:rFonts w:hint="eastAsia" w:ascii="宋体" w:hAnsi="宋体" w:cs="宋体"/>
          <w:kern w:val="0"/>
          <w:sz w:val="24"/>
          <w:szCs w:val="24"/>
          <w:lang w:val="zh-CN"/>
        </w:rPr>
        <w:t>具有独立承担民事责任的能力；</w:t>
      </w:r>
    </w:p>
    <w:p>
      <w:pPr>
        <w:tabs>
          <w:tab w:val="left" w:pos="720"/>
        </w:tabs>
        <w:autoSpaceDE w:val="0"/>
        <w:autoSpaceDN w:val="0"/>
        <w:adjustRightInd w:val="0"/>
        <w:spacing w:line="360" w:lineRule="auto"/>
        <w:ind w:right="17"/>
        <w:jc w:val="left"/>
        <w:rPr>
          <w:rFonts w:ascii="宋体" w:cs="宋体"/>
          <w:color w:val="000000"/>
          <w:kern w:val="0"/>
          <w:sz w:val="24"/>
          <w:szCs w:val="24"/>
          <w:lang w:val="zh-CN"/>
        </w:rPr>
      </w:pPr>
      <w:r>
        <w:rPr>
          <w:rFonts w:ascii="宋体" w:hAnsi="宋体" w:cs="宋体"/>
          <w:color w:val="000000"/>
          <w:sz w:val="24"/>
          <w:szCs w:val="24"/>
        </w:rPr>
        <w:t>1.2</w:t>
      </w:r>
      <w:r>
        <w:rPr>
          <w:rFonts w:hint="eastAsia" w:ascii="宋体" w:hAnsi="宋体" w:cs="宋体"/>
          <w:kern w:val="0"/>
          <w:sz w:val="24"/>
          <w:szCs w:val="24"/>
          <w:lang w:val="zh-CN"/>
        </w:rPr>
        <w:t>具有良好的商业信誉和健全的财务会计制度</w:t>
      </w:r>
      <w:r>
        <w:rPr>
          <w:rFonts w:hint="eastAsia" w:ascii="宋体" w:hAnsi="宋体" w:cs="宋体"/>
          <w:color w:val="000000"/>
          <w:sz w:val="24"/>
          <w:szCs w:val="24"/>
        </w:rPr>
        <w:t>；</w:t>
      </w:r>
    </w:p>
    <w:p>
      <w:pPr>
        <w:spacing w:line="360" w:lineRule="auto"/>
        <w:rPr>
          <w:rFonts w:ascii="宋体" w:cs="宋体"/>
          <w:color w:val="000000"/>
          <w:sz w:val="24"/>
          <w:szCs w:val="24"/>
        </w:rPr>
      </w:pPr>
      <w:r>
        <w:rPr>
          <w:rFonts w:ascii="宋体" w:hAnsi="宋体" w:cs="宋体"/>
          <w:color w:val="000000"/>
          <w:sz w:val="24"/>
          <w:szCs w:val="24"/>
        </w:rPr>
        <w:t>1.3</w:t>
      </w:r>
      <w:r>
        <w:rPr>
          <w:rFonts w:hint="eastAsia" w:ascii="宋体" w:hAnsi="宋体" w:cs="宋体"/>
          <w:color w:val="000000"/>
          <w:sz w:val="24"/>
          <w:szCs w:val="24"/>
        </w:rPr>
        <w:t>具有履行合同所必需的设备和专业技术能力；</w:t>
      </w:r>
    </w:p>
    <w:p>
      <w:pPr>
        <w:spacing w:line="360" w:lineRule="auto"/>
        <w:rPr>
          <w:rFonts w:ascii="宋体" w:cs="宋体"/>
          <w:color w:val="000000"/>
          <w:sz w:val="24"/>
          <w:szCs w:val="24"/>
        </w:rPr>
      </w:pPr>
      <w:r>
        <w:rPr>
          <w:rFonts w:ascii="宋体" w:hAnsi="宋体" w:cs="宋体"/>
          <w:color w:val="000000"/>
          <w:sz w:val="24"/>
          <w:szCs w:val="24"/>
        </w:rPr>
        <w:t>1.4</w:t>
      </w:r>
      <w:r>
        <w:rPr>
          <w:rFonts w:hint="eastAsia" w:ascii="宋体" w:hAnsi="宋体" w:cs="宋体"/>
          <w:color w:val="000000"/>
          <w:kern w:val="0"/>
          <w:sz w:val="24"/>
          <w:szCs w:val="24"/>
          <w:lang w:val="zh-CN"/>
        </w:rPr>
        <w:t>有依法缴纳税收和社会保障资金的良好记录；</w:t>
      </w:r>
    </w:p>
    <w:p>
      <w:pPr>
        <w:spacing w:line="360" w:lineRule="auto"/>
        <w:rPr>
          <w:rFonts w:ascii="宋体" w:cs="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参加政府采购活动前三年内，在经营活动中没有重大违法记录；</w:t>
      </w:r>
    </w:p>
    <w:p>
      <w:pPr>
        <w:spacing w:line="360" w:lineRule="auto"/>
        <w:rPr>
          <w:rFonts w:ascii="宋体" w:cs="宋体"/>
          <w:color w:val="000000"/>
          <w:sz w:val="24"/>
          <w:szCs w:val="24"/>
        </w:rPr>
      </w:pPr>
      <w:r>
        <w:rPr>
          <w:rFonts w:ascii="宋体" w:hAnsi="宋体" w:cs="宋体"/>
          <w:color w:val="000000"/>
          <w:sz w:val="24"/>
          <w:szCs w:val="24"/>
        </w:rPr>
        <w:t>1.</w:t>
      </w:r>
      <w:bookmarkStart w:id="114" w:name="_Hlk493437107"/>
      <w:r>
        <w:rPr>
          <w:rFonts w:ascii="宋体" w:hAnsi="宋体" w:cs="宋体"/>
          <w:color w:val="000000"/>
          <w:sz w:val="24"/>
          <w:szCs w:val="24"/>
        </w:rPr>
        <w:t>6</w:t>
      </w:r>
      <w:r>
        <w:rPr>
          <w:rFonts w:hint="eastAsia" w:ascii="宋体" w:hAnsi="宋体" w:cs="宋体"/>
          <w:color w:val="000000"/>
          <w:sz w:val="24"/>
          <w:szCs w:val="24"/>
        </w:rPr>
        <w:t>符合招标文件第二章“</w:t>
      </w:r>
      <w:r>
        <w:rPr>
          <w:rFonts w:hint="eastAsia" w:ascii="宋体" w:hAnsi="宋体" w:cs="宋体"/>
          <w:bCs/>
          <w:kern w:val="0"/>
          <w:sz w:val="24"/>
          <w:szCs w:val="24"/>
        </w:rPr>
        <w:t>投标人须知前附表”</w:t>
      </w:r>
      <w:r>
        <w:rPr>
          <w:rFonts w:ascii="宋体" w:hAnsi="宋体" w:cs="宋体"/>
          <w:bCs/>
          <w:kern w:val="0"/>
          <w:sz w:val="24"/>
          <w:szCs w:val="24"/>
        </w:rPr>
        <w:t>15.1</w:t>
      </w:r>
      <w:r>
        <w:rPr>
          <w:rFonts w:hint="eastAsia" w:ascii="宋体" w:hAnsi="宋体" w:cs="宋体"/>
          <w:bCs/>
          <w:kern w:val="0"/>
          <w:sz w:val="24"/>
          <w:szCs w:val="24"/>
        </w:rPr>
        <w:t>中第</w:t>
      </w:r>
      <w:r>
        <w:rPr>
          <w:rFonts w:ascii="宋体" w:hAnsi="宋体" w:cs="宋体"/>
          <w:bCs/>
          <w:kern w:val="0"/>
          <w:sz w:val="24"/>
          <w:szCs w:val="24"/>
        </w:rPr>
        <w:t>2</w:t>
      </w:r>
      <w:r>
        <w:rPr>
          <w:rFonts w:hint="eastAsia" w:ascii="宋体" w:hAnsi="宋体" w:cs="宋体"/>
          <w:bCs/>
          <w:kern w:val="0"/>
          <w:sz w:val="24"/>
          <w:szCs w:val="24"/>
        </w:rPr>
        <w:t>条的证明材料</w:t>
      </w:r>
      <w:bookmarkEnd w:id="114"/>
      <w:r>
        <w:rPr>
          <w:rFonts w:hint="eastAsia" w:ascii="宋体" w:hAnsi="宋体" w:cs="宋体"/>
          <w:bCs/>
          <w:kern w:val="0"/>
          <w:sz w:val="24"/>
          <w:szCs w:val="24"/>
        </w:rPr>
        <w:t>；</w:t>
      </w:r>
    </w:p>
    <w:p>
      <w:pPr>
        <w:spacing w:line="360" w:lineRule="auto"/>
        <w:rPr>
          <w:rFonts w:ascii="宋体" w:cs="宋体"/>
          <w:color w:val="000000"/>
          <w:sz w:val="24"/>
        </w:rPr>
      </w:pPr>
      <w:r>
        <w:rPr>
          <w:rFonts w:ascii="宋体" w:hAnsi="宋体" w:cs="宋体"/>
          <w:color w:val="000000"/>
          <w:sz w:val="24"/>
        </w:rPr>
        <w:t>1.7</w:t>
      </w:r>
      <w:r>
        <w:rPr>
          <w:rFonts w:hint="eastAsia" w:ascii="宋体" w:hAnsi="宋体" w:cs="宋体"/>
          <w:color w:val="000000"/>
          <w:sz w:val="24"/>
          <w:szCs w:val="24"/>
        </w:rPr>
        <w:t>符合招标文件第二章“</w:t>
      </w:r>
      <w:r>
        <w:rPr>
          <w:rFonts w:hint="eastAsia" w:ascii="宋体" w:hAnsi="宋体" w:cs="宋体"/>
          <w:bCs/>
          <w:kern w:val="0"/>
          <w:sz w:val="24"/>
          <w:szCs w:val="24"/>
        </w:rPr>
        <w:t>投标人须知前附表”</w:t>
      </w:r>
      <w:r>
        <w:rPr>
          <w:rFonts w:ascii="宋体" w:hAnsi="宋体" w:cs="宋体"/>
          <w:bCs/>
          <w:kern w:val="0"/>
          <w:sz w:val="24"/>
          <w:szCs w:val="24"/>
        </w:rPr>
        <w:t>15.1</w:t>
      </w:r>
      <w:r>
        <w:rPr>
          <w:rFonts w:hint="eastAsia" w:ascii="宋体" w:hAnsi="宋体" w:cs="宋体"/>
          <w:bCs/>
          <w:kern w:val="0"/>
          <w:sz w:val="24"/>
          <w:szCs w:val="24"/>
        </w:rPr>
        <w:t>中第</w:t>
      </w:r>
      <w:r>
        <w:rPr>
          <w:rFonts w:ascii="宋体" w:hAnsi="宋体" w:cs="宋体"/>
          <w:bCs/>
          <w:kern w:val="0"/>
          <w:sz w:val="24"/>
          <w:szCs w:val="24"/>
        </w:rPr>
        <w:t>3</w:t>
      </w:r>
      <w:r>
        <w:rPr>
          <w:rFonts w:hint="eastAsia" w:ascii="宋体" w:hAnsi="宋体" w:cs="宋体"/>
          <w:bCs/>
          <w:kern w:val="0"/>
          <w:sz w:val="24"/>
          <w:szCs w:val="24"/>
        </w:rPr>
        <w:t>条的证明材料</w:t>
      </w:r>
      <w:r>
        <w:rPr>
          <w:rFonts w:hint="eastAsia" w:ascii="宋体" w:hAnsi="宋体" w:cs="宋体"/>
          <w:color w:val="000000"/>
          <w:sz w:val="24"/>
        </w:rPr>
        <w:t>；</w:t>
      </w:r>
    </w:p>
    <w:p>
      <w:pPr>
        <w:pStyle w:val="21"/>
        <w:rPr>
          <w:rFonts w:ascii="宋体" w:cs="宋体"/>
          <w:color w:val="000000"/>
        </w:rPr>
      </w:pPr>
      <w:r>
        <w:rPr>
          <w:rFonts w:ascii="宋体" w:hAnsi="宋体" w:cs="宋体"/>
          <w:color w:val="000000"/>
        </w:rPr>
        <w:t>1.8</w:t>
      </w:r>
      <w:r>
        <w:rPr>
          <w:rFonts w:hint="eastAsia" w:ascii="宋体" w:hAnsi="宋体" w:cs="宋体"/>
          <w:color w:val="000000"/>
        </w:rPr>
        <w:t>投标承诺书；</w:t>
      </w:r>
    </w:p>
    <w:p>
      <w:pPr>
        <w:spacing w:line="360" w:lineRule="auto"/>
        <w:rPr>
          <w:rFonts w:ascii="宋体" w:hAnsi="宋体" w:cs="宋体"/>
          <w:color w:val="000000"/>
          <w:sz w:val="24"/>
          <w:szCs w:val="22"/>
        </w:rPr>
      </w:pPr>
      <w:r>
        <w:rPr>
          <w:rFonts w:ascii="宋体" w:hAnsi="宋体" w:cs="宋体"/>
          <w:color w:val="000000"/>
          <w:sz w:val="24"/>
          <w:szCs w:val="22"/>
        </w:rPr>
        <w:t>1.9</w:t>
      </w:r>
      <w:r>
        <w:rPr>
          <w:rFonts w:hint="eastAsia" w:ascii="宋体" w:hAnsi="宋体" w:cs="宋体"/>
          <w:color w:val="000000"/>
          <w:sz w:val="24"/>
          <w:szCs w:val="22"/>
        </w:rPr>
        <w:t>投标保证金凭证。</w:t>
      </w:r>
    </w:p>
    <w:p>
      <w:pPr>
        <w:spacing w:line="360" w:lineRule="auto"/>
        <w:rPr>
          <w:rFonts w:ascii="宋体" w:cs="宋体"/>
          <w:color w:val="000000"/>
          <w:sz w:val="24"/>
          <w:szCs w:val="24"/>
        </w:rPr>
      </w:pPr>
      <w:r>
        <w:rPr>
          <w:rFonts w:hint="eastAsia" w:ascii="宋体" w:hAnsi="宋体" w:cs="宋体"/>
          <w:color w:val="000000"/>
          <w:sz w:val="24"/>
          <w:szCs w:val="24"/>
        </w:rPr>
        <w:t>二、填写须知</w:t>
      </w:r>
    </w:p>
    <w:p>
      <w:pPr>
        <w:tabs>
          <w:tab w:val="left" w:pos="0"/>
        </w:tabs>
        <w:spacing w:line="360" w:lineRule="auto"/>
        <w:rPr>
          <w:rFonts w:ascii="宋体" w:hAnsi="宋体" w:cs="宋体"/>
          <w:color w:val="000000"/>
          <w:sz w:val="24"/>
          <w:szCs w:val="24"/>
        </w:rPr>
      </w:pPr>
      <w:r>
        <w:rPr>
          <w:rFonts w:hint="eastAsia" w:ascii="宋体" w:hAnsi="宋体" w:cs="宋体"/>
          <w:color w:val="000000"/>
          <w:sz w:val="24"/>
          <w:szCs w:val="24"/>
        </w:rPr>
        <w:t>1.以上所列资格证明材料未提供格式的，由投标人提供，需由投标人授权代表签字并加盖公章。</w:t>
      </w:r>
    </w:p>
    <w:p>
      <w:pPr>
        <w:tabs>
          <w:tab w:val="left" w:pos="0"/>
        </w:tabs>
        <w:spacing w:line="360" w:lineRule="auto"/>
        <w:rPr>
          <w:rFonts w:ascii="宋体" w:hAnsi="宋体" w:cs="宋体"/>
          <w:color w:val="000000"/>
          <w:sz w:val="24"/>
          <w:szCs w:val="24"/>
        </w:rPr>
      </w:pPr>
      <w:r>
        <w:rPr>
          <w:rFonts w:hint="eastAsia" w:ascii="宋体" w:hAnsi="宋体" w:cs="宋体"/>
          <w:color w:val="000000"/>
          <w:sz w:val="24"/>
          <w:szCs w:val="24"/>
        </w:rPr>
        <w:t>2.以联合体形式进行政府采购的，参加联合体的</w:t>
      </w:r>
      <w:r>
        <w:rPr>
          <w:rFonts w:hint="eastAsia" w:ascii="宋体" w:hAnsi="宋体" w:cs="宋体"/>
          <w:sz w:val="24"/>
          <w:szCs w:val="24"/>
        </w:rPr>
        <w:t>投标人</w:t>
      </w:r>
      <w:r>
        <w:rPr>
          <w:rFonts w:hint="eastAsia" w:ascii="宋体" w:hAnsi="宋体" w:cs="宋体"/>
          <w:color w:val="000000"/>
          <w:sz w:val="24"/>
          <w:szCs w:val="24"/>
        </w:rPr>
        <w:t>均应当具备以上所列资格证明材料并加盖单位公章，并应当向采购人提交联合协议，载明联合体各方承担的工作和义务。联合体各方应当共同与采购人签订采购合同，就采购合同约定的事项对采购人承担连带责任。联合体中有同类资质的</w:t>
      </w:r>
      <w:r>
        <w:rPr>
          <w:rFonts w:hint="eastAsia" w:ascii="宋体" w:hAnsi="宋体" w:cs="宋体"/>
          <w:sz w:val="24"/>
          <w:szCs w:val="24"/>
        </w:rPr>
        <w:t>投标人</w:t>
      </w:r>
      <w:r>
        <w:rPr>
          <w:rFonts w:hint="eastAsia" w:ascii="宋体" w:hAnsi="宋体" w:cs="宋体"/>
          <w:color w:val="000000"/>
          <w:sz w:val="24"/>
          <w:szCs w:val="24"/>
        </w:rPr>
        <w:t>按照联合体分工承担相同工作的，应当按照资质等级较低的</w:t>
      </w:r>
      <w:r>
        <w:rPr>
          <w:rFonts w:hint="eastAsia" w:ascii="宋体" w:hAnsi="宋体" w:cs="宋体"/>
          <w:sz w:val="24"/>
          <w:szCs w:val="24"/>
        </w:rPr>
        <w:t>投标人</w:t>
      </w:r>
      <w:r>
        <w:rPr>
          <w:rFonts w:hint="eastAsia" w:ascii="宋体" w:hAnsi="宋体" w:cs="宋体"/>
          <w:color w:val="000000"/>
          <w:sz w:val="24"/>
          <w:szCs w:val="24"/>
        </w:rPr>
        <w:t>确定资质等级。</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3.投标人应保证提供的全部资格证明材料是真实的和正确的。</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4.采购人或采购代理机构将依法审查投标人提交的资格证明材料。</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5.投标人提交的文件将被保密，但不退还。</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6.全部文件应按“投标人须知前附表”规定的份数提交。</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7.投标文件</w:t>
      </w:r>
      <w:r>
        <w:rPr>
          <w:rFonts w:ascii="宋体" w:cs="宋体"/>
          <w:color w:val="000000"/>
          <w:sz w:val="24"/>
          <w:szCs w:val="24"/>
        </w:rPr>
        <w:t>-</w:t>
      </w:r>
      <w:r>
        <w:rPr>
          <w:rFonts w:hint="eastAsia" w:ascii="宋体" w:hAnsi="宋体" w:cs="宋体"/>
          <w:color w:val="000000"/>
          <w:sz w:val="24"/>
          <w:szCs w:val="24"/>
        </w:rPr>
        <w:t>资格证明材料和投标文件中资格证明材料如不一致，以投标文件</w:t>
      </w:r>
      <w:r>
        <w:rPr>
          <w:rFonts w:ascii="宋体" w:cs="宋体"/>
          <w:color w:val="000000"/>
          <w:sz w:val="24"/>
          <w:szCs w:val="24"/>
        </w:rPr>
        <w:t>-</w:t>
      </w:r>
      <w:r>
        <w:rPr>
          <w:rFonts w:hint="eastAsia" w:ascii="宋体" w:hAnsi="宋体" w:cs="宋体"/>
          <w:color w:val="000000"/>
          <w:sz w:val="24"/>
          <w:szCs w:val="24"/>
        </w:rPr>
        <w:t>资格证明材料中为准。</w:t>
      </w:r>
    </w:p>
    <w:p>
      <w:pPr>
        <w:spacing w:line="360" w:lineRule="auto"/>
        <w:rPr>
          <w:rFonts w:ascii="宋体" w:cs="宋体"/>
          <w:b/>
          <w:color w:val="000000"/>
          <w:sz w:val="24"/>
          <w:szCs w:val="24"/>
        </w:rPr>
      </w:pPr>
      <w:r>
        <w:rPr>
          <w:rFonts w:ascii="宋体" w:hAnsi="宋体" w:cs="宋体"/>
          <w:b/>
          <w:color w:val="000000"/>
          <w:sz w:val="24"/>
          <w:szCs w:val="24"/>
        </w:rPr>
        <w:t>1.1-1.</w:t>
      </w:r>
      <w:r>
        <w:rPr>
          <w:rFonts w:hint="eastAsia" w:ascii="宋体" w:hAnsi="宋体" w:cs="宋体"/>
          <w:b/>
          <w:color w:val="000000"/>
          <w:sz w:val="24"/>
          <w:szCs w:val="24"/>
        </w:rPr>
        <w:t>9为资格条件，若未能按要求提供所列的证明材料或提供的材料为虚假或伪造的将作无效投标处理。</w:t>
      </w:r>
    </w:p>
    <w:p>
      <w:pPr>
        <w:pStyle w:val="6"/>
        <w:rPr>
          <w:rFonts w:ascii="宋体" w:cs="宋体"/>
          <w:b w:val="0"/>
          <w:sz w:val="24"/>
          <w:szCs w:val="24"/>
        </w:rPr>
      </w:pPr>
      <w:r>
        <w:rPr>
          <w:rFonts w:ascii="宋体" w:cs="宋体"/>
          <w:b w:val="0"/>
          <w:color w:val="000000"/>
          <w:sz w:val="24"/>
          <w:szCs w:val="24"/>
        </w:rPr>
        <w:br w:type="page"/>
      </w:r>
      <w:bookmarkStart w:id="115" w:name="_Toc497167404"/>
      <w:bookmarkStart w:id="116" w:name="_Toc44705280"/>
      <w:bookmarkStart w:id="117" w:name="_Toc44705059"/>
      <w:bookmarkStart w:id="118" w:name="_Toc44704912"/>
      <w:bookmarkStart w:id="119" w:name="_Toc14776847"/>
      <w:bookmarkStart w:id="120" w:name="_Toc2355256"/>
      <w:bookmarkStart w:id="121" w:name="_Toc2511998"/>
      <w:r>
        <w:rPr>
          <w:rFonts w:ascii="宋体" w:hAnsi="宋体" w:cs="宋体"/>
          <w:b w:val="0"/>
          <w:sz w:val="32"/>
          <w:szCs w:val="24"/>
        </w:rPr>
        <w:t>1.1</w:t>
      </w:r>
      <w:bookmarkEnd w:id="115"/>
      <w:r>
        <w:rPr>
          <w:rFonts w:hint="eastAsia" w:ascii="宋体" w:hAnsi="宋体" w:cs="宋体"/>
          <w:sz w:val="32"/>
          <w:szCs w:val="24"/>
        </w:rPr>
        <w:t>具有独立承担民事责任的能力</w:t>
      </w:r>
      <w:bookmarkEnd w:id="116"/>
      <w:bookmarkEnd w:id="117"/>
      <w:bookmarkEnd w:id="118"/>
    </w:p>
    <w:p>
      <w:pPr>
        <w:widowControl/>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有效的法人或者其他组织的营业执照等证明文件</w:t>
      </w:r>
      <w:bookmarkEnd w:id="119"/>
    </w:p>
    <w:p>
      <w:pPr>
        <w:spacing w:line="360" w:lineRule="auto"/>
        <w:ind w:firstLine="480" w:firstLineChars="200"/>
        <w:rPr>
          <w:rFonts w:ascii="宋体" w:cs="宋体"/>
          <w:b/>
          <w:sz w:val="24"/>
          <w:szCs w:val="24"/>
        </w:rPr>
      </w:pPr>
      <w:r>
        <w:rPr>
          <w:rFonts w:hint="eastAsia" w:ascii="宋体" w:hAnsi="宋体" w:cs="宋体"/>
          <w:color w:val="000000"/>
          <w:sz w:val="24"/>
          <w:szCs w:val="24"/>
        </w:rPr>
        <w:t>（复印件加盖单位公章）</w:t>
      </w:r>
      <w:bookmarkEnd w:id="120"/>
      <w:bookmarkEnd w:id="121"/>
    </w:p>
    <w:p>
      <w:pPr>
        <w:pStyle w:val="6"/>
        <w:rPr>
          <w:rFonts w:ascii="宋体" w:cs="宋体"/>
          <w:sz w:val="24"/>
          <w:szCs w:val="24"/>
        </w:rPr>
      </w:pPr>
      <w:r>
        <w:rPr>
          <w:rFonts w:ascii="宋体" w:cs="宋体"/>
          <w:sz w:val="24"/>
          <w:szCs w:val="24"/>
        </w:rPr>
        <w:br w:type="page"/>
      </w:r>
      <w:bookmarkStart w:id="122" w:name="_Toc44704913"/>
      <w:bookmarkStart w:id="123" w:name="_Toc44705281"/>
      <w:bookmarkStart w:id="124" w:name="_Toc44705060"/>
      <w:bookmarkStart w:id="125" w:name="_Toc2355257"/>
      <w:bookmarkStart w:id="126" w:name="_Toc497167405"/>
      <w:bookmarkStart w:id="127" w:name="_Toc14776848"/>
      <w:bookmarkStart w:id="128" w:name="_Toc2511999"/>
      <w:r>
        <w:rPr>
          <w:rFonts w:ascii="宋体" w:hAnsi="宋体" w:cs="宋体"/>
          <w:sz w:val="32"/>
          <w:szCs w:val="24"/>
        </w:rPr>
        <w:t>1.2</w:t>
      </w:r>
      <w:r>
        <w:rPr>
          <w:rFonts w:hint="eastAsia" w:ascii="宋体" w:hAnsi="宋体" w:cs="宋体"/>
          <w:sz w:val="32"/>
          <w:szCs w:val="24"/>
        </w:rPr>
        <w:t>具有良好的商业信誉和健全的财务会计制度</w:t>
      </w:r>
      <w:bookmarkEnd w:id="122"/>
      <w:bookmarkEnd w:id="123"/>
      <w:bookmarkEnd w:id="124"/>
    </w:p>
    <w:p>
      <w:pPr>
        <w:autoSpaceDE w:val="0"/>
        <w:autoSpaceDN w:val="0"/>
        <w:adjustRightInd w:val="0"/>
        <w:spacing w:line="360" w:lineRule="auto"/>
        <w:ind w:firstLine="480" w:firstLineChars="200"/>
        <w:jc w:val="left"/>
        <w:rPr>
          <w:rFonts w:ascii="宋体" w:cs="宋体"/>
          <w:kern w:val="0"/>
          <w:szCs w:val="21"/>
          <w:lang w:val="zh-CN"/>
        </w:rPr>
      </w:pPr>
      <w:r>
        <w:rPr>
          <w:rFonts w:hint="eastAsia" w:ascii="宋体" w:hAnsi="宋体" w:cs="宋体"/>
          <w:color w:val="000000"/>
          <w:sz w:val="24"/>
        </w:rPr>
        <w:t>投标人提供本</w:t>
      </w:r>
      <w:r>
        <w:rPr>
          <w:rFonts w:hint="eastAsia" w:ascii="宋体" w:hAnsi="宋体" w:cs="宋体"/>
          <w:sz w:val="24"/>
        </w:rPr>
        <w:t>单位上一年度</w:t>
      </w:r>
      <w:r>
        <w:rPr>
          <w:rFonts w:hint="eastAsia" w:ascii="宋体" w:hAnsi="宋体" w:cs="宋体"/>
          <w:b/>
          <w:sz w:val="24"/>
        </w:rPr>
        <w:t>（</w:t>
      </w:r>
      <w:r>
        <w:rPr>
          <w:rFonts w:hint="eastAsia" w:ascii="宋体" w:hAnsi="宋体" w:cs="宋体"/>
          <w:b/>
          <w:sz w:val="24"/>
          <w:lang w:eastAsia="zh-CN"/>
        </w:rPr>
        <w:t>2023年</w:t>
      </w:r>
      <w:r>
        <w:rPr>
          <w:rFonts w:hint="eastAsia" w:ascii="宋体" w:hAnsi="宋体" w:cs="宋体"/>
          <w:b/>
          <w:sz w:val="24"/>
        </w:rPr>
        <w:t>度）</w:t>
      </w:r>
      <w:r>
        <w:rPr>
          <w:rFonts w:hint="eastAsia" w:ascii="宋体" w:hAnsi="宋体" w:cs="宋体"/>
          <w:sz w:val="24"/>
        </w:rPr>
        <w:t>经</w:t>
      </w:r>
      <w:r>
        <w:rPr>
          <w:rFonts w:hint="eastAsia" w:ascii="宋体" w:hAnsi="宋体" w:cs="宋体"/>
          <w:b/>
          <w:color w:val="000000"/>
          <w:sz w:val="24"/>
        </w:rPr>
        <w:t>会计师事务所出具的</w:t>
      </w:r>
      <w:r>
        <w:rPr>
          <w:rFonts w:hint="eastAsia" w:ascii="宋体" w:hAnsi="宋体" w:cs="宋体"/>
          <w:color w:val="000000"/>
          <w:sz w:val="24"/>
        </w:rPr>
        <w:t>审计报告复印件并加盖投标人公章。如投标人无法提供上一年度审计报告，则需提供银行出具的资信证明</w:t>
      </w:r>
      <w:r>
        <w:rPr>
          <w:rFonts w:hint="eastAsia" w:ascii="宋体" w:hAnsi="宋体" w:cs="宋体"/>
          <w:sz w:val="24"/>
        </w:rPr>
        <w:t>或提供具有良好的商业信誉和健全的财务会计制度的承诺函（格式自拟）。</w:t>
      </w:r>
    </w:p>
    <w:p>
      <w:pPr>
        <w:spacing w:line="360" w:lineRule="auto"/>
        <w:ind w:firstLine="480" w:firstLineChars="200"/>
        <w:rPr>
          <w:rFonts w:ascii="宋体" w:cs="宋体"/>
          <w:color w:val="000000"/>
          <w:sz w:val="24"/>
        </w:rPr>
      </w:pPr>
      <w:r>
        <w:rPr>
          <w:rFonts w:hint="eastAsia" w:ascii="宋体" w:hAnsi="宋体" w:cs="宋体"/>
          <w:color w:val="000000"/>
          <w:sz w:val="24"/>
        </w:rPr>
        <w:t>说明：</w:t>
      </w:r>
    </w:p>
    <w:p>
      <w:pPr>
        <w:numPr>
          <w:ilvl w:val="1"/>
          <w:numId w:val="12"/>
        </w:numPr>
        <w:spacing w:line="360" w:lineRule="auto"/>
        <w:ind w:firstLine="480" w:firstLineChars="200"/>
        <w:rPr>
          <w:rFonts w:ascii="宋体" w:cs="宋体"/>
          <w:color w:val="000000"/>
          <w:sz w:val="24"/>
        </w:rPr>
      </w:pPr>
      <w:r>
        <w:rPr>
          <w:rFonts w:hint="eastAsia" w:ascii="宋体" w:hAnsi="宋体" w:cs="宋体"/>
          <w:color w:val="000000"/>
          <w:sz w:val="24"/>
        </w:rPr>
        <w:t>审计报告复印件至少应包括资产负债表、利润表、现金流量表及其附注、加盖会计师事务所公章页。</w:t>
      </w:r>
    </w:p>
    <w:p>
      <w:pPr>
        <w:numPr>
          <w:ilvl w:val="1"/>
          <w:numId w:val="12"/>
        </w:numPr>
        <w:spacing w:line="360" w:lineRule="auto"/>
        <w:ind w:firstLine="480" w:firstLineChars="200"/>
        <w:rPr>
          <w:rFonts w:ascii="宋体" w:cs="宋体"/>
          <w:color w:val="000000"/>
          <w:sz w:val="24"/>
        </w:rPr>
      </w:pPr>
      <w:r>
        <w:rPr>
          <w:rFonts w:hint="eastAsia" w:ascii="宋体" w:hAnsi="宋体" w:cs="宋体"/>
          <w:color w:val="000000"/>
          <w:sz w:val="24"/>
        </w:rPr>
        <w:t>银行资信证明是指投标人参加本次投标截止日前三个月内开立基本账户的银行开具的资信证明（成立一年内的公司可提交当年验资证明复印件并加盖公章）</w:t>
      </w:r>
      <w:r>
        <w:rPr>
          <w:rFonts w:hint="eastAsia" w:ascii="宋体" w:hAnsi="宋体" w:cs="宋体"/>
          <w:color w:val="000000"/>
          <w:sz w:val="24"/>
          <w:szCs w:val="24"/>
        </w:rPr>
        <w:t>，且无收受人和项目的限制，但开具银行有限制规定的除外。</w:t>
      </w:r>
    </w:p>
    <w:p>
      <w:pPr>
        <w:numPr>
          <w:ilvl w:val="1"/>
          <w:numId w:val="12"/>
        </w:numPr>
        <w:spacing w:line="360" w:lineRule="auto"/>
        <w:ind w:firstLine="480" w:firstLineChars="200"/>
        <w:rPr>
          <w:rFonts w:ascii="宋体" w:cs="宋体"/>
          <w:color w:val="000000"/>
          <w:sz w:val="24"/>
          <w:szCs w:val="24"/>
        </w:rPr>
      </w:pPr>
      <w:r>
        <w:rPr>
          <w:rFonts w:hint="eastAsia" w:ascii="宋体" w:hAnsi="宋体" w:cs="宋体"/>
          <w:color w:val="000000"/>
          <w:sz w:val="24"/>
        </w:rPr>
        <w:t>银行资信证明可以是复印件并加盖投标人公章，评标委员会保留审核原件的权</w:t>
      </w:r>
      <w:r>
        <w:rPr>
          <w:rFonts w:hint="eastAsia" w:ascii="宋体" w:hAnsi="宋体" w:cs="宋体"/>
          <w:color w:val="000000"/>
          <w:sz w:val="24"/>
          <w:szCs w:val="24"/>
        </w:rPr>
        <w:t>利。</w:t>
      </w:r>
      <w:r>
        <w:rPr>
          <w:rFonts w:hint="eastAsia" w:ascii="宋体" w:hAnsi="宋体" w:cs="宋体"/>
          <w:b/>
          <w:sz w:val="24"/>
          <w:szCs w:val="24"/>
        </w:rPr>
        <w:t>但开具银行明确规定复印件无效的，须提交原件。</w:t>
      </w:r>
    </w:p>
    <w:p>
      <w:pPr>
        <w:numPr>
          <w:ilvl w:val="1"/>
          <w:numId w:val="12"/>
        </w:numPr>
        <w:spacing w:line="360" w:lineRule="auto"/>
        <w:ind w:firstLine="480" w:firstLineChars="200"/>
        <w:rPr>
          <w:rFonts w:ascii="宋体" w:cs="宋体"/>
          <w:color w:val="000000"/>
          <w:sz w:val="24"/>
          <w:szCs w:val="24"/>
        </w:rPr>
      </w:pPr>
      <w:r>
        <w:rPr>
          <w:rFonts w:hint="eastAsia" w:ascii="宋体" w:hAnsi="宋体" w:cs="宋体"/>
          <w:color w:val="000000"/>
          <w:sz w:val="24"/>
        </w:rPr>
        <w:t>银行资信证明应能说明该投标人与银行之间业务往来正常，无不良记录，企业信誉良好等。银行出具的存款证明不能作为银行资信证明。</w:t>
      </w:r>
    </w:p>
    <w:bookmarkEnd w:id="125"/>
    <w:bookmarkEnd w:id="126"/>
    <w:bookmarkEnd w:id="127"/>
    <w:bookmarkEnd w:id="128"/>
    <w:p>
      <w:pPr>
        <w:pStyle w:val="6"/>
        <w:rPr>
          <w:rFonts w:ascii="宋体" w:cs="宋体"/>
          <w:sz w:val="24"/>
          <w:szCs w:val="24"/>
        </w:rPr>
      </w:pPr>
      <w:bookmarkStart w:id="129" w:name="_Toc14776849"/>
      <w:bookmarkStart w:id="130" w:name="_Toc497167406"/>
      <w:bookmarkStart w:id="131" w:name="_Toc2355258"/>
      <w:bookmarkStart w:id="132" w:name="_Toc2512000"/>
      <w:r>
        <w:rPr>
          <w:rFonts w:ascii="宋体" w:cs="宋体"/>
          <w:sz w:val="24"/>
          <w:szCs w:val="24"/>
        </w:rPr>
        <w:br w:type="page"/>
      </w:r>
      <w:bookmarkStart w:id="133" w:name="_Toc44704914"/>
      <w:bookmarkStart w:id="134" w:name="_Toc44705282"/>
      <w:bookmarkStart w:id="135" w:name="_Toc44705061"/>
      <w:r>
        <w:rPr>
          <w:rFonts w:ascii="宋体" w:hAnsi="宋体" w:cs="宋体"/>
          <w:bCs w:val="0"/>
          <w:sz w:val="32"/>
          <w:szCs w:val="24"/>
        </w:rPr>
        <w:t>1.3</w:t>
      </w:r>
      <w:r>
        <w:rPr>
          <w:rFonts w:hint="eastAsia" w:ascii="宋体" w:hAnsi="宋体" w:cs="宋体"/>
          <w:bCs w:val="0"/>
          <w:sz w:val="32"/>
          <w:szCs w:val="24"/>
        </w:rPr>
        <w:t>具有履行合同所必需的设备和专业技术能力</w:t>
      </w:r>
      <w:bookmarkEnd w:id="133"/>
      <w:bookmarkEnd w:id="134"/>
      <w:bookmarkEnd w:id="135"/>
    </w:p>
    <w:p>
      <w:pPr>
        <w:widowControl/>
        <w:spacing w:line="360" w:lineRule="auto"/>
        <w:ind w:firstLine="480" w:firstLineChars="200"/>
        <w:jc w:val="left"/>
        <w:rPr>
          <w:rFonts w:ascii="宋体" w:cs="宋体"/>
          <w:b/>
          <w:sz w:val="24"/>
          <w:szCs w:val="24"/>
        </w:rPr>
      </w:pPr>
      <w:r>
        <w:rPr>
          <w:rFonts w:hint="eastAsia" w:ascii="宋体" w:hAnsi="宋体" w:cs="宋体"/>
          <w:sz w:val="24"/>
        </w:rPr>
        <w:t>说明：投标人提供书面声明或相关证明材料（例如：相关设备的购置发票或相关人员的职称证书、用工合同等）并加盖单位公章，证明材料可以是文字描述、图纸或数据等，能够说明投标人已具有履行本项目合同所必需的设备和专业技术能力。</w:t>
      </w:r>
    </w:p>
    <w:bookmarkEnd w:id="129"/>
    <w:bookmarkEnd w:id="130"/>
    <w:bookmarkEnd w:id="131"/>
    <w:bookmarkEnd w:id="132"/>
    <w:p>
      <w:pPr>
        <w:spacing w:line="360" w:lineRule="auto"/>
        <w:jc w:val="right"/>
        <w:rPr>
          <w:rFonts w:ascii="宋体" w:cs="宋体"/>
          <w:sz w:val="24"/>
          <w:szCs w:val="24"/>
        </w:rPr>
        <w:sectPr>
          <w:pgSz w:w="11907" w:h="16840"/>
          <w:pgMar w:top="1440" w:right="1469" w:bottom="1440" w:left="1622" w:header="851" w:footer="992" w:gutter="0"/>
          <w:pgBorders>
            <w:top w:val="none" w:sz="0" w:space="0"/>
            <w:left w:val="none" w:sz="0" w:space="0"/>
            <w:bottom w:val="none" w:sz="0" w:space="0"/>
            <w:right w:val="none" w:sz="0" w:space="0"/>
          </w:pgBorders>
          <w:cols w:space="720" w:num="1"/>
          <w:docGrid w:linePitch="312" w:charSpace="0"/>
        </w:sectPr>
      </w:pPr>
    </w:p>
    <w:p>
      <w:pPr>
        <w:pStyle w:val="6"/>
        <w:rPr>
          <w:rFonts w:ascii="宋体" w:cs="宋体"/>
          <w:color w:val="000000"/>
          <w:sz w:val="32"/>
          <w:szCs w:val="24"/>
        </w:rPr>
      </w:pPr>
      <w:bookmarkStart w:id="136" w:name="_Toc44705283"/>
      <w:bookmarkStart w:id="137" w:name="_Toc2355259"/>
      <w:bookmarkStart w:id="138" w:name="_Toc497167407"/>
      <w:bookmarkStart w:id="139" w:name="_Toc44704915"/>
      <w:bookmarkStart w:id="140" w:name="_Toc2512001"/>
      <w:bookmarkStart w:id="141" w:name="_Toc44705062"/>
      <w:r>
        <w:rPr>
          <w:rFonts w:ascii="宋体" w:hAnsi="宋体" w:cs="宋体"/>
          <w:sz w:val="32"/>
          <w:szCs w:val="24"/>
        </w:rPr>
        <w:t>1.4</w:t>
      </w:r>
      <w:r>
        <w:rPr>
          <w:rFonts w:hint="eastAsia" w:ascii="宋体" w:hAnsi="宋体" w:cs="宋体"/>
          <w:sz w:val="32"/>
          <w:szCs w:val="24"/>
        </w:rPr>
        <w:t>有依法缴纳税收和社会保障资金的良好记录</w:t>
      </w:r>
      <w:bookmarkEnd w:id="136"/>
      <w:bookmarkEnd w:id="137"/>
      <w:bookmarkEnd w:id="138"/>
      <w:bookmarkEnd w:id="139"/>
      <w:bookmarkEnd w:id="140"/>
      <w:bookmarkEnd w:id="141"/>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、有依法缴纳社会保障资金的良好记录，须提供参加本次政府采购活动近六个月（费用月份、缴费年月为</w:t>
      </w:r>
      <w:r>
        <w:rPr>
          <w:rFonts w:hint="eastAsia" w:ascii="宋体" w:hAnsi="宋体"/>
          <w:sz w:val="24"/>
          <w:szCs w:val="24"/>
          <w:lang w:eastAsia="zh-CN"/>
        </w:rPr>
        <w:t>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07</w:t>
      </w:r>
      <w:r>
        <w:rPr>
          <w:rFonts w:hint="eastAsia" w:ascii="宋体" w:hAnsi="宋体"/>
          <w:sz w:val="24"/>
          <w:szCs w:val="24"/>
          <w:lang w:eastAsia="zh-CN"/>
        </w:rPr>
        <w:t>月-202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12</w:t>
      </w:r>
      <w:r>
        <w:rPr>
          <w:rFonts w:hint="eastAsia" w:ascii="宋体" w:hAnsi="宋体"/>
          <w:sz w:val="24"/>
          <w:szCs w:val="24"/>
          <w:lang w:eastAsia="zh-CN"/>
        </w:rPr>
        <w:t>月</w:t>
      </w:r>
      <w:r>
        <w:rPr>
          <w:rFonts w:hint="eastAsia" w:ascii="宋体" w:hAnsi="宋体"/>
          <w:sz w:val="24"/>
          <w:szCs w:val="24"/>
        </w:rPr>
        <w:t>，非记账、转账或打印时间）内的任意一月缴纳社会保障资金的银行入账票据凭证或社保部门证明材料复印件，并加盖投标人公章。投标人</w:t>
      </w:r>
      <w:r>
        <w:rPr>
          <w:rFonts w:hint="eastAsia"/>
          <w:sz w:val="24"/>
          <w:szCs w:val="24"/>
        </w:rPr>
        <w:t>逐年交纳社会保障资金的，须提供上年度缴纳社会保障资金的入账票据凭证复印件。缴纳社会保障资金的入账票据凭证复印件须加盖本单位公章</w:t>
      </w:r>
      <w:r>
        <w:rPr>
          <w:rFonts w:hint="eastAsia" w:ascii="宋体" w:hAnsi="宋体"/>
          <w:sz w:val="24"/>
          <w:szCs w:val="24"/>
        </w:rPr>
        <w:t>；</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、纳税证明（个人所得税除外），须提供参加本次政府采购活动近六个月（所属时期、日期为</w:t>
      </w:r>
      <w:r>
        <w:rPr>
          <w:rFonts w:hint="eastAsia" w:ascii="宋体" w:hAnsi="宋体"/>
          <w:sz w:val="24"/>
          <w:szCs w:val="24"/>
          <w:lang w:eastAsia="zh-CN"/>
        </w:rPr>
        <w:t>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07</w:t>
      </w:r>
      <w:r>
        <w:rPr>
          <w:rFonts w:hint="eastAsia" w:ascii="宋体" w:hAnsi="宋体"/>
          <w:sz w:val="24"/>
          <w:szCs w:val="24"/>
          <w:lang w:eastAsia="zh-CN"/>
        </w:rPr>
        <w:t>月-202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12</w:t>
      </w:r>
      <w:r>
        <w:rPr>
          <w:rFonts w:hint="eastAsia" w:ascii="宋体" w:hAnsi="宋体"/>
          <w:sz w:val="24"/>
          <w:szCs w:val="24"/>
          <w:lang w:eastAsia="zh-CN"/>
        </w:rPr>
        <w:t>月</w:t>
      </w:r>
      <w:r>
        <w:rPr>
          <w:rFonts w:hint="eastAsia" w:ascii="宋体" w:hAnsi="宋体"/>
          <w:sz w:val="24"/>
          <w:szCs w:val="24"/>
        </w:rPr>
        <w:t>，非记账、转账或打印时间）内的任意一月银行有效票据或税务部门证明材料凭证复印件，并加盖投标人公章。如近六个月未达到应缴税标准，须提供相应说明及证明材料（如：增值税纳税申报表</w:t>
      </w:r>
      <w:r>
        <w:rPr>
          <w:rFonts w:hint="eastAsia" w:ascii="宋体" w:hAnsi="宋体"/>
          <w:sz w:val="24"/>
          <w:szCs w:val="24"/>
          <w:shd w:val="clear" w:color="auto" w:fill="FFFFFF" w:themeFill="background1"/>
        </w:rPr>
        <w:t>或零纳税申报表）</w:t>
      </w:r>
      <w:r>
        <w:rPr>
          <w:rFonts w:hint="eastAsia" w:ascii="宋体" w:hAnsi="宋体"/>
          <w:sz w:val="24"/>
          <w:szCs w:val="24"/>
        </w:rPr>
        <w:t>，并加盖投标人公章。</w:t>
      </w:r>
      <w:r>
        <w:rPr>
          <w:rFonts w:ascii="宋体" w:hAnsi="宋体"/>
          <w:sz w:val="24"/>
          <w:szCs w:val="24"/>
        </w:rPr>
        <w:t xml:space="preserve"> </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、依法免税或不需要缴纳社会保障资金的投标人，应提供相应的文件证明并加盖本单位公章。</w:t>
      </w:r>
    </w:p>
    <w:p>
      <w:pPr>
        <w:spacing w:line="360" w:lineRule="auto"/>
        <w:rPr>
          <w:rFonts w:ascii="宋体" w:cs="宋体"/>
          <w:b/>
          <w:sz w:val="32"/>
          <w:szCs w:val="32"/>
        </w:rPr>
      </w:pPr>
    </w:p>
    <w:p>
      <w:pPr>
        <w:rPr>
          <w:rFonts w:ascii="宋体"/>
          <w:sz w:val="24"/>
        </w:rPr>
      </w:pPr>
      <w:r>
        <w:rPr>
          <w:rFonts w:hint="eastAsia" w:ascii="宋体" w:hAnsi="宋体"/>
          <w:sz w:val="24"/>
          <w:lang w:eastAsia="zh-CN"/>
        </w:rPr>
        <w:t>乌鲁木齐高新建设工程项目管理咨询有限公司（盖章）</w:t>
      </w:r>
      <w:r>
        <w:rPr>
          <w:rFonts w:hint="eastAsia" w:ascii="宋体" w:hAnsi="宋体"/>
          <w:sz w:val="24"/>
        </w:rPr>
        <w:t>：</w:t>
      </w:r>
    </w:p>
    <w:p>
      <w:pPr>
        <w:spacing w:line="360" w:lineRule="auto"/>
        <w:ind w:firstLine="482" w:firstLineChars="200"/>
        <w:jc w:val="center"/>
        <w:rPr>
          <w:rFonts w:ascii="宋体" w:cs="宋体"/>
          <w:b/>
          <w:sz w:val="24"/>
          <w:shd w:val="clear" w:color="auto" w:fill="FFFFFF"/>
        </w:rPr>
      </w:pPr>
    </w:p>
    <w:p>
      <w:pPr>
        <w:adjustRightInd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本单位成立以来，一直按照国家和地方有关规定，依法缴纳税收及社会保障资金，具有良好记录。</w:t>
      </w:r>
    </w:p>
    <w:p>
      <w:pPr>
        <w:adjustRightInd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特此声明。</w:t>
      </w:r>
    </w:p>
    <w:p>
      <w:pPr>
        <w:adjustRightInd w:val="0"/>
        <w:spacing w:line="360" w:lineRule="auto"/>
        <w:rPr>
          <w:rFonts w:ascii="宋体" w:cs="宋体"/>
          <w:sz w:val="24"/>
          <w:shd w:val="clear" w:color="auto" w:fill="FFFFFF"/>
        </w:rPr>
      </w:pPr>
    </w:p>
    <w:p>
      <w:pPr>
        <w:adjustRightInd w:val="0"/>
        <w:spacing w:line="360" w:lineRule="auto"/>
        <w:rPr>
          <w:rFonts w:ascii="宋体" w:cs="宋体"/>
          <w:sz w:val="24"/>
          <w:shd w:val="clear" w:color="auto" w:fill="FFFFFF"/>
        </w:rPr>
      </w:pPr>
    </w:p>
    <w:p>
      <w:pPr>
        <w:adjustRightInd w:val="0"/>
        <w:spacing w:line="360" w:lineRule="auto"/>
        <w:rPr>
          <w:rFonts w:ascii="宋体" w:cs="宋体"/>
          <w:sz w:val="24"/>
          <w:shd w:val="clear" w:color="auto" w:fill="FFFFFF"/>
        </w:rPr>
      </w:pPr>
    </w:p>
    <w:p>
      <w:pPr>
        <w:spacing w:line="360" w:lineRule="auto"/>
        <w:jc w:val="right"/>
        <w:rPr>
          <w:rFonts w:ascii="宋体"/>
          <w:sz w:val="24"/>
          <w:u w:val="single"/>
        </w:rPr>
      </w:pPr>
      <w:r>
        <w:rPr>
          <w:rFonts w:hint="eastAsia" w:ascii="宋体" w:hAnsi="宋体"/>
          <w:sz w:val="24"/>
        </w:rPr>
        <w:t>投标人法定代表人或授权代表（签字或盖章）：</w:t>
      </w:r>
    </w:p>
    <w:p>
      <w:pPr>
        <w:spacing w:line="360" w:lineRule="auto"/>
        <w:jc w:val="right"/>
        <w:rPr>
          <w:rFonts w:ascii="宋体"/>
          <w:sz w:val="24"/>
        </w:rPr>
      </w:pPr>
      <w:r>
        <w:rPr>
          <w:rFonts w:hint="eastAsia" w:ascii="宋体" w:hAnsi="宋体"/>
          <w:sz w:val="24"/>
        </w:rPr>
        <w:t>投标人名称（加盖单位公章）：</w:t>
      </w:r>
    </w:p>
    <w:p>
      <w:pPr>
        <w:autoSpaceDE w:val="0"/>
        <w:autoSpaceDN w:val="0"/>
        <w:adjustRightInd w:val="0"/>
        <w:spacing w:line="360" w:lineRule="auto"/>
        <w:jc w:val="right"/>
        <w:rPr>
          <w:rFonts w:ascii="宋体" w:cs="宋体"/>
          <w:color w:val="000000"/>
        </w:rPr>
      </w:pPr>
      <w:r>
        <w:rPr>
          <w:rFonts w:hint="eastAsia" w:ascii="宋体" w:hAnsi="宋体"/>
          <w:sz w:val="24"/>
        </w:rPr>
        <w:t>日期：</w:t>
      </w:r>
    </w:p>
    <w:p>
      <w:pPr>
        <w:widowControl/>
        <w:jc w:val="left"/>
        <w:rPr>
          <w:rFonts w:ascii="宋体" w:cs="宋体"/>
          <w:b/>
          <w:sz w:val="24"/>
          <w:szCs w:val="24"/>
        </w:rPr>
      </w:pPr>
      <w:bookmarkStart w:id="142" w:name="_Toc2355260"/>
      <w:bookmarkStart w:id="143" w:name="_Toc2512002"/>
      <w:bookmarkStart w:id="144" w:name="_Toc497167408"/>
      <w:r>
        <w:rPr>
          <w:rFonts w:ascii="宋体" w:cs="宋体"/>
          <w:b/>
          <w:sz w:val="24"/>
          <w:szCs w:val="24"/>
        </w:rPr>
        <w:br w:type="page"/>
      </w:r>
    </w:p>
    <w:p>
      <w:pPr>
        <w:pStyle w:val="6"/>
        <w:rPr>
          <w:rFonts w:ascii="宋体" w:cs="宋体"/>
          <w:sz w:val="24"/>
          <w:szCs w:val="24"/>
        </w:rPr>
      </w:pPr>
      <w:bookmarkStart w:id="145" w:name="_Toc44705284"/>
      <w:bookmarkStart w:id="146" w:name="_Toc44704916"/>
      <w:bookmarkStart w:id="147" w:name="_Toc44705063"/>
      <w:r>
        <w:rPr>
          <w:rFonts w:ascii="宋体" w:hAnsi="宋体" w:cs="宋体"/>
          <w:sz w:val="32"/>
          <w:szCs w:val="24"/>
        </w:rPr>
        <w:t>1.5</w:t>
      </w:r>
      <w:r>
        <w:rPr>
          <w:rFonts w:hint="eastAsia" w:ascii="宋体" w:hAnsi="宋体" w:cs="宋体"/>
          <w:sz w:val="32"/>
          <w:szCs w:val="24"/>
        </w:rPr>
        <w:t>参加政府采购活动前三年内，在经营活动中没有重大违法记录</w:t>
      </w:r>
      <w:bookmarkEnd w:id="145"/>
      <w:bookmarkEnd w:id="146"/>
      <w:bookmarkEnd w:id="147"/>
    </w:p>
    <w:p>
      <w:pPr>
        <w:widowControl/>
        <w:spacing w:line="360" w:lineRule="auto"/>
        <w:jc w:val="left"/>
        <w:rPr>
          <w:rFonts w:ascii="宋体" w:cs="宋体"/>
          <w:b/>
          <w:sz w:val="24"/>
          <w:szCs w:val="24"/>
        </w:rPr>
      </w:pPr>
    </w:p>
    <w:p>
      <w:pPr>
        <w:widowControl/>
        <w:spacing w:line="360" w:lineRule="auto"/>
        <w:jc w:val="left"/>
        <w:rPr>
          <w:rFonts w:ascii="宋体" w:cs="宋体"/>
          <w:b/>
          <w:bCs/>
          <w:sz w:val="24"/>
          <w:szCs w:val="24"/>
        </w:rPr>
      </w:pPr>
      <w:r>
        <w:rPr>
          <w:rFonts w:hint="eastAsia" w:ascii="宋体" w:hAnsi="宋体" w:cs="宋体"/>
          <w:b/>
          <w:sz w:val="24"/>
          <w:szCs w:val="24"/>
        </w:rPr>
        <w:t>近三年内，在经营活动中没有重大违法记录的声明</w:t>
      </w:r>
    </w:p>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lang w:eastAsia="zh-CN"/>
        </w:rPr>
        <w:t>乌鲁木齐高新建设工程项目管理咨询有限公司（盖章）</w:t>
      </w:r>
      <w:r>
        <w:rPr>
          <w:rFonts w:hint="eastAsia" w:ascii="宋体" w:hAnsi="宋体" w:cs="宋体"/>
          <w:color w:val="000000"/>
          <w:sz w:val="24"/>
          <w:szCs w:val="24"/>
        </w:rPr>
        <w:t>：</w:t>
      </w:r>
    </w:p>
    <w:p>
      <w:pPr>
        <w:spacing w:line="360" w:lineRule="auto"/>
        <w:rPr>
          <w:rFonts w:ascii="宋体" w:cs="宋体"/>
          <w:color w:val="000000"/>
          <w:sz w:val="24"/>
          <w:szCs w:val="24"/>
        </w:rPr>
      </w:pP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我公司在近三年（</w:t>
      </w:r>
      <w:r>
        <w:rPr>
          <w:rFonts w:ascii="宋体" w:hAnsi="宋体" w:cs="宋体"/>
          <w:color w:val="000000"/>
          <w:sz w:val="24"/>
          <w:szCs w:val="24"/>
        </w:rPr>
        <w:t>20</w:t>
      </w:r>
      <w:r>
        <w:rPr>
          <w:rFonts w:hint="eastAsia" w:ascii="宋体" w:hAnsi="宋体" w:cs="宋体"/>
          <w:color w:val="000000"/>
          <w:sz w:val="24"/>
          <w:szCs w:val="24"/>
          <w:lang w:val="en-US" w:eastAsia="zh-CN"/>
        </w:rPr>
        <w:t>22</w:t>
      </w:r>
      <w:r>
        <w:rPr>
          <w:rFonts w:hint="eastAsia" w:ascii="宋体" w:hAnsi="宋体" w:cs="宋体"/>
          <w:color w:val="000000"/>
          <w:sz w:val="24"/>
          <w:szCs w:val="24"/>
        </w:rPr>
        <w:t>年</w:t>
      </w:r>
      <w:r>
        <w:rPr>
          <w:rFonts w:ascii="宋体" w:cs="宋体"/>
          <w:color w:val="000000"/>
          <w:sz w:val="24"/>
          <w:szCs w:val="24"/>
        </w:rPr>
        <w:t>-</w:t>
      </w:r>
      <w:r>
        <w:rPr>
          <w:rFonts w:hint="eastAsia" w:ascii="宋体" w:hAnsi="宋体" w:cs="宋体"/>
          <w:color w:val="000000"/>
          <w:sz w:val="24"/>
          <w:szCs w:val="24"/>
        </w:rPr>
        <w:t>至今）内，在经营活动中没有重大违法记录（</w:t>
      </w:r>
      <w:r>
        <w:rPr>
          <w:rFonts w:hint="eastAsia" w:ascii="宋体" w:hAnsi="宋体" w:cs="宋体"/>
          <w:color w:val="000000"/>
          <w:kern w:val="0"/>
          <w:sz w:val="24"/>
          <w:szCs w:val="24"/>
        </w:rPr>
        <w:t>因违法经营受到刑事处罚或者责令停产停业、吊销许可证或者执照、较大数额罚款等行政处罚</w:t>
      </w:r>
      <w:r>
        <w:rPr>
          <w:rFonts w:hint="eastAsia" w:ascii="宋体" w:hAnsi="宋体" w:cs="宋体"/>
          <w:color w:val="000000"/>
          <w:sz w:val="24"/>
          <w:szCs w:val="24"/>
        </w:rPr>
        <w:t>）。</w:t>
      </w:r>
    </w:p>
    <w:p>
      <w:pPr>
        <w:spacing w:line="360" w:lineRule="auto"/>
        <w:rPr>
          <w:rFonts w:ascii="宋体" w:cs="宋体"/>
          <w:color w:val="000000"/>
          <w:sz w:val="24"/>
          <w:szCs w:val="24"/>
        </w:rPr>
      </w:pP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特此声明。</w:t>
      </w: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pStyle w:val="21"/>
        <w:jc w:val="right"/>
      </w:pPr>
      <w:r>
        <w:rPr>
          <w:rFonts w:hint="eastAsia"/>
        </w:rPr>
        <w:t>日期：</w:t>
      </w:r>
    </w:p>
    <w:p>
      <w:pPr>
        <w:pStyle w:val="21"/>
      </w:pPr>
    </w:p>
    <w:bookmarkEnd w:id="142"/>
    <w:bookmarkEnd w:id="143"/>
    <w:bookmarkEnd w:id="144"/>
    <w:p>
      <w:pPr>
        <w:widowControl/>
        <w:jc w:val="left"/>
        <w:rPr>
          <w:rFonts w:ascii="宋体" w:cs="宋体"/>
          <w:sz w:val="24"/>
          <w:szCs w:val="24"/>
        </w:rPr>
      </w:pPr>
      <w:bookmarkStart w:id="148" w:name="_Toc497167409"/>
      <w:bookmarkStart w:id="149" w:name="_Toc2512003"/>
      <w:bookmarkStart w:id="150" w:name="_Toc2355261"/>
      <w:r>
        <w:rPr>
          <w:rFonts w:ascii="宋体" w:cs="宋体"/>
          <w:sz w:val="24"/>
          <w:szCs w:val="24"/>
        </w:rPr>
        <w:br w:type="page"/>
      </w:r>
    </w:p>
    <w:p>
      <w:pPr>
        <w:pStyle w:val="6"/>
        <w:rPr>
          <w:rFonts w:ascii="宋体" w:cs="宋体"/>
          <w:sz w:val="32"/>
          <w:szCs w:val="24"/>
        </w:rPr>
      </w:pPr>
      <w:bookmarkStart w:id="151" w:name="_Toc44704917"/>
      <w:bookmarkStart w:id="152" w:name="_Toc44705285"/>
      <w:bookmarkStart w:id="153" w:name="_Toc44705064"/>
      <w:r>
        <w:rPr>
          <w:rFonts w:ascii="宋体" w:hAnsi="宋体" w:cs="宋体"/>
          <w:sz w:val="32"/>
          <w:szCs w:val="24"/>
        </w:rPr>
        <w:t>1.6</w:t>
      </w:r>
      <w:r>
        <w:rPr>
          <w:rFonts w:hint="eastAsia" w:ascii="宋体" w:hAnsi="宋体" w:cs="宋体"/>
          <w:sz w:val="32"/>
          <w:szCs w:val="24"/>
        </w:rPr>
        <w:t>符合招标文件第二章“投标人须知前附表”</w:t>
      </w:r>
      <w:r>
        <w:rPr>
          <w:rFonts w:ascii="宋体" w:hAnsi="宋体" w:cs="宋体"/>
          <w:sz w:val="32"/>
          <w:szCs w:val="24"/>
        </w:rPr>
        <w:t>15.1</w:t>
      </w:r>
      <w:r>
        <w:rPr>
          <w:rFonts w:hint="eastAsia" w:ascii="宋体" w:hAnsi="宋体" w:cs="宋体"/>
          <w:sz w:val="32"/>
          <w:szCs w:val="24"/>
        </w:rPr>
        <w:t>中第</w:t>
      </w:r>
      <w:r>
        <w:rPr>
          <w:rFonts w:ascii="宋体" w:hAnsi="宋体" w:cs="宋体"/>
          <w:sz w:val="32"/>
          <w:szCs w:val="24"/>
        </w:rPr>
        <w:t>2</w:t>
      </w:r>
      <w:r>
        <w:rPr>
          <w:rFonts w:hint="eastAsia" w:ascii="宋体" w:hAnsi="宋体" w:cs="宋体"/>
          <w:sz w:val="32"/>
          <w:szCs w:val="24"/>
        </w:rPr>
        <w:t>条的证明材料</w:t>
      </w:r>
      <w:bookmarkEnd w:id="151"/>
      <w:bookmarkEnd w:id="152"/>
      <w:bookmarkEnd w:id="153"/>
    </w:p>
    <w:p>
      <w:pPr>
        <w:spacing w:line="360" w:lineRule="auto"/>
        <w:rPr>
          <w:rFonts w:ascii="宋体" w:cs="宋体"/>
          <w:sz w:val="24"/>
          <w:szCs w:val="24"/>
        </w:rPr>
      </w:pPr>
      <w:r>
        <w:rPr>
          <w:rFonts w:hint="eastAsia" w:ascii="宋体" w:hAnsi="宋体" w:cs="宋体"/>
          <w:sz w:val="24"/>
          <w:szCs w:val="24"/>
        </w:rPr>
        <w:t>（加盖单位公章）</w:t>
      </w:r>
      <w:bookmarkEnd w:id="148"/>
      <w:bookmarkEnd w:id="149"/>
      <w:bookmarkEnd w:id="150"/>
    </w:p>
    <w:p>
      <w:pPr>
        <w:spacing w:line="360" w:lineRule="auto"/>
        <w:rPr>
          <w:rFonts w:ascii="宋体" w:cs="宋体"/>
          <w:b/>
          <w:color w:val="000000"/>
          <w:sz w:val="24"/>
          <w:szCs w:val="24"/>
        </w:rPr>
      </w:pPr>
      <w:r>
        <w:rPr>
          <w:rFonts w:ascii="宋体" w:hAnsi="宋体" w:cs="宋体"/>
          <w:b/>
          <w:color w:val="000000"/>
          <w:sz w:val="24"/>
          <w:szCs w:val="24"/>
        </w:rPr>
        <w:t>1.6.1</w:t>
      </w:r>
    </w:p>
    <w:p>
      <w:pPr>
        <w:spacing w:line="360" w:lineRule="auto"/>
        <w:rPr>
          <w:rFonts w:ascii="宋体" w:cs="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rPr>
        <w:t>、投标人应当根据自身存在的情形，如实披露与本单位负责人为同一人或者存在直接控股、管理关系的供应商情况。</w:t>
      </w:r>
    </w:p>
    <w:p>
      <w:pPr>
        <w:spacing w:line="360" w:lineRule="auto"/>
        <w:ind w:firstLine="480" w:firstLineChars="200"/>
        <w:rPr>
          <w:rFonts w:ascii="宋体" w:cs="宋体"/>
          <w:kern w:val="0"/>
          <w:sz w:val="24"/>
          <w:szCs w:val="24"/>
          <w:lang w:val="zh-CN"/>
        </w:rPr>
      </w:pPr>
      <w:r>
        <w:rPr>
          <w:rFonts w:ascii="宋体" w:hAnsi="宋体" w:cs="宋体"/>
          <w:kern w:val="0"/>
          <w:sz w:val="24"/>
          <w:szCs w:val="24"/>
          <w:lang w:val="zh-CN"/>
        </w:rPr>
        <w:t>2</w:t>
      </w:r>
      <w:r>
        <w:rPr>
          <w:rFonts w:hint="eastAsia" w:ascii="宋体" w:hAnsi="宋体" w:cs="宋体"/>
          <w:kern w:val="0"/>
          <w:sz w:val="24"/>
          <w:szCs w:val="24"/>
          <w:lang w:val="zh-CN"/>
        </w:rPr>
        <w:t>、单位负责人为同一人或者存在直接控股、管理关系的不同供应商，同时参加本项目同一标项的投标，相关投标均无效。</w:t>
      </w:r>
    </w:p>
    <w:p>
      <w:pPr>
        <w:pStyle w:val="21"/>
        <w:ind w:firstLine="480" w:firstLineChars="200"/>
        <w:rPr>
          <w:rFonts w:ascii="宋体"/>
          <w:lang w:val="zh-CN"/>
        </w:rPr>
      </w:pPr>
      <w:r>
        <w:rPr>
          <w:rFonts w:ascii="宋体" w:hAnsi="宋体"/>
          <w:lang w:val="zh-CN"/>
        </w:rPr>
        <w:t>3.</w:t>
      </w:r>
      <w:r>
        <w:t xml:space="preserve"> </w:t>
      </w:r>
      <w:r>
        <w:rPr>
          <w:rFonts w:hint="eastAsia" w:ascii="宋体" w:hAnsi="宋体"/>
          <w:lang w:val="zh-CN"/>
        </w:rPr>
        <w:t>为本项目某标项提供整体设计、规范编制或者项目管理、监理、检测等服务的供应商，不得参加该标项的投标；</w:t>
      </w:r>
    </w:p>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rPr>
        <w:t>（如不存在上述情况，请提供如下声明）</w:t>
      </w:r>
    </w:p>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lang w:eastAsia="zh-CN"/>
        </w:rPr>
        <w:t>乌鲁木齐高新建设工程项目管理咨询有限公司（盖章）</w:t>
      </w:r>
      <w:r>
        <w:rPr>
          <w:rFonts w:hint="eastAsia" w:ascii="宋体" w:hAnsi="宋体" w:cs="宋体"/>
          <w:color w:val="000000"/>
          <w:sz w:val="24"/>
          <w:szCs w:val="24"/>
        </w:rPr>
        <w:t>：</w:t>
      </w: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我单位负责人</w:t>
      </w:r>
      <w:r>
        <w:rPr>
          <w:rFonts w:hint="eastAsia" w:ascii="宋体" w:hAnsi="宋体" w:cs="宋体"/>
          <w:color w:val="000000"/>
          <w:sz w:val="24"/>
          <w:szCs w:val="24"/>
          <w:u w:val="single"/>
        </w:rPr>
        <w:t>（负责人姓名、身份证号）</w:t>
      </w:r>
      <w:r>
        <w:rPr>
          <w:rFonts w:hint="eastAsia" w:ascii="宋体" w:hAnsi="宋体" w:cs="宋体"/>
          <w:color w:val="000000"/>
          <w:sz w:val="24"/>
          <w:szCs w:val="24"/>
        </w:rPr>
        <w:t>，不存在与我单位负责人为同一人的不同供应商同时参加本项目同一标项投标的情形。</w:t>
      </w: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与我单位存在直接控股、管理关系的单位</w:t>
      </w:r>
      <w:r>
        <w:rPr>
          <w:rFonts w:hint="eastAsia" w:ascii="宋体" w:hAnsi="宋体" w:cs="宋体"/>
          <w:color w:val="000000"/>
          <w:sz w:val="24"/>
          <w:szCs w:val="24"/>
          <w:u w:val="single"/>
        </w:rPr>
        <w:t>（单位名称，如没有填“无”）</w:t>
      </w:r>
      <w:r>
        <w:rPr>
          <w:rFonts w:hint="eastAsia" w:ascii="宋体" w:hAnsi="宋体" w:cs="宋体"/>
          <w:color w:val="000000"/>
          <w:sz w:val="24"/>
          <w:szCs w:val="24"/>
        </w:rPr>
        <w:t>，不存在与我单位存在直接控股、管理管理的不同供应商同时参加本项目同一标项投标的情形。</w:t>
      </w:r>
    </w:p>
    <w:p>
      <w:pPr>
        <w:pStyle w:val="21"/>
        <w:ind w:firstLine="480" w:firstLineChars="200"/>
      </w:pPr>
      <w:r>
        <w:rPr>
          <w:rFonts w:hint="eastAsia"/>
        </w:rPr>
        <w:t>我单位不为本项目某标项提供整体设计、规范编制或者项目管理、监理、检测等服务的供应商。</w:t>
      </w:r>
    </w:p>
    <w:p>
      <w:pPr>
        <w:spacing w:line="360" w:lineRule="auto"/>
        <w:ind w:firstLine="482" w:firstLineChars="200"/>
        <w:rPr>
          <w:rFonts w:ascii="宋体" w:cs="宋体"/>
          <w:color w:val="000000"/>
          <w:sz w:val="24"/>
          <w:szCs w:val="24"/>
        </w:rPr>
      </w:pPr>
      <w:r>
        <w:rPr>
          <w:rFonts w:hint="eastAsia" w:ascii="宋体" w:hAnsi="宋体" w:cs="宋体"/>
          <w:b/>
          <w:color w:val="000000"/>
          <w:sz w:val="24"/>
        </w:rPr>
        <w:t>我单位确认本</w:t>
      </w:r>
      <w:r>
        <w:rPr>
          <w:rFonts w:hint="eastAsia" w:ascii="宋体" w:hAnsi="宋体" w:cs="宋体"/>
          <w:b/>
          <w:sz w:val="24"/>
        </w:rPr>
        <w:t>声明是真实的、正确的，如有虚假，相应后果和法律责任均由我单位承担</w:t>
      </w:r>
      <w:r>
        <w:rPr>
          <w:rFonts w:hint="eastAsia" w:ascii="宋体" w:hAnsi="宋体" w:cs="宋体"/>
          <w:color w:val="000000"/>
          <w:sz w:val="24"/>
          <w:szCs w:val="24"/>
        </w:rPr>
        <w:t>。</w:t>
      </w: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特此声明。</w:t>
      </w:r>
    </w:p>
    <w:p>
      <w:pPr>
        <w:pStyle w:val="21"/>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spacing w:line="360" w:lineRule="auto"/>
        <w:jc w:val="right"/>
        <w:rPr>
          <w:rFonts w:ascii="宋体" w:cs="宋体"/>
          <w:color w:val="000000"/>
          <w:szCs w:val="21"/>
        </w:rPr>
      </w:pPr>
      <w:r>
        <w:rPr>
          <w:rFonts w:hint="eastAsia" w:ascii="宋体" w:hAnsi="宋体" w:cs="宋体"/>
          <w:sz w:val="24"/>
          <w:szCs w:val="24"/>
        </w:rPr>
        <w:t>日期：</w:t>
      </w:r>
    </w:p>
    <w:p>
      <w:pPr>
        <w:widowControl/>
        <w:spacing w:line="360" w:lineRule="auto"/>
        <w:jc w:val="left"/>
        <w:rPr>
          <w:rFonts w:ascii="宋体" w:cs="宋体"/>
          <w:b/>
          <w:sz w:val="36"/>
          <w:szCs w:val="36"/>
        </w:rPr>
      </w:pPr>
      <w:r>
        <w:rPr>
          <w:rFonts w:ascii="宋体" w:cs="宋体"/>
          <w:color w:val="000000"/>
          <w:szCs w:val="21"/>
        </w:rPr>
        <w:br w:type="page"/>
      </w:r>
      <w:bookmarkStart w:id="154" w:name="_Toc14776855"/>
      <w:bookmarkStart w:id="155" w:name="_Toc2512005"/>
      <w:bookmarkStart w:id="156" w:name="_Toc2355263"/>
      <w:bookmarkStart w:id="157" w:name="_Hlk521595300"/>
      <w:r>
        <w:rPr>
          <w:rFonts w:ascii="宋体" w:hAnsi="宋体" w:cs="宋体"/>
          <w:b/>
          <w:sz w:val="24"/>
          <w:szCs w:val="24"/>
        </w:rPr>
        <w:t>1.6.2</w:t>
      </w:r>
      <w:r>
        <w:rPr>
          <w:rFonts w:hint="eastAsia" w:ascii="宋体" w:hAnsi="宋体" w:cs="宋体"/>
          <w:b/>
          <w:sz w:val="24"/>
          <w:szCs w:val="24"/>
        </w:rPr>
        <w:t>信用查询</w:t>
      </w:r>
      <w:bookmarkEnd w:id="154"/>
    </w:p>
    <w:p>
      <w:pPr>
        <w:spacing w:line="360" w:lineRule="auto"/>
        <w:rPr>
          <w:rFonts w:ascii="宋体" w:cs="宋体"/>
          <w:b/>
          <w:color w:val="000000"/>
          <w:sz w:val="24"/>
          <w:szCs w:val="24"/>
        </w:rPr>
      </w:pPr>
      <w:r>
        <w:rPr>
          <w:rFonts w:hint="eastAsia" w:ascii="宋体" w:hAnsi="宋体" w:cs="宋体"/>
          <w:b/>
          <w:sz w:val="24"/>
          <w:szCs w:val="24"/>
        </w:rPr>
        <w:t>通过“信用中国”网站（</w:t>
      </w:r>
      <w:r>
        <w:rPr>
          <w:rFonts w:ascii="宋体" w:hAnsi="宋体" w:cs="宋体"/>
          <w:b/>
          <w:sz w:val="24"/>
          <w:szCs w:val="24"/>
        </w:rPr>
        <w:t>www.creditchina.gov.cn</w:t>
      </w:r>
      <w:r>
        <w:rPr>
          <w:rFonts w:hint="eastAsia" w:ascii="宋体" w:hAnsi="宋体" w:cs="宋体"/>
          <w:b/>
          <w:sz w:val="24"/>
          <w:szCs w:val="24"/>
        </w:rPr>
        <w:t>）和中国政府采购网（</w:t>
      </w:r>
      <w:r>
        <w:rPr>
          <w:rFonts w:ascii="宋体" w:hAnsi="宋体" w:cs="宋体"/>
          <w:b/>
          <w:sz w:val="24"/>
          <w:szCs w:val="24"/>
        </w:rPr>
        <w:t>www.ccgp.gov.cn</w:t>
      </w:r>
      <w:r>
        <w:rPr>
          <w:rFonts w:hint="eastAsia" w:ascii="宋体" w:hAnsi="宋体" w:cs="宋体"/>
          <w:b/>
          <w:sz w:val="24"/>
          <w:szCs w:val="24"/>
        </w:rPr>
        <w:t>）查询信用记录（截止时间点为投标截止时间），（截图复印件加盖投标人公章）被列入失信被执行人、重大税收违法案件当事人名单或政府采购严重违法失信行为记录名单的供应商，没有资格参加本项目的采购活动</w:t>
      </w:r>
      <w:bookmarkEnd w:id="155"/>
      <w:bookmarkEnd w:id="156"/>
    </w:p>
    <w:bookmarkEnd w:id="157"/>
    <w:p>
      <w:pPr>
        <w:spacing w:line="360" w:lineRule="auto"/>
        <w:rPr>
          <w:rFonts w:ascii="宋体" w:cs="宋体"/>
          <w:color w:val="000000"/>
          <w:szCs w:val="21"/>
          <w:u w:val="single"/>
        </w:rPr>
      </w:pPr>
    </w:p>
    <w:p>
      <w:pPr>
        <w:spacing w:line="360" w:lineRule="auto"/>
        <w:rPr>
          <w:rFonts w:ascii="宋体" w:cs="宋体"/>
          <w:color w:val="000000"/>
          <w:sz w:val="24"/>
          <w:szCs w:val="24"/>
        </w:rPr>
      </w:pPr>
    </w:p>
    <w:p>
      <w:pPr>
        <w:spacing w:line="360" w:lineRule="auto"/>
        <w:rPr>
          <w:rFonts w:ascii="宋体" w:cs="宋体"/>
          <w:sz w:val="24"/>
          <w:szCs w:val="24"/>
        </w:rPr>
      </w:pPr>
    </w:p>
    <w:p>
      <w:pPr>
        <w:spacing w:line="360" w:lineRule="auto"/>
        <w:ind w:firstLine="5280" w:firstLineChars="2200"/>
        <w:rPr>
          <w:rFonts w:ascii="宋体" w:cs="宋体"/>
          <w:color w:val="000000"/>
          <w:sz w:val="24"/>
          <w:szCs w:val="24"/>
        </w:rPr>
      </w:pPr>
    </w:p>
    <w:p>
      <w:pPr>
        <w:spacing w:line="360" w:lineRule="auto"/>
        <w:ind w:firstLine="6385" w:firstLineChars="2650"/>
        <w:rPr>
          <w:rFonts w:ascii="宋体" w:cs="宋体"/>
          <w:b/>
          <w:color w:val="000000"/>
          <w:sz w:val="24"/>
          <w:szCs w:val="24"/>
        </w:rPr>
      </w:pPr>
    </w:p>
    <w:p>
      <w:pPr>
        <w:spacing w:line="360" w:lineRule="auto"/>
        <w:rPr>
          <w:rFonts w:ascii="宋体" w:cs="宋体"/>
          <w:b/>
          <w:color w:val="000000"/>
          <w:sz w:val="24"/>
          <w:szCs w:val="24"/>
        </w:rPr>
      </w:pPr>
      <w:r>
        <w:rPr>
          <w:rFonts w:hint="eastAsia" w:ascii="宋体" w:hAnsi="宋体" w:cs="宋体"/>
          <w:b/>
          <w:color w:val="000000"/>
          <w:sz w:val="24"/>
          <w:szCs w:val="24"/>
        </w:rPr>
        <w:t>说</w:t>
      </w:r>
      <w:r>
        <w:rPr>
          <w:rFonts w:hint="eastAsia" w:ascii="宋体" w:hAnsi="宋体" w:cs="宋体"/>
          <w:b/>
          <w:sz w:val="24"/>
          <w:szCs w:val="24"/>
        </w:rPr>
        <w:t>明：</w:t>
      </w:r>
    </w:p>
    <w:p>
      <w:pPr>
        <w:spacing w:line="360" w:lineRule="auto"/>
        <w:ind w:firstLine="480" w:firstLineChars="200"/>
        <w:rPr>
          <w:rFonts w:ascii="宋体" w:cs="宋体"/>
          <w:color w:val="000000"/>
          <w:kern w:val="0"/>
          <w:sz w:val="24"/>
          <w:szCs w:val="24"/>
        </w:rPr>
      </w:pPr>
      <w:r>
        <w:rPr>
          <w:rFonts w:ascii="宋体" w:hAnsi="宋体" w:cs="宋体"/>
          <w:color w:val="000000"/>
          <w:sz w:val="24"/>
          <w:szCs w:val="24"/>
        </w:rPr>
        <w:t>1</w:t>
      </w:r>
      <w:r>
        <w:rPr>
          <w:rFonts w:hint="eastAsia" w:ascii="宋体" w:hAnsi="宋体" w:cs="宋体"/>
          <w:color w:val="000000"/>
          <w:sz w:val="24"/>
          <w:szCs w:val="24"/>
        </w:rPr>
        <w:t>、</w:t>
      </w:r>
      <w:r>
        <w:rPr>
          <w:rFonts w:hint="eastAsia" w:ascii="宋体" w:hAnsi="宋体" w:cs="宋体"/>
          <w:color w:val="000000"/>
          <w:kern w:val="0"/>
          <w:sz w:val="24"/>
          <w:szCs w:val="24"/>
        </w:rPr>
        <w:t>信用信息查询渠道：信用中国网站（</w:t>
      </w:r>
      <w:r>
        <w:rPr>
          <w:rFonts w:ascii="宋体" w:hAnsi="宋体" w:cs="宋体"/>
          <w:color w:val="000000"/>
          <w:kern w:val="0"/>
          <w:sz w:val="24"/>
          <w:szCs w:val="24"/>
        </w:rPr>
        <w:t>www.creditchina.gov.cn</w:t>
      </w:r>
      <w:r>
        <w:rPr>
          <w:rFonts w:hint="eastAsia" w:ascii="宋体" w:hAnsi="宋体" w:cs="宋体"/>
          <w:color w:val="000000"/>
          <w:kern w:val="0"/>
          <w:sz w:val="24"/>
          <w:szCs w:val="24"/>
        </w:rPr>
        <w:t>）和中国政府采购网</w:t>
      </w:r>
      <w:r>
        <w:rPr>
          <w:rFonts w:ascii="宋体" w:cs="宋体"/>
          <w:color w:val="000000"/>
          <w:kern w:val="0"/>
          <w:sz w:val="24"/>
          <w:szCs w:val="24"/>
        </w:rPr>
        <w:t>-</w:t>
      </w:r>
      <w:r>
        <w:rPr>
          <w:rFonts w:hint="eastAsia" w:ascii="宋体" w:hAnsi="宋体" w:cs="宋体"/>
          <w:color w:val="000000"/>
          <w:kern w:val="0"/>
          <w:sz w:val="24"/>
          <w:szCs w:val="24"/>
        </w:rPr>
        <w:t>政府采购严重违法失信行为信息记录（</w:t>
      </w:r>
      <w:r>
        <w:rPr>
          <w:rFonts w:ascii="宋体" w:hAnsi="宋体" w:cs="宋体"/>
          <w:color w:val="000000"/>
          <w:kern w:val="0"/>
          <w:sz w:val="24"/>
          <w:szCs w:val="24"/>
        </w:rPr>
        <w:t>www.ccgp.gov.cn/cr/list</w:t>
      </w:r>
      <w:r>
        <w:rPr>
          <w:rFonts w:hint="eastAsia" w:ascii="宋体" w:hAnsi="宋体" w:cs="宋体"/>
          <w:color w:val="000000"/>
          <w:kern w:val="0"/>
          <w:sz w:val="24"/>
          <w:szCs w:val="24"/>
        </w:rPr>
        <w:t>）；</w:t>
      </w:r>
    </w:p>
    <w:p>
      <w:pPr>
        <w:spacing w:line="360" w:lineRule="auto"/>
        <w:ind w:firstLine="480" w:firstLineChars="200"/>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、信用信息查询截止时点：同投标截止时间（文件提交截止时间）；</w:t>
      </w:r>
    </w:p>
    <w:p>
      <w:pPr>
        <w:spacing w:line="360" w:lineRule="auto"/>
        <w:ind w:firstLine="480" w:firstLineChars="200"/>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、信用信息查询记录和证据留存的具体方式：网站查询截图打印稿形式与其他采购文件一并保存；</w:t>
      </w:r>
    </w:p>
    <w:p>
      <w:pPr>
        <w:spacing w:line="360" w:lineRule="auto"/>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w:t>
      </w:r>
      <w:r>
        <w:rPr>
          <w:rFonts w:ascii="宋体" w:hAnsi="宋体" w:cs="宋体"/>
          <w:color w:val="000000"/>
          <w:sz w:val="24"/>
          <w:szCs w:val="24"/>
        </w:rPr>
        <w:t>2015</w:t>
      </w:r>
      <w:r>
        <w:rPr>
          <w:rFonts w:hint="eastAsia" w:ascii="宋体" w:hAnsi="宋体" w:cs="宋体"/>
          <w:color w:val="000000"/>
          <w:sz w:val="24"/>
          <w:szCs w:val="24"/>
        </w:rPr>
        <w:t>〕</w:t>
      </w:r>
      <w:r>
        <w:rPr>
          <w:rFonts w:ascii="宋体" w:hAnsi="宋体" w:cs="宋体"/>
          <w:color w:val="000000"/>
          <w:sz w:val="24"/>
          <w:szCs w:val="24"/>
        </w:rPr>
        <w:t>150</w:t>
      </w:r>
      <w:r>
        <w:rPr>
          <w:rFonts w:hint="eastAsia" w:ascii="宋体" w:hAnsi="宋体" w:cs="宋体"/>
          <w:color w:val="000000"/>
          <w:sz w:val="24"/>
          <w:szCs w:val="24"/>
        </w:rPr>
        <w:t>号《关于规范政府采购行政处罚有关问题的通知》，相关行政处罚决定在全国范围内生效）。</w:t>
      </w:r>
    </w:p>
    <w:p>
      <w:pPr>
        <w:spacing w:line="360" w:lineRule="auto"/>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w:t>
      </w:r>
      <w:r>
        <w:rPr>
          <w:rFonts w:hint="eastAsia" w:ascii="宋体" w:hAnsi="宋体" w:cs="宋体"/>
          <w:b/>
          <w:bCs/>
          <w:color w:val="000000"/>
          <w:sz w:val="24"/>
          <w:szCs w:val="24"/>
          <w:highlight w:val="none"/>
        </w:rPr>
        <w:t>投标人无需提供信用查询结果纸质资料，最终评定结果以采购代理机构开标现场查询为准；</w:t>
      </w:r>
    </w:p>
    <w:p>
      <w:pPr>
        <w:widowControl/>
        <w:spacing w:line="360" w:lineRule="auto"/>
        <w:jc w:val="left"/>
        <w:rPr>
          <w:rFonts w:ascii="宋体" w:cs="宋体"/>
          <w:b/>
          <w:sz w:val="36"/>
          <w:szCs w:val="36"/>
        </w:rPr>
      </w:pPr>
      <w:r>
        <w:rPr>
          <w:rFonts w:ascii="宋体" w:cs="宋体"/>
          <w:b/>
          <w:sz w:val="36"/>
          <w:szCs w:val="36"/>
        </w:rPr>
        <w:br w:type="page"/>
      </w:r>
    </w:p>
    <w:p>
      <w:pPr>
        <w:spacing w:line="360" w:lineRule="auto"/>
        <w:jc w:val="left"/>
        <w:rPr>
          <w:rFonts w:ascii="宋体" w:cs="宋体"/>
          <w:b/>
          <w:color w:val="000000"/>
          <w:kern w:val="0"/>
          <w:sz w:val="24"/>
          <w:szCs w:val="24"/>
        </w:rPr>
      </w:pPr>
      <w:r>
        <w:rPr>
          <w:rFonts w:ascii="宋体" w:hAnsi="宋体" w:cs="宋体"/>
          <w:b/>
          <w:color w:val="000000"/>
          <w:kern w:val="0"/>
          <w:sz w:val="24"/>
          <w:szCs w:val="24"/>
        </w:rPr>
        <w:t>1.6</w:t>
      </w:r>
      <w:r>
        <w:rPr>
          <w:rFonts w:ascii="宋体" w:cs="宋体"/>
          <w:b/>
          <w:color w:val="000000"/>
          <w:kern w:val="0"/>
          <w:sz w:val="24"/>
          <w:szCs w:val="24"/>
        </w:rPr>
        <w:t>.</w:t>
      </w:r>
      <w:r>
        <w:rPr>
          <w:rFonts w:ascii="宋体" w:hAnsi="宋体" w:cs="宋体"/>
          <w:b/>
          <w:color w:val="000000"/>
          <w:kern w:val="0"/>
          <w:sz w:val="24"/>
          <w:szCs w:val="24"/>
        </w:rPr>
        <w:t>2.1</w:t>
      </w:r>
      <w:r>
        <w:rPr>
          <w:rFonts w:hint="eastAsia" w:ascii="宋体" w:hAnsi="宋体" w:cs="宋体"/>
          <w:b/>
          <w:color w:val="000000"/>
          <w:kern w:val="0"/>
          <w:sz w:val="24"/>
          <w:szCs w:val="24"/>
        </w:rPr>
        <w:t>信用中国网站（</w:t>
      </w:r>
      <w:r>
        <w:rPr>
          <w:rFonts w:ascii="宋体" w:hAnsi="宋体" w:cs="宋体"/>
          <w:color w:val="000000"/>
          <w:kern w:val="0"/>
          <w:sz w:val="24"/>
          <w:szCs w:val="24"/>
        </w:rPr>
        <w:t>www.creditchina.gov.cn</w:t>
      </w:r>
      <w:r>
        <w:rPr>
          <w:rFonts w:hint="eastAsia" w:ascii="宋体" w:hAnsi="宋体" w:cs="宋体"/>
          <w:b/>
          <w:color w:val="000000"/>
          <w:kern w:val="0"/>
          <w:sz w:val="24"/>
          <w:szCs w:val="24"/>
        </w:rPr>
        <w:t>）查询截图（加盖公章）；</w:t>
      </w: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sz w:val="36"/>
          <w:szCs w:val="36"/>
        </w:rPr>
      </w:pPr>
      <w:r>
        <w:rPr>
          <w:rFonts w:ascii="宋体" w:hAnsi="宋体" w:cs="宋体"/>
          <w:b/>
          <w:color w:val="000000"/>
          <w:kern w:val="0"/>
          <w:sz w:val="24"/>
          <w:szCs w:val="24"/>
        </w:rPr>
        <w:t>1.6.2.2</w:t>
      </w:r>
      <w:r>
        <w:rPr>
          <w:rFonts w:hint="eastAsia" w:ascii="宋体" w:hAnsi="宋体" w:cs="宋体"/>
          <w:b/>
          <w:color w:val="000000"/>
          <w:kern w:val="0"/>
          <w:sz w:val="24"/>
          <w:szCs w:val="24"/>
        </w:rPr>
        <w:t>中国政府采购网</w:t>
      </w:r>
      <w:r>
        <w:rPr>
          <w:rFonts w:ascii="宋体" w:cs="宋体"/>
          <w:b/>
          <w:color w:val="000000"/>
          <w:kern w:val="0"/>
          <w:sz w:val="24"/>
          <w:szCs w:val="24"/>
        </w:rPr>
        <w:t>-</w:t>
      </w:r>
      <w:r>
        <w:rPr>
          <w:rFonts w:hint="eastAsia" w:ascii="宋体" w:hAnsi="宋体" w:cs="宋体"/>
          <w:b/>
          <w:color w:val="000000"/>
          <w:kern w:val="0"/>
          <w:sz w:val="24"/>
          <w:szCs w:val="24"/>
        </w:rPr>
        <w:t>政府采购严重违法失信行为信息记录（</w:t>
      </w:r>
      <w:r>
        <w:rPr>
          <w:rFonts w:ascii="宋体" w:hAnsi="宋体" w:cs="宋体"/>
          <w:b/>
          <w:color w:val="000000"/>
          <w:kern w:val="0"/>
          <w:sz w:val="24"/>
          <w:szCs w:val="24"/>
        </w:rPr>
        <w:t>www.ccgp.gov.cn/cr/list</w:t>
      </w:r>
      <w:r>
        <w:rPr>
          <w:rFonts w:hint="eastAsia" w:ascii="宋体" w:hAnsi="宋体" w:cs="宋体"/>
          <w:b/>
          <w:color w:val="000000"/>
          <w:kern w:val="0"/>
          <w:sz w:val="24"/>
          <w:szCs w:val="24"/>
        </w:rPr>
        <w:t>）查询截图（加盖公章）。</w:t>
      </w:r>
    </w:p>
    <w:p>
      <w:pPr>
        <w:spacing w:line="360" w:lineRule="auto"/>
        <w:jc w:val="center"/>
        <w:rPr>
          <w:rFonts w:ascii="宋体" w:cs="宋体"/>
          <w:b/>
          <w:sz w:val="36"/>
          <w:szCs w:val="36"/>
        </w:rPr>
      </w:pPr>
    </w:p>
    <w:p>
      <w:pPr>
        <w:spacing w:line="360" w:lineRule="auto"/>
        <w:jc w:val="center"/>
        <w:rPr>
          <w:rFonts w:ascii="宋体" w:cs="宋体"/>
          <w:b/>
          <w:sz w:val="36"/>
          <w:szCs w:val="36"/>
        </w:rPr>
      </w:pPr>
    </w:p>
    <w:p>
      <w:pPr>
        <w:spacing w:line="360" w:lineRule="auto"/>
        <w:rPr>
          <w:rFonts w:ascii="宋体" w:cs="宋体"/>
          <w:sz w:val="24"/>
          <w:szCs w:val="24"/>
        </w:rPr>
      </w:pPr>
      <w:r>
        <w:rPr>
          <w:rFonts w:ascii="宋体" w:cs="宋体"/>
          <w:sz w:val="24"/>
          <w:szCs w:val="24"/>
        </w:rPr>
        <w:br w:type="page"/>
      </w:r>
    </w:p>
    <w:p>
      <w:pPr>
        <w:pStyle w:val="6"/>
        <w:rPr>
          <w:rFonts w:ascii="宋体" w:hAnsi="宋体" w:cs="宋体"/>
          <w:bCs w:val="0"/>
          <w:sz w:val="32"/>
          <w:szCs w:val="24"/>
        </w:rPr>
      </w:pPr>
      <w:bookmarkStart w:id="158" w:name="_Toc44705065"/>
      <w:bookmarkStart w:id="159" w:name="_Toc44705286"/>
      <w:bookmarkStart w:id="160" w:name="_Toc44704918"/>
      <w:r>
        <w:rPr>
          <w:rFonts w:ascii="宋体" w:hAnsi="宋体" w:cs="宋体"/>
          <w:bCs w:val="0"/>
          <w:sz w:val="32"/>
          <w:szCs w:val="24"/>
        </w:rPr>
        <w:t>1.7</w:t>
      </w:r>
      <w:r>
        <w:rPr>
          <w:rFonts w:hint="eastAsia" w:ascii="宋体" w:hAnsi="宋体" w:cs="宋体"/>
          <w:bCs w:val="0"/>
          <w:sz w:val="32"/>
          <w:szCs w:val="24"/>
        </w:rPr>
        <w:t>符合招标文件第二章“投标人须知前附表”</w:t>
      </w:r>
      <w:r>
        <w:rPr>
          <w:rFonts w:ascii="宋体" w:hAnsi="宋体" w:cs="宋体"/>
          <w:bCs w:val="0"/>
          <w:sz w:val="32"/>
          <w:szCs w:val="24"/>
        </w:rPr>
        <w:t>15.1</w:t>
      </w:r>
      <w:r>
        <w:rPr>
          <w:rFonts w:hint="eastAsia" w:ascii="宋体" w:hAnsi="宋体" w:cs="宋体"/>
          <w:bCs w:val="0"/>
          <w:sz w:val="32"/>
          <w:szCs w:val="24"/>
        </w:rPr>
        <w:t>中第</w:t>
      </w:r>
      <w:r>
        <w:rPr>
          <w:rFonts w:ascii="宋体" w:hAnsi="宋体" w:cs="宋体"/>
          <w:bCs w:val="0"/>
          <w:sz w:val="32"/>
          <w:szCs w:val="24"/>
        </w:rPr>
        <w:t>3</w:t>
      </w:r>
      <w:r>
        <w:rPr>
          <w:rFonts w:hint="eastAsia" w:ascii="宋体" w:hAnsi="宋体" w:cs="宋体"/>
          <w:bCs w:val="0"/>
          <w:sz w:val="32"/>
          <w:szCs w:val="24"/>
        </w:rPr>
        <w:t>条的证明材料</w:t>
      </w:r>
      <w:bookmarkEnd w:id="158"/>
      <w:bookmarkEnd w:id="159"/>
      <w:bookmarkEnd w:id="160"/>
      <w:r>
        <w:rPr>
          <w:rFonts w:hint="eastAsia" w:ascii="宋体" w:hAnsi="宋体" w:cs="宋体"/>
          <w:bCs w:val="0"/>
          <w:sz w:val="32"/>
          <w:szCs w:val="24"/>
        </w:rPr>
        <w:t>；</w:t>
      </w:r>
    </w:p>
    <w:p>
      <w:pPr>
        <w:jc w:val="center"/>
        <w:rPr>
          <w:rFonts w:ascii="宋体" w:hAnsi="宋体" w:cs="宋体"/>
          <w:sz w:val="24"/>
          <w:szCs w:val="24"/>
        </w:rPr>
      </w:pPr>
    </w:p>
    <w:p>
      <w:pPr>
        <w:spacing w:line="360" w:lineRule="auto"/>
        <w:ind w:firstLine="480" w:firstLineChars="200"/>
        <w:rPr>
          <w:rFonts w:ascii="宋体" w:hAnsi="宋体" w:cs="宋体"/>
          <w:color w:val="000000"/>
          <w:kern w:val="0"/>
          <w:sz w:val="24"/>
          <w:szCs w:val="24"/>
        </w:rPr>
      </w:pPr>
      <w:r>
        <w:rPr>
          <w:rFonts w:hint="eastAsia" w:ascii="宋体" w:hAnsi="宋体" w:cs="宋体"/>
          <w:sz w:val="24"/>
          <w:szCs w:val="24"/>
        </w:rPr>
        <w:t xml:space="preserve"> </w:t>
      </w:r>
      <w:r>
        <w:rPr>
          <w:rFonts w:hint="eastAsia" w:ascii="宋体" w:hAnsi="宋体" w:cs="宋体"/>
          <w:color w:val="000000"/>
          <w:kern w:val="0"/>
          <w:sz w:val="24"/>
          <w:szCs w:val="24"/>
        </w:rPr>
        <w:t xml:space="preserve"> </w:t>
      </w:r>
    </w:p>
    <w:p>
      <w:pPr>
        <w:pStyle w:val="6"/>
        <w:ind w:firstLine="241" w:firstLineChars="100"/>
        <w:rPr>
          <w:sz w:val="32"/>
        </w:rPr>
      </w:pPr>
      <w:r>
        <w:rPr>
          <w:rFonts w:hint="eastAsia"/>
          <w:color w:val="000000"/>
          <w:kern w:val="0"/>
          <w:sz w:val="24"/>
          <w:lang w:eastAsia="zh-CN"/>
        </w:rPr>
        <w:t>具有有效的三级甲等综合医院资质</w:t>
      </w:r>
      <w:r>
        <w:rPr>
          <w:rFonts w:hint="eastAsia"/>
          <w:color w:val="000000"/>
          <w:kern w:val="0"/>
          <w:sz w:val="24"/>
        </w:rPr>
        <w:t>。</w:t>
      </w:r>
      <w:r>
        <w:rPr>
          <w:color w:val="000000"/>
          <w:kern w:val="0"/>
          <w:sz w:val="24"/>
        </w:rPr>
        <w:br w:type="page"/>
      </w:r>
      <w:bookmarkStart w:id="161" w:name="_Toc44705287"/>
      <w:bookmarkStart w:id="162" w:name="_Toc44705066"/>
      <w:bookmarkStart w:id="163" w:name="_Toc44704919"/>
      <w:r>
        <w:rPr>
          <w:sz w:val="32"/>
        </w:rPr>
        <w:t>1.8</w:t>
      </w:r>
      <w:r>
        <w:rPr>
          <w:rFonts w:hint="eastAsia"/>
          <w:sz w:val="32"/>
        </w:rPr>
        <w:t>投标承诺书</w:t>
      </w:r>
      <w:bookmarkEnd w:id="161"/>
      <w:bookmarkEnd w:id="162"/>
      <w:bookmarkEnd w:id="163"/>
    </w:p>
    <w:p>
      <w:pPr>
        <w:spacing w:line="360" w:lineRule="auto"/>
        <w:rPr>
          <w:color w:val="000000"/>
          <w:sz w:val="24"/>
          <w:szCs w:val="24"/>
        </w:rPr>
      </w:pPr>
    </w:p>
    <w:p>
      <w:pPr>
        <w:spacing w:line="360" w:lineRule="auto"/>
        <w:rPr>
          <w:rFonts w:hint="eastAsia" w:ascii="宋体" w:eastAsia="宋体"/>
          <w:b/>
          <w:color w:val="000000"/>
          <w:sz w:val="24"/>
          <w:szCs w:val="24"/>
          <w:lang w:eastAsia="zh-CN"/>
        </w:rPr>
      </w:pPr>
      <w:r>
        <w:rPr>
          <w:rFonts w:hint="eastAsia"/>
          <w:color w:val="000000"/>
          <w:sz w:val="24"/>
          <w:szCs w:val="24"/>
        </w:rPr>
        <w:t>致：</w:t>
      </w:r>
      <w:r>
        <w:rPr>
          <w:rFonts w:hint="eastAsia"/>
          <w:color w:val="000000"/>
          <w:sz w:val="24"/>
          <w:szCs w:val="24"/>
          <w:u w:val="single"/>
          <w:lang w:eastAsia="zh-CN"/>
        </w:rPr>
        <w:t>乌鲁木齐高新建设工程项目管理咨询有限公司（盖章）</w:t>
      </w:r>
    </w:p>
    <w:p>
      <w:pPr>
        <w:spacing w:line="360" w:lineRule="auto"/>
        <w:rPr>
          <w:b/>
          <w:color w:val="000000"/>
          <w:sz w:val="24"/>
          <w:szCs w:val="24"/>
        </w:rPr>
      </w:pPr>
    </w:p>
    <w:p>
      <w:pPr>
        <w:spacing w:line="360" w:lineRule="auto"/>
        <w:ind w:firstLine="480" w:firstLineChars="200"/>
        <w:rPr>
          <w:color w:val="000000"/>
          <w:sz w:val="24"/>
          <w:szCs w:val="24"/>
        </w:rPr>
      </w:pPr>
      <w:r>
        <w:rPr>
          <w:rFonts w:hint="eastAsia"/>
          <w:color w:val="000000"/>
          <w:sz w:val="24"/>
          <w:szCs w:val="24"/>
        </w:rPr>
        <w:t>我方郑重承诺：</w:t>
      </w:r>
    </w:p>
    <w:p>
      <w:pPr>
        <w:spacing w:line="360" w:lineRule="auto"/>
        <w:ind w:firstLine="480" w:firstLineChars="200"/>
        <w:rPr>
          <w:color w:val="000000"/>
          <w:sz w:val="24"/>
          <w:szCs w:val="24"/>
        </w:rPr>
      </w:pPr>
      <w:r>
        <w:rPr>
          <w:color w:val="000000"/>
          <w:sz w:val="24"/>
          <w:szCs w:val="24"/>
        </w:rPr>
        <w:t>1.</w:t>
      </w:r>
      <w:r>
        <w:rPr>
          <w:rFonts w:hint="eastAsia"/>
          <w:color w:val="000000"/>
          <w:sz w:val="24"/>
          <w:szCs w:val="24"/>
        </w:rPr>
        <w:t>我方</w:t>
      </w:r>
      <w:r>
        <w:rPr>
          <w:rFonts w:hint="eastAsia"/>
          <w:color w:val="000000"/>
          <w:sz w:val="24"/>
          <w:szCs w:val="24"/>
          <w:u w:val="single"/>
        </w:rPr>
        <w:t>（以</w:t>
      </w:r>
      <w:r>
        <w:rPr>
          <w:color w:val="000000"/>
          <w:sz w:val="24"/>
          <w:szCs w:val="24"/>
          <w:u w:val="single"/>
        </w:rPr>
        <w:t>/</w:t>
      </w:r>
      <w:r>
        <w:rPr>
          <w:rFonts w:hint="eastAsia"/>
          <w:color w:val="000000"/>
          <w:sz w:val="24"/>
          <w:szCs w:val="24"/>
          <w:u w:val="single"/>
        </w:rPr>
        <w:t>不以）</w:t>
      </w:r>
      <w:r>
        <w:rPr>
          <w:rFonts w:hint="eastAsia"/>
          <w:color w:val="000000"/>
          <w:sz w:val="24"/>
          <w:szCs w:val="24"/>
        </w:rPr>
        <w:t>联合体方式参与投标。</w:t>
      </w:r>
    </w:p>
    <w:p>
      <w:pPr>
        <w:spacing w:line="360" w:lineRule="auto"/>
        <w:ind w:firstLine="480" w:firstLineChars="200"/>
        <w:rPr>
          <w:color w:val="000000"/>
          <w:sz w:val="24"/>
          <w:szCs w:val="24"/>
        </w:rPr>
      </w:pPr>
      <w:r>
        <w:rPr>
          <w:color w:val="000000"/>
          <w:sz w:val="24"/>
          <w:szCs w:val="24"/>
        </w:rPr>
        <w:t>2.</w:t>
      </w:r>
      <w:r>
        <w:rPr>
          <w:rFonts w:hint="eastAsia"/>
          <w:color w:val="000000"/>
          <w:sz w:val="24"/>
          <w:szCs w:val="24"/>
        </w:rPr>
        <w:t>本投标文件中提供的所有资料是真实合法的，没有不实的描述、承诺或者伪造、变造的情形。业绩证明材料中提供的甲方联系方式可供贵方随时查证合同的真实性。如果我方在本项目投标文件中提供虚假资料，本投标文件无效，同时接受终身禁止参与</w:t>
      </w:r>
      <w:r>
        <w:rPr>
          <w:rFonts w:hint="eastAsia"/>
          <w:color w:val="000000"/>
          <w:sz w:val="24"/>
          <w:szCs w:val="24"/>
          <w:u w:val="single"/>
        </w:rPr>
        <w:t xml:space="preserve">   业主单位   </w:t>
      </w:r>
      <w:r>
        <w:rPr>
          <w:rFonts w:hint="eastAsia"/>
          <w:color w:val="000000"/>
          <w:sz w:val="24"/>
          <w:szCs w:val="24"/>
        </w:rPr>
        <w:t>政府采购活动的处理，并承担由此带来的一切法律后果。</w:t>
      </w:r>
    </w:p>
    <w:p>
      <w:pPr>
        <w:pStyle w:val="21"/>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jc w:val="right"/>
        <w:rPr>
          <w:color w:val="000000"/>
          <w:sz w:val="24"/>
          <w:szCs w:val="24"/>
        </w:rPr>
      </w:pPr>
      <w:r>
        <w:rPr>
          <w:rFonts w:hint="eastAsia"/>
          <w:color w:val="000000"/>
          <w:sz w:val="24"/>
          <w:szCs w:val="24"/>
        </w:rPr>
        <w:t>投标人名称</w:t>
      </w:r>
      <w:r>
        <w:rPr>
          <w:color w:val="000000"/>
          <w:sz w:val="24"/>
          <w:szCs w:val="24"/>
        </w:rPr>
        <w:t>(</w:t>
      </w:r>
      <w:r>
        <w:rPr>
          <w:rFonts w:hint="eastAsia"/>
          <w:color w:val="000000"/>
          <w:sz w:val="24"/>
          <w:szCs w:val="24"/>
        </w:rPr>
        <w:t>盖章</w:t>
      </w:r>
      <w:r>
        <w:rPr>
          <w:color w:val="000000"/>
          <w:sz w:val="24"/>
          <w:szCs w:val="24"/>
        </w:rPr>
        <w:t>)</w:t>
      </w:r>
      <w:r>
        <w:rPr>
          <w:rFonts w:hint="eastAsia"/>
          <w:color w:val="000000"/>
          <w:sz w:val="24"/>
          <w:szCs w:val="24"/>
        </w:rPr>
        <w:t>：</w:t>
      </w:r>
    </w:p>
    <w:p>
      <w:pPr>
        <w:pStyle w:val="21"/>
      </w:pPr>
    </w:p>
    <w:p>
      <w:pPr>
        <w:spacing w:line="360" w:lineRule="auto"/>
        <w:jc w:val="right"/>
        <w:rPr>
          <w:color w:val="000000"/>
          <w:sz w:val="24"/>
          <w:szCs w:val="24"/>
        </w:rPr>
      </w:pPr>
      <w:r>
        <w:rPr>
          <w:rFonts w:hint="eastAsia"/>
          <w:color w:val="000000"/>
          <w:sz w:val="24"/>
          <w:szCs w:val="24"/>
        </w:rPr>
        <w:t>投标人授权代表签字：</w:t>
      </w:r>
    </w:p>
    <w:p>
      <w:pPr>
        <w:pStyle w:val="21"/>
      </w:pPr>
    </w:p>
    <w:p>
      <w:pPr>
        <w:jc w:val="right"/>
        <w:rPr>
          <w:color w:val="000000"/>
          <w:sz w:val="24"/>
          <w:szCs w:val="24"/>
        </w:rPr>
      </w:pPr>
      <w:r>
        <w:rPr>
          <w:rFonts w:hint="eastAsia"/>
          <w:color w:val="000000"/>
          <w:sz w:val="24"/>
          <w:szCs w:val="24"/>
        </w:rPr>
        <w:t>日期：</w:t>
      </w:r>
    </w:p>
    <w:p>
      <w:pPr>
        <w:pStyle w:val="21"/>
      </w:pPr>
    </w:p>
    <w:p>
      <w:pPr>
        <w:widowControl/>
        <w:jc w:val="left"/>
        <w:rPr>
          <w:rFonts w:ascii="宋体" w:cs="宋体"/>
          <w:b/>
          <w:bCs/>
          <w:sz w:val="24"/>
          <w:szCs w:val="24"/>
        </w:rPr>
      </w:pPr>
      <w:r>
        <w:rPr>
          <w:rFonts w:ascii="宋体" w:cs="宋体"/>
          <w:b/>
          <w:bCs/>
          <w:sz w:val="24"/>
          <w:szCs w:val="24"/>
        </w:rPr>
        <w:br w:type="page"/>
      </w:r>
    </w:p>
    <w:p>
      <w:pPr>
        <w:pStyle w:val="6"/>
        <w:rPr>
          <w:sz w:val="32"/>
        </w:rPr>
      </w:pPr>
      <w:bookmarkStart w:id="164" w:name="_Toc44704920"/>
      <w:bookmarkStart w:id="165" w:name="_Toc44705288"/>
      <w:bookmarkStart w:id="166" w:name="_Toc44705067"/>
      <w:r>
        <w:rPr>
          <w:sz w:val="32"/>
        </w:rPr>
        <w:t>1.9</w:t>
      </w:r>
      <w:r>
        <w:rPr>
          <w:rFonts w:hint="eastAsia"/>
          <w:sz w:val="32"/>
        </w:rPr>
        <w:t>投标保证金凭证（如适用）</w:t>
      </w:r>
      <w:bookmarkEnd w:id="164"/>
      <w:bookmarkEnd w:id="165"/>
      <w:bookmarkEnd w:id="166"/>
      <w:r>
        <w:rPr>
          <w:sz w:val="32"/>
        </w:rPr>
        <w:br w:type="page"/>
      </w:r>
    </w:p>
    <w:p>
      <w:pPr>
        <w:pStyle w:val="6"/>
        <w:rPr>
          <w:rFonts w:ascii="宋体" w:cs="宋体"/>
          <w:sz w:val="36"/>
          <w:szCs w:val="36"/>
        </w:rPr>
      </w:pPr>
    </w:p>
    <w:p>
      <w:pPr>
        <w:pStyle w:val="21"/>
      </w:pPr>
    </w:p>
    <w:p>
      <w:bookmarkStart w:id="167" w:name="_Toc14776856"/>
      <w:bookmarkStart w:id="168" w:name="_Toc44705068"/>
      <w:bookmarkStart w:id="169" w:name="_Toc497167411"/>
      <w:bookmarkStart w:id="170" w:name="_Toc2355264"/>
      <w:bookmarkStart w:id="171" w:name="_Toc2512006"/>
      <w:bookmarkStart w:id="172" w:name="_Toc44704921"/>
    </w:p>
    <w:p/>
    <w:p>
      <w:pPr>
        <w:pStyle w:val="21"/>
      </w:pPr>
    </w:p>
    <w:p>
      <w:pPr>
        <w:pStyle w:val="21"/>
      </w:pPr>
    </w:p>
    <w:p>
      <w:pPr>
        <w:pStyle w:val="21"/>
      </w:pPr>
    </w:p>
    <w:p>
      <w:pPr>
        <w:pStyle w:val="21"/>
      </w:pPr>
    </w:p>
    <w:p>
      <w:pPr>
        <w:pStyle w:val="21"/>
      </w:pPr>
    </w:p>
    <w:p>
      <w:pPr>
        <w:pStyle w:val="4"/>
        <w:jc w:val="center"/>
        <w:rPr>
          <w:rFonts w:ascii="宋体" w:hAnsi="宋体" w:eastAsia="宋体"/>
          <w:sz w:val="36"/>
          <w:szCs w:val="44"/>
        </w:rPr>
      </w:pPr>
      <w:bookmarkStart w:id="173" w:name="_Toc44705289"/>
      <w:r>
        <w:rPr>
          <w:rFonts w:hint="eastAsia" w:ascii="宋体" w:hAnsi="宋体" w:eastAsia="宋体"/>
          <w:sz w:val="36"/>
          <w:szCs w:val="44"/>
        </w:rPr>
        <w:t>投标文件</w:t>
      </w:r>
      <w:bookmarkEnd w:id="167"/>
      <w:bookmarkEnd w:id="173"/>
    </w:p>
    <w:bookmarkEnd w:id="168"/>
    <w:bookmarkEnd w:id="169"/>
    <w:bookmarkEnd w:id="170"/>
    <w:bookmarkEnd w:id="171"/>
    <w:bookmarkEnd w:id="172"/>
    <w:p>
      <w:pPr>
        <w:widowControl/>
        <w:spacing w:line="360" w:lineRule="auto"/>
        <w:jc w:val="center"/>
        <w:rPr>
          <w:rFonts w:ascii="宋体" w:cs="宋体"/>
          <w:b/>
          <w:sz w:val="44"/>
          <w:szCs w:val="44"/>
        </w:rPr>
      </w:pPr>
      <w:r>
        <w:rPr>
          <w:rFonts w:ascii="宋体" w:cs="宋体"/>
          <w:b/>
          <w:sz w:val="44"/>
          <w:szCs w:val="44"/>
        </w:rPr>
        <w:br w:type="page"/>
      </w:r>
    </w:p>
    <w:p>
      <w:pPr>
        <w:spacing w:line="360" w:lineRule="auto"/>
        <w:rPr>
          <w:rFonts w:ascii="宋体" w:cs="宋体"/>
          <w:sz w:val="28"/>
        </w:rPr>
      </w:pPr>
      <w:r>
        <w:rPr>
          <w:rFonts w:hint="eastAsia" w:ascii="宋体" w:hAnsi="宋体" w:cs="宋体"/>
          <w:b/>
          <w:sz w:val="24"/>
          <w:szCs w:val="24"/>
        </w:rPr>
        <w:t>投标文件封面格式</w:t>
      </w:r>
    </w:p>
    <w:p>
      <w:pPr>
        <w:wordWrap w:val="0"/>
        <w:spacing w:line="360" w:lineRule="auto"/>
        <w:jc w:val="right"/>
        <w:rPr>
          <w:rFonts w:ascii="宋体" w:cs="宋体"/>
          <w:b/>
          <w:sz w:val="28"/>
          <w:szCs w:val="28"/>
        </w:rPr>
      </w:pPr>
      <w:r>
        <w:rPr>
          <w:rFonts w:hint="eastAsia" w:ascii="宋体" w:hAnsi="宋体" w:cs="宋体"/>
          <w:b/>
          <w:sz w:val="28"/>
          <w:szCs w:val="28"/>
        </w:rPr>
        <w:t>（标注正本或副本）</w:t>
      </w:r>
    </w:p>
    <w:p>
      <w:pPr>
        <w:spacing w:line="360" w:lineRule="auto"/>
        <w:jc w:val="center"/>
        <w:rPr>
          <w:rFonts w:ascii="宋体" w:cs="宋体"/>
          <w:b/>
          <w:sz w:val="96"/>
        </w:rPr>
      </w:pPr>
    </w:p>
    <w:p>
      <w:pPr>
        <w:spacing w:line="360" w:lineRule="auto"/>
        <w:jc w:val="center"/>
        <w:rPr>
          <w:rFonts w:hint="eastAsia" w:ascii="宋体" w:hAnsi="宋体" w:cs="宋体"/>
          <w:b/>
          <w:sz w:val="80"/>
          <w:szCs w:val="80"/>
        </w:rPr>
      </w:pPr>
      <w:r>
        <w:rPr>
          <w:rFonts w:hint="eastAsia" w:ascii="宋体" w:hAnsi="宋体" w:cs="宋体"/>
          <w:b/>
          <w:sz w:val="80"/>
          <w:szCs w:val="80"/>
        </w:rPr>
        <w:t>（项目名称）</w:t>
      </w:r>
    </w:p>
    <w:p>
      <w:pPr>
        <w:pStyle w:val="2"/>
        <w:jc w:val="center"/>
        <w:rPr>
          <w:rFonts w:hint="eastAsia" w:eastAsia="宋体"/>
          <w:sz w:val="28"/>
          <w:szCs w:val="28"/>
          <w:lang w:val="en-US" w:eastAsia="zh-CN"/>
        </w:rPr>
      </w:pPr>
      <w:r>
        <w:rPr>
          <w:rFonts w:hint="eastAsia" w:ascii="宋体" w:hAnsi="宋体" w:cs="宋体"/>
          <w:b/>
          <w:sz w:val="28"/>
          <w:szCs w:val="28"/>
          <w:lang w:val="en-US" w:eastAsia="zh-CN"/>
        </w:rPr>
        <w:t>标项名称：</w:t>
      </w:r>
    </w:p>
    <w:p>
      <w:pPr>
        <w:spacing w:line="360" w:lineRule="auto"/>
        <w:jc w:val="center"/>
        <w:rPr>
          <w:rFonts w:ascii="宋体" w:cs="宋体"/>
          <w:b/>
          <w:sz w:val="80"/>
          <w:szCs w:val="80"/>
        </w:rPr>
      </w:pPr>
    </w:p>
    <w:p>
      <w:pPr>
        <w:spacing w:line="360" w:lineRule="auto"/>
        <w:jc w:val="center"/>
        <w:rPr>
          <w:rFonts w:ascii="宋体" w:cs="宋体"/>
          <w:b/>
          <w:sz w:val="96"/>
        </w:rPr>
      </w:pPr>
      <w:r>
        <w:rPr>
          <w:rFonts w:hint="eastAsia" w:ascii="宋体" w:hAnsi="宋体" w:cs="宋体"/>
          <w:b/>
          <w:sz w:val="96"/>
        </w:rPr>
        <w:t>投标文件</w:t>
      </w:r>
    </w:p>
    <w:p>
      <w:pPr>
        <w:spacing w:line="360" w:lineRule="auto"/>
        <w:rPr>
          <w:rFonts w:ascii="宋体" w:cs="宋体"/>
          <w:b/>
        </w:rPr>
      </w:pPr>
    </w:p>
    <w:p>
      <w:pPr>
        <w:spacing w:line="360" w:lineRule="auto"/>
        <w:jc w:val="center"/>
        <w:rPr>
          <w:rFonts w:ascii="宋体" w:cs="宋体"/>
          <w:b/>
        </w:rPr>
      </w:pPr>
    </w:p>
    <w:p>
      <w:pPr>
        <w:spacing w:line="360" w:lineRule="auto"/>
        <w:jc w:val="center"/>
        <w:rPr>
          <w:rFonts w:ascii="宋体" w:cs="宋体"/>
          <w:b/>
        </w:rPr>
      </w:pPr>
    </w:p>
    <w:p>
      <w:pPr>
        <w:spacing w:line="360" w:lineRule="auto"/>
        <w:jc w:val="center"/>
        <w:rPr>
          <w:rFonts w:ascii="宋体" w:cs="宋体"/>
          <w:b/>
        </w:rPr>
      </w:pPr>
    </w:p>
    <w:p>
      <w:pPr>
        <w:spacing w:line="360" w:lineRule="auto"/>
        <w:rPr>
          <w:rFonts w:ascii="宋体" w:cs="宋体"/>
          <w:b/>
          <w:sz w:val="36"/>
          <w:szCs w:val="36"/>
        </w:rPr>
      </w:pPr>
      <w:r>
        <w:rPr>
          <w:rFonts w:hint="eastAsia" w:ascii="宋体" w:hAnsi="宋体" w:cs="宋体"/>
          <w:b/>
          <w:sz w:val="36"/>
          <w:szCs w:val="36"/>
        </w:rPr>
        <w:t>招标编号</w:t>
      </w:r>
      <w:r>
        <w:rPr>
          <w:rFonts w:hint="eastAsia" w:ascii="宋体" w:hAnsi="宋体" w:cs="宋体"/>
          <w:b/>
          <w:sz w:val="36"/>
          <w:szCs w:val="36"/>
          <w:lang w:val="en-US" w:eastAsia="zh-CN"/>
        </w:rPr>
        <w:t xml:space="preserve"> </w:t>
      </w:r>
      <w:r>
        <w:rPr>
          <w:rFonts w:hint="eastAsia" w:ascii="宋体" w:hAnsi="宋体" w:cs="宋体"/>
          <w:b/>
          <w:sz w:val="36"/>
          <w:szCs w:val="36"/>
        </w:rPr>
        <w:t>：</w:t>
      </w:r>
    </w:p>
    <w:p>
      <w:pPr>
        <w:spacing w:line="360" w:lineRule="auto"/>
        <w:ind w:left="2992" w:hanging="2631"/>
        <w:rPr>
          <w:rFonts w:ascii="宋体" w:cs="宋体"/>
          <w:b/>
          <w:sz w:val="36"/>
          <w:szCs w:val="36"/>
        </w:rPr>
      </w:pPr>
    </w:p>
    <w:p>
      <w:pPr>
        <w:spacing w:line="360" w:lineRule="auto"/>
        <w:rPr>
          <w:rFonts w:ascii="宋体" w:cs="宋体"/>
          <w:b/>
          <w:sz w:val="36"/>
          <w:szCs w:val="36"/>
          <w:u w:val="single"/>
        </w:rPr>
      </w:pPr>
      <w:r>
        <w:rPr>
          <w:rFonts w:hint="eastAsia" w:ascii="宋体" w:hAnsi="宋体" w:cs="宋体"/>
          <w:b/>
          <w:sz w:val="36"/>
          <w:szCs w:val="36"/>
        </w:rPr>
        <w:t>投标人名称：</w:t>
      </w:r>
      <w:r>
        <w:rPr>
          <w:rFonts w:ascii="宋体" w:hAnsi="宋体" w:cs="宋体"/>
          <w:b/>
          <w:sz w:val="36"/>
          <w:szCs w:val="36"/>
        </w:rPr>
        <w:t xml:space="preserve"> </w:t>
      </w:r>
      <w:r>
        <w:rPr>
          <w:rFonts w:ascii="宋体" w:hAnsi="宋体" w:cs="宋体"/>
          <w:b/>
          <w:sz w:val="36"/>
          <w:szCs w:val="36"/>
          <w:u w:val="single"/>
        </w:rPr>
        <w:t xml:space="preserve">                </w:t>
      </w:r>
      <w:r>
        <w:rPr>
          <w:rFonts w:hint="eastAsia" w:ascii="宋体" w:hAnsi="宋体" w:cs="宋体"/>
          <w:b/>
          <w:sz w:val="36"/>
          <w:szCs w:val="36"/>
          <w:u w:val="single"/>
        </w:rPr>
        <w:t>（盖公章）</w:t>
      </w:r>
    </w:p>
    <w:p>
      <w:pPr>
        <w:spacing w:line="360" w:lineRule="auto"/>
        <w:rPr>
          <w:rFonts w:ascii="宋体" w:cs="宋体"/>
          <w:b/>
          <w:sz w:val="36"/>
          <w:szCs w:val="36"/>
        </w:rPr>
      </w:pPr>
    </w:p>
    <w:p>
      <w:pPr>
        <w:spacing w:line="360" w:lineRule="auto"/>
        <w:jc w:val="center"/>
        <w:rPr>
          <w:rFonts w:ascii="宋体" w:cs="宋体"/>
          <w:b/>
          <w:sz w:val="36"/>
          <w:szCs w:val="36"/>
        </w:rPr>
      </w:pPr>
      <w:r>
        <w:rPr>
          <w:rFonts w:ascii="宋体" w:hAnsi="宋体" w:cs="宋体"/>
          <w:b/>
          <w:sz w:val="36"/>
          <w:szCs w:val="36"/>
        </w:rPr>
        <w:t xml:space="preserve"> </w:t>
      </w:r>
      <w:r>
        <w:rPr>
          <w:rFonts w:hint="eastAsia" w:ascii="宋体" w:hAnsi="宋体" w:cs="宋体"/>
          <w:b/>
          <w:sz w:val="36"/>
          <w:szCs w:val="36"/>
        </w:rPr>
        <w:t>年</w:t>
      </w:r>
      <w:r>
        <w:rPr>
          <w:rFonts w:ascii="宋体" w:hAnsi="宋体" w:cs="宋体"/>
          <w:b/>
          <w:sz w:val="36"/>
          <w:szCs w:val="36"/>
        </w:rPr>
        <w:t xml:space="preserve">  </w:t>
      </w:r>
      <w:r>
        <w:rPr>
          <w:rFonts w:hint="eastAsia" w:ascii="宋体" w:hAnsi="宋体" w:cs="宋体"/>
          <w:b/>
          <w:sz w:val="36"/>
          <w:szCs w:val="36"/>
        </w:rPr>
        <w:t>月</w:t>
      </w:r>
      <w:r>
        <w:rPr>
          <w:rFonts w:ascii="宋体" w:hAnsi="宋体" w:cs="宋体"/>
          <w:b/>
          <w:sz w:val="36"/>
          <w:szCs w:val="36"/>
        </w:rPr>
        <w:t xml:space="preserve">  </w:t>
      </w:r>
      <w:r>
        <w:rPr>
          <w:rFonts w:hint="eastAsia" w:ascii="宋体" w:hAnsi="宋体" w:cs="宋体"/>
          <w:b/>
          <w:sz w:val="36"/>
          <w:szCs w:val="36"/>
        </w:rPr>
        <w:t>日</w:t>
      </w:r>
      <w:bookmarkStart w:id="174" w:name="_Hlt487900425"/>
      <w:bookmarkEnd w:id="174"/>
      <w:bookmarkStart w:id="175" w:name="_Toc2355265"/>
      <w:bookmarkStart w:id="176" w:name="_Toc2512007"/>
      <w:bookmarkStart w:id="177" w:name="_Toc493422658"/>
      <w:bookmarkStart w:id="178" w:name="_Toc497167412"/>
      <w:bookmarkStart w:id="179" w:name="_Toc14776857"/>
    </w:p>
    <w:p>
      <w:pPr>
        <w:spacing w:line="360" w:lineRule="auto"/>
        <w:jc w:val="center"/>
        <w:rPr>
          <w:rFonts w:ascii="宋体" w:cs="宋体"/>
          <w:b/>
          <w:sz w:val="36"/>
          <w:szCs w:val="36"/>
        </w:rPr>
      </w:pPr>
    </w:p>
    <w:p>
      <w:pPr>
        <w:pStyle w:val="6"/>
        <w:rPr>
          <w:rFonts w:ascii="宋体" w:cs="宋体"/>
          <w:sz w:val="36"/>
          <w:szCs w:val="36"/>
        </w:rPr>
      </w:pPr>
      <w:bookmarkStart w:id="180" w:name="_Toc44705069"/>
      <w:bookmarkStart w:id="181" w:name="_Toc44704922"/>
      <w:bookmarkStart w:id="182" w:name="_Toc44705290"/>
      <w:r>
        <w:rPr>
          <w:rFonts w:ascii="宋体" w:hAnsi="宋体" w:cs="宋体"/>
          <w:sz w:val="32"/>
          <w:szCs w:val="24"/>
        </w:rPr>
        <w:t>2.1</w:t>
      </w:r>
      <w:r>
        <w:rPr>
          <w:rFonts w:hint="eastAsia" w:ascii="宋体" w:hAnsi="宋体" w:cs="宋体"/>
          <w:sz w:val="32"/>
          <w:szCs w:val="24"/>
        </w:rPr>
        <w:t>、投标书格式</w:t>
      </w:r>
      <w:bookmarkEnd w:id="175"/>
      <w:bookmarkEnd w:id="176"/>
      <w:bookmarkEnd w:id="177"/>
      <w:bookmarkEnd w:id="178"/>
      <w:bookmarkEnd w:id="179"/>
      <w:bookmarkEnd w:id="180"/>
      <w:bookmarkEnd w:id="181"/>
      <w:bookmarkEnd w:id="182"/>
    </w:p>
    <w:p>
      <w:pPr>
        <w:spacing w:line="360" w:lineRule="auto"/>
        <w:jc w:val="center"/>
        <w:rPr>
          <w:rFonts w:ascii="宋体" w:cs="宋体"/>
          <w:b/>
          <w:bCs/>
          <w:sz w:val="32"/>
          <w:szCs w:val="32"/>
        </w:rPr>
      </w:pPr>
      <w:r>
        <w:rPr>
          <w:rFonts w:hint="eastAsia" w:ascii="宋体" w:hAnsi="宋体" w:cs="宋体"/>
          <w:b/>
          <w:bCs/>
          <w:sz w:val="32"/>
          <w:szCs w:val="32"/>
        </w:rPr>
        <w:t>投</w:t>
      </w:r>
      <w:r>
        <w:rPr>
          <w:rFonts w:ascii="宋体" w:hAnsi="宋体" w:cs="宋体"/>
          <w:b/>
          <w:bCs/>
          <w:sz w:val="32"/>
          <w:szCs w:val="32"/>
        </w:rPr>
        <w:t xml:space="preserve"> </w:t>
      </w:r>
      <w:r>
        <w:rPr>
          <w:rFonts w:hint="eastAsia" w:ascii="宋体" w:hAnsi="宋体" w:cs="宋体"/>
          <w:b/>
          <w:bCs/>
          <w:sz w:val="32"/>
          <w:szCs w:val="32"/>
        </w:rPr>
        <w:t>标</w:t>
      </w:r>
      <w:r>
        <w:rPr>
          <w:rFonts w:ascii="宋体" w:hAnsi="宋体" w:cs="宋体"/>
          <w:b/>
          <w:bCs/>
          <w:sz w:val="32"/>
          <w:szCs w:val="32"/>
        </w:rPr>
        <w:t xml:space="preserve"> </w:t>
      </w:r>
      <w:r>
        <w:rPr>
          <w:rFonts w:hint="eastAsia" w:ascii="宋体" w:hAnsi="宋体" w:cs="宋体"/>
          <w:b/>
          <w:bCs/>
          <w:sz w:val="32"/>
          <w:szCs w:val="32"/>
        </w:rPr>
        <w:t>书</w:t>
      </w:r>
    </w:p>
    <w:p>
      <w:pPr>
        <w:spacing w:line="360" w:lineRule="auto"/>
        <w:rPr>
          <w:rFonts w:hint="eastAsia" w:asci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eastAsia="zh-CN"/>
        </w:rPr>
        <w:t>乌鲁木齐高新建设工程项目管理咨询有限公司（盖章）</w:t>
      </w:r>
    </w:p>
    <w:p>
      <w:pPr>
        <w:spacing w:line="360" w:lineRule="auto"/>
        <w:ind w:firstLine="435"/>
        <w:rPr>
          <w:rFonts w:ascii="宋体" w:cs="宋体"/>
          <w:sz w:val="24"/>
          <w:szCs w:val="24"/>
        </w:rPr>
      </w:pPr>
      <w:r>
        <w:rPr>
          <w:rFonts w:hint="eastAsia" w:ascii="宋体" w:hAnsi="宋体" w:cs="宋体"/>
          <w:sz w:val="24"/>
          <w:szCs w:val="24"/>
        </w:rPr>
        <w:t>根据贵方为</w:t>
      </w:r>
      <w:r>
        <w:rPr>
          <w:rFonts w:hint="eastAsia" w:ascii="宋体" w:hAnsi="宋体" w:cs="宋体"/>
          <w:sz w:val="24"/>
          <w:szCs w:val="24"/>
          <w:u w:val="single"/>
        </w:rPr>
        <w:t>（招标项目名称）</w:t>
      </w:r>
      <w:r>
        <w:rPr>
          <w:rFonts w:hint="eastAsia" w:ascii="宋体" w:hAnsi="宋体" w:cs="宋体"/>
          <w:sz w:val="24"/>
          <w:szCs w:val="24"/>
        </w:rPr>
        <w:t>招标采购货物/服务的投标邀请</w:t>
      </w:r>
      <w:r>
        <w:rPr>
          <w:rFonts w:hint="eastAsia" w:ascii="宋体" w:hAnsi="宋体" w:cs="宋体"/>
          <w:sz w:val="24"/>
          <w:szCs w:val="24"/>
          <w:u w:val="single"/>
        </w:rPr>
        <w:t>（招标编号）</w:t>
      </w:r>
      <w:r>
        <w:rPr>
          <w:rFonts w:hint="eastAsia" w:ascii="宋体" w:hAnsi="宋体" w:cs="宋体"/>
          <w:sz w:val="24"/>
          <w:szCs w:val="24"/>
        </w:rPr>
        <w:t>，签字代表</w:t>
      </w:r>
      <w:r>
        <w:rPr>
          <w:rFonts w:hint="eastAsia" w:ascii="宋体" w:hAnsi="宋体" w:cs="宋体"/>
          <w:sz w:val="24"/>
          <w:szCs w:val="24"/>
          <w:u w:val="single"/>
        </w:rPr>
        <w:t>（姓名、职务）</w:t>
      </w:r>
      <w:r>
        <w:rPr>
          <w:rFonts w:hint="eastAsia" w:ascii="宋体" w:hAnsi="宋体" w:cs="宋体"/>
          <w:sz w:val="24"/>
          <w:szCs w:val="24"/>
        </w:rPr>
        <w:t>经正式授权并代表投标人</w:t>
      </w:r>
      <w:r>
        <w:rPr>
          <w:rFonts w:hint="eastAsia" w:ascii="宋体" w:hAnsi="宋体" w:cs="宋体"/>
          <w:sz w:val="24"/>
          <w:szCs w:val="24"/>
          <w:u w:val="single"/>
        </w:rPr>
        <w:t>（投标人名称、地址）</w:t>
      </w:r>
      <w:r>
        <w:rPr>
          <w:rFonts w:hint="eastAsia" w:ascii="宋体" w:hAnsi="宋体" w:cs="宋体"/>
          <w:sz w:val="24"/>
          <w:szCs w:val="24"/>
        </w:rPr>
        <w:t>提交</w:t>
      </w:r>
      <w:r>
        <w:rPr>
          <w:rFonts w:hint="eastAsia" w:ascii="宋体" w:hAnsi="宋体" w:cs="宋体"/>
          <w:sz w:val="24"/>
          <w:szCs w:val="24"/>
          <w:lang w:val="en-US" w:eastAsia="zh-CN"/>
        </w:rPr>
        <w:t>政采云电子文件一份</w:t>
      </w:r>
      <w:r>
        <w:rPr>
          <w:rFonts w:hint="eastAsia" w:ascii="宋体" w:hAnsi="宋体" w:cs="宋体"/>
          <w:sz w:val="24"/>
          <w:szCs w:val="24"/>
        </w:rPr>
        <w:t>。</w:t>
      </w:r>
    </w:p>
    <w:p>
      <w:pPr>
        <w:numPr>
          <w:ilvl w:val="0"/>
          <w:numId w:val="13"/>
        </w:numPr>
        <w:spacing w:line="360" w:lineRule="auto"/>
        <w:rPr>
          <w:rFonts w:ascii="宋体" w:cs="宋体"/>
          <w:sz w:val="24"/>
          <w:szCs w:val="24"/>
        </w:rPr>
      </w:pPr>
      <w:r>
        <w:rPr>
          <w:rFonts w:hint="eastAsia" w:ascii="宋体" w:hAnsi="宋体" w:cs="宋体"/>
          <w:sz w:val="24"/>
          <w:szCs w:val="24"/>
        </w:rPr>
        <w:t>开标一览表</w:t>
      </w:r>
    </w:p>
    <w:p>
      <w:pPr>
        <w:numPr>
          <w:ilvl w:val="0"/>
          <w:numId w:val="13"/>
        </w:numPr>
        <w:spacing w:line="360" w:lineRule="auto"/>
        <w:rPr>
          <w:rFonts w:ascii="宋体" w:cs="宋体"/>
          <w:sz w:val="24"/>
          <w:szCs w:val="24"/>
        </w:rPr>
      </w:pPr>
      <w:r>
        <w:rPr>
          <w:rFonts w:hint="eastAsia" w:ascii="宋体" w:hAnsi="宋体" w:cs="宋体"/>
          <w:sz w:val="24"/>
          <w:szCs w:val="24"/>
        </w:rPr>
        <w:t>投标分项（明细）报价表</w:t>
      </w:r>
    </w:p>
    <w:p>
      <w:pPr>
        <w:numPr>
          <w:ilvl w:val="0"/>
          <w:numId w:val="13"/>
        </w:numPr>
        <w:spacing w:line="360" w:lineRule="auto"/>
        <w:rPr>
          <w:rFonts w:ascii="宋体" w:cs="宋体"/>
          <w:sz w:val="24"/>
          <w:szCs w:val="24"/>
        </w:rPr>
      </w:pPr>
      <w:r>
        <w:rPr>
          <w:rFonts w:hint="eastAsia" w:ascii="宋体" w:hAnsi="宋体" w:cs="宋体"/>
          <w:sz w:val="24"/>
          <w:szCs w:val="24"/>
        </w:rPr>
        <w:t>服务需求偏离表</w:t>
      </w:r>
    </w:p>
    <w:p>
      <w:pPr>
        <w:numPr>
          <w:ilvl w:val="0"/>
          <w:numId w:val="13"/>
        </w:numPr>
        <w:spacing w:line="360" w:lineRule="auto"/>
        <w:rPr>
          <w:rFonts w:ascii="宋体" w:cs="宋体"/>
          <w:sz w:val="24"/>
          <w:szCs w:val="24"/>
        </w:rPr>
      </w:pPr>
      <w:r>
        <w:rPr>
          <w:rFonts w:hint="eastAsia" w:ascii="宋体" w:hAnsi="宋体" w:cs="宋体"/>
          <w:sz w:val="24"/>
          <w:szCs w:val="24"/>
        </w:rPr>
        <w:t>商务条款偏离表</w:t>
      </w:r>
    </w:p>
    <w:p>
      <w:pPr>
        <w:numPr>
          <w:ilvl w:val="0"/>
          <w:numId w:val="13"/>
        </w:numPr>
        <w:spacing w:line="360" w:lineRule="auto"/>
        <w:rPr>
          <w:rFonts w:ascii="宋体" w:cs="宋体"/>
          <w:sz w:val="24"/>
          <w:szCs w:val="24"/>
        </w:rPr>
      </w:pPr>
      <w:r>
        <w:rPr>
          <w:rFonts w:hint="eastAsia" w:ascii="宋体" w:hAnsi="宋体" w:cs="宋体"/>
          <w:sz w:val="24"/>
          <w:szCs w:val="24"/>
        </w:rPr>
        <w:t>资格证明材料</w:t>
      </w:r>
    </w:p>
    <w:p>
      <w:pPr>
        <w:numPr>
          <w:ilvl w:val="0"/>
          <w:numId w:val="13"/>
        </w:numPr>
        <w:spacing w:line="360" w:lineRule="auto"/>
        <w:rPr>
          <w:rFonts w:ascii="宋体" w:cs="宋体"/>
          <w:sz w:val="24"/>
          <w:szCs w:val="24"/>
        </w:rPr>
      </w:pPr>
      <w:r>
        <w:rPr>
          <w:rFonts w:hint="eastAsia" w:ascii="宋体" w:hAnsi="宋体" w:cs="宋体"/>
          <w:sz w:val="24"/>
          <w:szCs w:val="24"/>
        </w:rPr>
        <w:t>遵守国家有关法律、法规和规章，按招标文件中投标人须知和技术规格要求提供的有关文件</w:t>
      </w:r>
    </w:p>
    <w:p>
      <w:pPr>
        <w:numPr>
          <w:ilvl w:val="0"/>
          <w:numId w:val="13"/>
        </w:numPr>
        <w:spacing w:line="360" w:lineRule="auto"/>
        <w:rPr>
          <w:rFonts w:ascii="宋体" w:cs="宋体"/>
          <w:sz w:val="24"/>
          <w:szCs w:val="24"/>
        </w:rPr>
      </w:pPr>
      <w:r>
        <w:rPr>
          <w:rFonts w:hint="eastAsia" w:ascii="宋体" w:hAnsi="宋体" w:cs="宋体"/>
          <w:sz w:val="24"/>
          <w:szCs w:val="24"/>
        </w:rPr>
        <w:t>以</w:t>
      </w:r>
      <w:r>
        <w:rPr>
          <w:rFonts w:ascii="宋体" w:hAnsi="宋体" w:cs="宋体"/>
          <w:sz w:val="24"/>
          <w:szCs w:val="24"/>
          <w:u w:val="single"/>
        </w:rPr>
        <w:t xml:space="preserve">      </w:t>
      </w:r>
      <w:r>
        <w:rPr>
          <w:rFonts w:hint="eastAsia" w:ascii="宋体" w:hAnsi="宋体" w:cs="宋体"/>
          <w:sz w:val="24"/>
          <w:szCs w:val="24"/>
        </w:rPr>
        <w:t>形式出具的投标保证金，金额为人民币</w:t>
      </w:r>
      <w:r>
        <w:rPr>
          <w:rFonts w:ascii="宋体" w:hAnsi="宋体" w:cs="宋体"/>
          <w:sz w:val="24"/>
          <w:szCs w:val="24"/>
          <w:u w:val="single"/>
        </w:rPr>
        <w:t xml:space="preserve">     </w:t>
      </w:r>
      <w:r>
        <w:rPr>
          <w:rFonts w:hint="eastAsia" w:ascii="宋体" w:hAnsi="宋体" w:cs="宋体"/>
          <w:sz w:val="24"/>
          <w:szCs w:val="24"/>
        </w:rPr>
        <w:t>元。</w:t>
      </w:r>
    </w:p>
    <w:p>
      <w:pPr>
        <w:spacing w:line="360" w:lineRule="auto"/>
        <w:ind w:firstLine="480" w:firstLineChars="200"/>
        <w:rPr>
          <w:rFonts w:ascii="宋体" w:cs="宋体"/>
          <w:sz w:val="24"/>
          <w:szCs w:val="24"/>
        </w:rPr>
      </w:pPr>
      <w:r>
        <w:rPr>
          <w:rFonts w:hint="eastAsia" w:ascii="宋体" w:hAnsi="宋体" w:cs="宋体"/>
          <w:sz w:val="24"/>
          <w:szCs w:val="24"/>
        </w:rPr>
        <w:t>在此，签字代表宣布同意如下：</w:t>
      </w:r>
    </w:p>
    <w:p>
      <w:pPr>
        <w:numPr>
          <w:ilvl w:val="1"/>
          <w:numId w:val="14"/>
        </w:numPr>
        <w:spacing w:line="360" w:lineRule="auto"/>
        <w:rPr>
          <w:rFonts w:ascii="宋体" w:cs="宋体"/>
          <w:sz w:val="24"/>
          <w:szCs w:val="24"/>
        </w:rPr>
      </w:pPr>
      <w:r>
        <w:rPr>
          <w:rFonts w:hint="eastAsia" w:ascii="宋体" w:hAnsi="宋体" w:cs="宋体"/>
          <w:sz w:val="24"/>
          <w:szCs w:val="24"/>
        </w:rPr>
        <w:t>所附投标价格表中规定的应提供的服务开标一览表</w:t>
      </w:r>
      <w:r>
        <w:rPr>
          <w:rFonts w:hint="eastAsia" w:ascii="宋体" w:hAnsi="宋体" w:cs="宋体"/>
          <w:sz w:val="24"/>
          <w:szCs w:val="24"/>
          <w:lang w:val="en-US" w:eastAsia="zh-CN"/>
        </w:rPr>
        <w:t>的报价予以认可。</w:t>
      </w:r>
    </w:p>
    <w:p>
      <w:pPr>
        <w:numPr>
          <w:ilvl w:val="1"/>
          <w:numId w:val="14"/>
        </w:numPr>
        <w:spacing w:line="360" w:lineRule="auto"/>
        <w:rPr>
          <w:rFonts w:ascii="宋体" w:cs="宋体"/>
          <w:sz w:val="24"/>
          <w:szCs w:val="24"/>
        </w:rPr>
      </w:pPr>
      <w:r>
        <w:rPr>
          <w:rFonts w:hint="eastAsia" w:ascii="宋体" w:hAnsi="宋体" w:cs="宋体"/>
          <w:sz w:val="24"/>
          <w:szCs w:val="24"/>
        </w:rPr>
        <w:t>我方将按招标文件的规定履行合同责任和义务。</w:t>
      </w:r>
    </w:p>
    <w:p>
      <w:pPr>
        <w:numPr>
          <w:ilvl w:val="1"/>
          <w:numId w:val="14"/>
        </w:numPr>
        <w:spacing w:line="360" w:lineRule="auto"/>
        <w:rPr>
          <w:rFonts w:ascii="宋体" w:cs="宋体"/>
          <w:sz w:val="24"/>
          <w:szCs w:val="24"/>
        </w:rPr>
      </w:pPr>
      <w:r>
        <w:rPr>
          <w:rFonts w:hint="eastAsia" w:ascii="宋体" w:hAnsi="宋体" w:cs="宋体"/>
          <w:sz w:val="24"/>
          <w:szCs w:val="24"/>
        </w:rPr>
        <w:t>我方已详细审查全部招标文件。我方完全理解并同意放弃对这方面有不明及误解的权利。</w:t>
      </w:r>
    </w:p>
    <w:p>
      <w:pPr>
        <w:numPr>
          <w:ilvl w:val="1"/>
          <w:numId w:val="14"/>
        </w:numPr>
        <w:spacing w:line="360" w:lineRule="auto"/>
        <w:rPr>
          <w:rFonts w:ascii="宋体" w:cs="宋体"/>
          <w:sz w:val="24"/>
          <w:szCs w:val="24"/>
        </w:rPr>
      </w:pPr>
      <w:r>
        <w:rPr>
          <w:rFonts w:hint="eastAsia" w:ascii="宋体" w:hAnsi="宋体" w:cs="宋体"/>
          <w:sz w:val="24"/>
          <w:szCs w:val="24"/>
        </w:rPr>
        <w:t>本投标有效期为自开标日起</w:t>
      </w:r>
      <w:r>
        <w:rPr>
          <w:rFonts w:ascii="宋体" w:hAnsi="宋体" w:cs="宋体"/>
          <w:sz w:val="24"/>
          <w:szCs w:val="24"/>
          <w:u w:val="single"/>
        </w:rPr>
        <w:t xml:space="preserve">        </w:t>
      </w:r>
      <w:r>
        <w:rPr>
          <w:rFonts w:hint="eastAsia" w:ascii="宋体" w:hAnsi="宋体" w:cs="宋体"/>
          <w:sz w:val="24"/>
          <w:szCs w:val="24"/>
        </w:rPr>
        <w:t>个日历日。</w:t>
      </w:r>
    </w:p>
    <w:p>
      <w:pPr>
        <w:numPr>
          <w:ilvl w:val="1"/>
          <w:numId w:val="14"/>
        </w:numPr>
        <w:spacing w:line="360" w:lineRule="auto"/>
        <w:rPr>
          <w:rFonts w:ascii="宋体" w:cs="宋体"/>
          <w:sz w:val="24"/>
          <w:szCs w:val="24"/>
        </w:rPr>
      </w:pPr>
      <w:r>
        <w:rPr>
          <w:rFonts w:hint="eastAsia" w:ascii="宋体" w:hAnsi="宋体" w:cs="宋体"/>
          <w:sz w:val="24"/>
          <w:szCs w:val="24"/>
        </w:rPr>
        <w:t>如果在规定的开标时间后，我方在投标有效期内撤回投标，投标保证金将不予退还。</w:t>
      </w:r>
    </w:p>
    <w:p>
      <w:pPr>
        <w:numPr>
          <w:ilvl w:val="1"/>
          <w:numId w:val="14"/>
        </w:numPr>
        <w:spacing w:line="360" w:lineRule="auto"/>
        <w:rPr>
          <w:rFonts w:ascii="宋体" w:cs="宋体"/>
          <w:sz w:val="24"/>
          <w:szCs w:val="24"/>
        </w:rPr>
      </w:pPr>
      <w:r>
        <w:rPr>
          <w:rFonts w:hint="eastAsia" w:ascii="宋体" w:hAnsi="宋体" w:cs="宋体"/>
          <w:sz w:val="24"/>
          <w:szCs w:val="24"/>
        </w:rPr>
        <w:t>我方承诺，我方与采购人和采购代理机构无关联。</w:t>
      </w:r>
    </w:p>
    <w:p>
      <w:pPr>
        <w:numPr>
          <w:ilvl w:val="1"/>
          <w:numId w:val="14"/>
        </w:numPr>
        <w:spacing w:line="360" w:lineRule="auto"/>
        <w:rPr>
          <w:rFonts w:ascii="宋体" w:cs="宋体"/>
          <w:sz w:val="24"/>
          <w:szCs w:val="24"/>
        </w:rPr>
      </w:pPr>
      <w:r>
        <w:rPr>
          <w:rFonts w:hint="eastAsia" w:ascii="宋体" w:hAnsi="宋体" w:cs="宋体"/>
          <w:sz w:val="24"/>
          <w:szCs w:val="24"/>
        </w:rPr>
        <w:t>我方同意提供按照贵方可能要求的与其投标有关的一切数据或资料，完全理解贵方不一定接受最低投标报价的投标或收到的任何投标。</w:t>
      </w:r>
    </w:p>
    <w:p>
      <w:pPr>
        <w:numPr>
          <w:ilvl w:val="1"/>
          <w:numId w:val="14"/>
        </w:numPr>
        <w:spacing w:line="360" w:lineRule="auto"/>
        <w:rPr>
          <w:rFonts w:ascii="宋体" w:cs="宋体"/>
          <w:sz w:val="24"/>
          <w:szCs w:val="24"/>
        </w:rPr>
      </w:pPr>
      <w:r>
        <w:rPr>
          <w:rFonts w:hint="eastAsia" w:ascii="宋体" w:hAnsi="宋体" w:cs="宋体"/>
          <w:sz w:val="24"/>
          <w:szCs w:val="24"/>
        </w:rPr>
        <w:t>我方承诺：我方在本项目投标中的陈述和本投标文件及资格证明材料的一切资料均为真实合法，没有不实的描述、承诺或者伪造、变造的情形。如果我方在本项目投标中做虚假陈述或者在投标文件中提供虚假资料，我方愿接受有关处理，同时承担由此带来的一切法律后果。</w:t>
      </w:r>
    </w:p>
    <w:p>
      <w:pPr>
        <w:numPr>
          <w:ilvl w:val="1"/>
          <w:numId w:val="14"/>
        </w:numPr>
        <w:spacing w:line="360" w:lineRule="auto"/>
        <w:rPr>
          <w:rFonts w:ascii="宋体" w:cs="宋体"/>
          <w:sz w:val="24"/>
          <w:szCs w:val="24"/>
        </w:rPr>
      </w:pPr>
      <w:r>
        <w:rPr>
          <w:rFonts w:hint="eastAsia" w:ascii="宋体" w:hAnsi="宋体" w:cs="宋体"/>
          <w:sz w:val="24"/>
          <w:szCs w:val="24"/>
        </w:rPr>
        <w:t>若我方获得中标，我方保证在领取中标通知书的同时，按有关规定向贵方支付招标代理服务费。</w:t>
      </w:r>
    </w:p>
    <w:p>
      <w:pPr>
        <w:numPr>
          <w:ilvl w:val="1"/>
          <w:numId w:val="14"/>
        </w:numPr>
        <w:spacing w:line="360" w:lineRule="auto"/>
        <w:rPr>
          <w:rFonts w:ascii="宋体" w:cs="宋体"/>
          <w:sz w:val="24"/>
          <w:szCs w:val="24"/>
        </w:rPr>
      </w:pPr>
      <w:r>
        <w:rPr>
          <w:rFonts w:hint="eastAsia" w:ascii="宋体" w:hAnsi="宋体" w:cs="宋体"/>
          <w:sz w:val="24"/>
          <w:szCs w:val="24"/>
        </w:rPr>
        <w:t>与本投标有关的一切正式往来信函请寄：</w:t>
      </w:r>
    </w:p>
    <w:tbl>
      <w:tblPr>
        <w:tblStyle w:val="47"/>
        <w:tblW w:w="0" w:type="auto"/>
        <w:tblInd w:w="0" w:type="dxa"/>
        <w:tblLayout w:type="fixed"/>
        <w:tblCellMar>
          <w:top w:w="0" w:type="dxa"/>
          <w:left w:w="108" w:type="dxa"/>
          <w:bottom w:w="0" w:type="dxa"/>
          <w:right w:w="108" w:type="dxa"/>
        </w:tblCellMar>
      </w:tblPr>
      <w:tblGrid>
        <w:gridCol w:w="4291"/>
        <w:gridCol w:w="4291"/>
      </w:tblGrid>
      <w:tr>
        <w:tblPrEx>
          <w:tblCellMar>
            <w:top w:w="0" w:type="dxa"/>
            <w:left w:w="108" w:type="dxa"/>
            <w:bottom w:w="0" w:type="dxa"/>
            <w:right w:w="108" w:type="dxa"/>
          </w:tblCellMar>
        </w:tblPrEx>
        <w:trPr>
          <w:trHeight w:val="716" w:hRule="atLeast"/>
        </w:trPr>
        <w:tc>
          <w:tcPr>
            <w:tcW w:w="4291" w:type="dxa"/>
          </w:tcPr>
          <w:p>
            <w:pPr>
              <w:spacing w:line="360" w:lineRule="auto"/>
              <w:rPr>
                <w:rFonts w:ascii="宋体"/>
                <w:sz w:val="24"/>
                <w:szCs w:val="24"/>
              </w:rPr>
            </w:pPr>
            <w:r>
              <w:rPr>
                <w:rFonts w:hint="eastAsia" w:ascii="宋体" w:hAnsi="宋体"/>
                <w:sz w:val="24"/>
                <w:szCs w:val="24"/>
              </w:rPr>
              <w:t>地址</w:t>
            </w:r>
            <w:r>
              <w:rPr>
                <w:rFonts w:ascii="宋体" w:hAnsi="宋体"/>
                <w:sz w:val="24"/>
                <w:szCs w:val="24"/>
                <w:u w:val="single"/>
              </w:rPr>
              <w:t xml:space="preserve">                              </w:t>
            </w:r>
          </w:p>
          <w:p>
            <w:pPr>
              <w:spacing w:line="360" w:lineRule="auto"/>
              <w:rPr>
                <w:rFonts w:ascii="宋体"/>
                <w:sz w:val="24"/>
                <w:szCs w:val="24"/>
              </w:rPr>
            </w:pPr>
            <w:r>
              <w:rPr>
                <w:rFonts w:hint="eastAsia" w:ascii="宋体" w:hAnsi="宋体"/>
                <w:sz w:val="24"/>
                <w:szCs w:val="24"/>
              </w:rPr>
              <w:t>电话</w:t>
            </w:r>
            <w:r>
              <w:rPr>
                <w:rFonts w:ascii="宋体" w:hAnsi="宋体"/>
                <w:sz w:val="24"/>
                <w:szCs w:val="24"/>
                <w:u w:val="single"/>
              </w:rPr>
              <w:t xml:space="preserve">                              </w:t>
            </w:r>
          </w:p>
        </w:tc>
        <w:tc>
          <w:tcPr>
            <w:tcW w:w="4291" w:type="dxa"/>
          </w:tcPr>
          <w:p>
            <w:pPr>
              <w:spacing w:line="360" w:lineRule="auto"/>
              <w:rPr>
                <w:rFonts w:ascii="宋体"/>
                <w:sz w:val="24"/>
                <w:szCs w:val="24"/>
              </w:rPr>
            </w:pPr>
            <w:r>
              <w:rPr>
                <w:rFonts w:hint="eastAsia" w:ascii="宋体" w:hAnsi="宋体"/>
                <w:sz w:val="24"/>
                <w:szCs w:val="24"/>
              </w:rPr>
              <w:t>传真</w:t>
            </w:r>
            <w:r>
              <w:rPr>
                <w:rFonts w:ascii="宋体" w:hAnsi="宋体"/>
                <w:sz w:val="24"/>
                <w:szCs w:val="24"/>
                <w:u w:val="single"/>
              </w:rPr>
              <w:t xml:space="preserve">                               </w:t>
            </w:r>
          </w:p>
          <w:p>
            <w:pPr>
              <w:spacing w:line="360" w:lineRule="auto"/>
              <w:rPr>
                <w:rFonts w:ascii="宋体"/>
                <w:sz w:val="24"/>
                <w:szCs w:val="24"/>
              </w:rPr>
            </w:pPr>
            <w:r>
              <w:rPr>
                <w:rFonts w:hint="eastAsia" w:ascii="宋体" w:hAnsi="宋体"/>
                <w:sz w:val="24"/>
                <w:szCs w:val="24"/>
              </w:rPr>
              <w:t>电子函件</w:t>
            </w:r>
            <w:r>
              <w:rPr>
                <w:rFonts w:ascii="宋体" w:hAnsi="宋体"/>
                <w:sz w:val="24"/>
                <w:szCs w:val="24"/>
                <w:u w:val="single"/>
              </w:rPr>
              <w:t xml:space="preserve">                           </w:t>
            </w:r>
          </w:p>
        </w:tc>
      </w:tr>
    </w:tbl>
    <w:p>
      <w:pPr>
        <w:spacing w:line="360" w:lineRule="auto"/>
        <w:jc w:val="right"/>
        <w:rPr>
          <w:rFonts w:ascii="宋体" w:cs="宋体"/>
          <w:sz w:val="24"/>
          <w:szCs w:val="24"/>
        </w:rPr>
      </w:pPr>
    </w:p>
    <w:p>
      <w:pPr>
        <w:spacing w:line="360" w:lineRule="auto"/>
        <w:jc w:val="right"/>
        <w:rPr>
          <w:rFonts w:ascii="宋体" w:cs="宋体"/>
          <w:sz w:val="24"/>
          <w:szCs w:val="24"/>
        </w:rPr>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spacing w:line="360" w:lineRule="auto"/>
        <w:jc w:val="right"/>
        <w:rPr>
          <w:rFonts w:ascii="宋体" w:cs="宋体"/>
          <w:sz w:val="24"/>
          <w:szCs w:val="24"/>
        </w:rPr>
      </w:pPr>
      <w:r>
        <w:rPr>
          <w:rFonts w:hint="eastAsia" w:ascii="宋体" w:hAnsi="宋体" w:cs="宋体"/>
          <w:sz w:val="24"/>
          <w:szCs w:val="24"/>
        </w:rPr>
        <w:t>日期：</w:t>
      </w:r>
    </w:p>
    <w:p>
      <w:pPr>
        <w:pStyle w:val="6"/>
        <w:rPr>
          <w:rFonts w:ascii="宋体" w:cs="宋体"/>
          <w:szCs w:val="21"/>
        </w:rPr>
      </w:pPr>
      <w:bookmarkStart w:id="183" w:name="_Toc2512008"/>
      <w:bookmarkStart w:id="184" w:name="_Toc497167413"/>
      <w:bookmarkStart w:id="185" w:name="_Toc2355266"/>
      <w:r>
        <w:rPr>
          <w:rFonts w:ascii="宋体" w:cs="宋体"/>
          <w:szCs w:val="21"/>
        </w:rPr>
        <w:br w:type="page"/>
      </w:r>
      <w:bookmarkStart w:id="186" w:name="_Toc14776858"/>
      <w:bookmarkStart w:id="187" w:name="_Toc44704923"/>
      <w:bookmarkStart w:id="188" w:name="_Toc44705291"/>
      <w:bookmarkStart w:id="189" w:name="_Toc44705070"/>
      <w:r>
        <w:rPr>
          <w:rFonts w:ascii="宋体" w:hAnsi="宋体" w:cs="宋体"/>
          <w:sz w:val="32"/>
          <w:szCs w:val="24"/>
        </w:rPr>
        <w:t>2.2</w:t>
      </w:r>
      <w:r>
        <w:rPr>
          <w:rFonts w:hint="eastAsia" w:ascii="宋体" w:hAnsi="宋体" w:cs="宋体"/>
          <w:sz w:val="32"/>
          <w:szCs w:val="24"/>
        </w:rPr>
        <w:t>、开标一览表格式</w:t>
      </w:r>
      <w:bookmarkEnd w:id="183"/>
      <w:bookmarkEnd w:id="184"/>
      <w:bookmarkEnd w:id="185"/>
      <w:bookmarkEnd w:id="186"/>
      <w:bookmarkEnd w:id="187"/>
      <w:bookmarkEnd w:id="188"/>
      <w:bookmarkEnd w:id="189"/>
    </w:p>
    <w:p>
      <w:pPr>
        <w:spacing w:line="460" w:lineRule="atLeast"/>
        <w:jc w:val="center"/>
        <w:rPr>
          <w:rFonts w:hint="eastAsia" w:ascii="宋体" w:hAnsi="宋体"/>
          <w:b/>
          <w:sz w:val="30"/>
          <w:szCs w:val="30"/>
        </w:rPr>
      </w:pPr>
    </w:p>
    <w:p>
      <w:pPr>
        <w:spacing w:line="460" w:lineRule="atLeast"/>
        <w:jc w:val="center"/>
        <w:rPr>
          <w:rFonts w:hint="eastAsia" w:ascii="宋体" w:hAnsi="宋体" w:eastAsia="宋体"/>
          <w:b/>
          <w:bCs/>
          <w:sz w:val="30"/>
          <w:szCs w:val="30"/>
          <w:lang w:eastAsia="zh-CN"/>
        </w:rPr>
      </w:pPr>
      <w:r>
        <w:rPr>
          <w:rFonts w:hint="eastAsia" w:ascii="宋体" w:hAnsi="宋体"/>
          <w:b/>
          <w:sz w:val="30"/>
          <w:szCs w:val="30"/>
        </w:rPr>
        <w:t xml:space="preserve"> </w:t>
      </w:r>
      <w:r>
        <w:rPr>
          <w:rFonts w:hint="eastAsia" w:ascii="宋体" w:hAnsi="宋体"/>
          <w:b/>
          <w:bCs/>
          <w:sz w:val="30"/>
          <w:szCs w:val="30"/>
        </w:rPr>
        <w:t>开标一览表</w:t>
      </w:r>
    </w:p>
    <w:p>
      <w:pPr>
        <w:pStyle w:val="265"/>
        <w:spacing w:line="440" w:lineRule="exact"/>
        <w:ind w:left="210" w:leftChars="-86" w:hanging="391" w:hangingChars="163"/>
        <w:jc w:val="both"/>
        <w:rPr>
          <w:rFonts w:hint="eastAsia" w:ascii="宋体" w:hAnsi="宋体"/>
          <w:color w:val="auto"/>
        </w:rPr>
      </w:pPr>
      <w:r>
        <w:rPr>
          <w:rFonts w:hint="eastAsia" w:ascii="宋体" w:hAnsi="宋体"/>
          <w:color w:val="auto"/>
        </w:rPr>
        <w:t>招标项目名称：</w:t>
      </w:r>
      <w:r>
        <w:rPr>
          <w:rFonts w:hint="eastAsia" w:ascii="宋体" w:hAnsi="宋体"/>
          <w:color w:val="auto"/>
          <w:lang w:val="en-US" w:eastAsia="zh-CN"/>
        </w:rPr>
        <w:t xml:space="preserve">                                       </w:t>
      </w:r>
      <w:r>
        <w:rPr>
          <w:rFonts w:hint="eastAsia" w:ascii="宋体" w:hAnsi="宋体"/>
          <w:color w:val="auto"/>
        </w:rPr>
        <w:t>投标单位名称：</w:t>
      </w:r>
    </w:p>
    <w:p>
      <w:pPr>
        <w:pStyle w:val="265"/>
        <w:spacing w:line="440" w:lineRule="exact"/>
        <w:ind w:left="210" w:leftChars="-86" w:hanging="391" w:hangingChars="163"/>
        <w:jc w:val="both"/>
        <w:rPr>
          <w:rFonts w:ascii="宋体" w:hAnsi="宋体"/>
          <w:color w:val="auto"/>
        </w:rPr>
      </w:pPr>
      <w:r>
        <w:rPr>
          <w:rFonts w:hint="eastAsia" w:ascii="宋体" w:hAnsi="宋体"/>
          <w:color w:val="auto"/>
          <w:lang w:val="en-US" w:eastAsia="zh-CN"/>
        </w:rPr>
        <w:t>标项名称：</w:t>
      </w:r>
      <w:r>
        <w:rPr>
          <w:rFonts w:ascii="宋体" w:hAnsi="宋体"/>
          <w:color w:val="auto"/>
        </w:rPr>
        <w:t xml:space="preserve">                                                    </w:t>
      </w:r>
    </w:p>
    <w:p>
      <w:pPr>
        <w:pStyle w:val="265"/>
        <w:spacing w:line="440" w:lineRule="exact"/>
        <w:ind w:left="210" w:leftChars="-86" w:hanging="391" w:hangingChars="163"/>
        <w:jc w:val="both"/>
        <w:rPr>
          <w:rFonts w:ascii="宋体" w:hAnsi="宋体"/>
          <w:color w:val="auto"/>
        </w:rPr>
      </w:pPr>
      <w:r>
        <w:rPr>
          <w:rFonts w:hint="eastAsia" w:ascii="宋体" w:hAnsi="宋体"/>
          <w:color w:val="auto"/>
        </w:rPr>
        <w:t>项目编号：</w:t>
      </w:r>
      <w:r>
        <w:rPr>
          <w:rFonts w:ascii="宋体" w:hAnsi="宋体"/>
          <w:color w:val="auto"/>
        </w:rPr>
        <w:t xml:space="preserve">                                            </w:t>
      </w:r>
    </w:p>
    <w:p>
      <w:pPr>
        <w:pStyle w:val="265"/>
        <w:spacing w:line="440" w:lineRule="exact"/>
        <w:ind w:left="210" w:leftChars="-86" w:hanging="391" w:hangingChars="163"/>
        <w:jc w:val="both"/>
        <w:rPr>
          <w:rFonts w:hint="eastAsia" w:ascii="宋体" w:hAnsi="宋体"/>
          <w:color w:val="auto"/>
        </w:rPr>
      </w:pPr>
      <w:r>
        <w:rPr>
          <w:rFonts w:ascii="宋体" w:hAnsi="宋体"/>
          <w:color w:val="auto"/>
        </w:rPr>
        <w:t xml:space="preserve">                     </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970"/>
        <w:gridCol w:w="1398"/>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6" w:type="pct"/>
            <w:noWrap w:val="0"/>
            <w:vAlign w:val="center"/>
          </w:tcPr>
          <w:p>
            <w:pPr>
              <w:widowControl/>
              <w:spacing w:line="440" w:lineRule="exact"/>
              <w:jc w:val="center"/>
              <w:rPr>
                <w:rFonts w:hint="eastAsia" w:ascii="宋体" w:hAnsi="宋体" w:cs="宋体"/>
                <w:b/>
                <w:bCs/>
                <w:kern w:val="0"/>
                <w:szCs w:val="21"/>
              </w:rPr>
            </w:pPr>
            <w:r>
              <w:rPr>
                <w:rFonts w:hint="eastAsia" w:ascii="宋体" w:hAnsi="宋体" w:cs="宋体"/>
                <w:b/>
                <w:bCs/>
                <w:kern w:val="0"/>
                <w:szCs w:val="21"/>
              </w:rPr>
              <w:t>项目内容</w:t>
            </w:r>
          </w:p>
        </w:tc>
        <w:tc>
          <w:tcPr>
            <w:tcW w:w="537" w:type="pct"/>
            <w:noWrap w:val="0"/>
            <w:vAlign w:val="center"/>
          </w:tcPr>
          <w:p>
            <w:pPr>
              <w:widowControl/>
              <w:spacing w:line="440" w:lineRule="exact"/>
              <w:jc w:val="center"/>
              <w:rPr>
                <w:rFonts w:hint="eastAsia" w:ascii="宋体" w:hAnsi="宋体" w:cs="宋体"/>
                <w:b/>
                <w:bCs/>
                <w:kern w:val="0"/>
                <w:szCs w:val="21"/>
              </w:rPr>
            </w:pPr>
            <w:r>
              <w:rPr>
                <w:rFonts w:hint="eastAsia" w:ascii="宋体" w:hAnsi="宋体" w:cs="宋体"/>
                <w:b/>
                <w:bCs/>
                <w:kern w:val="0"/>
                <w:szCs w:val="21"/>
              </w:rPr>
              <w:t>性别</w:t>
            </w:r>
          </w:p>
        </w:tc>
        <w:tc>
          <w:tcPr>
            <w:tcW w:w="774" w:type="pct"/>
            <w:noWrap w:val="0"/>
            <w:vAlign w:val="center"/>
          </w:tcPr>
          <w:p>
            <w:pPr>
              <w:spacing w:line="440" w:lineRule="exact"/>
              <w:jc w:val="center"/>
              <w:rPr>
                <w:rFonts w:hint="eastAsia" w:ascii="宋体" w:hAnsi="宋体" w:cs="宋体"/>
                <w:b/>
                <w:bCs/>
                <w:kern w:val="0"/>
                <w:szCs w:val="21"/>
              </w:rPr>
            </w:pPr>
            <w:r>
              <w:rPr>
                <w:rFonts w:hint="eastAsia" w:ascii="宋体" w:hAnsi="宋体" w:cs="宋体"/>
                <w:b/>
                <w:bCs/>
                <w:kern w:val="0"/>
                <w:szCs w:val="21"/>
              </w:rPr>
              <w:t>最高限制单价</w:t>
            </w:r>
          </w:p>
        </w:tc>
        <w:tc>
          <w:tcPr>
            <w:tcW w:w="2631" w:type="pct"/>
            <w:noWrap w:val="0"/>
            <w:vAlign w:val="center"/>
          </w:tcPr>
          <w:p>
            <w:pPr>
              <w:spacing w:line="440" w:lineRule="exact"/>
              <w:jc w:val="center"/>
              <w:rPr>
                <w:rFonts w:hint="eastAsia" w:ascii="宋体" w:hAnsi="宋体" w:cs="宋体"/>
                <w:b/>
                <w:bCs/>
                <w:kern w:val="0"/>
                <w:szCs w:val="21"/>
              </w:rPr>
            </w:pPr>
            <w:r>
              <w:rPr>
                <w:rFonts w:hint="eastAsia" w:ascii="宋体" w:hAnsi="宋体" w:cs="宋体"/>
                <w:b/>
                <w:bCs/>
                <w:kern w:val="0"/>
                <w:szCs w:val="21"/>
              </w:rPr>
              <w:t>投标单价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6" w:type="pct"/>
            <w:vMerge w:val="restar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干部职工体检套餐A</w:t>
            </w:r>
          </w:p>
        </w:tc>
        <w:tc>
          <w:tcPr>
            <w:tcW w:w="53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男</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850元/人</w:t>
            </w:r>
          </w:p>
        </w:tc>
        <w:tc>
          <w:tcPr>
            <w:tcW w:w="2631"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vMerge w:val="continue"/>
            <w:noWrap w:val="0"/>
            <w:vAlign w:val="center"/>
          </w:tcPr>
          <w:p>
            <w:pPr>
              <w:widowControl/>
              <w:spacing w:line="440" w:lineRule="exact"/>
              <w:jc w:val="center"/>
              <w:rPr>
                <w:rFonts w:hint="eastAsia" w:ascii="宋体" w:hAnsi="宋体"/>
                <w:color w:val="auto"/>
                <w:kern w:val="0"/>
                <w:sz w:val="24"/>
                <w:szCs w:val="24"/>
                <w:lang w:val="en-US" w:eastAsia="zh-CN" w:bidi="ar-SA"/>
              </w:rPr>
            </w:pPr>
          </w:p>
        </w:tc>
        <w:tc>
          <w:tcPr>
            <w:tcW w:w="537"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女</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1000元/人</w:t>
            </w:r>
          </w:p>
        </w:tc>
        <w:tc>
          <w:tcPr>
            <w:tcW w:w="2631"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vMerge w:val="restar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干部职工体检套餐B</w:t>
            </w:r>
          </w:p>
        </w:tc>
        <w:tc>
          <w:tcPr>
            <w:tcW w:w="53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男</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850元/人</w:t>
            </w:r>
          </w:p>
        </w:tc>
        <w:tc>
          <w:tcPr>
            <w:tcW w:w="2631"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vMerge w:val="continue"/>
            <w:noWrap w:val="0"/>
            <w:vAlign w:val="center"/>
          </w:tcPr>
          <w:p>
            <w:pPr>
              <w:widowControl/>
              <w:spacing w:line="440" w:lineRule="exact"/>
              <w:jc w:val="center"/>
              <w:rPr>
                <w:rFonts w:hint="eastAsia" w:ascii="宋体" w:hAnsi="宋体"/>
                <w:color w:val="auto"/>
                <w:kern w:val="0"/>
                <w:sz w:val="24"/>
                <w:szCs w:val="24"/>
                <w:lang w:val="en-US" w:eastAsia="zh-CN" w:bidi="ar-SA"/>
              </w:rPr>
            </w:pPr>
          </w:p>
        </w:tc>
        <w:tc>
          <w:tcPr>
            <w:tcW w:w="537"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女</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1000元/人</w:t>
            </w:r>
          </w:p>
        </w:tc>
        <w:tc>
          <w:tcPr>
            <w:tcW w:w="2631"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noWrap w:val="0"/>
            <w:vAlign w:val="center"/>
          </w:tcPr>
          <w:p>
            <w:pPr>
              <w:widowControl/>
              <w:spacing w:line="440" w:lineRule="exact"/>
              <w:jc w:val="center"/>
              <w:rPr>
                <w:rFonts w:hint="default"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投标单价合计</w:t>
            </w:r>
            <w:r>
              <w:rPr>
                <w:rFonts w:hint="eastAsia" w:ascii="宋体" w:hAnsi="宋体" w:cs="宋体"/>
                <w:kern w:val="0"/>
                <w:sz w:val="24"/>
                <w:szCs w:val="24"/>
              </w:rPr>
              <w:t>（以上</w:t>
            </w:r>
            <w:r>
              <w:rPr>
                <w:rFonts w:hint="eastAsia" w:ascii="宋体" w:hAnsi="宋体" w:cs="宋体"/>
                <w:kern w:val="0"/>
                <w:sz w:val="24"/>
                <w:szCs w:val="24"/>
                <w:lang w:val="en-US" w:eastAsia="zh-CN"/>
              </w:rPr>
              <w:t>两</w:t>
            </w:r>
            <w:r>
              <w:rPr>
                <w:rFonts w:hint="eastAsia" w:ascii="宋体" w:hAnsi="宋体" w:cs="宋体"/>
                <w:kern w:val="0"/>
                <w:sz w:val="24"/>
                <w:szCs w:val="24"/>
              </w:rPr>
              <w:t>项综合总和）</w:t>
            </w:r>
          </w:p>
        </w:tc>
        <w:tc>
          <w:tcPr>
            <w:tcW w:w="3943" w:type="pct"/>
            <w:gridSpan w:val="3"/>
            <w:noWrap w:val="0"/>
            <w:vAlign w:val="center"/>
          </w:tcPr>
          <w:p>
            <w:pPr>
              <w:spacing w:line="440" w:lineRule="exact"/>
              <w:jc w:val="center"/>
              <w:rPr>
                <w:rFonts w:hint="default"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服务期限：</w:t>
            </w:r>
          </w:p>
        </w:tc>
        <w:tc>
          <w:tcPr>
            <w:tcW w:w="3943" w:type="pct"/>
            <w:gridSpan w:val="3"/>
            <w:noWrap w:val="0"/>
            <w:vAlign w:val="center"/>
          </w:tcPr>
          <w:p>
            <w:pPr>
              <w:spacing w:line="440" w:lineRule="exact"/>
              <w:jc w:val="center"/>
              <w:rPr>
                <w:rFonts w:hint="eastAsia" w:ascii="宋体" w:hAnsi="宋体"/>
                <w:color w:val="auto"/>
                <w:kern w:val="0"/>
                <w:sz w:val="24"/>
                <w:szCs w:val="24"/>
                <w:lang w:val="en-US" w:eastAsia="zh-CN" w:bidi="ar-SA"/>
              </w:rPr>
            </w:pPr>
          </w:p>
        </w:tc>
      </w:tr>
    </w:tbl>
    <w:p>
      <w:pPr>
        <w:pStyle w:val="265"/>
        <w:spacing w:line="440" w:lineRule="exact"/>
        <w:rPr>
          <w:rFonts w:hint="eastAsia" w:ascii="宋体" w:hAnsi="宋体"/>
          <w:b/>
          <w:bCs/>
          <w:color w:val="auto"/>
        </w:rPr>
      </w:pPr>
    </w:p>
    <w:p>
      <w:pPr>
        <w:pStyle w:val="265"/>
        <w:spacing w:line="440" w:lineRule="exact"/>
        <w:rPr>
          <w:rFonts w:ascii="宋体" w:hAnsi="宋体"/>
          <w:color w:val="auto"/>
        </w:rPr>
      </w:pPr>
      <w:r>
        <w:rPr>
          <w:rFonts w:hint="eastAsia" w:ascii="宋体" w:hAnsi="宋体"/>
          <w:color w:val="auto"/>
        </w:rPr>
        <w:t>兹声明：以上投标报价在投标有效期内一直有效。</w:t>
      </w:r>
    </w:p>
    <w:p>
      <w:pPr>
        <w:spacing w:line="440" w:lineRule="exact"/>
        <w:rPr>
          <w:rFonts w:ascii="宋体" w:hAnsi="宋体"/>
          <w:sz w:val="24"/>
          <w:szCs w:val="24"/>
        </w:rPr>
      </w:pPr>
      <w:r>
        <w:rPr>
          <w:rFonts w:hint="eastAsia" w:ascii="宋体" w:hAnsi="宋体"/>
          <w:sz w:val="24"/>
          <w:szCs w:val="24"/>
        </w:rPr>
        <w:t>投标人名称（加盖公章）：</w:t>
      </w:r>
      <w:r>
        <w:rPr>
          <w:rFonts w:ascii="宋体" w:hAnsi="宋体"/>
          <w:sz w:val="24"/>
          <w:szCs w:val="24"/>
          <w:u w:val="single"/>
        </w:rPr>
        <w:t xml:space="preserve">                               </w:t>
      </w:r>
    </w:p>
    <w:p>
      <w:pPr>
        <w:pStyle w:val="266"/>
        <w:keepNext w:val="0"/>
        <w:keepLines w:val="0"/>
        <w:adjustRightInd/>
        <w:spacing w:before="0" w:line="440" w:lineRule="exact"/>
        <w:textAlignment w:val="auto"/>
        <w:outlineLvl w:val="9"/>
        <w:rPr>
          <w:b w:val="0"/>
          <w:kern w:val="2"/>
          <w:sz w:val="24"/>
        </w:rPr>
      </w:pPr>
      <w:r>
        <w:rPr>
          <w:rFonts w:hint="eastAsia"/>
          <w:b w:val="0"/>
          <w:sz w:val="24"/>
        </w:rPr>
        <w:t>授权代表签字：</w:t>
      </w:r>
      <w:r>
        <w:rPr>
          <w:b w:val="0"/>
          <w:sz w:val="24"/>
          <w:u w:val="single"/>
        </w:rPr>
        <w:t xml:space="preserve">                  </w:t>
      </w:r>
    </w:p>
    <w:p>
      <w:pPr>
        <w:pStyle w:val="266"/>
        <w:keepNext w:val="0"/>
        <w:keepLines w:val="0"/>
        <w:adjustRightInd/>
        <w:spacing w:before="0" w:line="440" w:lineRule="exact"/>
        <w:textAlignment w:val="auto"/>
        <w:outlineLvl w:val="9"/>
        <w:rPr>
          <w:b w:val="0"/>
          <w:kern w:val="2"/>
          <w:sz w:val="24"/>
        </w:rPr>
      </w:pPr>
      <w:r>
        <w:rPr>
          <w:rFonts w:hint="eastAsia"/>
          <w:b w:val="0"/>
          <w:spacing w:val="36"/>
          <w:kern w:val="2"/>
          <w:sz w:val="24"/>
        </w:rPr>
        <w:t>日期</w:t>
      </w:r>
      <w:r>
        <w:rPr>
          <w:rFonts w:hint="eastAsia"/>
          <w:b w:val="0"/>
          <w:kern w:val="2"/>
          <w:sz w:val="24"/>
        </w:rPr>
        <w:t>：</w:t>
      </w:r>
      <w:r>
        <w:rPr>
          <w:b w:val="0"/>
          <w:kern w:val="2"/>
          <w:sz w:val="24"/>
          <w:u w:val="single"/>
        </w:rPr>
        <w:t xml:space="preserve">       </w:t>
      </w:r>
      <w:r>
        <w:rPr>
          <w:rFonts w:hint="eastAsia"/>
          <w:b w:val="0"/>
          <w:kern w:val="2"/>
          <w:sz w:val="24"/>
        </w:rPr>
        <w:t>年</w:t>
      </w:r>
      <w:r>
        <w:rPr>
          <w:b w:val="0"/>
          <w:kern w:val="2"/>
          <w:sz w:val="24"/>
          <w:u w:val="single"/>
        </w:rPr>
        <w:t xml:space="preserve">     </w:t>
      </w:r>
      <w:r>
        <w:rPr>
          <w:rFonts w:hint="eastAsia"/>
          <w:b w:val="0"/>
          <w:kern w:val="2"/>
          <w:sz w:val="24"/>
        </w:rPr>
        <w:t>月</w:t>
      </w:r>
      <w:r>
        <w:rPr>
          <w:b w:val="0"/>
          <w:kern w:val="2"/>
          <w:sz w:val="24"/>
          <w:u w:val="single"/>
        </w:rPr>
        <w:t xml:space="preserve">    </w:t>
      </w:r>
      <w:r>
        <w:rPr>
          <w:rFonts w:hint="eastAsia"/>
          <w:b w:val="0"/>
          <w:kern w:val="2"/>
          <w:sz w:val="24"/>
        </w:rPr>
        <w:t>日</w:t>
      </w:r>
    </w:p>
    <w:p>
      <w:pPr>
        <w:pStyle w:val="266"/>
        <w:keepNext w:val="0"/>
        <w:keepLines w:val="0"/>
        <w:adjustRightInd/>
        <w:spacing w:before="0" w:line="440" w:lineRule="exact"/>
        <w:textAlignment w:val="auto"/>
        <w:outlineLvl w:val="9"/>
        <w:rPr>
          <w:rFonts w:hint="eastAsia"/>
          <w:sz w:val="24"/>
        </w:rPr>
      </w:pPr>
    </w:p>
    <w:p>
      <w:pPr>
        <w:pStyle w:val="266"/>
        <w:keepNext w:val="0"/>
        <w:keepLines w:val="0"/>
        <w:adjustRightInd/>
        <w:spacing w:before="0" w:line="440" w:lineRule="exact"/>
        <w:textAlignment w:val="auto"/>
        <w:outlineLvl w:val="9"/>
        <w:rPr>
          <w:b w:val="0"/>
          <w:bCs w:val="0"/>
          <w:kern w:val="2"/>
          <w:sz w:val="24"/>
        </w:rPr>
      </w:pPr>
      <w:r>
        <w:rPr>
          <w:rFonts w:hint="eastAsia"/>
          <w:sz w:val="24"/>
        </w:rPr>
        <w:t>注：</w:t>
      </w:r>
      <w:r>
        <w:rPr>
          <w:rFonts w:hAnsi="宋体" w:cs="宋体"/>
          <w:b w:val="0"/>
          <w:bCs w:val="0"/>
          <w:sz w:val="24"/>
        </w:rPr>
        <w:t>1</w:t>
      </w:r>
      <w:r>
        <w:rPr>
          <w:rFonts w:hint="eastAsia" w:hAnsi="宋体" w:cs="宋体"/>
          <w:b w:val="0"/>
          <w:bCs w:val="0"/>
          <w:sz w:val="24"/>
        </w:rPr>
        <w:t>、开标一览表内容与投标文件中相应内容不一致的，以开标一览表本表为准。</w:t>
      </w:r>
    </w:p>
    <w:p>
      <w:pPr>
        <w:pStyle w:val="265"/>
        <w:spacing w:line="440" w:lineRule="exact"/>
        <w:ind w:firstLine="480" w:firstLineChars="200"/>
        <w:rPr>
          <w:rFonts w:ascii="宋体" w:hAnsi="宋体"/>
          <w:b w:val="0"/>
          <w:bCs w:val="0"/>
          <w:color w:val="auto"/>
          <w:kern w:val="2"/>
        </w:rPr>
      </w:pPr>
      <w:r>
        <w:rPr>
          <w:rFonts w:ascii="宋体" w:hAnsi="宋体"/>
          <w:b w:val="0"/>
          <w:bCs w:val="0"/>
          <w:color w:val="auto"/>
          <w:kern w:val="2"/>
        </w:rPr>
        <w:t>2</w:t>
      </w:r>
      <w:r>
        <w:rPr>
          <w:rFonts w:hint="eastAsia" w:ascii="宋体" w:hAnsi="宋体"/>
          <w:b w:val="0"/>
          <w:bCs w:val="0"/>
          <w:color w:val="auto"/>
          <w:kern w:val="2"/>
        </w:rPr>
        <w:t>、本表格式不得更改，投标人只能按要求填报。</w:t>
      </w:r>
    </w:p>
    <w:p>
      <w:pPr>
        <w:pStyle w:val="6"/>
        <w:rPr>
          <w:rFonts w:ascii="宋体" w:cs="宋体"/>
          <w:sz w:val="24"/>
        </w:rPr>
      </w:pPr>
      <w:r>
        <w:rPr>
          <w:rFonts w:ascii="宋体" w:cs="宋体"/>
          <w:sz w:val="24"/>
        </w:rPr>
        <w:br w:type="page"/>
      </w:r>
      <w:bookmarkStart w:id="190" w:name="_Toc2512009"/>
      <w:bookmarkStart w:id="191" w:name="_Toc493422660"/>
      <w:bookmarkStart w:id="192" w:name="_Toc44704924"/>
      <w:bookmarkStart w:id="193" w:name="_Toc497167414"/>
      <w:bookmarkStart w:id="194" w:name="_Toc44705292"/>
      <w:bookmarkStart w:id="195" w:name="_Toc2355267"/>
      <w:bookmarkStart w:id="196" w:name="_Toc14776859"/>
      <w:bookmarkStart w:id="197" w:name="_Toc44705071"/>
      <w:r>
        <w:rPr>
          <w:rFonts w:ascii="宋体" w:hAnsi="宋体" w:cs="宋体"/>
          <w:sz w:val="32"/>
          <w:szCs w:val="24"/>
        </w:rPr>
        <w:t>2.3</w:t>
      </w:r>
      <w:r>
        <w:rPr>
          <w:rFonts w:hint="eastAsia" w:ascii="宋体" w:hAnsi="宋体" w:cs="宋体"/>
          <w:sz w:val="32"/>
          <w:szCs w:val="24"/>
        </w:rPr>
        <w:t>、投标分项（明细）报价表格式</w:t>
      </w:r>
      <w:bookmarkEnd w:id="190"/>
      <w:bookmarkEnd w:id="191"/>
      <w:bookmarkEnd w:id="192"/>
      <w:bookmarkEnd w:id="193"/>
      <w:bookmarkEnd w:id="194"/>
      <w:bookmarkEnd w:id="195"/>
      <w:bookmarkEnd w:id="196"/>
      <w:bookmarkEnd w:id="197"/>
    </w:p>
    <w:p>
      <w:pPr>
        <w:spacing w:line="360" w:lineRule="auto"/>
        <w:jc w:val="center"/>
        <w:rPr>
          <w:rFonts w:ascii="宋体" w:cs="宋体"/>
          <w:b/>
          <w:sz w:val="24"/>
        </w:rPr>
      </w:pPr>
      <w:r>
        <w:rPr>
          <w:rFonts w:hint="eastAsia" w:ascii="宋体" w:hAnsi="宋体" w:cs="宋体"/>
          <w:b/>
          <w:sz w:val="24"/>
        </w:rPr>
        <w:t>明细报价表</w:t>
      </w:r>
    </w:p>
    <w:p>
      <w:pPr>
        <w:spacing w:line="360" w:lineRule="auto"/>
        <w:ind w:left="-735" w:leftChars="-350" w:firstLine="960" w:firstLineChars="400"/>
        <w:jc w:val="left"/>
        <w:rPr>
          <w:rFonts w:hint="eastAsia" w:ascii="宋体" w:hAnsi="宋体" w:cs="宋体"/>
          <w:sz w:val="24"/>
        </w:rPr>
      </w:pPr>
      <w:r>
        <w:rPr>
          <w:rFonts w:hint="eastAsia" w:ascii="宋体" w:hAnsi="宋体" w:cs="宋体"/>
          <w:sz w:val="24"/>
        </w:rPr>
        <w:t>项目名称：</w:t>
      </w:r>
    </w:p>
    <w:p>
      <w:pPr>
        <w:spacing w:line="360" w:lineRule="auto"/>
        <w:ind w:left="-735" w:leftChars="-350" w:firstLine="960" w:firstLineChars="400"/>
        <w:jc w:val="left"/>
        <w:rPr>
          <w:rFonts w:ascii="宋体" w:cs="宋体"/>
          <w:sz w:val="24"/>
        </w:rPr>
      </w:pPr>
      <w:r>
        <w:rPr>
          <w:rFonts w:hint="eastAsia" w:ascii="宋体" w:hAnsi="宋体" w:cs="宋体"/>
          <w:sz w:val="24"/>
        </w:rPr>
        <w:t xml:space="preserve">标项名称： </w:t>
      </w:r>
      <w:r>
        <w:rPr>
          <w:rFonts w:ascii="宋体" w:hAnsi="宋体" w:cs="宋体"/>
          <w:sz w:val="24"/>
        </w:rPr>
        <w:t xml:space="preserve">                             </w:t>
      </w:r>
    </w:p>
    <w:p>
      <w:pPr>
        <w:spacing w:line="360" w:lineRule="auto"/>
        <w:ind w:left="-735" w:leftChars="-350" w:firstLine="960" w:firstLineChars="400"/>
        <w:jc w:val="left"/>
        <w:rPr>
          <w:rFonts w:ascii="宋体" w:cs="宋体"/>
          <w:sz w:val="24"/>
        </w:rPr>
      </w:pPr>
      <w:r>
        <w:rPr>
          <w:rFonts w:hint="eastAsia" w:ascii="宋体" w:hAnsi="宋体" w:cs="宋体"/>
          <w:sz w:val="24"/>
        </w:rPr>
        <w:t>项目编号：</w:t>
      </w:r>
      <w:r>
        <w:rPr>
          <w:rFonts w:ascii="宋体" w:hAnsi="宋体" w:cs="宋体"/>
          <w:sz w:val="24"/>
        </w:rPr>
        <w:t xml:space="preserve">                                                    </w:t>
      </w:r>
      <w:r>
        <w:rPr>
          <w:rFonts w:hint="eastAsia" w:ascii="宋体" w:hAnsi="宋体" w:cs="宋体"/>
          <w:sz w:val="24"/>
        </w:rPr>
        <w:t>单位：元</w:t>
      </w:r>
    </w:p>
    <w:tbl>
      <w:tblPr>
        <w:tblStyle w:val="4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2198"/>
        <w:gridCol w:w="1584"/>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41" w:type="dxa"/>
            <w:vAlign w:val="center"/>
          </w:tcPr>
          <w:p>
            <w:pPr>
              <w:spacing w:line="360" w:lineRule="auto"/>
              <w:jc w:val="left"/>
              <w:rPr>
                <w:rFonts w:ascii="宋体" w:cs="宋体"/>
                <w:sz w:val="24"/>
              </w:rPr>
            </w:pPr>
            <w:r>
              <w:rPr>
                <w:rFonts w:hint="eastAsia" w:ascii="宋体" w:hAnsi="宋体" w:cs="宋体"/>
                <w:sz w:val="24"/>
              </w:rPr>
              <w:t>序号</w:t>
            </w:r>
          </w:p>
        </w:tc>
        <w:tc>
          <w:tcPr>
            <w:tcW w:w="2198" w:type="dxa"/>
            <w:vAlign w:val="center"/>
          </w:tcPr>
          <w:p>
            <w:pPr>
              <w:spacing w:line="360" w:lineRule="auto"/>
              <w:jc w:val="left"/>
              <w:rPr>
                <w:rFonts w:ascii="宋体" w:cs="宋体"/>
                <w:sz w:val="24"/>
              </w:rPr>
            </w:pPr>
            <w:r>
              <w:rPr>
                <w:rFonts w:hint="eastAsia" w:ascii="宋体" w:hAnsi="宋体" w:cs="宋体"/>
                <w:sz w:val="24"/>
              </w:rPr>
              <w:t>服务项</w:t>
            </w:r>
          </w:p>
        </w:tc>
        <w:tc>
          <w:tcPr>
            <w:tcW w:w="1584" w:type="dxa"/>
            <w:vAlign w:val="center"/>
          </w:tcPr>
          <w:p>
            <w:pPr>
              <w:spacing w:line="360" w:lineRule="auto"/>
              <w:jc w:val="left"/>
              <w:rPr>
                <w:rFonts w:ascii="宋体" w:cs="宋体"/>
                <w:sz w:val="24"/>
              </w:rPr>
            </w:pPr>
            <w:r>
              <w:rPr>
                <w:rFonts w:hint="eastAsia" w:ascii="宋体" w:hAnsi="宋体" w:cs="宋体"/>
                <w:sz w:val="24"/>
              </w:rPr>
              <w:t>单位</w:t>
            </w:r>
          </w:p>
        </w:tc>
        <w:tc>
          <w:tcPr>
            <w:tcW w:w="1276" w:type="dxa"/>
            <w:vAlign w:val="center"/>
          </w:tcPr>
          <w:p>
            <w:pPr>
              <w:spacing w:line="360" w:lineRule="auto"/>
              <w:jc w:val="left"/>
              <w:rPr>
                <w:rFonts w:ascii="宋体" w:cs="宋体"/>
                <w:sz w:val="24"/>
              </w:rPr>
            </w:pPr>
            <w:r>
              <w:rPr>
                <w:rFonts w:hint="eastAsia" w:ascii="宋体" w:hAnsi="宋体" w:cs="宋体"/>
                <w:sz w:val="24"/>
              </w:rPr>
              <w:t>单价</w:t>
            </w:r>
          </w:p>
        </w:tc>
        <w:tc>
          <w:tcPr>
            <w:tcW w:w="2126" w:type="dxa"/>
            <w:vAlign w:val="center"/>
          </w:tcPr>
          <w:p>
            <w:pPr>
              <w:spacing w:line="360" w:lineRule="auto"/>
              <w:jc w:val="left"/>
              <w:rPr>
                <w:rFonts w:ascii="宋体" w:cs="宋体"/>
                <w:sz w:val="24"/>
              </w:rPr>
            </w:pPr>
            <w:r>
              <w:rPr>
                <w:rFonts w:hint="eastAsia" w:ascii="宋体" w:hAnsi="宋体" w:cs="宋体"/>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41" w:type="dxa"/>
            <w:vAlign w:val="center"/>
          </w:tcPr>
          <w:p>
            <w:pPr>
              <w:spacing w:line="360" w:lineRule="auto"/>
              <w:jc w:val="left"/>
              <w:rPr>
                <w:rFonts w:ascii="宋体" w:cs="宋体"/>
                <w:sz w:val="24"/>
              </w:rPr>
            </w:pPr>
            <w:r>
              <w:rPr>
                <w:rFonts w:ascii="宋体" w:hAnsi="宋体" w:cs="宋体"/>
                <w:sz w:val="24"/>
              </w:rPr>
              <w:t>1</w:t>
            </w:r>
          </w:p>
        </w:tc>
        <w:tc>
          <w:tcPr>
            <w:tcW w:w="2198" w:type="dxa"/>
            <w:vAlign w:val="center"/>
          </w:tcPr>
          <w:p>
            <w:pPr>
              <w:spacing w:line="360" w:lineRule="auto"/>
              <w:jc w:val="left"/>
              <w:rPr>
                <w:rFonts w:ascii="宋体" w:cs="宋体"/>
                <w:sz w:val="24"/>
              </w:rPr>
            </w:pPr>
          </w:p>
        </w:tc>
        <w:tc>
          <w:tcPr>
            <w:tcW w:w="1584" w:type="dxa"/>
            <w:vAlign w:val="center"/>
          </w:tcPr>
          <w:p>
            <w:pPr>
              <w:spacing w:line="360" w:lineRule="auto"/>
              <w:jc w:val="left"/>
              <w:rPr>
                <w:rFonts w:ascii="宋体" w:cs="宋体"/>
                <w:sz w:val="24"/>
              </w:rPr>
            </w:pPr>
          </w:p>
        </w:tc>
        <w:tc>
          <w:tcPr>
            <w:tcW w:w="1276" w:type="dxa"/>
            <w:vAlign w:val="center"/>
          </w:tcPr>
          <w:p>
            <w:pPr>
              <w:spacing w:line="360" w:lineRule="auto"/>
              <w:jc w:val="left"/>
              <w:rPr>
                <w:rFonts w:ascii="宋体" w:cs="宋体"/>
                <w:sz w:val="24"/>
              </w:rPr>
            </w:pPr>
          </w:p>
        </w:tc>
        <w:tc>
          <w:tcPr>
            <w:tcW w:w="2126" w:type="dxa"/>
            <w:vAlign w:val="center"/>
          </w:tcPr>
          <w:p>
            <w:pPr>
              <w:spacing w:line="360" w:lineRule="auto"/>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41" w:type="dxa"/>
            <w:vAlign w:val="center"/>
          </w:tcPr>
          <w:p>
            <w:pPr>
              <w:spacing w:line="360" w:lineRule="auto"/>
              <w:jc w:val="left"/>
              <w:rPr>
                <w:rFonts w:ascii="宋体" w:cs="宋体"/>
                <w:sz w:val="24"/>
              </w:rPr>
            </w:pPr>
            <w:r>
              <w:rPr>
                <w:rFonts w:ascii="宋体" w:hAnsi="宋体" w:cs="宋体"/>
                <w:sz w:val="24"/>
              </w:rPr>
              <w:t>2</w:t>
            </w:r>
          </w:p>
        </w:tc>
        <w:tc>
          <w:tcPr>
            <w:tcW w:w="2198" w:type="dxa"/>
            <w:vAlign w:val="center"/>
          </w:tcPr>
          <w:p>
            <w:pPr>
              <w:spacing w:line="360" w:lineRule="auto"/>
              <w:jc w:val="left"/>
              <w:rPr>
                <w:rFonts w:ascii="宋体" w:cs="宋体"/>
                <w:sz w:val="24"/>
              </w:rPr>
            </w:pPr>
          </w:p>
        </w:tc>
        <w:tc>
          <w:tcPr>
            <w:tcW w:w="1584" w:type="dxa"/>
            <w:vAlign w:val="center"/>
          </w:tcPr>
          <w:p>
            <w:pPr>
              <w:spacing w:line="360" w:lineRule="auto"/>
              <w:jc w:val="left"/>
              <w:rPr>
                <w:rFonts w:ascii="宋体" w:cs="宋体"/>
                <w:sz w:val="24"/>
              </w:rPr>
            </w:pPr>
          </w:p>
        </w:tc>
        <w:tc>
          <w:tcPr>
            <w:tcW w:w="1276" w:type="dxa"/>
            <w:vAlign w:val="center"/>
          </w:tcPr>
          <w:p>
            <w:pPr>
              <w:spacing w:line="360" w:lineRule="auto"/>
              <w:jc w:val="left"/>
              <w:rPr>
                <w:rFonts w:ascii="宋体" w:cs="宋体"/>
                <w:sz w:val="24"/>
              </w:rPr>
            </w:pPr>
          </w:p>
        </w:tc>
        <w:tc>
          <w:tcPr>
            <w:tcW w:w="2126" w:type="dxa"/>
            <w:vAlign w:val="center"/>
          </w:tcPr>
          <w:p>
            <w:pPr>
              <w:spacing w:line="360" w:lineRule="auto"/>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1441" w:type="dxa"/>
            <w:vAlign w:val="center"/>
          </w:tcPr>
          <w:p>
            <w:pPr>
              <w:spacing w:line="360" w:lineRule="auto"/>
              <w:jc w:val="left"/>
              <w:rPr>
                <w:rFonts w:ascii="宋体" w:cs="宋体"/>
                <w:sz w:val="24"/>
              </w:rPr>
            </w:pPr>
            <w:r>
              <w:rPr>
                <w:rFonts w:ascii="宋体" w:hAnsi="宋体" w:cs="宋体"/>
                <w:sz w:val="24"/>
              </w:rPr>
              <w:t>3</w:t>
            </w:r>
          </w:p>
        </w:tc>
        <w:tc>
          <w:tcPr>
            <w:tcW w:w="2198" w:type="dxa"/>
            <w:vAlign w:val="center"/>
          </w:tcPr>
          <w:p>
            <w:pPr>
              <w:spacing w:line="360" w:lineRule="auto"/>
              <w:jc w:val="left"/>
              <w:rPr>
                <w:rFonts w:ascii="宋体" w:cs="宋体"/>
                <w:sz w:val="24"/>
              </w:rPr>
            </w:pPr>
            <w:r>
              <w:rPr>
                <w:rFonts w:hint="eastAsia" w:ascii="宋体" w:hAnsi="宋体" w:cs="宋体"/>
                <w:sz w:val="24"/>
              </w:rPr>
              <w:t>其他费用</w:t>
            </w:r>
          </w:p>
        </w:tc>
        <w:tc>
          <w:tcPr>
            <w:tcW w:w="4986" w:type="dxa"/>
            <w:gridSpan w:val="3"/>
            <w:vAlign w:val="center"/>
          </w:tcPr>
          <w:p>
            <w:pPr>
              <w:spacing w:line="360" w:lineRule="auto"/>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41" w:type="dxa"/>
            <w:vAlign w:val="center"/>
          </w:tcPr>
          <w:p>
            <w:pPr>
              <w:spacing w:line="360" w:lineRule="auto"/>
              <w:jc w:val="left"/>
              <w:rPr>
                <w:rFonts w:ascii="宋体" w:cs="宋体"/>
                <w:sz w:val="24"/>
              </w:rPr>
            </w:pPr>
            <w:r>
              <w:rPr>
                <w:rFonts w:hint="eastAsia" w:ascii="宋体" w:hAnsi="宋体" w:cs="宋体"/>
                <w:sz w:val="24"/>
              </w:rPr>
              <w:t>总计</w:t>
            </w:r>
          </w:p>
        </w:tc>
        <w:tc>
          <w:tcPr>
            <w:tcW w:w="7184" w:type="dxa"/>
            <w:gridSpan w:val="4"/>
            <w:vAlign w:val="center"/>
          </w:tcPr>
          <w:p>
            <w:pPr>
              <w:spacing w:line="360" w:lineRule="auto"/>
              <w:jc w:val="left"/>
              <w:rPr>
                <w:rFonts w:ascii="宋体" w:cs="宋体"/>
                <w:sz w:val="24"/>
              </w:rPr>
            </w:pPr>
            <w:r>
              <w:rPr>
                <w:rFonts w:hint="eastAsia" w:ascii="宋体" w:hAnsi="宋体" w:cs="宋体"/>
                <w:sz w:val="24"/>
              </w:rPr>
              <w:t>小写</w:t>
            </w:r>
            <w:r>
              <w:rPr>
                <w:rFonts w:ascii="宋体" w:hAnsi="宋体" w:cs="宋体"/>
                <w:sz w:val="24"/>
              </w:rPr>
              <w:t xml:space="preserve">:                                  </w:t>
            </w:r>
          </w:p>
          <w:p>
            <w:pPr>
              <w:spacing w:line="360" w:lineRule="auto"/>
              <w:jc w:val="left"/>
              <w:rPr>
                <w:rFonts w:ascii="宋体" w:cs="宋体"/>
                <w:sz w:val="24"/>
              </w:rPr>
            </w:pPr>
            <w:r>
              <w:rPr>
                <w:rFonts w:hint="eastAsia" w:ascii="宋体" w:hAnsi="宋体" w:cs="宋体"/>
                <w:sz w:val="24"/>
              </w:rPr>
              <w:t>大写</w:t>
            </w:r>
            <w:r>
              <w:rPr>
                <w:rFonts w:ascii="宋体" w:hAnsi="宋体" w:cs="宋体"/>
                <w:sz w:val="24"/>
              </w:rPr>
              <w:t>:</w:t>
            </w:r>
          </w:p>
        </w:tc>
      </w:tr>
    </w:tbl>
    <w:p>
      <w:pPr>
        <w:spacing w:line="360" w:lineRule="auto"/>
        <w:jc w:val="left"/>
        <w:rPr>
          <w:rFonts w:ascii="宋体" w:cs="宋体"/>
          <w:sz w:val="24"/>
        </w:rPr>
      </w:pPr>
    </w:p>
    <w:p>
      <w:pPr>
        <w:spacing w:line="360" w:lineRule="auto"/>
        <w:jc w:val="left"/>
        <w:rPr>
          <w:rFonts w:ascii="宋体" w:cs="宋体"/>
          <w:sz w:val="24"/>
        </w:rPr>
      </w:pPr>
    </w:p>
    <w:p>
      <w:pPr>
        <w:spacing w:line="360" w:lineRule="auto"/>
        <w:jc w:val="left"/>
        <w:rPr>
          <w:rFonts w:ascii="宋体" w:cs="宋体"/>
          <w:sz w:val="24"/>
        </w:rPr>
      </w:pPr>
      <w:r>
        <w:rPr>
          <w:rFonts w:hint="eastAsia" w:ascii="宋体" w:hAnsi="宋体" w:cs="宋体"/>
          <w:sz w:val="24"/>
        </w:rPr>
        <w:t>投标人法定代表人或代理人（盖章或签字）：</w:t>
      </w:r>
    </w:p>
    <w:p>
      <w:pPr>
        <w:spacing w:line="360" w:lineRule="auto"/>
        <w:jc w:val="left"/>
        <w:rPr>
          <w:rFonts w:ascii="宋体" w:cs="宋体"/>
          <w:sz w:val="24"/>
        </w:rPr>
      </w:pPr>
    </w:p>
    <w:p>
      <w:pPr>
        <w:spacing w:line="360" w:lineRule="auto"/>
        <w:jc w:val="left"/>
        <w:rPr>
          <w:rFonts w:ascii="宋体" w:cs="宋体"/>
          <w:sz w:val="24"/>
        </w:rPr>
      </w:pPr>
      <w:r>
        <w:rPr>
          <w:rFonts w:hint="eastAsia" w:ascii="宋体" w:hAnsi="宋体" w:cs="宋体"/>
          <w:sz w:val="24"/>
        </w:rPr>
        <w:t>投标人盖章：</w:t>
      </w:r>
      <w:r>
        <w:rPr>
          <w:rFonts w:ascii="宋体" w:hAnsi="宋体" w:cs="宋体"/>
          <w:sz w:val="24"/>
        </w:rPr>
        <w:t xml:space="preserve">                                       </w:t>
      </w:r>
    </w:p>
    <w:p>
      <w:pPr>
        <w:spacing w:line="360" w:lineRule="auto"/>
        <w:jc w:val="left"/>
        <w:rPr>
          <w:rFonts w:ascii="宋体" w:cs="宋体"/>
          <w:sz w:val="24"/>
        </w:rPr>
      </w:pPr>
    </w:p>
    <w:p>
      <w:pPr>
        <w:spacing w:line="360" w:lineRule="auto"/>
        <w:jc w:val="left"/>
        <w:rPr>
          <w:rFonts w:ascii="宋体" w:cs="宋体"/>
          <w:sz w:val="24"/>
        </w:rPr>
      </w:pPr>
    </w:p>
    <w:p>
      <w:pPr>
        <w:spacing w:line="360" w:lineRule="auto"/>
        <w:jc w:val="right"/>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360" w:lineRule="auto"/>
        <w:jc w:val="left"/>
        <w:rPr>
          <w:rFonts w:ascii="宋体" w:cs="宋体"/>
          <w:sz w:val="24"/>
        </w:rPr>
      </w:pPr>
    </w:p>
    <w:p>
      <w:pPr>
        <w:spacing w:line="360" w:lineRule="auto"/>
        <w:jc w:val="left"/>
        <w:rPr>
          <w:rFonts w:ascii="宋体" w:cs="宋体"/>
          <w:sz w:val="24"/>
        </w:rPr>
      </w:pPr>
    </w:p>
    <w:p>
      <w:pPr>
        <w:spacing w:line="360" w:lineRule="auto"/>
        <w:jc w:val="left"/>
        <w:rPr>
          <w:rFonts w:ascii="宋体" w:cs="宋体"/>
          <w:sz w:val="24"/>
        </w:rPr>
      </w:pPr>
      <w:r>
        <w:rPr>
          <w:rFonts w:hint="eastAsia" w:ascii="宋体" w:hAnsi="宋体" w:cs="宋体"/>
          <w:sz w:val="24"/>
        </w:rPr>
        <w:t>注：上述报价包含一切由供方承担的费用；</w:t>
      </w:r>
    </w:p>
    <w:p>
      <w:pPr>
        <w:widowControl/>
        <w:spacing w:line="360" w:lineRule="auto"/>
        <w:jc w:val="left"/>
        <w:rPr>
          <w:rFonts w:ascii="宋体" w:cs="宋体"/>
          <w:b/>
          <w:sz w:val="24"/>
        </w:rPr>
      </w:pPr>
      <w:r>
        <w:rPr>
          <w:rFonts w:ascii="宋体" w:cs="宋体"/>
          <w:b/>
          <w:sz w:val="24"/>
        </w:rPr>
        <w:br w:type="page"/>
      </w:r>
    </w:p>
    <w:p>
      <w:pPr>
        <w:pStyle w:val="6"/>
        <w:rPr>
          <w:rFonts w:ascii="宋体" w:cs="宋体"/>
          <w:bCs w:val="0"/>
          <w:sz w:val="32"/>
          <w:szCs w:val="24"/>
        </w:rPr>
      </w:pPr>
      <w:bookmarkStart w:id="198" w:name="_Toc44705072"/>
      <w:bookmarkStart w:id="199" w:name="_Toc44705293"/>
      <w:bookmarkStart w:id="200" w:name="_Toc44704925"/>
      <w:r>
        <w:rPr>
          <w:rFonts w:ascii="宋体" w:hAnsi="宋体" w:cs="宋体"/>
          <w:bCs w:val="0"/>
          <w:sz w:val="32"/>
          <w:szCs w:val="24"/>
        </w:rPr>
        <w:t>2.4</w:t>
      </w:r>
      <w:r>
        <w:rPr>
          <w:rFonts w:hint="eastAsia" w:ascii="宋体" w:hAnsi="宋体" w:cs="宋体"/>
          <w:bCs w:val="0"/>
          <w:sz w:val="32"/>
          <w:szCs w:val="24"/>
        </w:rPr>
        <w:t>、服务需求偏离表格式</w:t>
      </w:r>
      <w:bookmarkEnd w:id="198"/>
      <w:bookmarkEnd w:id="199"/>
      <w:bookmarkEnd w:id="200"/>
    </w:p>
    <w:p>
      <w:pPr>
        <w:spacing w:line="360" w:lineRule="auto"/>
        <w:jc w:val="center"/>
        <w:rPr>
          <w:rFonts w:ascii="宋体" w:cs="宋体"/>
          <w:b/>
          <w:bCs/>
          <w:sz w:val="32"/>
          <w:szCs w:val="32"/>
        </w:rPr>
      </w:pPr>
      <w:r>
        <w:rPr>
          <w:rFonts w:hint="eastAsia" w:ascii="宋体" w:hAnsi="宋体" w:cs="宋体"/>
          <w:b/>
          <w:bCs/>
          <w:sz w:val="32"/>
          <w:szCs w:val="32"/>
        </w:rPr>
        <w:t>服务需求偏离表</w:t>
      </w:r>
    </w:p>
    <w:p>
      <w:pPr>
        <w:spacing w:line="360" w:lineRule="auto"/>
        <w:jc w:val="center"/>
        <w:rPr>
          <w:rFonts w:ascii="宋体" w:cs="宋体"/>
          <w:b/>
          <w:bCs/>
          <w:szCs w:val="21"/>
        </w:rPr>
      </w:pP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招标编号：</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项目名称：　          </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标项名称： </w:t>
      </w:r>
    </w:p>
    <w:p>
      <w:pPr>
        <w:spacing w:line="360" w:lineRule="auto"/>
        <w:rPr>
          <w:rFonts w:ascii="宋体" w:cs="宋体"/>
          <w:sz w:val="24"/>
          <w:szCs w:val="24"/>
        </w:rPr>
      </w:pPr>
    </w:p>
    <w:tbl>
      <w:tblPr>
        <w:tblStyle w:val="47"/>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82"/>
        <w:gridCol w:w="1250"/>
        <w:gridCol w:w="1250"/>
        <w:gridCol w:w="1250"/>
        <w:gridCol w:w="125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5" w:type="dxa"/>
            <w:vAlign w:val="center"/>
          </w:tcPr>
          <w:p>
            <w:pPr>
              <w:spacing w:line="360" w:lineRule="auto"/>
              <w:jc w:val="center"/>
              <w:rPr>
                <w:rFonts w:ascii="宋体" w:cs="宋体"/>
                <w:sz w:val="24"/>
                <w:szCs w:val="24"/>
              </w:rPr>
            </w:pPr>
            <w:r>
              <w:rPr>
                <w:rFonts w:hint="eastAsia" w:ascii="宋体" w:hAnsi="宋体" w:cs="宋体"/>
                <w:sz w:val="24"/>
                <w:szCs w:val="24"/>
              </w:rPr>
              <w:t>序号</w:t>
            </w:r>
          </w:p>
        </w:tc>
        <w:tc>
          <w:tcPr>
            <w:tcW w:w="1782" w:type="dxa"/>
            <w:vAlign w:val="center"/>
          </w:tcPr>
          <w:p>
            <w:pPr>
              <w:spacing w:line="360" w:lineRule="auto"/>
              <w:jc w:val="center"/>
              <w:rPr>
                <w:rFonts w:ascii="宋体" w:cs="宋体"/>
                <w:sz w:val="24"/>
                <w:szCs w:val="24"/>
              </w:rPr>
            </w:pPr>
            <w:r>
              <w:rPr>
                <w:rFonts w:hint="eastAsia" w:ascii="宋体" w:hAnsi="宋体" w:cs="宋体"/>
                <w:sz w:val="24"/>
                <w:szCs w:val="24"/>
              </w:rPr>
              <w:t>标的名称</w:t>
            </w:r>
          </w:p>
        </w:tc>
        <w:tc>
          <w:tcPr>
            <w:tcW w:w="1250" w:type="dxa"/>
            <w:vAlign w:val="center"/>
          </w:tcPr>
          <w:p>
            <w:pPr>
              <w:spacing w:line="360" w:lineRule="auto"/>
              <w:jc w:val="center"/>
              <w:rPr>
                <w:rFonts w:ascii="宋体" w:cs="宋体"/>
                <w:sz w:val="24"/>
                <w:szCs w:val="24"/>
              </w:rPr>
            </w:pPr>
            <w:r>
              <w:rPr>
                <w:rFonts w:hint="eastAsia" w:ascii="宋体" w:hAnsi="宋体" w:cs="宋体"/>
                <w:sz w:val="24"/>
                <w:szCs w:val="24"/>
              </w:rPr>
              <w:t>招标文件</w:t>
            </w:r>
          </w:p>
          <w:p>
            <w:pPr>
              <w:spacing w:line="360" w:lineRule="auto"/>
              <w:jc w:val="center"/>
              <w:rPr>
                <w:rFonts w:ascii="宋体" w:cs="宋体"/>
                <w:sz w:val="24"/>
                <w:szCs w:val="24"/>
              </w:rPr>
            </w:pPr>
            <w:r>
              <w:rPr>
                <w:rFonts w:hint="eastAsia" w:ascii="宋体" w:hAnsi="宋体" w:cs="宋体"/>
                <w:sz w:val="24"/>
                <w:szCs w:val="24"/>
              </w:rPr>
              <w:t>条目号</w:t>
            </w:r>
          </w:p>
        </w:tc>
        <w:tc>
          <w:tcPr>
            <w:tcW w:w="1250" w:type="dxa"/>
            <w:vAlign w:val="center"/>
          </w:tcPr>
          <w:p>
            <w:pPr>
              <w:spacing w:line="360" w:lineRule="auto"/>
              <w:jc w:val="center"/>
              <w:rPr>
                <w:rFonts w:ascii="宋体" w:cs="宋体"/>
                <w:sz w:val="24"/>
                <w:szCs w:val="24"/>
              </w:rPr>
            </w:pPr>
            <w:r>
              <w:rPr>
                <w:rFonts w:hint="eastAsia" w:ascii="宋体" w:hAnsi="宋体" w:cs="宋体"/>
                <w:sz w:val="24"/>
                <w:szCs w:val="24"/>
              </w:rPr>
              <w:t>招标文件要求规格</w:t>
            </w:r>
          </w:p>
        </w:tc>
        <w:tc>
          <w:tcPr>
            <w:tcW w:w="1250" w:type="dxa"/>
            <w:vAlign w:val="center"/>
          </w:tcPr>
          <w:p>
            <w:pPr>
              <w:spacing w:line="360" w:lineRule="auto"/>
              <w:jc w:val="center"/>
              <w:rPr>
                <w:rFonts w:ascii="宋体" w:cs="宋体"/>
                <w:sz w:val="24"/>
                <w:szCs w:val="24"/>
              </w:rPr>
            </w:pPr>
            <w:r>
              <w:rPr>
                <w:rFonts w:hint="eastAsia" w:ascii="宋体" w:hAnsi="宋体" w:cs="宋体"/>
                <w:sz w:val="24"/>
                <w:szCs w:val="24"/>
              </w:rPr>
              <w:t>投标规格</w:t>
            </w:r>
          </w:p>
        </w:tc>
        <w:tc>
          <w:tcPr>
            <w:tcW w:w="1250" w:type="dxa"/>
            <w:vAlign w:val="center"/>
          </w:tcPr>
          <w:p>
            <w:pPr>
              <w:spacing w:line="360" w:lineRule="auto"/>
              <w:jc w:val="center"/>
              <w:rPr>
                <w:rFonts w:ascii="宋体" w:cs="宋体"/>
                <w:sz w:val="24"/>
                <w:szCs w:val="24"/>
              </w:rPr>
            </w:pPr>
            <w:r>
              <w:rPr>
                <w:rFonts w:hint="eastAsia" w:ascii="宋体" w:hAnsi="宋体" w:cs="宋体"/>
                <w:sz w:val="24"/>
                <w:szCs w:val="24"/>
              </w:rPr>
              <w:t>偏离情况</w:t>
            </w:r>
          </w:p>
        </w:tc>
        <w:tc>
          <w:tcPr>
            <w:tcW w:w="1605" w:type="dxa"/>
            <w:vAlign w:val="center"/>
          </w:tcPr>
          <w:p>
            <w:pPr>
              <w:spacing w:line="360" w:lineRule="auto"/>
              <w:jc w:val="center"/>
              <w:rPr>
                <w:rFonts w:asci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bl>
    <w:p>
      <w:pPr>
        <w:spacing w:line="360" w:lineRule="auto"/>
        <w:rPr>
          <w:rFonts w:ascii="宋体" w:cs="宋体"/>
          <w:sz w:val="24"/>
          <w:szCs w:val="24"/>
          <w:u w:val="single"/>
        </w:rPr>
      </w:pPr>
      <w:r>
        <w:rPr>
          <w:rFonts w:hint="eastAsia" w:ascii="宋体" w:hAnsi="宋体" w:cs="宋体"/>
          <w:sz w:val="24"/>
          <w:szCs w:val="24"/>
        </w:rPr>
        <w:t>投标人法定代表人或授权代表（签字）：</w:t>
      </w:r>
    </w:p>
    <w:p>
      <w:pPr>
        <w:spacing w:line="360" w:lineRule="auto"/>
        <w:rPr>
          <w:rFonts w:ascii="宋体" w:cs="宋体"/>
          <w:sz w:val="24"/>
          <w:szCs w:val="24"/>
        </w:rPr>
      </w:pPr>
      <w:r>
        <w:rPr>
          <w:rFonts w:hint="eastAsia" w:ascii="宋体" w:hAnsi="宋体" w:cs="宋体"/>
          <w:sz w:val="24"/>
          <w:szCs w:val="24"/>
        </w:rPr>
        <w:t>投标人名称（加盖单位公章）：</w:t>
      </w:r>
    </w:p>
    <w:p>
      <w:pPr>
        <w:spacing w:line="360" w:lineRule="auto"/>
        <w:rPr>
          <w:rFonts w:ascii="宋体" w:cs="宋体"/>
          <w:sz w:val="24"/>
          <w:szCs w:val="24"/>
        </w:rPr>
      </w:pPr>
      <w:r>
        <w:rPr>
          <w:rFonts w:hint="eastAsia" w:ascii="宋体" w:hAnsi="宋体" w:cs="宋体"/>
          <w:sz w:val="24"/>
          <w:szCs w:val="24"/>
        </w:rPr>
        <w:t>日期：</w:t>
      </w:r>
    </w:p>
    <w:p>
      <w:pPr>
        <w:spacing w:line="360" w:lineRule="auto"/>
        <w:rPr>
          <w:rFonts w:ascii="宋体" w:cs="宋体"/>
          <w:sz w:val="24"/>
        </w:rPr>
      </w:pPr>
      <w:r>
        <w:rPr>
          <w:rFonts w:hint="eastAsia" w:ascii="宋体" w:hAnsi="宋体" w:cs="宋体"/>
          <w:sz w:val="24"/>
        </w:rPr>
        <w:t>注：</w:t>
      </w:r>
      <w:r>
        <w:rPr>
          <w:rFonts w:ascii="宋体" w:hAnsi="宋体" w:cs="宋体"/>
          <w:sz w:val="24"/>
        </w:rPr>
        <w:t>1</w:t>
      </w:r>
      <w:r>
        <w:rPr>
          <w:rFonts w:hint="eastAsia" w:ascii="宋体" w:hAnsi="宋体" w:cs="宋体"/>
          <w:sz w:val="24"/>
        </w:rPr>
        <w:t>、投标人应对招标文件技术要求逐条填写偏离情况（正偏离、负偏离或无偏离），并说明偏离的具体内容及做出必要说明。投标人应对故意隐瞒偏离的行为承担责任。</w:t>
      </w:r>
    </w:p>
    <w:p>
      <w:pPr>
        <w:spacing w:line="360" w:lineRule="auto"/>
        <w:rPr>
          <w:rFonts w:ascii="宋体" w:cs="宋体"/>
          <w:sz w:val="24"/>
        </w:rPr>
      </w:pPr>
      <w:r>
        <w:rPr>
          <w:rFonts w:ascii="宋体" w:hAnsi="宋体" w:cs="宋体"/>
          <w:kern w:val="0"/>
          <w:sz w:val="24"/>
        </w:rPr>
        <w:t>2</w:t>
      </w:r>
      <w:r>
        <w:rPr>
          <w:rFonts w:hint="eastAsia" w:ascii="宋体" w:hAnsi="宋体" w:cs="宋体"/>
          <w:kern w:val="0"/>
          <w:sz w:val="24"/>
        </w:rPr>
        <w:t>、投标人应根据自身投标服务合理填写投标规格，</w:t>
      </w:r>
      <w:r>
        <w:rPr>
          <w:rFonts w:hint="eastAsia" w:ascii="宋体" w:hAnsi="宋体" w:cs="宋体"/>
          <w:sz w:val="24"/>
        </w:rPr>
        <w:t>如完全复制招标文件内容，评委有权按不响应处理，情况恶劣时将做无效投标处理。</w:t>
      </w:r>
    </w:p>
    <w:p>
      <w:pPr>
        <w:pStyle w:val="6"/>
        <w:rPr>
          <w:rFonts w:ascii="宋体" w:cs="宋体"/>
          <w:sz w:val="24"/>
        </w:rPr>
      </w:pPr>
      <w:r>
        <w:rPr>
          <w:rFonts w:ascii="宋体" w:cs="宋体"/>
          <w:sz w:val="24"/>
        </w:rPr>
        <w:br w:type="page"/>
      </w:r>
      <w:bookmarkStart w:id="201" w:name="_Toc493422663"/>
      <w:bookmarkStart w:id="202" w:name="_Toc2355269"/>
      <w:bookmarkStart w:id="203" w:name="_Toc44705294"/>
      <w:bookmarkStart w:id="204" w:name="_Toc2512011"/>
      <w:bookmarkStart w:id="205" w:name="_Toc14776861"/>
      <w:bookmarkStart w:id="206" w:name="_Toc497167416"/>
      <w:bookmarkStart w:id="207" w:name="_Toc44704926"/>
      <w:bookmarkStart w:id="208" w:name="_Toc44705073"/>
      <w:r>
        <w:rPr>
          <w:rFonts w:ascii="宋体" w:hAnsi="宋体" w:cs="宋体"/>
          <w:sz w:val="32"/>
          <w:szCs w:val="24"/>
        </w:rPr>
        <w:t>2.5</w:t>
      </w:r>
      <w:r>
        <w:rPr>
          <w:rFonts w:hint="eastAsia" w:ascii="宋体" w:hAnsi="宋体" w:cs="宋体"/>
          <w:sz w:val="32"/>
          <w:szCs w:val="24"/>
        </w:rPr>
        <w:t>、商务条款偏离表格式</w:t>
      </w:r>
      <w:bookmarkEnd w:id="201"/>
      <w:bookmarkEnd w:id="202"/>
      <w:bookmarkEnd w:id="203"/>
      <w:bookmarkEnd w:id="204"/>
      <w:bookmarkEnd w:id="205"/>
      <w:bookmarkEnd w:id="206"/>
      <w:bookmarkEnd w:id="207"/>
      <w:bookmarkEnd w:id="208"/>
    </w:p>
    <w:p>
      <w:pPr>
        <w:spacing w:line="360" w:lineRule="auto"/>
        <w:rPr>
          <w:rFonts w:ascii="宋体" w:cs="宋体"/>
          <w:sz w:val="24"/>
          <w:szCs w:val="24"/>
        </w:rPr>
      </w:pPr>
    </w:p>
    <w:p>
      <w:pPr>
        <w:spacing w:line="360" w:lineRule="auto"/>
        <w:jc w:val="center"/>
        <w:rPr>
          <w:rFonts w:ascii="宋体" w:cs="宋体"/>
          <w:b/>
          <w:bCs/>
          <w:sz w:val="32"/>
          <w:szCs w:val="32"/>
        </w:rPr>
      </w:pPr>
      <w:r>
        <w:rPr>
          <w:rFonts w:hint="eastAsia" w:ascii="宋体" w:hAnsi="宋体" w:cs="宋体"/>
          <w:b/>
          <w:bCs/>
          <w:sz w:val="32"/>
          <w:szCs w:val="32"/>
        </w:rPr>
        <w:t>商务条款偏离表</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招标编号：</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项目名称：　          </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标项名称： </w:t>
      </w:r>
    </w:p>
    <w:p>
      <w:pPr>
        <w:tabs>
          <w:tab w:val="left" w:pos="1800"/>
          <w:tab w:val="left" w:pos="5580"/>
        </w:tabs>
        <w:spacing w:line="360" w:lineRule="auto"/>
        <w:jc w:val="left"/>
        <w:rPr>
          <w:rFonts w:ascii="宋体" w:cs="宋体"/>
          <w:sz w:val="24"/>
          <w:u w:val="single"/>
        </w:rPr>
      </w:pPr>
    </w:p>
    <w:tbl>
      <w:tblPr>
        <w:tblStyle w:val="47"/>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50"/>
        <w:gridCol w:w="2208"/>
        <w:gridCol w:w="2041"/>
        <w:gridCol w:w="12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72" w:type="dxa"/>
            <w:vAlign w:val="center"/>
          </w:tcPr>
          <w:p>
            <w:pPr>
              <w:spacing w:line="360" w:lineRule="auto"/>
              <w:jc w:val="center"/>
              <w:rPr>
                <w:rFonts w:ascii="宋体" w:cs="宋体"/>
                <w:sz w:val="24"/>
                <w:szCs w:val="24"/>
              </w:rPr>
            </w:pPr>
            <w:r>
              <w:rPr>
                <w:rFonts w:hint="eastAsia" w:ascii="宋体" w:hAnsi="宋体" w:cs="宋体"/>
                <w:sz w:val="24"/>
                <w:szCs w:val="24"/>
              </w:rPr>
              <w:t>序号</w:t>
            </w:r>
          </w:p>
        </w:tc>
        <w:tc>
          <w:tcPr>
            <w:tcW w:w="1750" w:type="dxa"/>
            <w:vAlign w:val="center"/>
          </w:tcPr>
          <w:p>
            <w:pPr>
              <w:spacing w:line="360" w:lineRule="auto"/>
              <w:jc w:val="center"/>
              <w:rPr>
                <w:rFonts w:ascii="宋体" w:cs="宋体"/>
                <w:sz w:val="24"/>
                <w:szCs w:val="24"/>
              </w:rPr>
            </w:pPr>
            <w:r>
              <w:rPr>
                <w:rFonts w:hint="eastAsia" w:ascii="宋体" w:hAnsi="宋体" w:cs="宋体"/>
                <w:sz w:val="24"/>
                <w:szCs w:val="24"/>
              </w:rPr>
              <w:t>招标文件</w:t>
            </w:r>
          </w:p>
          <w:p>
            <w:pPr>
              <w:spacing w:line="360" w:lineRule="auto"/>
              <w:jc w:val="center"/>
              <w:rPr>
                <w:rFonts w:ascii="宋体" w:cs="宋体"/>
                <w:sz w:val="24"/>
                <w:szCs w:val="24"/>
              </w:rPr>
            </w:pPr>
            <w:r>
              <w:rPr>
                <w:rFonts w:hint="eastAsia" w:ascii="宋体" w:hAnsi="宋体" w:cs="宋体"/>
                <w:sz w:val="24"/>
                <w:szCs w:val="24"/>
              </w:rPr>
              <w:t>条目号</w:t>
            </w:r>
          </w:p>
        </w:tc>
        <w:tc>
          <w:tcPr>
            <w:tcW w:w="2208" w:type="dxa"/>
            <w:vAlign w:val="center"/>
          </w:tcPr>
          <w:p>
            <w:pPr>
              <w:spacing w:line="360" w:lineRule="auto"/>
              <w:jc w:val="center"/>
              <w:rPr>
                <w:rFonts w:ascii="宋体" w:cs="宋体"/>
                <w:sz w:val="24"/>
                <w:szCs w:val="24"/>
              </w:rPr>
            </w:pPr>
            <w:r>
              <w:rPr>
                <w:rFonts w:hint="eastAsia" w:ascii="宋体" w:hAnsi="宋体" w:cs="宋体"/>
                <w:sz w:val="24"/>
                <w:szCs w:val="24"/>
              </w:rPr>
              <w:t>招标文件的</w:t>
            </w:r>
          </w:p>
          <w:p>
            <w:pPr>
              <w:spacing w:line="360" w:lineRule="auto"/>
              <w:jc w:val="center"/>
              <w:rPr>
                <w:rFonts w:ascii="宋体" w:cs="宋体"/>
                <w:sz w:val="24"/>
                <w:szCs w:val="24"/>
              </w:rPr>
            </w:pPr>
            <w:r>
              <w:rPr>
                <w:rFonts w:hint="eastAsia" w:ascii="宋体" w:hAnsi="宋体" w:cs="宋体"/>
                <w:sz w:val="24"/>
                <w:szCs w:val="24"/>
              </w:rPr>
              <w:t>商务条款</w:t>
            </w:r>
          </w:p>
        </w:tc>
        <w:tc>
          <w:tcPr>
            <w:tcW w:w="2041" w:type="dxa"/>
            <w:vAlign w:val="center"/>
          </w:tcPr>
          <w:p>
            <w:pPr>
              <w:spacing w:line="360" w:lineRule="auto"/>
              <w:jc w:val="center"/>
              <w:rPr>
                <w:rFonts w:ascii="宋体" w:cs="宋体"/>
                <w:sz w:val="24"/>
                <w:szCs w:val="24"/>
              </w:rPr>
            </w:pPr>
            <w:r>
              <w:rPr>
                <w:rFonts w:hint="eastAsia" w:ascii="宋体" w:hAnsi="宋体" w:cs="宋体"/>
                <w:sz w:val="24"/>
                <w:szCs w:val="24"/>
              </w:rPr>
              <w:t>投标文件的</w:t>
            </w:r>
          </w:p>
          <w:p>
            <w:pPr>
              <w:spacing w:line="360" w:lineRule="auto"/>
              <w:jc w:val="center"/>
              <w:rPr>
                <w:rFonts w:ascii="宋体" w:cs="宋体"/>
                <w:sz w:val="24"/>
                <w:szCs w:val="24"/>
              </w:rPr>
            </w:pPr>
            <w:r>
              <w:rPr>
                <w:rFonts w:hint="eastAsia" w:ascii="宋体" w:hAnsi="宋体" w:cs="宋体"/>
                <w:sz w:val="24"/>
                <w:szCs w:val="24"/>
              </w:rPr>
              <w:t>商务条款</w:t>
            </w:r>
          </w:p>
        </w:tc>
        <w:tc>
          <w:tcPr>
            <w:tcW w:w="1275" w:type="dxa"/>
            <w:vAlign w:val="center"/>
          </w:tcPr>
          <w:p>
            <w:pPr>
              <w:spacing w:line="360" w:lineRule="auto"/>
              <w:jc w:val="center"/>
              <w:rPr>
                <w:rFonts w:ascii="宋体" w:cs="宋体"/>
                <w:sz w:val="24"/>
                <w:szCs w:val="24"/>
              </w:rPr>
            </w:pPr>
            <w:r>
              <w:rPr>
                <w:rFonts w:hint="eastAsia" w:ascii="宋体" w:hAnsi="宋体" w:cs="宋体"/>
                <w:sz w:val="24"/>
                <w:szCs w:val="24"/>
              </w:rPr>
              <w:t>偏离情况</w:t>
            </w:r>
          </w:p>
        </w:tc>
        <w:tc>
          <w:tcPr>
            <w:tcW w:w="986" w:type="dxa"/>
            <w:vAlign w:val="center"/>
          </w:tcPr>
          <w:p>
            <w:pPr>
              <w:spacing w:line="360" w:lineRule="auto"/>
              <w:jc w:val="center"/>
              <w:rPr>
                <w:rFonts w:asci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bl>
    <w:p>
      <w:pPr>
        <w:spacing w:line="360" w:lineRule="auto"/>
        <w:rPr>
          <w:rFonts w:ascii="宋体" w:cs="宋体"/>
          <w:sz w:val="24"/>
          <w:szCs w:val="24"/>
          <w:u w:val="single"/>
        </w:rPr>
      </w:pPr>
      <w:r>
        <w:rPr>
          <w:rFonts w:hint="eastAsia" w:ascii="宋体" w:hAnsi="宋体" w:cs="宋体"/>
          <w:sz w:val="24"/>
          <w:szCs w:val="24"/>
        </w:rPr>
        <w:t>投标人法定代表人或授权代表（签字）：</w:t>
      </w:r>
    </w:p>
    <w:p>
      <w:pPr>
        <w:spacing w:line="360" w:lineRule="auto"/>
        <w:rPr>
          <w:rFonts w:ascii="宋体" w:cs="宋体"/>
          <w:sz w:val="24"/>
          <w:szCs w:val="24"/>
        </w:rPr>
      </w:pPr>
      <w:r>
        <w:rPr>
          <w:rFonts w:hint="eastAsia" w:ascii="宋体" w:hAnsi="宋体" w:cs="宋体"/>
          <w:sz w:val="24"/>
          <w:szCs w:val="24"/>
        </w:rPr>
        <w:t>投标人名称（加盖单位公章）：</w:t>
      </w:r>
    </w:p>
    <w:p>
      <w:pPr>
        <w:spacing w:line="360" w:lineRule="auto"/>
        <w:rPr>
          <w:rFonts w:ascii="宋体" w:cs="宋体"/>
          <w:sz w:val="24"/>
          <w:szCs w:val="24"/>
        </w:rPr>
      </w:pPr>
      <w:r>
        <w:rPr>
          <w:rFonts w:hint="eastAsia" w:ascii="宋体" w:hAnsi="宋体" w:cs="宋体"/>
          <w:sz w:val="24"/>
          <w:szCs w:val="24"/>
        </w:rPr>
        <w:t>日期：</w:t>
      </w:r>
    </w:p>
    <w:p>
      <w:pPr>
        <w:spacing w:line="360" w:lineRule="auto"/>
        <w:rPr>
          <w:rFonts w:ascii="宋体" w:cs="宋体"/>
          <w:sz w:val="24"/>
          <w:szCs w:val="24"/>
        </w:rPr>
      </w:pPr>
      <w:r>
        <w:rPr>
          <w:rFonts w:hint="eastAsia" w:ascii="宋体" w:hAnsi="宋体" w:cs="宋体"/>
          <w:sz w:val="24"/>
          <w:szCs w:val="24"/>
        </w:rPr>
        <w:t>注：投标人如果对包括服务期限、服务地点，付款方式、时间、条件及合同条款等在内的商务条款的响应有任何偏离（正偏离</w:t>
      </w:r>
      <w:r>
        <w:rPr>
          <w:rFonts w:ascii="宋体" w:hAnsi="宋体" w:cs="宋体"/>
          <w:sz w:val="24"/>
          <w:szCs w:val="24"/>
        </w:rPr>
        <w:t>/</w:t>
      </w:r>
      <w:r>
        <w:rPr>
          <w:rFonts w:hint="eastAsia" w:ascii="宋体" w:hAnsi="宋体" w:cs="宋体"/>
          <w:sz w:val="24"/>
          <w:szCs w:val="24"/>
        </w:rPr>
        <w:t>负偏离），请在本表中详细填写；如对商务条款没有偏离，请注明“无偏离”。</w:t>
      </w:r>
    </w:p>
    <w:p>
      <w:pPr>
        <w:pStyle w:val="6"/>
        <w:rPr>
          <w:rFonts w:ascii="宋体"/>
        </w:rPr>
      </w:pPr>
      <w:r>
        <w:rPr>
          <w:u w:val="single"/>
        </w:rPr>
        <w:br w:type="page"/>
      </w:r>
      <w:bookmarkStart w:id="209" w:name="_Toc2355270"/>
      <w:bookmarkStart w:id="210" w:name="_Toc14776862"/>
      <w:bookmarkStart w:id="211" w:name="_Toc44705295"/>
      <w:bookmarkStart w:id="212" w:name="_Toc497167417"/>
      <w:bookmarkStart w:id="213" w:name="_Toc493422664"/>
      <w:bookmarkStart w:id="214" w:name="_Toc2512012"/>
      <w:bookmarkStart w:id="215" w:name="_Toc44705074"/>
      <w:bookmarkStart w:id="216" w:name="_Toc44704927"/>
      <w:r>
        <w:rPr>
          <w:rFonts w:ascii="宋体" w:hAnsi="宋体"/>
          <w:sz w:val="32"/>
        </w:rPr>
        <w:t>2.6</w:t>
      </w:r>
      <w:r>
        <w:rPr>
          <w:rFonts w:hint="eastAsia" w:ascii="宋体" w:hAnsi="宋体"/>
          <w:sz w:val="32"/>
        </w:rPr>
        <w:t>、法定代表人授权书格式</w:t>
      </w:r>
      <w:bookmarkEnd w:id="209"/>
      <w:bookmarkEnd w:id="210"/>
      <w:bookmarkEnd w:id="211"/>
      <w:bookmarkEnd w:id="212"/>
      <w:bookmarkEnd w:id="213"/>
      <w:bookmarkEnd w:id="214"/>
      <w:bookmarkEnd w:id="215"/>
      <w:bookmarkEnd w:id="216"/>
    </w:p>
    <w:p>
      <w:pPr>
        <w:spacing w:line="360" w:lineRule="auto"/>
        <w:rPr>
          <w:rFonts w:ascii="宋体" w:cs="宋体"/>
          <w:szCs w:val="21"/>
        </w:rPr>
      </w:pPr>
    </w:p>
    <w:p>
      <w:pPr>
        <w:spacing w:line="360" w:lineRule="auto"/>
        <w:jc w:val="center"/>
        <w:rPr>
          <w:rFonts w:ascii="宋体" w:cs="宋体"/>
          <w:b/>
          <w:bCs/>
          <w:sz w:val="32"/>
          <w:szCs w:val="32"/>
        </w:rPr>
      </w:pPr>
      <w:r>
        <w:rPr>
          <w:rFonts w:hint="eastAsia" w:ascii="宋体" w:hAnsi="宋体" w:cs="宋体"/>
          <w:b/>
          <w:bCs/>
          <w:sz w:val="32"/>
          <w:szCs w:val="32"/>
        </w:rPr>
        <w:t>法定代表人授权书</w:t>
      </w:r>
    </w:p>
    <w:p>
      <w:pPr>
        <w:spacing w:line="360" w:lineRule="auto"/>
        <w:rPr>
          <w:rFonts w:ascii="宋体" w:cs="宋体"/>
          <w:sz w:val="24"/>
          <w:szCs w:val="24"/>
        </w:rPr>
      </w:pPr>
    </w:p>
    <w:p>
      <w:pPr>
        <w:spacing w:line="360" w:lineRule="auto"/>
        <w:ind w:firstLine="435"/>
        <w:rPr>
          <w:rFonts w:ascii="宋体" w:cs="宋体"/>
          <w:sz w:val="24"/>
          <w:szCs w:val="24"/>
        </w:rPr>
      </w:pPr>
      <w:r>
        <w:rPr>
          <w:rFonts w:hint="eastAsia" w:ascii="宋体" w:hAnsi="宋体" w:cs="宋体"/>
          <w:sz w:val="24"/>
          <w:szCs w:val="24"/>
        </w:rPr>
        <w:t>本授权书声明：注册于（国家或地区的名称）的</w:t>
      </w:r>
      <w:r>
        <w:rPr>
          <w:rFonts w:hint="eastAsia" w:ascii="宋体" w:hAnsi="宋体" w:cs="宋体"/>
          <w:sz w:val="24"/>
          <w:szCs w:val="24"/>
          <w:u w:val="single"/>
        </w:rPr>
        <w:t>（投标人名称）</w:t>
      </w:r>
      <w:r>
        <w:rPr>
          <w:rFonts w:hint="eastAsia" w:ascii="宋体" w:hAnsi="宋体" w:cs="宋体"/>
          <w:sz w:val="24"/>
          <w:szCs w:val="24"/>
        </w:rPr>
        <w:t>的在下面签字的</w:t>
      </w:r>
      <w:r>
        <w:rPr>
          <w:rFonts w:hint="eastAsia" w:ascii="宋体" w:hAnsi="宋体" w:cs="宋体"/>
          <w:sz w:val="24"/>
          <w:szCs w:val="24"/>
          <w:u w:val="single"/>
        </w:rPr>
        <w:t>（法定代表人姓名、职务、身份证号码）</w:t>
      </w:r>
      <w:r>
        <w:rPr>
          <w:rFonts w:hint="eastAsia" w:ascii="宋体" w:hAnsi="宋体" w:cs="宋体"/>
          <w:sz w:val="24"/>
          <w:szCs w:val="24"/>
        </w:rPr>
        <w:t>代表本公司授权的在下面签字的</w:t>
      </w:r>
      <w:r>
        <w:rPr>
          <w:rFonts w:hint="eastAsia" w:ascii="宋体" w:hAnsi="宋体" w:cs="宋体"/>
          <w:sz w:val="24"/>
          <w:szCs w:val="24"/>
          <w:u w:val="single"/>
        </w:rPr>
        <w:t>（被授权人的姓名、职务、身份证号码）</w:t>
      </w:r>
      <w:r>
        <w:rPr>
          <w:rFonts w:hint="eastAsia" w:ascii="宋体" w:hAnsi="宋体" w:cs="宋体"/>
          <w:sz w:val="24"/>
          <w:szCs w:val="24"/>
        </w:rPr>
        <w:t>为本公司的合法代理人，就项目（招标编号</w:t>
      </w:r>
      <w:r>
        <w:rPr>
          <w:rFonts w:hint="eastAsia" w:ascii="宋体" w:hAnsi="宋体" w:cs="宋体"/>
          <w:sz w:val="24"/>
          <w:szCs w:val="24"/>
          <w:lang w:val="en-US" w:eastAsia="zh-CN"/>
        </w:rPr>
        <w:t xml:space="preserve"> </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的采购（含投标和转为其他方式），以本公司名义处理一切与之有关的事务。我公司对被授权人的签名负全部法律责任。</w:t>
      </w:r>
    </w:p>
    <w:p>
      <w:pPr>
        <w:spacing w:line="360" w:lineRule="auto"/>
        <w:ind w:firstLine="435"/>
        <w:rPr>
          <w:rFonts w:ascii="宋体" w:cs="宋体"/>
          <w:sz w:val="24"/>
          <w:szCs w:val="24"/>
        </w:rPr>
      </w:pPr>
      <w:r>
        <w:rPr>
          <w:rFonts w:hint="eastAsia" w:ascii="宋体" w:hAnsi="宋体" w:cs="宋体"/>
          <w:sz w:val="24"/>
          <w:szCs w:val="24"/>
        </w:rPr>
        <w:t>本授权书于</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日盖章生效，特此声明。</w:t>
      </w:r>
    </w:p>
    <w:p>
      <w:pPr>
        <w:spacing w:line="360" w:lineRule="auto"/>
        <w:ind w:firstLine="435"/>
        <w:rPr>
          <w:rFonts w:ascii="宋体" w:cs="宋体"/>
          <w:sz w:val="24"/>
          <w:szCs w:val="24"/>
        </w:rPr>
      </w:pPr>
    </w:p>
    <w:p>
      <w:pPr>
        <w:spacing w:line="360" w:lineRule="auto"/>
        <w:ind w:firstLine="435"/>
        <w:rPr>
          <w:rFonts w:ascii="宋体" w:cs="宋体"/>
          <w:sz w:val="24"/>
          <w:szCs w:val="24"/>
        </w:rPr>
      </w:pPr>
    </w:p>
    <w:p>
      <w:pPr>
        <w:spacing w:line="360" w:lineRule="auto"/>
        <w:ind w:firstLine="435"/>
        <w:rPr>
          <w:rFonts w:ascii="宋体" w:cs="宋体"/>
          <w:sz w:val="24"/>
          <w:szCs w:val="24"/>
        </w:rPr>
      </w:pPr>
    </w:p>
    <w:p>
      <w:pPr>
        <w:spacing w:line="360" w:lineRule="auto"/>
        <w:ind w:firstLine="435"/>
        <w:jc w:val="right"/>
        <w:rPr>
          <w:rFonts w:ascii="宋体" w:cs="宋体"/>
          <w:sz w:val="24"/>
          <w:szCs w:val="24"/>
        </w:rPr>
      </w:pPr>
      <w:r>
        <w:rPr>
          <w:rFonts w:hint="eastAsia" w:ascii="宋体" w:hAnsi="宋体" w:cs="宋体"/>
          <w:sz w:val="24"/>
          <w:szCs w:val="24"/>
        </w:rPr>
        <w:t>法定代表人签字或盖章：</w:t>
      </w:r>
    </w:p>
    <w:p>
      <w:pPr>
        <w:pStyle w:val="21"/>
      </w:pPr>
    </w:p>
    <w:p>
      <w:pPr>
        <w:spacing w:line="360" w:lineRule="auto"/>
        <w:ind w:firstLine="435"/>
        <w:jc w:val="right"/>
        <w:rPr>
          <w:rFonts w:ascii="宋体" w:cs="宋体"/>
          <w:sz w:val="24"/>
        </w:rPr>
      </w:pPr>
      <w:r>
        <w:rPr>
          <w:rFonts w:hint="eastAsia" w:ascii="宋体" w:hAnsi="宋体" w:cs="宋体"/>
          <w:sz w:val="24"/>
        </w:rPr>
        <w:t>授权代表签字：</w:t>
      </w:r>
    </w:p>
    <w:p>
      <w:pPr>
        <w:pStyle w:val="21"/>
      </w:pPr>
    </w:p>
    <w:p>
      <w:pPr>
        <w:spacing w:line="360" w:lineRule="auto"/>
        <w:ind w:firstLine="435"/>
        <w:jc w:val="right"/>
        <w:rPr>
          <w:rFonts w:ascii="宋体" w:cs="宋体"/>
          <w:sz w:val="24"/>
          <w:u w:val="single"/>
        </w:rPr>
      </w:pPr>
      <w:r>
        <w:rPr>
          <w:rFonts w:hint="eastAsia" w:ascii="宋体" w:hAnsi="宋体" w:cs="宋体"/>
          <w:sz w:val="24"/>
        </w:rPr>
        <w:t>投标人名称（加盖单位公章）：</w:t>
      </w:r>
    </w:p>
    <w:p>
      <w:pPr>
        <w:spacing w:line="360" w:lineRule="auto"/>
        <w:ind w:firstLine="435"/>
        <w:rPr>
          <w:rFonts w:ascii="宋体" w:cs="宋体"/>
        </w:rPr>
      </w:pPr>
    </w:p>
    <w:p>
      <w:pPr>
        <w:spacing w:line="360" w:lineRule="auto"/>
        <w:ind w:firstLine="435"/>
        <w:rPr>
          <w:rFonts w:ascii="宋体" w:cs="宋体"/>
          <w:sz w:val="24"/>
          <w:szCs w:val="24"/>
        </w:rPr>
      </w:pPr>
      <w:r>
        <w:rPr>
          <w:rFonts w:hint="eastAsia" w:ascii="宋体" w:hAnsi="宋体" w:cs="宋体"/>
          <w:sz w:val="24"/>
          <w:szCs w:val="24"/>
        </w:rPr>
        <w:t>附：</w:t>
      </w:r>
    </w:p>
    <w:p>
      <w:pPr>
        <w:spacing w:line="360" w:lineRule="auto"/>
        <w:ind w:firstLine="435"/>
        <w:rPr>
          <w:rFonts w:ascii="宋体" w:cs="宋体"/>
          <w:sz w:val="24"/>
          <w:szCs w:val="24"/>
          <w:u w:val="single"/>
        </w:rPr>
      </w:pPr>
      <w:r>
        <w:rPr>
          <w:rFonts w:hint="eastAsia" w:ascii="宋体" w:hAnsi="宋体" w:cs="宋体"/>
          <w:sz w:val="24"/>
          <w:szCs w:val="24"/>
        </w:rPr>
        <w:t>被授权人姓名：</w:t>
      </w:r>
    </w:p>
    <w:p>
      <w:pPr>
        <w:spacing w:line="360" w:lineRule="auto"/>
        <w:ind w:firstLine="435"/>
        <w:rPr>
          <w:rFonts w:ascii="宋体" w:cs="宋体"/>
          <w:sz w:val="24"/>
          <w:szCs w:val="24"/>
        </w:rPr>
      </w:pPr>
      <w:r>
        <w:rPr>
          <w:rFonts w:hint="eastAsia" w:ascii="宋体" w:hAnsi="宋体" w:cs="宋体"/>
          <w:sz w:val="24"/>
          <w:szCs w:val="24"/>
        </w:rPr>
        <w:t>职　　　　务：</w:t>
      </w:r>
    </w:p>
    <w:p>
      <w:pPr>
        <w:spacing w:line="360" w:lineRule="auto"/>
        <w:ind w:firstLine="435"/>
        <w:rPr>
          <w:rFonts w:ascii="宋体" w:cs="宋体"/>
          <w:sz w:val="24"/>
          <w:szCs w:val="24"/>
        </w:rPr>
      </w:pPr>
      <w:r>
        <w:rPr>
          <w:rFonts w:hint="eastAsia" w:ascii="宋体" w:hAnsi="宋体" w:cs="宋体"/>
          <w:sz w:val="24"/>
          <w:szCs w:val="24"/>
        </w:rPr>
        <w:t>详细通讯地址：</w:t>
      </w:r>
    </w:p>
    <w:p>
      <w:pPr>
        <w:spacing w:line="360" w:lineRule="auto"/>
        <w:ind w:firstLine="435"/>
        <w:rPr>
          <w:rFonts w:ascii="宋体" w:cs="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政</w:t>
      </w:r>
      <w:r>
        <w:rPr>
          <w:rFonts w:ascii="宋体" w:hAnsi="宋体" w:cs="宋体"/>
          <w:sz w:val="24"/>
          <w:szCs w:val="24"/>
        </w:rPr>
        <w:t xml:space="preserve">  </w:t>
      </w:r>
      <w:r>
        <w:rPr>
          <w:rFonts w:hint="eastAsia" w:ascii="宋体" w:hAnsi="宋体" w:cs="宋体"/>
          <w:sz w:val="24"/>
          <w:szCs w:val="24"/>
        </w:rPr>
        <w:t>编</w:t>
      </w:r>
      <w:r>
        <w:rPr>
          <w:rFonts w:ascii="宋体" w:hAnsi="宋体" w:cs="宋体"/>
          <w:sz w:val="24"/>
          <w:szCs w:val="24"/>
        </w:rPr>
        <w:t xml:space="preserve"> </w:t>
      </w:r>
      <w:r>
        <w:rPr>
          <w:rFonts w:hint="eastAsia" w:ascii="宋体" w:hAnsi="宋体" w:cs="宋体"/>
          <w:sz w:val="24"/>
          <w:szCs w:val="24"/>
        </w:rPr>
        <w:t>码：</w:t>
      </w:r>
    </w:p>
    <w:p>
      <w:pPr>
        <w:spacing w:line="360" w:lineRule="auto"/>
        <w:ind w:firstLine="435"/>
        <w:rPr>
          <w:rFonts w:ascii="宋体" w:cs="宋体"/>
          <w:sz w:val="24"/>
          <w:szCs w:val="24"/>
        </w:rPr>
      </w:pPr>
      <w:r>
        <w:rPr>
          <w:rFonts w:hint="eastAsia" w:ascii="宋体" w:hAnsi="宋体" w:cs="宋体"/>
          <w:sz w:val="24"/>
          <w:szCs w:val="24"/>
        </w:rPr>
        <w:t>传　　　　真：</w:t>
      </w:r>
    </w:p>
    <w:p>
      <w:pPr>
        <w:spacing w:line="360" w:lineRule="auto"/>
        <w:ind w:firstLine="435"/>
        <w:rPr>
          <w:rFonts w:ascii="宋体" w:cs="宋体"/>
          <w:sz w:val="24"/>
          <w:szCs w:val="24"/>
        </w:rPr>
      </w:pPr>
      <w:r>
        <w:rPr>
          <w:rFonts w:hint="eastAsia" w:ascii="宋体" w:hAnsi="宋体" w:cs="宋体"/>
          <w:sz w:val="24"/>
          <w:szCs w:val="24"/>
        </w:rPr>
        <w:t>电　　　　话：</w:t>
      </w:r>
    </w:p>
    <w:p>
      <w:pPr>
        <w:spacing w:line="360" w:lineRule="auto"/>
        <w:ind w:firstLine="435"/>
        <w:rPr>
          <w:rFonts w:ascii="宋体" w:cs="宋体"/>
          <w:sz w:val="24"/>
          <w:szCs w:val="24"/>
        </w:rPr>
      </w:pPr>
      <w:r>
        <w:rPr>
          <w:rFonts w:hint="eastAsia" w:ascii="宋体" w:hAnsi="宋体" w:cs="宋体"/>
          <w:sz w:val="24"/>
          <w:szCs w:val="24"/>
        </w:rPr>
        <w:t>手</w:t>
      </w:r>
      <w:r>
        <w:rPr>
          <w:rFonts w:ascii="宋体" w:hAnsi="宋体" w:cs="宋体"/>
          <w:sz w:val="24"/>
          <w:szCs w:val="24"/>
        </w:rPr>
        <w:t xml:space="preserve">        </w:t>
      </w:r>
      <w:r>
        <w:rPr>
          <w:rFonts w:hint="eastAsia" w:ascii="宋体" w:hAnsi="宋体" w:cs="宋体"/>
          <w:sz w:val="24"/>
          <w:szCs w:val="24"/>
        </w:rPr>
        <w:t>机：</w:t>
      </w:r>
    </w:p>
    <w:p>
      <w:pPr>
        <w:spacing w:line="360" w:lineRule="auto"/>
        <w:ind w:firstLine="435"/>
        <w:rPr>
          <w:rFonts w:ascii="宋体" w:cs="宋体"/>
        </w:rPr>
      </w:pPr>
    </w:p>
    <w:p>
      <w:pPr>
        <w:spacing w:line="360" w:lineRule="auto"/>
        <w:ind w:firstLine="435"/>
        <w:rPr>
          <w:rFonts w:ascii="宋体" w:cs="宋体"/>
          <w:b/>
        </w:rPr>
      </w:pPr>
      <w:r>
        <w:rPr>
          <w:rFonts w:hint="eastAsia" w:ascii="宋体" w:hAnsi="宋体" w:cs="宋体"/>
          <w:b/>
        </w:rPr>
        <w:t>（后附法定代表人和被授权人身份证复印件加盖单位公章）</w:t>
      </w:r>
    </w:p>
    <w:p>
      <w:pPr>
        <w:pStyle w:val="6"/>
        <w:rPr>
          <w:rFonts w:ascii="宋体" w:cs="宋体"/>
        </w:rPr>
      </w:pPr>
      <w:r>
        <w:rPr>
          <w:rFonts w:ascii="宋体" w:cs="宋体"/>
        </w:rPr>
        <w:br w:type="page"/>
      </w:r>
      <w:bookmarkStart w:id="217" w:name="_Toc497167418"/>
      <w:bookmarkStart w:id="218" w:name="_Toc2355271"/>
      <w:bookmarkStart w:id="219" w:name="_Toc493422670"/>
      <w:bookmarkStart w:id="220" w:name="_Toc2512013"/>
      <w:bookmarkStart w:id="221" w:name="_Toc44704928"/>
      <w:bookmarkStart w:id="222" w:name="_Toc14776863"/>
      <w:bookmarkStart w:id="223" w:name="_Toc44705075"/>
      <w:bookmarkStart w:id="224" w:name="_Toc44705296"/>
      <w:r>
        <w:rPr>
          <w:rFonts w:ascii="宋体" w:hAnsi="宋体" w:cs="宋体"/>
          <w:sz w:val="32"/>
          <w:szCs w:val="24"/>
        </w:rPr>
        <w:t>2.7</w:t>
      </w:r>
      <w:r>
        <w:rPr>
          <w:rFonts w:hint="eastAsia" w:ascii="宋体" w:hAnsi="宋体" w:cs="宋体"/>
          <w:sz w:val="32"/>
          <w:szCs w:val="24"/>
        </w:rPr>
        <w:t>、按招标文件中投标人须知和采购需求中要求提供的有关文件</w:t>
      </w:r>
      <w:bookmarkEnd w:id="217"/>
      <w:bookmarkEnd w:id="218"/>
      <w:bookmarkEnd w:id="219"/>
      <w:bookmarkEnd w:id="220"/>
      <w:r>
        <w:rPr>
          <w:rFonts w:hint="eastAsia" w:ascii="宋体" w:hAnsi="宋体" w:cs="宋体"/>
          <w:sz w:val="32"/>
          <w:szCs w:val="24"/>
        </w:rPr>
        <w:t>（部分格式）</w:t>
      </w:r>
      <w:bookmarkEnd w:id="221"/>
      <w:bookmarkEnd w:id="222"/>
      <w:bookmarkEnd w:id="223"/>
      <w:bookmarkEnd w:id="224"/>
    </w:p>
    <w:p>
      <w:pPr>
        <w:spacing w:line="360" w:lineRule="auto"/>
        <w:rPr>
          <w:rFonts w:ascii="宋体" w:cs="宋体"/>
        </w:rPr>
      </w:pPr>
      <w:r>
        <w:rPr>
          <w:rFonts w:hint="eastAsia" w:ascii="宋体" w:hAnsi="宋体" w:cs="宋体"/>
          <w:color w:val="000000"/>
          <w:sz w:val="24"/>
          <w:szCs w:val="24"/>
        </w:rPr>
        <w:t>一、目录</w:t>
      </w:r>
    </w:p>
    <w:p>
      <w:pPr>
        <w:spacing w:line="360" w:lineRule="auto"/>
        <w:rPr>
          <w:rFonts w:ascii="宋体" w:cs="宋体"/>
          <w:sz w:val="24"/>
          <w:szCs w:val="24"/>
        </w:rPr>
      </w:pPr>
      <w:r>
        <w:rPr>
          <w:rFonts w:ascii="宋体" w:hAnsi="宋体" w:cs="宋体"/>
          <w:sz w:val="24"/>
          <w:szCs w:val="24"/>
        </w:rPr>
        <w:t>2.7.1</w:t>
      </w:r>
      <w:r>
        <w:rPr>
          <w:rFonts w:hint="eastAsia" w:ascii="宋体" w:hAnsi="宋体" w:cs="宋体"/>
          <w:sz w:val="24"/>
          <w:szCs w:val="24"/>
        </w:rPr>
        <w:t>近三年</w:t>
      </w:r>
      <w:r>
        <w:rPr>
          <w:rFonts w:hint="eastAsia" w:ascii="宋体" w:hAnsi="宋体" w:cs="宋体"/>
          <w:sz w:val="24"/>
          <w:szCs w:val="24"/>
          <w:lang w:eastAsia="zh-CN"/>
        </w:rPr>
        <w:t>（</w:t>
      </w:r>
      <w:r>
        <w:rPr>
          <w:rFonts w:hint="eastAsia" w:ascii="宋体" w:hAnsi="宋体" w:cs="宋体"/>
          <w:sz w:val="24"/>
          <w:szCs w:val="24"/>
          <w:lang w:val="en-US" w:eastAsia="zh-CN"/>
        </w:rPr>
        <w:t>2022年至今</w:t>
      </w:r>
      <w:r>
        <w:rPr>
          <w:rFonts w:hint="eastAsia" w:ascii="宋体" w:hAnsi="宋体" w:cs="宋体"/>
          <w:sz w:val="24"/>
          <w:szCs w:val="24"/>
          <w:lang w:eastAsia="zh-CN"/>
        </w:rPr>
        <w:t>）</w:t>
      </w:r>
      <w:r>
        <w:rPr>
          <w:rFonts w:hint="eastAsia" w:ascii="宋体" w:hAnsi="宋体" w:cs="宋体"/>
          <w:sz w:val="24"/>
          <w:szCs w:val="24"/>
        </w:rPr>
        <w:t>类似项目业绩表（须提供中标</w:t>
      </w:r>
      <w:r>
        <w:rPr>
          <w:rFonts w:ascii="宋体" w:hAnsi="宋体" w:cs="宋体"/>
          <w:sz w:val="24"/>
          <w:szCs w:val="24"/>
        </w:rPr>
        <w:t>/</w:t>
      </w:r>
      <w:r>
        <w:rPr>
          <w:rFonts w:hint="eastAsia" w:ascii="宋体" w:hAnsi="宋体" w:cs="宋体"/>
          <w:sz w:val="24"/>
          <w:szCs w:val="24"/>
        </w:rPr>
        <w:t>中标通知书或者合同复印件加盖公章）；</w:t>
      </w:r>
    </w:p>
    <w:p>
      <w:pPr>
        <w:tabs>
          <w:tab w:val="left" w:pos="720"/>
        </w:tabs>
        <w:autoSpaceDE w:val="0"/>
        <w:autoSpaceDN w:val="0"/>
        <w:adjustRightInd w:val="0"/>
        <w:spacing w:line="360" w:lineRule="auto"/>
        <w:ind w:right="17"/>
        <w:jc w:val="left"/>
        <w:rPr>
          <w:rFonts w:ascii="宋体" w:cs="宋体"/>
          <w:sz w:val="24"/>
          <w:szCs w:val="24"/>
        </w:rPr>
      </w:pPr>
      <w:r>
        <w:rPr>
          <w:rFonts w:ascii="宋体" w:hAnsi="宋体" w:cs="宋体"/>
          <w:sz w:val="24"/>
          <w:szCs w:val="24"/>
        </w:rPr>
        <w:t>2.7.2</w:t>
      </w:r>
      <w:r>
        <w:rPr>
          <w:rFonts w:hint="eastAsia" w:ascii="宋体" w:hAnsi="宋体" w:cs="宋体"/>
          <w:sz w:val="24"/>
          <w:szCs w:val="24"/>
        </w:rPr>
        <w:t>项目人员配备表（须提供相关证明材料并同时提供社保缴纳证明，复印件加盖单位公章）；</w:t>
      </w:r>
    </w:p>
    <w:p>
      <w:pPr>
        <w:tabs>
          <w:tab w:val="left" w:pos="720"/>
        </w:tabs>
        <w:autoSpaceDE w:val="0"/>
        <w:autoSpaceDN w:val="0"/>
        <w:adjustRightInd w:val="0"/>
        <w:spacing w:line="360" w:lineRule="auto"/>
        <w:ind w:right="17"/>
        <w:jc w:val="left"/>
        <w:rPr>
          <w:rFonts w:hint="eastAsia" w:ascii="宋体" w:hAnsi="宋体" w:cs="宋体"/>
          <w:sz w:val="24"/>
          <w:szCs w:val="24"/>
        </w:rPr>
      </w:pPr>
      <w:r>
        <w:rPr>
          <w:rFonts w:ascii="宋体" w:hAnsi="宋体" w:cs="宋体"/>
          <w:sz w:val="24"/>
          <w:szCs w:val="24"/>
        </w:rPr>
        <w:t>2.7.3</w:t>
      </w:r>
      <w:r>
        <w:rPr>
          <w:rFonts w:hint="eastAsia" w:ascii="宋体" w:hAnsi="宋体" w:cs="宋体"/>
          <w:sz w:val="24"/>
          <w:szCs w:val="24"/>
        </w:rPr>
        <w:t>服务方案</w:t>
      </w:r>
      <w:r>
        <w:rPr>
          <w:rFonts w:ascii="宋体" w:cs="宋体"/>
          <w:sz w:val="24"/>
          <w:szCs w:val="24"/>
        </w:rPr>
        <w:t>-</w:t>
      </w:r>
      <w:r>
        <w:rPr>
          <w:rFonts w:hint="eastAsia" w:ascii="宋体" w:hAnsi="宋体" w:cs="宋体"/>
          <w:sz w:val="24"/>
          <w:szCs w:val="24"/>
        </w:rPr>
        <w:t>格式自拟；</w:t>
      </w:r>
    </w:p>
    <w:p>
      <w:pPr>
        <w:tabs>
          <w:tab w:val="left" w:pos="720"/>
        </w:tabs>
        <w:autoSpaceDE w:val="0"/>
        <w:autoSpaceDN w:val="0"/>
        <w:adjustRightInd w:val="0"/>
        <w:spacing w:line="360" w:lineRule="auto"/>
        <w:ind w:right="17"/>
        <w:jc w:val="left"/>
        <w:rPr>
          <w:rFonts w:ascii="宋体" w:cs="宋体"/>
          <w:color w:val="000000"/>
          <w:sz w:val="24"/>
          <w:szCs w:val="24"/>
        </w:rPr>
      </w:pPr>
      <w:r>
        <w:rPr>
          <w:rFonts w:ascii="宋体" w:hAnsi="宋体" w:cs="宋体"/>
          <w:sz w:val="24"/>
          <w:szCs w:val="24"/>
        </w:rPr>
        <w:t>2.7.</w:t>
      </w:r>
      <w:r>
        <w:rPr>
          <w:rFonts w:hint="eastAsia" w:ascii="宋体" w:hAnsi="宋体" w:cs="宋体"/>
          <w:sz w:val="24"/>
          <w:szCs w:val="24"/>
          <w:lang w:val="en-US" w:eastAsia="zh-CN"/>
        </w:rPr>
        <w:t>4</w:t>
      </w:r>
      <w:r>
        <w:rPr>
          <w:rFonts w:hint="eastAsia" w:ascii="宋体" w:hAnsi="宋体" w:cs="宋体"/>
          <w:sz w:val="24"/>
          <w:szCs w:val="24"/>
        </w:rPr>
        <w:t>中小企业声明函（格式，不符合条件无须提交，如符合则提交并附相关证明材料，详见“评标方法及评标标准”</w:t>
      </w:r>
      <w:r>
        <w:rPr>
          <w:rFonts w:hint="eastAsia" w:ascii="宋体" w:hAnsi="宋体" w:cs="宋体"/>
          <w:color w:val="000000"/>
          <w:sz w:val="24"/>
          <w:szCs w:val="24"/>
        </w:rPr>
        <w:t>）；</w:t>
      </w:r>
    </w:p>
    <w:p>
      <w:pPr>
        <w:tabs>
          <w:tab w:val="left" w:pos="720"/>
        </w:tabs>
        <w:autoSpaceDE w:val="0"/>
        <w:autoSpaceDN w:val="0"/>
        <w:adjustRightInd w:val="0"/>
        <w:spacing w:line="360" w:lineRule="auto"/>
        <w:ind w:right="17"/>
        <w:jc w:val="left"/>
        <w:rPr>
          <w:rFonts w:ascii="宋体" w:cs="宋体"/>
          <w:color w:val="000000"/>
          <w:sz w:val="24"/>
        </w:rPr>
      </w:pPr>
      <w:r>
        <w:rPr>
          <w:rFonts w:ascii="宋体" w:hAnsi="宋体" w:cs="宋体"/>
          <w:color w:val="000000"/>
          <w:sz w:val="24"/>
        </w:rPr>
        <w:t>2.7.</w:t>
      </w:r>
      <w:r>
        <w:rPr>
          <w:rFonts w:hint="eastAsia" w:ascii="宋体" w:hAnsi="宋体" w:cs="宋体"/>
          <w:color w:val="000000"/>
          <w:sz w:val="24"/>
          <w:lang w:val="en-US" w:eastAsia="zh-CN"/>
        </w:rPr>
        <w:t>5</w:t>
      </w:r>
      <w:r>
        <w:rPr>
          <w:rFonts w:hint="eastAsia" w:ascii="宋体" w:hAnsi="宋体" w:cs="宋体"/>
          <w:color w:val="000000"/>
          <w:sz w:val="24"/>
        </w:rPr>
        <w:t>残疾人福利性单位声明函（</w:t>
      </w:r>
      <w:r>
        <w:rPr>
          <w:rFonts w:hint="eastAsia" w:ascii="宋体" w:hAnsi="宋体" w:cs="宋体"/>
          <w:sz w:val="24"/>
          <w:szCs w:val="24"/>
        </w:rPr>
        <w:t>格式，不符合 条件无须提交</w:t>
      </w:r>
      <w:r>
        <w:rPr>
          <w:rFonts w:hint="eastAsia" w:ascii="宋体" w:hAnsi="宋体" w:cs="宋体"/>
          <w:color w:val="000000"/>
          <w:sz w:val="24"/>
        </w:rPr>
        <w:t>）</w:t>
      </w:r>
    </w:p>
    <w:p>
      <w:pPr>
        <w:spacing w:line="360" w:lineRule="auto"/>
        <w:rPr>
          <w:rFonts w:ascii="宋体" w:hAnsi="宋体" w:cs="宋体"/>
          <w:color w:val="000000"/>
          <w:sz w:val="24"/>
        </w:rPr>
      </w:pPr>
      <w:r>
        <w:rPr>
          <w:rFonts w:ascii="宋体" w:hAnsi="宋体" w:cs="宋体"/>
          <w:color w:val="000000"/>
          <w:kern w:val="0"/>
          <w:sz w:val="24"/>
        </w:rPr>
        <w:t>2.7.</w:t>
      </w:r>
      <w:r>
        <w:rPr>
          <w:rFonts w:hint="eastAsia" w:ascii="宋体" w:hAnsi="宋体" w:cs="宋体"/>
          <w:color w:val="000000"/>
          <w:kern w:val="0"/>
          <w:sz w:val="24"/>
          <w:lang w:val="en-US" w:eastAsia="zh-CN"/>
        </w:rPr>
        <w:t>6</w:t>
      </w:r>
      <w:r>
        <w:rPr>
          <w:rFonts w:hint="eastAsia" w:ascii="宋体" w:hAnsi="宋体" w:cs="宋体"/>
          <w:color w:val="000000"/>
          <w:sz w:val="24"/>
        </w:rPr>
        <w:t>招标文件要求的其它文件及投标人认为有必要提供的其它文件。</w:t>
      </w:r>
    </w:p>
    <w:p>
      <w:pPr>
        <w:spacing w:line="360" w:lineRule="auto"/>
        <w:rPr>
          <w:rFonts w:ascii="宋体" w:cs="宋体"/>
          <w:color w:val="000000"/>
          <w:sz w:val="24"/>
          <w:szCs w:val="24"/>
        </w:rPr>
      </w:pPr>
      <w:r>
        <w:rPr>
          <w:rFonts w:hint="eastAsia" w:ascii="宋体" w:hAnsi="宋体" w:cs="宋体"/>
          <w:color w:val="000000"/>
          <w:sz w:val="24"/>
          <w:szCs w:val="24"/>
        </w:rPr>
        <w:t>二、填写须知</w:t>
      </w:r>
    </w:p>
    <w:p>
      <w:pPr>
        <w:spacing w:line="360" w:lineRule="auto"/>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）制造商或经销商作为投标人应填写和提交下述规定的全部格式以及其他有关资料。</w:t>
      </w:r>
    </w:p>
    <w:p>
      <w:pPr>
        <w:spacing w:line="360" w:lineRule="auto"/>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）所附格式中要求填写的全部问题和信息都必须填写。</w:t>
      </w:r>
    </w:p>
    <w:p>
      <w:pPr>
        <w:spacing w:line="360" w:lineRule="auto"/>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）本资格声明的签字人应保证全部声明和填写的内容是真实的和正确的。</w:t>
      </w:r>
    </w:p>
    <w:p>
      <w:pPr>
        <w:spacing w:line="360" w:lineRule="auto"/>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）评标委员会将依据投标人提交的资料根据自己的评价和考虑决定投标人履行合同的能力。</w:t>
      </w:r>
    </w:p>
    <w:p>
      <w:pPr>
        <w:spacing w:line="360" w:lineRule="auto"/>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）投标人提交的材料将被保密，但不退还。</w:t>
      </w:r>
    </w:p>
    <w:p>
      <w:pPr>
        <w:spacing w:line="360" w:lineRule="auto"/>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）全部文件应按“投标人须知前附表”规定的份数提交。</w:t>
      </w:r>
    </w:p>
    <w:p>
      <w:pPr>
        <w:spacing w:line="360" w:lineRule="auto"/>
        <w:rPr>
          <w:rFonts w:ascii="宋体" w:cs="宋体"/>
          <w:b/>
          <w:color w:val="000000"/>
          <w:sz w:val="24"/>
          <w:szCs w:val="24"/>
        </w:rPr>
      </w:pPr>
      <w:r>
        <w:rPr>
          <w:rFonts w:ascii="宋体" w:hAnsi="宋体" w:cs="宋体"/>
          <w:b/>
          <w:color w:val="000000"/>
          <w:sz w:val="24"/>
          <w:szCs w:val="24"/>
        </w:rPr>
        <w:t>2.7.1-2.7.</w:t>
      </w:r>
      <w:r>
        <w:rPr>
          <w:rFonts w:hint="eastAsia" w:ascii="宋体" w:hAnsi="宋体" w:cs="宋体"/>
          <w:b/>
          <w:color w:val="000000"/>
          <w:sz w:val="24"/>
          <w:szCs w:val="24"/>
          <w:lang w:val="en-US" w:eastAsia="zh-CN"/>
        </w:rPr>
        <w:t>6</w:t>
      </w:r>
      <w:r>
        <w:rPr>
          <w:rFonts w:hint="eastAsia" w:ascii="宋体" w:hAnsi="宋体" w:cs="宋体"/>
          <w:b/>
          <w:color w:val="000000"/>
          <w:sz w:val="24"/>
          <w:szCs w:val="24"/>
        </w:rPr>
        <w:t>为附加条件，执行招标文件中评标方法综合打分。</w:t>
      </w:r>
    </w:p>
    <w:p>
      <w:pPr>
        <w:pStyle w:val="7"/>
        <w:rPr>
          <w:rFonts w:ascii="宋体" w:cs="宋体"/>
          <w:sz w:val="24"/>
          <w:szCs w:val="24"/>
          <w:lang w:eastAsia="zh-CN"/>
        </w:rPr>
      </w:pPr>
      <w:r>
        <w:rPr>
          <w:rFonts w:ascii="宋体" w:cs="宋体"/>
          <w:color w:val="000000"/>
          <w:lang w:eastAsia="zh-CN"/>
        </w:rPr>
        <w:br w:type="page"/>
      </w:r>
      <w:bookmarkStart w:id="225" w:name="_Toc493422672"/>
      <w:bookmarkStart w:id="226" w:name="_Toc44704929"/>
      <w:bookmarkStart w:id="227" w:name="_Toc44705297"/>
      <w:r>
        <w:rPr>
          <w:rFonts w:ascii="宋体" w:hAnsi="宋体" w:cs="宋体"/>
          <w:szCs w:val="24"/>
          <w:lang w:eastAsia="zh-CN"/>
        </w:rPr>
        <w:t>2.7.1</w:t>
      </w:r>
      <w:bookmarkEnd w:id="225"/>
      <w:r>
        <w:rPr>
          <w:rFonts w:hint="eastAsia" w:ascii="宋体" w:hAnsi="宋体" w:cs="宋体"/>
          <w:szCs w:val="24"/>
          <w:lang w:eastAsia="zh-CN"/>
        </w:rPr>
        <w:t>近三年类似项目业绩表</w:t>
      </w:r>
      <w:bookmarkEnd w:id="226"/>
      <w:bookmarkEnd w:id="227"/>
    </w:p>
    <w:p>
      <w:pPr>
        <w:spacing w:line="360" w:lineRule="auto"/>
        <w:rPr>
          <w:rFonts w:ascii="宋体" w:cs="宋体"/>
          <w:color w:val="000000"/>
          <w:szCs w:val="21"/>
        </w:rPr>
      </w:pPr>
    </w:p>
    <w:p>
      <w:pPr>
        <w:spacing w:line="360" w:lineRule="auto"/>
        <w:jc w:val="center"/>
        <w:rPr>
          <w:rFonts w:ascii="宋体" w:cs="宋体"/>
          <w:b/>
          <w:color w:val="000000"/>
          <w:sz w:val="24"/>
          <w:szCs w:val="24"/>
        </w:rPr>
      </w:pPr>
      <w:r>
        <w:rPr>
          <w:rFonts w:hint="eastAsia" w:ascii="宋体" w:hAnsi="宋体" w:cs="宋体"/>
          <w:b/>
          <w:color w:val="000000"/>
          <w:sz w:val="24"/>
          <w:szCs w:val="24"/>
        </w:rPr>
        <w:t>近三年类似项目业绩表（</w:t>
      </w:r>
      <w:r>
        <w:rPr>
          <w:rFonts w:hint="eastAsia" w:ascii="宋体" w:hAnsi="宋体" w:cs="宋体"/>
          <w:b/>
          <w:color w:val="000000"/>
          <w:sz w:val="24"/>
          <w:szCs w:val="24"/>
          <w:lang w:eastAsia="zh-CN"/>
        </w:rPr>
        <w:t>2022</w:t>
      </w:r>
      <w:r>
        <w:rPr>
          <w:rFonts w:hint="eastAsia" w:ascii="宋体" w:hAnsi="宋体" w:cs="宋体"/>
          <w:b/>
          <w:color w:val="000000"/>
          <w:sz w:val="24"/>
          <w:szCs w:val="24"/>
        </w:rPr>
        <w:t>年至今）</w:t>
      </w:r>
    </w:p>
    <w:p>
      <w:pPr>
        <w:spacing w:line="360" w:lineRule="auto"/>
        <w:jc w:val="center"/>
        <w:rPr>
          <w:rFonts w:ascii="宋体" w:cs="宋体"/>
          <w:b/>
          <w:color w:val="000000"/>
          <w:sz w:val="24"/>
          <w:szCs w:val="24"/>
        </w:rPr>
      </w:pPr>
    </w:p>
    <w:tbl>
      <w:tblPr>
        <w:tblStyle w:val="47"/>
        <w:tblW w:w="990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1"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序号</w:t>
            </w:r>
          </w:p>
        </w:tc>
        <w:tc>
          <w:tcPr>
            <w:tcW w:w="1979"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业主名称</w:t>
            </w:r>
          </w:p>
        </w:tc>
        <w:tc>
          <w:tcPr>
            <w:tcW w:w="1980"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项目名称</w:t>
            </w:r>
          </w:p>
        </w:tc>
        <w:tc>
          <w:tcPr>
            <w:tcW w:w="1262"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联系人</w:t>
            </w:r>
          </w:p>
        </w:tc>
        <w:tc>
          <w:tcPr>
            <w:tcW w:w="1262"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联系方式</w:t>
            </w:r>
          </w:p>
        </w:tc>
        <w:tc>
          <w:tcPr>
            <w:tcW w:w="1262"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完成情况</w:t>
            </w:r>
          </w:p>
        </w:tc>
        <w:tc>
          <w:tcPr>
            <w:tcW w:w="1442"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是否有用户反馈情况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bl>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rPr>
        <w:t>、项目业绩证明以加盖投标人公章的合同复印件或中标</w:t>
      </w:r>
      <w:r>
        <w:rPr>
          <w:rFonts w:ascii="宋体" w:hAnsi="宋体" w:cs="宋体"/>
          <w:color w:val="000000"/>
          <w:sz w:val="24"/>
          <w:szCs w:val="24"/>
        </w:rPr>
        <w:t>/</w:t>
      </w:r>
      <w:r>
        <w:rPr>
          <w:rFonts w:hint="eastAsia" w:ascii="宋体" w:hAnsi="宋体" w:cs="宋体"/>
          <w:color w:val="000000"/>
          <w:sz w:val="24"/>
          <w:szCs w:val="24"/>
        </w:rPr>
        <w:t>成交通知书作为依据。</w:t>
      </w:r>
    </w:p>
    <w:p>
      <w:pPr>
        <w:numPr>
          <w:ilvl w:val="0"/>
          <w:numId w:val="15"/>
        </w:numPr>
        <w:spacing w:line="360" w:lineRule="auto"/>
        <w:rPr>
          <w:rFonts w:ascii="宋体" w:cs="宋体"/>
          <w:color w:val="000000"/>
          <w:sz w:val="24"/>
        </w:rPr>
      </w:pPr>
      <w:r>
        <w:rPr>
          <w:rFonts w:hint="eastAsia" w:ascii="宋体" w:hAnsi="宋体" w:cs="宋体"/>
          <w:color w:val="000000"/>
          <w:sz w:val="24"/>
        </w:rPr>
        <w:t>如投标人成立日期不足三年，请提供自成立之日至投标之日的同类项目案例；</w:t>
      </w:r>
    </w:p>
    <w:p>
      <w:pPr>
        <w:spacing w:line="360" w:lineRule="auto"/>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、所有复印件应清晰，并由投标人单位加盖公章；</w:t>
      </w:r>
    </w:p>
    <w:p>
      <w:pPr>
        <w:spacing w:line="360" w:lineRule="auto"/>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、不提供复印件的案例，评分阶段不予以考虑。</w:t>
      </w:r>
    </w:p>
    <w:p>
      <w:pPr>
        <w:spacing w:line="360" w:lineRule="auto"/>
        <w:rPr>
          <w:rFonts w:ascii="宋体" w:cs="宋体"/>
          <w:color w:val="000000"/>
          <w:sz w:val="24"/>
          <w:szCs w:val="24"/>
        </w:rPr>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spacing w:line="360" w:lineRule="auto"/>
        <w:jc w:val="right"/>
        <w:rPr>
          <w:rFonts w:ascii="宋体" w:cs="宋体"/>
          <w:sz w:val="24"/>
          <w:szCs w:val="24"/>
        </w:rPr>
      </w:pPr>
      <w:r>
        <w:rPr>
          <w:rFonts w:hint="eastAsia" w:ascii="宋体" w:hAnsi="宋体" w:cs="宋体"/>
          <w:sz w:val="24"/>
          <w:szCs w:val="24"/>
        </w:rPr>
        <w:t>日期：</w:t>
      </w:r>
    </w:p>
    <w:p>
      <w:pPr>
        <w:pStyle w:val="7"/>
        <w:rPr>
          <w:rFonts w:ascii="宋体" w:cs="宋体"/>
          <w:b w:val="0"/>
          <w:color w:val="000000"/>
          <w:sz w:val="24"/>
          <w:szCs w:val="24"/>
          <w:u w:val="single"/>
          <w:lang w:eastAsia="zh-CN"/>
        </w:rPr>
      </w:pPr>
      <w:r>
        <w:rPr>
          <w:rFonts w:ascii="宋体" w:cs="宋体"/>
          <w:color w:val="000000"/>
          <w:sz w:val="24"/>
          <w:szCs w:val="24"/>
          <w:u w:val="single"/>
          <w:lang w:eastAsia="zh-CN"/>
        </w:rPr>
        <w:br w:type="page"/>
      </w:r>
      <w:bookmarkStart w:id="228" w:name="_Toc493422675"/>
      <w:bookmarkStart w:id="229" w:name="_Toc44705298"/>
      <w:bookmarkStart w:id="230" w:name="_Toc44704930"/>
      <w:r>
        <w:rPr>
          <w:rFonts w:ascii="宋体" w:hAnsi="宋体" w:cs="宋体"/>
          <w:szCs w:val="24"/>
          <w:lang w:eastAsia="zh-CN"/>
        </w:rPr>
        <w:t>2.7.</w:t>
      </w:r>
      <w:bookmarkEnd w:id="228"/>
      <w:r>
        <w:rPr>
          <w:rFonts w:ascii="宋体" w:hAnsi="宋体" w:cs="宋体"/>
          <w:szCs w:val="24"/>
          <w:lang w:eastAsia="zh-CN"/>
        </w:rPr>
        <w:t>2</w:t>
      </w:r>
      <w:r>
        <w:rPr>
          <w:rFonts w:hint="eastAsia" w:ascii="宋体" w:hAnsi="宋体" w:cs="宋体"/>
          <w:szCs w:val="24"/>
          <w:lang w:eastAsia="zh-CN"/>
        </w:rPr>
        <w:t>项目人员配备表</w:t>
      </w:r>
      <w:r>
        <w:rPr>
          <w:rFonts w:hint="eastAsia" w:ascii="宋体" w:hAnsi="宋体" w:cs="宋体"/>
          <w:b w:val="0"/>
          <w:sz w:val="24"/>
          <w:szCs w:val="24"/>
          <w:lang w:eastAsia="zh-CN"/>
        </w:rPr>
        <w:t>（后附人员相关身份证明及职称证明等相关证书并加盖公章）</w:t>
      </w:r>
      <w:bookmarkEnd w:id="229"/>
      <w:bookmarkEnd w:id="230"/>
    </w:p>
    <w:p>
      <w:pPr>
        <w:spacing w:line="360" w:lineRule="auto"/>
        <w:rPr>
          <w:rFonts w:ascii="宋体" w:cs="宋体"/>
        </w:rPr>
      </w:pPr>
      <w:bookmarkStart w:id="231" w:name="_Toc508200460"/>
      <w:bookmarkStart w:id="232" w:name="_Toc521670795"/>
    </w:p>
    <w:p>
      <w:pPr>
        <w:spacing w:line="360" w:lineRule="auto"/>
        <w:rPr>
          <w:rFonts w:ascii="宋体" w:cs="宋体"/>
          <w:sz w:val="24"/>
          <w:szCs w:val="24"/>
        </w:rPr>
      </w:pPr>
      <w:bookmarkStart w:id="233" w:name="_Toc2512014"/>
      <w:bookmarkStart w:id="234" w:name="_Toc2355272"/>
      <w:r>
        <w:rPr>
          <w:rFonts w:hint="eastAsia" w:ascii="宋体" w:hAnsi="宋体" w:cs="宋体"/>
          <w:sz w:val="24"/>
          <w:szCs w:val="24"/>
        </w:rPr>
        <w:t>项目人员配备表格式</w:t>
      </w:r>
      <w:bookmarkEnd w:id="231"/>
      <w:bookmarkEnd w:id="232"/>
      <w:bookmarkEnd w:id="233"/>
      <w:bookmarkEnd w:id="234"/>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招标编号：</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项目名称：　          </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标项名称： </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33"/>
        <w:gridCol w:w="1872"/>
        <w:gridCol w:w="1872"/>
        <w:gridCol w:w="1872"/>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47" w:type="dxa"/>
            <w:vAlign w:val="center"/>
          </w:tcPr>
          <w:p>
            <w:pPr>
              <w:spacing w:line="360" w:lineRule="auto"/>
              <w:rPr>
                <w:rFonts w:ascii="宋体" w:cs="宋体"/>
                <w:sz w:val="24"/>
                <w:szCs w:val="24"/>
              </w:rPr>
            </w:pPr>
            <w:r>
              <w:rPr>
                <w:rFonts w:hint="eastAsia" w:ascii="宋体" w:hAnsi="宋体" w:cs="宋体"/>
                <w:sz w:val="24"/>
                <w:szCs w:val="24"/>
              </w:rPr>
              <w:t>序号</w:t>
            </w:r>
          </w:p>
        </w:tc>
        <w:tc>
          <w:tcPr>
            <w:tcW w:w="1533" w:type="dxa"/>
            <w:vAlign w:val="center"/>
          </w:tcPr>
          <w:p>
            <w:pPr>
              <w:spacing w:line="360" w:lineRule="auto"/>
              <w:rPr>
                <w:rFonts w:ascii="宋体" w:cs="宋体"/>
                <w:sz w:val="24"/>
                <w:szCs w:val="24"/>
              </w:rPr>
            </w:pPr>
            <w:r>
              <w:rPr>
                <w:rFonts w:hint="eastAsia" w:ascii="宋体" w:hAnsi="宋体" w:cs="宋体"/>
                <w:sz w:val="24"/>
                <w:szCs w:val="24"/>
              </w:rPr>
              <w:t>姓名</w:t>
            </w:r>
          </w:p>
        </w:tc>
        <w:tc>
          <w:tcPr>
            <w:tcW w:w="1872" w:type="dxa"/>
            <w:vAlign w:val="center"/>
          </w:tcPr>
          <w:p>
            <w:pPr>
              <w:spacing w:line="360" w:lineRule="auto"/>
              <w:rPr>
                <w:rFonts w:ascii="宋体" w:cs="宋体"/>
                <w:sz w:val="24"/>
                <w:szCs w:val="24"/>
              </w:rPr>
            </w:pPr>
            <w:r>
              <w:rPr>
                <w:rFonts w:hint="eastAsia" w:ascii="宋体" w:hAnsi="宋体" w:cs="宋体"/>
                <w:sz w:val="24"/>
                <w:szCs w:val="24"/>
              </w:rPr>
              <w:t>职务</w:t>
            </w:r>
          </w:p>
        </w:tc>
        <w:tc>
          <w:tcPr>
            <w:tcW w:w="1872" w:type="dxa"/>
            <w:vAlign w:val="center"/>
          </w:tcPr>
          <w:p>
            <w:pPr>
              <w:spacing w:line="360" w:lineRule="auto"/>
              <w:rPr>
                <w:rFonts w:ascii="宋体" w:cs="宋体"/>
                <w:sz w:val="24"/>
                <w:szCs w:val="24"/>
              </w:rPr>
            </w:pPr>
            <w:r>
              <w:rPr>
                <w:rFonts w:hint="eastAsia" w:ascii="宋体" w:hAnsi="宋体" w:cs="宋体"/>
                <w:sz w:val="24"/>
                <w:szCs w:val="24"/>
              </w:rPr>
              <w:t>职称</w:t>
            </w:r>
          </w:p>
        </w:tc>
        <w:tc>
          <w:tcPr>
            <w:tcW w:w="1872" w:type="dxa"/>
            <w:vAlign w:val="center"/>
          </w:tcPr>
          <w:p>
            <w:pPr>
              <w:spacing w:line="360" w:lineRule="auto"/>
              <w:rPr>
                <w:rFonts w:ascii="宋体" w:cs="宋体"/>
                <w:sz w:val="24"/>
                <w:szCs w:val="24"/>
              </w:rPr>
            </w:pPr>
            <w:r>
              <w:rPr>
                <w:rFonts w:hint="eastAsia" w:ascii="宋体" w:hAnsi="宋体" w:cs="宋体"/>
                <w:sz w:val="24"/>
                <w:szCs w:val="24"/>
              </w:rPr>
              <w:t>行业经验</w:t>
            </w:r>
          </w:p>
        </w:tc>
        <w:tc>
          <w:tcPr>
            <w:tcW w:w="1333" w:type="dxa"/>
            <w:vAlign w:val="center"/>
          </w:tcPr>
          <w:p>
            <w:pPr>
              <w:spacing w:line="360" w:lineRule="auto"/>
              <w:rPr>
                <w:rFonts w:asci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1.</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7" w:type="dxa"/>
            <w:vAlign w:val="center"/>
          </w:tcPr>
          <w:p>
            <w:pPr>
              <w:spacing w:line="360" w:lineRule="auto"/>
              <w:rPr>
                <w:rFonts w:ascii="宋体" w:cs="宋体"/>
                <w:sz w:val="24"/>
                <w:szCs w:val="24"/>
              </w:rPr>
            </w:pPr>
            <w:r>
              <w:rPr>
                <w:rFonts w:ascii="宋体" w:hAnsi="宋体" w:cs="宋体"/>
                <w:sz w:val="24"/>
                <w:szCs w:val="24"/>
              </w:rPr>
              <w:t>2.</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7" w:type="dxa"/>
            <w:vAlign w:val="center"/>
          </w:tcPr>
          <w:p>
            <w:pPr>
              <w:spacing w:line="360" w:lineRule="auto"/>
              <w:rPr>
                <w:rFonts w:ascii="宋体" w:cs="宋体"/>
                <w:sz w:val="24"/>
                <w:szCs w:val="24"/>
              </w:rPr>
            </w:pPr>
            <w:r>
              <w:rPr>
                <w:rFonts w:ascii="宋体" w:hAnsi="宋体" w:cs="宋体"/>
                <w:sz w:val="24"/>
                <w:szCs w:val="24"/>
              </w:rPr>
              <w:t>3.</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4.</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7" w:type="dxa"/>
            <w:vAlign w:val="center"/>
          </w:tcPr>
          <w:p>
            <w:pPr>
              <w:spacing w:line="360" w:lineRule="auto"/>
              <w:rPr>
                <w:rFonts w:ascii="宋体" w:cs="宋体"/>
                <w:sz w:val="24"/>
                <w:szCs w:val="24"/>
              </w:rPr>
            </w:pPr>
            <w:r>
              <w:rPr>
                <w:rFonts w:ascii="宋体" w:hAnsi="宋体" w:cs="宋体"/>
                <w:sz w:val="24"/>
                <w:szCs w:val="24"/>
              </w:rPr>
              <w:t>5.</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6.</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47" w:type="dxa"/>
            <w:vAlign w:val="center"/>
          </w:tcPr>
          <w:p>
            <w:pPr>
              <w:spacing w:line="360" w:lineRule="auto"/>
              <w:rPr>
                <w:rFonts w:ascii="宋体" w:cs="宋体"/>
                <w:sz w:val="24"/>
                <w:szCs w:val="24"/>
              </w:rPr>
            </w:pPr>
            <w:r>
              <w:rPr>
                <w:rFonts w:ascii="宋体" w:hAnsi="宋体" w:cs="宋体"/>
                <w:sz w:val="24"/>
                <w:szCs w:val="24"/>
              </w:rPr>
              <w:t>7.</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8</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9</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10</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bl>
    <w:p>
      <w:pPr>
        <w:spacing w:line="360" w:lineRule="auto"/>
        <w:rPr>
          <w:rFonts w:ascii="宋体" w:cs="宋体"/>
          <w:sz w:val="24"/>
          <w:szCs w:val="24"/>
        </w:rPr>
      </w:pPr>
      <w:r>
        <w:rPr>
          <w:rFonts w:hint="eastAsia" w:ascii="宋体" w:hAnsi="宋体" w:cs="宋体"/>
          <w:sz w:val="24"/>
          <w:szCs w:val="24"/>
        </w:rPr>
        <w:t>合计共</w:t>
      </w:r>
      <w:r>
        <w:rPr>
          <w:rFonts w:ascii="宋体" w:hAnsi="宋体" w:cs="宋体"/>
          <w:sz w:val="24"/>
          <w:szCs w:val="24"/>
          <w:u w:val="single"/>
        </w:rPr>
        <w:t xml:space="preserve">    </w:t>
      </w:r>
      <w:r>
        <w:rPr>
          <w:rFonts w:hint="eastAsia" w:ascii="宋体" w:hAnsi="宋体" w:cs="宋体"/>
          <w:sz w:val="24"/>
          <w:szCs w:val="24"/>
        </w:rPr>
        <w:t>人。</w:t>
      </w:r>
    </w:p>
    <w:p>
      <w:pPr>
        <w:spacing w:line="360" w:lineRule="auto"/>
        <w:rPr>
          <w:rFonts w:ascii="宋体" w:cs="宋体"/>
          <w:sz w:val="24"/>
          <w:szCs w:val="24"/>
        </w:rPr>
      </w:pPr>
      <w:r>
        <w:rPr>
          <w:rFonts w:hint="eastAsia" w:ascii="宋体" w:hAnsi="宋体" w:cs="宋体"/>
          <w:sz w:val="24"/>
          <w:szCs w:val="24"/>
        </w:rPr>
        <w:t>注：此表不足可以按照格式扩展。</w:t>
      </w:r>
    </w:p>
    <w:p>
      <w:pPr>
        <w:pStyle w:val="184"/>
        <w:spacing w:line="360" w:lineRule="auto"/>
        <w:rPr>
          <w:sz w:val="24"/>
          <w:szCs w:val="24"/>
        </w:rPr>
      </w:pPr>
    </w:p>
    <w:p>
      <w:pPr>
        <w:spacing w:line="360" w:lineRule="auto"/>
        <w:rPr>
          <w:rFonts w:ascii="宋体" w:cs="宋体"/>
        </w:rPr>
      </w:pPr>
    </w:p>
    <w:p>
      <w:pPr>
        <w:spacing w:line="360" w:lineRule="auto"/>
        <w:jc w:val="right"/>
        <w:rPr>
          <w:rFonts w:ascii="宋体" w:cs="宋体"/>
          <w:sz w:val="24"/>
          <w:szCs w:val="24"/>
        </w:rPr>
      </w:pPr>
      <w:r>
        <w:rPr>
          <w:rFonts w:hint="eastAsia" w:ascii="宋体" w:hAnsi="宋体" w:cs="宋体"/>
          <w:sz w:val="24"/>
          <w:szCs w:val="24"/>
        </w:rPr>
        <w:t>被授权人签字：</w:t>
      </w:r>
    </w:p>
    <w:p>
      <w:pPr>
        <w:spacing w:line="360" w:lineRule="auto"/>
        <w:jc w:val="right"/>
        <w:rPr>
          <w:rFonts w:ascii="宋体" w:cs="宋体"/>
          <w:sz w:val="24"/>
          <w:szCs w:val="24"/>
          <w:u w:val="single"/>
        </w:rPr>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jc w:val="right"/>
      </w:pPr>
    </w:p>
    <w:p>
      <w:pPr>
        <w:pStyle w:val="21"/>
        <w:jc w:val="right"/>
      </w:pPr>
      <w:r>
        <w:rPr>
          <w:rFonts w:hint="eastAsia"/>
        </w:rPr>
        <w:t>日期：</w:t>
      </w:r>
    </w:p>
    <w:p>
      <w:pPr>
        <w:pStyle w:val="7"/>
        <w:rPr>
          <w:rFonts w:ascii="宋体" w:hAnsi="宋体" w:cs="宋体"/>
          <w:szCs w:val="24"/>
          <w:lang w:eastAsia="zh-CN"/>
        </w:rPr>
      </w:pPr>
      <w:r>
        <w:rPr>
          <w:rFonts w:ascii="宋体" w:cs="宋体"/>
          <w:lang w:eastAsia="zh-CN"/>
        </w:rPr>
        <w:br w:type="page"/>
      </w:r>
      <w:bookmarkStart w:id="235" w:name="_Toc44705299"/>
      <w:bookmarkStart w:id="236" w:name="_Toc44704931"/>
      <w:r>
        <w:rPr>
          <w:rFonts w:ascii="宋体" w:hAnsi="宋体" w:cs="宋体"/>
          <w:szCs w:val="24"/>
          <w:lang w:eastAsia="zh-CN"/>
        </w:rPr>
        <w:t>2.7.3</w:t>
      </w:r>
      <w:r>
        <w:rPr>
          <w:rFonts w:hint="eastAsia" w:ascii="宋体" w:hAnsi="宋体" w:cs="宋体"/>
          <w:szCs w:val="24"/>
          <w:lang w:eastAsia="zh-CN"/>
        </w:rPr>
        <w:t>服务方案</w:t>
      </w:r>
      <w:r>
        <w:rPr>
          <w:rFonts w:ascii="宋体" w:cs="宋体"/>
          <w:szCs w:val="24"/>
          <w:lang w:eastAsia="zh-CN"/>
        </w:rPr>
        <w:t>-</w:t>
      </w:r>
      <w:r>
        <w:rPr>
          <w:rFonts w:hint="eastAsia" w:ascii="宋体" w:hAnsi="宋体" w:cs="宋体"/>
          <w:szCs w:val="24"/>
          <w:lang w:eastAsia="zh-CN"/>
        </w:rPr>
        <w:t>格式自拟</w:t>
      </w:r>
      <w:bookmarkEnd w:id="235"/>
      <w:bookmarkEnd w:id="236"/>
    </w:p>
    <w:p>
      <w:pPr>
        <w:spacing w:line="360" w:lineRule="auto"/>
        <w:ind w:firstLine="480" w:firstLineChars="200"/>
        <w:rPr>
          <w:rFonts w:ascii="宋体" w:cs="宋体"/>
          <w:bCs/>
          <w:kern w:val="0"/>
          <w:sz w:val="24"/>
          <w:szCs w:val="24"/>
        </w:rPr>
      </w:pPr>
    </w:p>
    <w:p>
      <w:pPr>
        <w:spacing w:line="360" w:lineRule="auto"/>
        <w:ind w:firstLine="480" w:firstLineChars="200"/>
        <w:rPr>
          <w:rFonts w:ascii="宋体" w:cs="宋体"/>
        </w:rPr>
      </w:pPr>
      <w:r>
        <w:rPr>
          <w:rFonts w:hint="eastAsia" w:ascii="宋体" w:cs="宋体"/>
          <w:bCs/>
          <w:kern w:val="0"/>
          <w:sz w:val="24"/>
          <w:szCs w:val="24"/>
        </w:rPr>
        <w:t>服务技术描述（</w:t>
      </w:r>
      <w:r>
        <w:rPr>
          <w:rFonts w:hint="eastAsia" w:ascii="宋体" w:hAnsi="宋体" w:cs="宋体"/>
          <w:sz w:val="24"/>
          <w:szCs w:val="24"/>
        </w:rPr>
        <w:t>体检服务方案</w:t>
      </w:r>
      <w:r>
        <w:rPr>
          <w:rFonts w:hint="eastAsia" w:ascii="宋体" w:hAnsi="宋体" w:cs="宋体"/>
          <w:sz w:val="24"/>
          <w:szCs w:val="24"/>
          <w:lang w:eastAsia="zh-CN"/>
        </w:rPr>
        <w:t>、</w:t>
      </w:r>
      <w:r>
        <w:rPr>
          <w:rFonts w:hint="eastAsia" w:ascii="宋体" w:hAnsi="宋体" w:cs="宋体"/>
          <w:sz w:val="24"/>
          <w:szCs w:val="24"/>
          <w:lang w:val="en-US" w:eastAsia="zh-CN"/>
        </w:rPr>
        <w:t>体检质量保证方案、应急方案、后期服务方案</w:t>
      </w:r>
      <w:r>
        <w:rPr>
          <w:rFonts w:hint="eastAsia" w:ascii="宋体" w:cs="宋体"/>
          <w:bCs/>
          <w:kern w:val="0"/>
          <w:sz w:val="24"/>
          <w:szCs w:val="24"/>
        </w:rPr>
        <w:t>）、招标文件技术需求部分要求提供的内容、综合说明、服务偏离表等。</w:t>
      </w: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jc w:val="right"/>
        <w:rPr>
          <w:rFonts w:ascii="宋体" w:cs="宋体"/>
        </w:rPr>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spacing w:line="360" w:lineRule="auto"/>
        <w:jc w:val="right"/>
        <w:rPr>
          <w:rFonts w:ascii="宋体" w:hAnsi="宋体" w:cs="宋体"/>
          <w:sz w:val="24"/>
          <w:szCs w:val="24"/>
        </w:rPr>
      </w:pPr>
      <w:r>
        <w:rPr>
          <w:rFonts w:hint="eastAsia" w:ascii="宋体" w:hAnsi="宋体" w:cs="宋体"/>
          <w:sz w:val="24"/>
          <w:szCs w:val="24"/>
        </w:rPr>
        <w:t>日期：</w:t>
      </w:r>
    </w:p>
    <w:p>
      <w:pPr>
        <w:rPr>
          <w:rFonts w:ascii="宋体" w:hAnsi="宋体" w:cs="宋体"/>
          <w:szCs w:val="24"/>
          <w:lang w:eastAsia="zh-CN"/>
        </w:rPr>
      </w:pPr>
      <w:bookmarkStart w:id="237" w:name="_Toc44704932"/>
      <w:bookmarkStart w:id="238" w:name="_Toc44705300"/>
      <w:r>
        <w:rPr>
          <w:rFonts w:ascii="宋体" w:hAnsi="宋体" w:cs="宋体"/>
          <w:szCs w:val="24"/>
          <w:lang w:eastAsia="zh-CN"/>
        </w:rPr>
        <w:br w:type="page"/>
      </w:r>
    </w:p>
    <w:p>
      <w:pPr>
        <w:pStyle w:val="7"/>
        <w:rPr>
          <w:rFonts w:ascii="宋体" w:cs="宋体"/>
          <w:b w:val="0"/>
          <w:sz w:val="32"/>
          <w:szCs w:val="32"/>
          <w:lang w:eastAsia="zh-CN"/>
        </w:rPr>
      </w:pPr>
      <w:r>
        <w:rPr>
          <w:rFonts w:ascii="宋体" w:hAnsi="宋体" w:cs="宋体"/>
          <w:szCs w:val="24"/>
          <w:lang w:eastAsia="zh-CN"/>
        </w:rPr>
        <w:t>2.7.</w:t>
      </w:r>
      <w:r>
        <w:rPr>
          <w:rFonts w:hint="eastAsia" w:ascii="宋体" w:hAnsi="宋体" w:cs="宋体"/>
          <w:szCs w:val="24"/>
          <w:lang w:val="en-US" w:eastAsia="zh-CN"/>
        </w:rPr>
        <w:t>4</w:t>
      </w:r>
      <w:r>
        <w:rPr>
          <w:rFonts w:hint="eastAsia" w:ascii="宋体" w:hAnsi="宋体" w:cs="宋体"/>
          <w:szCs w:val="24"/>
          <w:lang w:eastAsia="zh-CN"/>
        </w:rPr>
        <w:t>中小企业声明函</w:t>
      </w:r>
      <w:r>
        <w:rPr>
          <w:rFonts w:hint="eastAsia" w:ascii="宋体" w:hAnsi="宋体" w:cs="宋体"/>
          <w:b w:val="0"/>
          <w:lang w:eastAsia="zh-CN"/>
        </w:rPr>
        <w:t>（格式，不符合条件无须提交）</w:t>
      </w:r>
      <w:bookmarkEnd w:id="237"/>
      <w:bookmarkEnd w:id="238"/>
    </w:p>
    <w:p>
      <w:pPr>
        <w:tabs>
          <w:tab w:val="left" w:pos="720"/>
        </w:tabs>
        <w:autoSpaceDE w:val="0"/>
        <w:autoSpaceDN w:val="0"/>
        <w:adjustRightInd w:val="0"/>
        <w:spacing w:line="360" w:lineRule="auto"/>
        <w:ind w:right="17"/>
        <w:jc w:val="left"/>
        <w:rPr>
          <w:rFonts w:ascii="宋体" w:cs="宋体"/>
          <w:sz w:val="24"/>
        </w:rPr>
      </w:pPr>
    </w:p>
    <w:p>
      <w:pPr>
        <w:pStyle w:val="6"/>
        <w:spacing w:before="0" w:after="0" w:line="480" w:lineRule="auto"/>
        <w:ind w:firstLine="2276" w:firstLineChars="900"/>
        <w:rPr>
          <w:rFonts w:ascii="宋体" w:hAnsi="宋体"/>
          <w:bCs w:val="0"/>
          <w:kern w:val="0"/>
          <w:sz w:val="24"/>
          <w:szCs w:val="24"/>
        </w:rPr>
      </w:pPr>
      <w:r>
        <w:rPr>
          <w:rFonts w:hint="eastAsia" w:ascii="宋体" w:hAnsi="宋体" w:cs="宋体"/>
          <w:bCs w:val="0"/>
          <w:spacing w:val="6"/>
          <w:sz w:val="24"/>
          <w:szCs w:val="20"/>
          <w:shd w:val="clear" w:color="auto" w:fill="FFFFFF"/>
        </w:rPr>
        <w:t>中小企业声明函（工程、服务）</w:t>
      </w:r>
    </w:p>
    <w:p>
      <w:pPr>
        <w:pStyle w:val="6"/>
        <w:spacing w:line="360" w:lineRule="auto"/>
        <w:ind w:firstLine="480" w:firstLineChars="200"/>
        <w:rPr>
          <w:rFonts w:ascii="宋体" w:hAnsi="宋体"/>
          <w:b w:val="0"/>
          <w:bCs w:val="0"/>
          <w:sz w:val="24"/>
          <w:szCs w:val="24"/>
        </w:rPr>
      </w:pPr>
      <w:r>
        <w:rPr>
          <w:rFonts w:hint="eastAsia" w:ascii="宋体" w:hAnsi="宋体"/>
          <w:b w:val="0"/>
          <w:bCs w:val="0"/>
          <w:sz w:val="24"/>
          <w:szCs w:val="24"/>
        </w:rPr>
        <w:t>本公司（联合体）郑重声明，根据《政府采购促进中小企业发展管理办法》（财库﹝2020﹞46 号）的规定，本公司（联合体）参加</w:t>
      </w:r>
      <w:r>
        <w:rPr>
          <w:rFonts w:hint="eastAsia" w:ascii="宋体" w:hAnsi="宋体"/>
          <w:b w:val="0"/>
          <w:bCs w:val="0"/>
          <w:sz w:val="24"/>
          <w:szCs w:val="24"/>
          <w:u w:val="single"/>
        </w:rPr>
        <w:t>（单位名称）</w:t>
      </w:r>
      <w:r>
        <w:rPr>
          <w:rFonts w:hint="eastAsia" w:ascii="宋体" w:hAnsi="宋体"/>
          <w:b w:val="0"/>
          <w:bCs w:val="0"/>
          <w:sz w:val="24"/>
          <w:szCs w:val="24"/>
        </w:rPr>
        <w:t>的</w:t>
      </w:r>
      <w:r>
        <w:rPr>
          <w:rFonts w:hint="eastAsia" w:ascii="宋体" w:hAnsi="宋体"/>
          <w:b w:val="0"/>
          <w:bCs w:val="0"/>
          <w:sz w:val="24"/>
          <w:szCs w:val="24"/>
          <w:u w:val="single"/>
        </w:rPr>
        <w:t>（项目名称）</w:t>
      </w:r>
      <w:r>
        <w:rPr>
          <w:rFonts w:hint="eastAsia" w:ascii="宋体" w:hAnsi="宋体"/>
          <w:b w:val="0"/>
          <w:bCs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6"/>
        <w:spacing w:line="360" w:lineRule="auto"/>
        <w:ind w:firstLine="480" w:firstLineChars="200"/>
        <w:rPr>
          <w:rFonts w:ascii="宋体" w:hAnsi="宋体"/>
          <w:b w:val="0"/>
          <w:bCs w:val="0"/>
          <w:sz w:val="24"/>
          <w:szCs w:val="24"/>
        </w:rPr>
      </w:pPr>
      <w:r>
        <w:rPr>
          <w:rFonts w:hint="eastAsia" w:ascii="宋体" w:hAnsi="宋体"/>
          <w:b w:val="0"/>
          <w:bCs w:val="0"/>
          <w:sz w:val="24"/>
          <w:szCs w:val="24"/>
        </w:rPr>
        <w:t xml:space="preserve">1. </w:t>
      </w:r>
      <w:r>
        <w:rPr>
          <w:rFonts w:hint="eastAsia" w:ascii="宋体" w:hAnsi="宋体"/>
          <w:b w:val="0"/>
          <w:bCs w:val="0"/>
          <w:sz w:val="24"/>
          <w:szCs w:val="24"/>
          <w:u w:val="single"/>
        </w:rPr>
        <w:t>（标的名称）</w:t>
      </w:r>
      <w:r>
        <w:rPr>
          <w:rFonts w:hint="eastAsia" w:ascii="宋体" w:hAnsi="宋体"/>
          <w:b w:val="0"/>
          <w:bCs w:val="0"/>
          <w:sz w:val="24"/>
          <w:szCs w:val="24"/>
        </w:rPr>
        <w:t xml:space="preserve"> ，属于</w:t>
      </w:r>
      <w:r>
        <w:rPr>
          <w:rFonts w:hint="eastAsia" w:ascii="宋体" w:hAnsi="宋体"/>
          <w:b w:val="0"/>
          <w:bCs w:val="0"/>
          <w:sz w:val="24"/>
          <w:szCs w:val="24"/>
          <w:u w:val="single"/>
        </w:rPr>
        <w:t>（采购文件中明确的所属行业）</w:t>
      </w:r>
      <w:r>
        <w:rPr>
          <w:rFonts w:hint="eastAsia" w:ascii="宋体" w:hAnsi="宋体"/>
          <w:b w:val="0"/>
          <w:bCs w:val="0"/>
          <w:sz w:val="24"/>
          <w:szCs w:val="24"/>
        </w:rPr>
        <w:t>；承建（承接）企业为</w:t>
      </w:r>
      <w:r>
        <w:rPr>
          <w:rFonts w:hint="eastAsia" w:ascii="宋体" w:hAnsi="宋体"/>
          <w:b w:val="0"/>
          <w:bCs w:val="0"/>
          <w:sz w:val="24"/>
          <w:szCs w:val="24"/>
          <w:u w:val="single"/>
        </w:rPr>
        <w:t>（企业名称）</w:t>
      </w:r>
      <w:r>
        <w:rPr>
          <w:rFonts w:hint="eastAsia" w:ascii="宋体" w:hAnsi="宋体"/>
          <w:b w:val="0"/>
          <w:bCs w:val="0"/>
          <w:sz w:val="24"/>
          <w:szCs w:val="24"/>
        </w:rPr>
        <w:t>，从业人员</w:t>
      </w:r>
      <w:r>
        <w:rPr>
          <w:rFonts w:hint="eastAsia" w:ascii="宋体" w:hAnsi="宋体"/>
          <w:b w:val="0"/>
          <w:bCs w:val="0"/>
          <w:sz w:val="24"/>
          <w:szCs w:val="24"/>
          <w:u w:val="single"/>
        </w:rPr>
        <w:t xml:space="preserve">   </w:t>
      </w:r>
      <w:r>
        <w:rPr>
          <w:rFonts w:hint="eastAsia" w:ascii="宋体" w:hAnsi="宋体"/>
          <w:b w:val="0"/>
          <w:bCs w:val="0"/>
          <w:sz w:val="24"/>
          <w:szCs w:val="24"/>
        </w:rPr>
        <w:t>人，营业收入为</w:t>
      </w:r>
      <w:r>
        <w:rPr>
          <w:rFonts w:hint="eastAsia" w:ascii="宋体" w:hAnsi="宋体"/>
          <w:b w:val="0"/>
          <w:bCs w:val="0"/>
          <w:sz w:val="24"/>
          <w:szCs w:val="24"/>
          <w:u w:val="single"/>
        </w:rPr>
        <w:t xml:space="preserve">   </w:t>
      </w:r>
      <w:r>
        <w:rPr>
          <w:rFonts w:hint="eastAsia" w:ascii="宋体" w:hAnsi="宋体"/>
          <w:b w:val="0"/>
          <w:bCs w:val="0"/>
          <w:sz w:val="24"/>
          <w:szCs w:val="24"/>
        </w:rPr>
        <w:t>万元，资产总额为</w:t>
      </w:r>
      <w:r>
        <w:rPr>
          <w:rFonts w:hint="eastAsia" w:ascii="宋体" w:hAnsi="宋体"/>
          <w:b w:val="0"/>
          <w:bCs w:val="0"/>
          <w:sz w:val="24"/>
          <w:szCs w:val="24"/>
          <w:u w:val="single"/>
        </w:rPr>
        <w:t xml:space="preserve">    </w:t>
      </w:r>
      <w:r>
        <w:rPr>
          <w:rFonts w:hint="eastAsia" w:ascii="宋体" w:hAnsi="宋体"/>
          <w:b w:val="0"/>
          <w:bCs w:val="0"/>
          <w:sz w:val="24"/>
          <w:szCs w:val="24"/>
        </w:rPr>
        <w:t>万元，属于</w:t>
      </w:r>
      <w:r>
        <w:rPr>
          <w:rFonts w:hint="eastAsia" w:ascii="宋体" w:hAnsi="宋体"/>
          <w:b w:val="0"/>
          <w:bCs w:val="0"/>
          <w:sz w:val="24"/>
          <w:szCs w:val="24"/>
          <w:u w:val="single"/>
        </w:rPr>
        <w:t>（中型企业、小型企业、微型企业）</w:t>
      </w:r>
      <w:r>
        <w:rPr>
          <w:rFonts w:hint="eastAsia" w:ascii="宋体" w:hAnsi="宋体"/>
          <w:b w:val="0"/>
          <w:bCs w:val="0"/>
          <w:sz w:val="24"/>
          <w:szCs w:val="24"/>
        </w:rPr>
        <w:t>；</w:t>
      </w:r>
    </w:p>
    <w:p>
      <w:pPr>
        <w:pStyle w:val="6"/>
        <w:spacing w:line="360" w:lineRule="auto"/>
        <w:ind w:left="210" w:leftChars="100" w:firstLine="240" w:firstLineChars="100"/>
        <w:rPr>
          <w:rFonts w:ascii="宋体" w:hAnsi="宋体"/>
          <w:b w:val="0"/>
          <w:bCs w:val="0"/>
          <w:sz w:val="24"/>
          <w:szCs w:val="24"/>
          <w:u w:val="single"/>
        </w:rPr>
      </w:pPr>
      <w:r>
        <w:rPr>
          <w:rFonts w:hint="eastAsia" w:ascii="宋体" w:hAnsi="宋体"/>
          <w:b w:val="0"/>
          <w:bCs w:val="0"/>
          <w:sz w:val="24"/>
          <w:szCs w:val="24"/>
        </w:rPr>
        <w:t xml:space="preserve">2. </w:t>
      </w:r>
      <w:r>
        <w:rPr>
          <w:rFonts w:hint="eastAsia" w:ascii="宋体" w:hAnsi="宋体"/>
          <w:b w:val="0"/>
          <w:bCs w:val="0"/>
          <w:sz w:val="24"/>
          <w:szCs w:val="24"/>
          <w:u w:val="single"/>
        </w:rPr>
        <w:t>（标的名称）</w:t>
      </w:r>
      <w:r>
        <w:rPr>
          <w:rFonts w:hint="eastAsia" w:ascii="宋体" w:hAnsi="宋体"/>
          <w:b w:val="0"/>
          <w:bCs w:val="0"/>
          <w:sz w:val="24"/>
          <w:szCs w:val="24"/>
        </w:rPr>
        <w:t xml:space="preserve"> ，属于</w:t>
      </w:r>
      <w:r>
        <w:rPr>
          <w:rFonts w:hint="eastAsia" w:ascii="宋体" w:hAnsi="宋体"/>
          <w:b w:val="0"/>
          <w:bCs w:val="0"/>
          <w:sz w:val="24"/>
          <w:szCs w:val="24"/>
          <w:u w:val="single"/>
        </w:rPr>
        <w:t>（采购文件中明确的所属行业）</w:t>
      </w:r>
      <w:r>
        <w:rPr>
          <w:rFonts w:hint="eastAsia" w:ascii="宋体" w:hAnsi="宋体"/>
          <w:b w:val="0"/>
          <w:bCs w:val="0"/>
          <w:sz w:val="24"/>
          <w:szCs w:val="24"/>
        </w:rPr>
        <w:t>；承建（承接）企业为</w:t>
      </w:r>
      <w:r>
        <w:rPr>
          <w:rFonts w:hint="eastAsia" w:ascii="宋体" w:hAnsi="宋体"/>
          <w:b w:val="0"/>
          <w:bCs w:val="0"/>
          <w:sz w:val="24"/>
          <w:szCs w:val="24"/>
          <w:u w:val="single"/>
        </w:rPr>
        <w:t>（企业名称）</w:t>
      </w:r>
      <w:r>
        <w:rPr>
          <w:rFonts w:hint="eastAsia" w:ascii="宋体" w:hAnsi="宋体"/>
          <w:b w:val="0"/>
          <w:bCs w:val="0"/>
          <w:sz w:val="24"/>
          <w:szCs w:val="24"/>
        </w:rPr>
        <w:t>，从业人员</w:t>
      </w:r>
      <w:r>
        <w:rPr>
          <w:rFonts w:hint="eastAsia" w:ascii="宋体" w:hAnsi="宋体"/>
          <w:b w:val="0"/>
          <w:bCs w:val="0"/>
          <w:sz w:val="24"/>
          <w:szCs w:val="24"/>
          <w:u w:val="single"/>
        </w:rPr>
        <w:t xml:space="preserve">     </w:t>
      </w:r>
      <w:r>
        <w:rPr>
          <w:rFonts w:hint="eastAsia" w:ascii="宋体" w:hAnsi="宋体"/>
          <w:b w:val="0"/>
          <w:bCs w:val="0"/>
          <w:sz w:val="24"/>
          <w:szCs w:val="24"/>
        </w:rPr>
        <w:t>人，营业收入为</w:t>
      </w:r>
      <w:r>
        <w:rPr>
          <w:rFonts w:hint="eastAsia" w:ascii="宋体" w:hAnsi="宋体"/>
          <w:b w:val="0"/>
          <w:bCs w:val="0"/>
          <w:sz w:val="24"/>
          <w:szCs w:val="24"/>
          <w:u w:val="single"/>
        </w:rPr>
        <w:t xml:space="preserve">    </w:t>
      </w:r>
      <w:r>
        <w:rPr>
          <w:rFonts w:hint="eastAsia" w:ascii="宋体" w:hAnsi="宋体"/>
          <w:b w:val="0"/>
          <w:bCs w:val="0"/>
          <w:sz w:val="24"/>
          <w:szCs w:val="24"/>
        </w:rPr>
        <w:t>万元，资产总额为</w:t>
      </w:r>
      <w:r>
        <w:rPr>
          <w:rFonts w:hint="eastAsia" w:ascii="宋体" w:hAnsi="宋体"/>
          <w:b w:val="0"/>
          <w:bCs w:val="0"/>
          <w:sz w:val="24"/>
          <w:szCs w:val="24"/>
          <w:u w:val="single"/>
        </w:rPr>
        <w:t xml:space="preserve">     </w:t>
      </w:r>
      <w:r>
        <w:rPr>
          <w:rFonts w:hint="eastAsia" w:ascii="宋体" w:hAnsi="宋体"/>
          <w:b w:val="0"/>
          <w:bCs w:val="0"/>
          <w:sz w:val="24"/>
          <w:szCs w:val="24"/>
        </w:rPr>
        <w:t>万元，属于</w:t>
      </w:r>
      <w:r>
        <w:rPr>
          <w:rFonts w:hint="eastAsia" w:ascii="宋体" w:hAnsi="宋体"/>
          <w:b w:val="0"/>
          <w:bCs w:val="0"/>
          <w:sz w:val="24"/>
          <w:szCs w:val="24"/>
          <w:u w:val="single"/>
        </w:rPr>
        <w:t>（中型企业、小型企业、微型企业）；</w:t>
      </w:r>
    </w:p>
    <w:p>
      <w:pPr>
        <w:pStyle w:val="6"/>
        <w:rPr>
          <w:rFonts w:ascii="宋体" w:hAnsi="宋体"/>
          <w:b w:val="0"/>
          <w:bCs w:val="0"/>
          <w:sz w:val="24"/>
          <w:szCs w:val="24"/>
        </w:rPr>
      </w:pPr>
      <w:r>
        <w:rPr>
          <w:rFonts w:hint="eastAsia" w:ascii="宋体" w:hAnsi="宋体"/>
          <w:b w:val="0"/>
          <w:bCs w:val="0"/>
          <w:sz w:val="24"/>
          <w:szCs w:val="24"/>
        </w:rPr>
        <w:t>……</w:t>
      </w:r>
    </w:p>
    <w:p>
      <w:pPr>
        <w:pStyle w:val="6"/>
        <w:spacing w:line="360" w:lineRule="auto"/>
        <w:ind w:firstLine="480" w:firstLineChars="200"/>
        <w:rPr>
          <w:rFonts w:ascii="宋体" w:hAnsi="宋体"/>
          <w:b w:val="0"/>
          <w:bCs w:val="0"/>
          <w:sz w:val="24"/>
          <w:szCs w:val="24"/>
        </w:rPr>
      </w:pPr>
      <w:r>
        <w:rPr>
          <w:rFonts w:hint="eastAsia" w:ascii="宋体" w:hAnsi="宋体"/>
          <w:b w:val="0"/>
          <w:bCs w:val="0"/>
          <w:sz w:val="24"/>
          <w:szCs w:val="24"/>
        </w:rPr>
        <w:t>以上企业，不属于大企业的分支机构，不存在控股股东为大企业的情形，也不存在与大企业的负责人为同一人的情形。</w:t>
      </w:r>
    </w:p>
    <w:p>
      <w:pPr>
        <w:pStyle w:val="6"/>
        <w:ind w:left="210" w:leftChars="100" w:firstLine="240" w:firstLineChars="100"/>
        <w:rPr>
          <w:rFonts w:ascii="宋体" w:hAnsi="宋体"/>
          <w:b w:val="0"/>
          <w:bCs w:val="0"/>
          <w:sz w:val="24"/>
          <w:szCs w:val="24"/>
        </w:rPr>
      </w:pPr>
      <w:r>
        <w:rPr>
          <w:rFonts w:hint="eastAsia" w:ascii="宋体" w:hAnsi="宋体"/>
          <w:b w:val="0"/>
          <w:bCs w:val="0"/>
          <w:sz w:val="24"/>
          <w:szCs w:val="24"/>
        </w:rPr>
        <w:t>本企业对上述声明内容的真实性负责。如有虚假，将依法承担相应责任。</w:t>
      </w:r>
    </w:p>
    <w:p>
      <w:pPr>
        <w:pStyle w:val="6"/>
        <w:rPr>
          <w:rFonts w:ascii="宋体" w:hAnsi="宋体"/>
          <w:b w:val="0"/>
          <w:bCs w:val="0"/>
          <w:sz w:val="24"/>
          <w:szCs w:val="24"/>
        </w:rPr>
      </w:pPr>
      <w:r>
        <w:rPr>
          <w:rFonts w:hint="eastAsia" w:ascii="宋体" w:hAnsi="宋体"/>
          <w:b w:val="0"/>
          <w:bCs w:val="0"/>
          <w:sz w:val="24"/>
          <w:szCs w:val="24"/>
        </w:rPr>
        <w:t xml:space="preserve">                                     企业名称（盖章）：</w:t>
      </w:r>
    </w:p>
    <w:p>
      <w:pPr>
        <w:pStyle w:val="6"/>
        <w:rPr>
          <w:rFonts w:ascii="宋体" w:hAnsi="宋体"/>
          <w:b w:val="0"/>
          <w:bCs w:val="0"/>
          <w:sz w:val="24"/>
          <w:szCs w:val="24"/>
        </w:rPr>
      </w:pPr>
      <w:r>
        <w:rPr>
          <w:rFonts w:hint="eastAsia" w:ascii="宋体" w:hAnsi="宋体"/>
          <w:b w:val="0"/>
          <w:bCs w:val="0"/>
          <w:sz w:val="24"/>
          <w:szCs w:val="24"/>
        </w:rPr>
        <w:t xml:space="preserve">                                      日 期：</w:t>
      </w:r>
    </w:p>
    <w:p>
      <w:pPr>
        <w:pStyle w:val="6"/>
        <w:spacing w:line="360" w:lineRule="auto"/>
        <w:ind w:firstLine="480" w:firstLineChars="200"/>
        <w:rPr>
          <w:rFonts w:ascii="宋体" w:hAnsi="宋体"/>
          <w:b w:val="0"/>
          <w:bCs w:val="0"/>
          <w:sz w:val="24"/>
          <w:szCs w:val="24"/>
        </w:rPr>
      </w:pPr>
    </w:p>
    <w:p>
      <w:pPr>
        <w:pStyle w:val="6"/>
        <w:spacing w:line="360" w:lineRule="auto"/>
        <w:ind w:firstLine="480" w:firstLineChars="200"/>
        <w:rPr>
          <w:rFonts w:ascii="宋体" w:hAnsi="宋体"/>
          <w:b w:val="0"/>
          <w:bCs w:val="0"/>
          <w:sz w:val="24"/>
          <w:szCs w:val="24"/>
        </w:rPr>
      </w:pPr>
    </w:p>
    <w:p>
      <w:pPr>
        <w:pStyle w:val="6"/>
        <w:spacing w:line="360" w:lineRule="auto"/>
        <w:ind w:firstLine="482" w:firstLineChars="200"/>
        <w:rPr>
          <w:rFonts w:ascii="宋体" w:hAnsi="宋体"/>
          <w:bCs w:val="0"/>
          <w:sz w:val="24"/>
          <w:szCs w:val="24"/>
        </w:rPr>
      </w:pPr>
      <w:r>
        <w:rPr>
          <w:rFonts w:hint="eastAsia" w:ascii="宋体" w:hAnsi="宋体"/>
          <w:bCs w:val="0"/>
          <w:sz w:val="24"/>
          <w:szCs w:val="24"/>
        </w:rPr>
        <w:t>注：从业人员、营业收入、资产总额填报上一年度数据，无上度数据的新成立企业可不填报</w:t>
      </w:r>
    </w:p>
    <w:p>
      <w:pPr>
        <w:pStyle w:val="6"/>
        <w:spacing w:line="360" w:lineRule="auto"/>
        <w:rPr>
          <w:rFonts w:ascii="宋体" w:cs="宋体"/>
          <w:b w:val="0"/>
          <w:color w:val="000000"/>
          <w:sz w:val="24"/>
        </w:rPr>
      </w:pPr>
      <w:r>
        <w:rPr>
          <w:rFonts w:ascii="宋体" w:cs="宋体"/>
        </w:rPr>
        <w:br w:type="page"/>
      </w:r>
      <w:bookmarkStart w:id="239" w:name="_Toc44704933"/>
      <w:bookmarkStart w:id="240" w:name="_Toc44705301"/>
      <w:r>
        <w:rPr>
          <w:rFonts w:ascii="宋体" w:hAnsi="宋体" w:cs="宋体"/>
          <w:sz w:val="28"/>
          <w:szCs w:val="28"/>
        </w:rPr>
        <w:t>2.7.</w:t>
      </w:r>
      <w:r>
        <w:rPr>
          <w:rFonts w:hint="eastAsia" w:ascii="宋体" w:hAnsi="宋体" w:cs="宋体"/>
          <w:sz w:val="28"/>
          <w:szCs w:val="28"/>
          <w:lang w:val="en-US" w:eastAsia="zh-CN"/>
        </w:rPr>
        <w:t>5</w:t>
      </w:r>
      <w:r>
        <w:rPr>
          <w:rFonts w:hint="eastAsia" w:ascii="宋体" w:hAnsi="宋体" w:cs="宋体"/>
          <w:sz w:val="28"/>
          <w:szCs w:val="28"/>
        </w:rPr>
        <w:t>残疾人福利性单位声明函</w:t>
      </w:r>
      <w:r>
        <w:rPr>
          <w:rFonts w:hint="eastAsia" w:ascii="宋体" w:hAnsi="宋体" w:cs="宋体"/>
          <w:b w:val="0"/>
          <w:sz w:val="28"/>
          <w:szCs w:val="28"/>
        </w:rPr>
        <w:t>（格式，不符合条件无须提交）</w:t>
      </w:r>
      <w:bookmarkEnd w:id="239"/>
      <w:bookmarkEnd w:id="240"/>
    </w:p>
    <w:p>
      <w:pPr>
        <w:pStyle w:val="41"/>
        <w:spacing w:line="360" w:lineRule="auto"/>
        <w:rPr>
          <w:rFonts w:cs="宋体"/>
        </w:rPr>
      </w:pPr>
      <w:r>
        <w:rPr>
          <w:rFonts w:hint="eastAsia" w:cs="宋体"/>
        </w:rPr>
        <w:t>注：</w:t>
      </w:r>
      <w:r>
        <w:rPr>
          <w:rFonts w:cs="宋体"/>
        </w:rPr>
        <w:t>1</w:t>
      </w:r>
      <w:r>
        <w:rPr>
          <w:rFonts w:hint="eastAsia" w:cs="宋体"/>
        </w:rPr>
        <w:t>、</w:t>
      </w:r>
      <w:r>
        <w:rPr>
          <w:rFonts w:hint="eastAsia" w:cs="宋体"/>
          <w:spacing w:val="6"/>
        </w:rPr>
        <w:t>根据《财政部</w:t>
      </w:r>
      <w:r>
        <w:rPr>
          <w:rFonts w:cs="宋体"/>
          <w:spacing w:val="6"/>
        </w:rPr>
        <w:t xml:space="preserve"> </w:t>
      </w:r>
      <w:r>
        <w:rPr>
          <w:rFonts w:hint="eastAsia" w:cs="宋体"/>
          <w:spacing w:val="6"/>
        </w:rPr>
        <w:t>民政部</w:t>
      </w:r>
      <w:r>
        <w:rPr>
          <w:rFonts w:cs="宋体"/>
          <w:spacing w:val="6"/>
        </w:rPr>
        <w:t xml:space="preserve"> </w:t>
      </w:r>
      <w:r>
        <w:rPr>
          <w:rFonts w:hint="eastAsia" w:cs="宋体"/>
          <w:spacing w:val="6"/>
        </w:rPr>
        <w:t>中国残疾人联合会关于促进残疾人就业政府采购政策的通知》（财库</w:t>
      </w:r>
      <w:r>
        <w:rPr>
          <w:rFonts w:hint="eastAsia" w:cs="宋体"/>
        </w:rPr>
        <w:t>〔</w:t>
      </w:r>
      <w:r>
        <w:rPr>
          <w:rFonts w:cs="宋体"/>
        </w:rPr>
        <w:t>2017</w:t>
      </w:r>
      <w:r>
        <w:rPr>
          <w:rFonts w:hint="eastAsia" w:cs="宋体"/>
        </w:rPr>
        <w:t>〕</w:t>
      </w:r>
      <w:r>
        <w:rPr>
          <w:rFonts w:cs="宋体"/>
        </w:rPr>
        <w:t xml:space="preserve"> 141</w:t>
      </w:r>
      <w:r>
        <w:rPr>
          <w:rFonts w:hint="eastAsia" w:cs="宋体"/>
          <w:spacing w:val="6"/>
        </w:rPr>
        <w:t>号）的规定，</w:t>
      </w:r>
      <w:r>
        <w:rPr>
          <w:rFonts w:hint="eastAsia" w:cs="宋体"/>
        </w:rPr>
        <w:t>符合条件的残疾人福利性单位在参加政府采购活动时，应当提供通知规定的《残疾人福利性单位声明函》，并对声明的真实性负责。</w:t>
      </w:r>
    </w:p>
    <w:p>
      <w:pPr>
        <w:pStyle w:val="41"/>
        <w:spacing w:line="360" w:lineRule="auto"/>
        <w:rPr>
          <w:rFonts w:cs="宋体"/>
        </w:rPr>
      </w:pPr>
      <w:r>
        <w:rPr>
          <w:rFonts w:hint="eastAsia" w:cs="宋体"/>
        </w:rPr>
        <w:t>　　</w:t>
      </w:r>
      <w:r>
        <w:rPr>
          <w:rFonts w:cs="宋体"/>
        </w:rPr>
        <w:t>2</w:t>
      </w:r>
      <w:r>
        <w:rPr>
          <w:rFonts w:hint="eastAsia" w:cs="宋体"/>
        </w:rPr>
        <w:t>、中标人为残疾人福利性单位的，其《残疾人福利性单位声明函》将随中标结果同时公告，接受社会监督。</w:t>
      </w:r>
    </w:p>
    <w:p>
      <w:pPr>
        <w:spacing w:before="240" w:beforeLines="100" w:line="360" w:lineRule="auto"/>
        <w:ind w:left="1359" w:leftChars="257" w:hanging="819" w:hangingChars="325"/>
        <w:jc w:val="center"/>
        <w:rPr>
          <w:rFonts w:ascii="宋体" w:cs="宋体"/>
          <w:color w:val="000000"/>
          <w:spacing w:val="6"/>
          <w:sz w:val="24"/>
          <w:szCs w:val="24"/>
        </w:rPr>
      </w:pPr>
    </w:p>
    <w:p>
      <w:pPr>
        <w:spacing w:before="240" w:beforeLines="100" w:line="360" w:lineRule="auto"/>
        <w:ind w:left="1323" w:leftChars="257" w:hanging="783" w:hangingChars="325"/>
        <w:jc w:val="center"/>
        <w:rPr>
          <w:rFonts w:ascii="宋体" w:cs="宋体"/>
          <w:b/>
          <w:spacing w:val="6"/>
          <w:sz w:val="28"/>
          <w:szCs w:val="32"/>
        </w:rPr>
      </w:pPr>
      <w:r>
        <w:rPr>
          <w:rFonts w:hint="eastAsia" w:ascii="宋体" w:hAnsi="宋体" w:cs="宋体"/>
          <w:b/>
          <w:kern w:val="0"/>
          <w:sz w:val="24"/>
        </w:rPr>
        <w:t>残疾人福利性单位声明函</w:t>
      </w:r>
    </w:p>
    <w:p>
      <w:pPr>
        <w:spacing w:line="360" w:lineRule="auto"/>
        <w:rPr>
          <w:rFonts w:ascii="宋体" w:cs="宋体"/>
          <w:b/>
          <w:spacing w:val="6"/>
          <w:sz w:val="30"/>
          <w:szCs w:val="30"/>
        </w:rPr>
      </w:pPr>
    </w:p>
    <w:p>
      <w:pPr>
        <w:spacing w:line="360" w:lineRule="auto"/>
        <w:ind w:firstLine="504" w:firstLineChars="200"/>
        <w:rPr>
          <w:rFonts w:ascii="宋体" w:cs="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hint="eastAsia" w:ascii="宋体" w:hAnsi="宋体" w:cs="宋体"/>
          <w:sz w:val="24"/>
          <w:szCs w:val="24"/>
        </w:rPr>
        <w:t>〔</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pacing w:val="6"/>
          <w:sz w:val="24"/>
          <w:szCs w:val="24"/>
        </w:rPr>
        <w:t>号）的规定，本单位为符合条件的残疾人福利性单位，且本单位参加</w:t>
      </w:r>
      <w:r>
        <w:rPr>
          <w:rFonts w:ascii="宋体" w:hAnsi="宋体" w:cs="宋体"/>
          <w:spacing w:val="6"/>
          <w:sz w:val="24"/>
          <w:szCs w:val="24"/>
        </w:rPr>
        <w:t>______</w:t>
      </w:r>
      <w:r>
        <w:rPr>
          <w:rFonts w:hint="eastAsia" w:ascii="宋体" w:hAnsi="宋体" w:cs="宋体"/>
          <w:spacing w:val="6"/>
          <w:sz w:val="24"/>
          <w:szCs w:val="24"/>
        </w:rPr>
        <w:t>单位的</w:t>
      </w:r>
      <w:r>
        <w:rPr>
          <w:rFonts w:ascii="宋体" w:hAnsi="宋体" w:cs="宋体"/>
          <w:spacing w:val="6"/>
          <w:sz w:val="24"/>
          <w:szCs w:val="24"/>
        </w:rPr>
        <w:t>______</w:t>
      </w:r>
      <w:r>
        <w:rPr>
          <w:rFonts w:hint="eastAsia" w:ascii="宋体" w:hAnsi="宋体" w:cs="宋体"/>
          <w:spacing w:val="6"/>
          <w:sz w:val="24"/>
          <w:szCs w:val="24"/>
        </w:rPr>
        <w:t>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pPr>
        <w:widowControl/>
        <w:spacing w:before="240" w:beforeLines="100" w:after="100" w:afterAutospacing="1" w:line="360" w:lineRule="auto"/>
        <w:ind w:firstLine="720" w:firstLineChars="300"/>
        <w:jc w:val="left"/>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624" w:firstLineChars="200"/>
        <w:rPr>
          <w:rFonts w:ascii="宋体" w:cs="宋体"/>
          <w:spacing w:val="6"/>
          <w:sz w:val="30"/>
          <w:szCs w:val="30"/>
        </w:rPr>
      </w:pPr>
    </w:p>
    <w:p>
      <w:pPr>
        <w:spacing w:line="360" w:lineRule="auto"/>
        <w:ind w:firstLine="624" w:firstLineChars="200"/>
        <w:rPr>
          <w:rFonts w:ascii="宋体" w:cs="宋体"/>
          <w:spacing w:val="6"/>
          <w:sz w:val="30"/>
          <w:szCs w:val="30"/>
        </w:rPr>
      </w:pPr>
    </w:p>
    <w:p>
      <w:pPr>
        <w:widowControl/>
        <w:spacing w:before="100" w:beforeAutospacing="1" w:after="100" w:afterAutospacing="1" w:line="360" w:lineRule="auto"/>
        <w:ind w:firstLine="5160" w:firstLineChars="2150"/>
        <w:jc w:val="left"/>
        <w:rPr>
          <w:rFonts w:ascii="宋体" w:cs="宋体"/>
          <w:sz w:val="24"/>
        </w:rPr>
      </w:pPr>
      <w:r>
        <w:rPr>
          <w:rFonts w:hint="eastAsia" w:ascii="宋体" w:hAnsi="宋体" w:cs="宋体"/>
          <w:sz w:val="24"/>
        </w:rPr>
        <w:t>单位名称（盖章）：</w:t>
      </w:r>
    </w:p>
    <w:p>
      <w:pPr>
        <w:widowControl/>
        <w:spacing w:before="100" w:beforeAutospacing="1" w:after="100" w:afterAutospacing="1" w:line="360" w:lineRule="auto"/>
        <w:ind w:firstLine="5160" w:firstLineChars="2150"/>
        <w:jc w:val="left"/>
        <w:rPr>
          <w:rFonts w:ascii="宋体" w:cs="宋体"/>
          <w:sz w:val="24"/>
        </w:rPr>
      </w:pPr>
      <w:r>
        <w:rPr>
          <w:rFonts w:hint="eastAsia" w:ascii="宋体" w:hAnsi="宋体" w:cs="宋体"/>
          <w:sz w:val="24"/>
        </w:rPr>
        <w:t>日期：</w:t>
      </w:r>
    </w:p>
    <w:p>
      <w:pPr>
        <w:pStyle w:val="7"/>
        <w:rPr>
          <w:rFonts w:ascii="宋体" w:cs="宋体"/>
          <w:color w:val="000000"/>
          <w:sz w:val="24"/>
          <w:szCs w:val="24"/>
          <w:lang w:eastAsia="zh-CN"/>
        </w:rPr>
      </w:pPr>
      <w:r>
        <w:rPr>
          <w:rFonts w:ascii="宋体" w:cs="宋体"/>
          <w:color w:val="000000"/>
          <w:lang w:eastAsia="zh-CN"/>
        </w:rPr>
        <w:br w:type="page"/>
      </w:r>
      <w:bookmarkStart w:id="241" w:name="_Toc44704935"/>
      <w:bookmarkStart w:id="242" w:name="_Toc44705303"/>
      <w:bookmarkStart w:id="243" w:name="_Toc493422677"/>
      <w:r>
        <w:rPr>
          <w:rFonts w:ascii="宋体" w:hAnsi="宋体" w:cs="宋体"/>
          <w:szCs w:val="24"/>
          <w:lang w:eastAsia="zh-CN"/>
        </w:rPr>
        <w:t>2.7.</w:t>
      </w:r>
      <w:r>
        <w:rPr>
          <w:rFonts w:hint="eastAsia" w:ascii="宋体" w:hAnsi="宋体" w:cs="宋体"/>
          <w:szCs w:val="24"/>
          <w:lang w:val="en-US" w:eastAsia="zh-CN"/>
        </w:rPr>
        <w:t>6</w:t>
      </w:r>
      <w:r>
        <w:rPr>
          <w:rFonts w:hint="eastAsia" w:ascii="宋体" w:hAnsi="宋体" w:cs="宋体"/>
          <w:szCs w:val="24"/>
          <w:lang w:eastAsia="zh-CN"/>
        </w:rPr>
        <w:t>招标文件要求的其它文件及投标人认为有必要提供的其它文件</w:t>
      </w:r>
      <w:bookmarkEnd w:id="241"/>
      <w:bookmarkEnd w:id="242"/>
      <w:bookmarkEnd w:id="243"/>
    </w:p>
    <w:p>
      <w:pPr>
        <w:spacing w:line="360" w:lineRule="auto"/>
        <w:jc w:val="left"/>
        <w:rPr>
          <w:rFonts w:ascii="宋体" w:cs="宋体"/>
          <w:color w:val="000000"/>
          <w:sz w:val="24"/>
          <w:szCs w:val="24"/>
        </w:rPr>
      </w:pPr>
    </w:p>
    <w:p>
      <w:pPr>
        <w:spacing w:line="360" w:lineRule="auto"/>
        <w:jc w:val="left"/>
        <w:rPr>
          <w:rFonts w:asci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投标人应仔细阅读招标文件，包括评标标准等，提供招标文件要求的相关方案、措施等，</w:t>
      </w:r>
      <w:r>
        <w:rPr>
          <w:rFonts w:hint="eastAsia" w:ascii="宋体" w:hAnsi="宋体" w:cs="宋体"/>
          <w:b/>
          <w:bCs/>
          <w:color w:val="000000"/>
          <w:sz w:val="24"/>
          <w:szCs w:val="24"/>
        </w:rPr>
        <w:t>格式自拟提供</w:t>
      </w:r>
      <w:r>
        <w:rPr>
          <w:rFonts w:hint="eastAsia" w:ascii="宋体" w:hAnsi="宋体" w:cs="宋体"/>
          <w:color w:val="000000"/>
          <w:sz w:val="24"/>
          <w:szCs w:val="24"/>
        </w:rPr>
        <w:t>。</w:t>
      </w:r>
      <w:bookmarkStart w:id="244" w:name="_Toc153353723"/>
      <w:bookmarkStart w:id="245" w:name="_Toc155772037"/>
      <w:bookmarkStart w:id="246" w:name="_Toc193858800"/>
      <w:bookmarkStart w:id="247" w:name="_Toc195427236"/>
      <w:bookmarkStart w:id="248" w:name="_Toc155772936"/>
      <w:bookmarkStart w:id="249" w:name="_Toc153356464"/>
      <w:bookmarkStart w:id="250" w:name="_Toc146011787"/>
      <w:bookmarkStart w:id="251" w:name="_Toc47418732"/>
      <w:bookmarkStart w:id="252" w:name="_Toc47418939"/>
      <w:bookmarkStart w:id="253" w:name="_Toc48995852"/>
      <w:bookmarkStart w:id="254" w:name="_Toc155772930"/>
      <w:bookmarkStart w:id="255" w:name="_Toc153353722"/>
      <w:bookmarkStart w:id="256" w:name="_Toc47261886"/>
      <w:bookmarkStart w:id="257" w:name="_Toc146011786"/>
      <w:bookmarkStart w:id="258" w:name="_Toc47418256"/>
      <w:bookmarkStart w:id="259" w:name="_Toc47262070"/>
      <w:bookmarkStart w:id="260" w:name="_Toc47261691"/>
      <w:bookmarkStart w:id="261" w:name="_Toc49019237"/>
      <w:bookmarkStart w:id="262" w:name="_Toc48791236"/>
    </w:p>
    <w:p>
      <w:pPr>
        <w:spacing w:line="360" w:lineRule="auto"/>
        <w:jc w:val="center"/>
        <w:rPr>
          <w:rFonts w:ascii="宋体" w:cs="宋体"/>
          <w:b/>
          <w:color w:val="000000"/>
          <w:sz w:val="24"/>
          <w:szCs w:val="24"/>
        </w:rPr>
      </w:pPr>
      <w:r>
        <w:br w:type="page"/>
      </w:r>
      <w:bookmarkEnd w:id="244"/>
      <w:bookmarkEnd w:id="245"/>
      <w:bookmarkEnd w:id="246"/>
      <w:bookmarkEnd w:id="247"/>
      <w:bookmarkEnd w:id="248"/>
      <w:bookmarkEnd w:id="249"/>
      <w:bookmarkEnd w:id="250"/>
      <w:r>
        <w:rPr>
          <w:rFonts w:hint="eastAsia" w:ascii="宋体" w:hAnsi="宋体" w:cs="宋体"/>
          <w:b/>
          <w:color w:val="000000"/>
          <w:sz w:val="24"/>
          <w:szCs w:val="24"/>
        </w:rPr>
        <w:t>关于中小企业的相关规定</w:t>
      </w:r>
    </w:p>
    <w:p>
      <w:pPr>
        <w:spacing w:line="360" w:lineRule="auto"/>
        <w:jc w:val="center"/>
        <w:rPr>
          <w:rFonts w:ascii="宋体" w:hAnsi="宋体" w:cs="宋体"/>
          <w:b/>
          <w:color w:val="000000"/>
          <w:sz w:val="32"/>
          <w:szCs w:val="24"/>
        </w:rPr>
      </w:pPr>
      <w:r>
        <w:rPr>
          <w:rFonts w:hint="eastAsia" w:ascii="宋体" w:hAnsi="宋体" w:cs="宋体"/>
          <w:b/>
          <w:color w:val="000000"/>
          <w:sz w:val="32"/>
          <w:szCs w:val="24"/>
        </w:rPr>
        <w:t>政府采购促进中小企业发展管理办法</w:t>
      </w:r>
    </w:p>
    <w:p>
      <w:pPr>
        <w:spacing w:line="360" w:lineRule="auto"/>
        <w:ind w:firstLine="482" w:firstLineChars="200"/>
        <w:rPr>
          <w:rFonts w:ascii="宋体" w:hAnsi="宋体" w:cs="宋体"/>
          <w:b/>
          <w:color w:val="000000"/>
          <w:sz w:val="24"/>
          <w:szCs w:val="24"/>
        </w:rPr>
      </w:pP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第一条</w:t>
      </w:r>
      <w:r>
        <w:rPr>
          <w:rFonts w:hint="eastAsia" w:ascii="宋体" w:hAnsi="宋体" w:cs="宋体"/>
          <w:color w:val="000000"/>
          <w:sz w:val="24"/>
          <w:szCs w:val="24"/>
        </w:rPr>
        <w:t>为了发挥政府采购的政策功能，促进中小企业健康发展，根据《中华人民共和国政府采购法》、《中华人民共和国中小企业促进法》等有关法律法规，制定本办法。</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第二条</w:t>
      </w:r>
      <w:r>
        <w:rPr>
          <w:rFonts w:hint="eastAsia" w:ascii="宋体" w:hAnsi="宋体" w:cs="宋体"/>
          <w:color w:val="000000"/>
          <w:sz w:val="24"/>
          <w:szCs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第三条</w:t>
      </w:r>
      <w:r>
        <w:rPr>
          <w:rFonts w:hint="eastAsia" w:ascii="宋体" w:hAnsi="宋体" w:cs="宋体"/>
          <w:color w:val="000000"/>
          <w:sz w:val="24"/>
          <w:szCs w:val="24"/>
        </w:rPr>
        <w:t>采购人在政府采购活动中应当通过加强采购需求管理，落实预留采购份额、价格评审优惠、优先采购等措施，提高中小企业在政府采购中的份额，支持中小企业发展。</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第四条</w:t>
      </w:r>
      <w:r>
        <w:rPr>
          <w:rFonts w:hint="eastAsia" w:ascii="宋体" w:hAnsi="宋体" w:cs="宋体"/>
          <w:color w:val="000000"/>
          <w:sz w:val="24"/>
          <w:szCs w:val="24"/>
        </w:rPr>
        <w:t>在政府采购活动中，供应商提供的货物、工程或者服务符合下列情形的，享受本办法规定的中小企业扶持政策：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（一）在货物采购项目中，货物由中小企业制造，即货</w:t>
      </w:r>
    </w:p>
    <w:p>
      <w:pPr>
        <w:spacing w:line="360" w:lineRule="auto"/>
        <w:rPr>
          <w:rFonts w:ascii="宋体" w:hAnsi="宋体" w:cs="宋体"/>
          <w:color w:val="000000"/>
          <w:sz w:val="24"/>
          <w:szCs w:val="24"/>
        </w:rPr>
      </w:pPr>
      <w:r>
        <w:rPr>
          <w:rFonts w:hint="eastAsia" w:ascii="宋体" w:hAnsi="宋体" w:cs="宋体"/>
          <w:color w:val="000000"/>
          <w:sz w:val="24"/>
          <w:szCs w:val="24"/>
        </w:rPr>
        <w:t>物由中小企业生产且使用该中小企业商号或者注册商标；</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（二）在工程采购项目中，工程由中小企业承建，即工</w:t>
      </w:r>
    </w:p>
    <w:p>
      <w:pPr>
        <w:spacing w:line="360" w:lineRule="auto"/>
        <w:rPr>
          <w:rFonts w:ascii="宋体" w:hAnsi="宋体" w:cs="宋体"/>
          <w:color w:val="000000"/>
          <w:sz w:val="24"/>
          <w:szCs w:val="24"/>
        </w:rPr>
      </w:pPr>
      <w:r>
        <w:rPr>
          <w:rFonts w:hint="eastAsia" w:ascii="宋体" w:hAnsi="宋体" w:cs="宋体"/>
          <w:color w:val="000000"/>
          <w:sz w:val="24"/>
          <w:szCs w:val="24"/>
        </w:rPr>
        <w:t>程施工单位为中小企业；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在货物采购项目中，供应商提供的货物既有中小企业制造货物，也有大型企业制造货物的，不享受本办法规定的中小企业扶持政策。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以联合体形式参加政府采购活动，联合体各方均为中小企业的，联合体视同中小企业。其中，联合体各方均为小微企业的，联合体视同小微企业。</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第五条</w:t>
      </w:r>
      <w:r>
        <w:rPr>
          <w:rFonts w:hint="eastAsia" w:ascii="宋体" w:hAnsi="宋体" w:cs="宋体"/>
          <w:color w:val="000000"/>
          <w:sz w:val="24"/>
          <w:szCs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第六条</w:t>
      </w:r>
      <w:r>
        <w:rPr>
          <w:rFonts w:hint="eastAsia" w:ascii="宋体" w:hAnsi="宋体" w:cs="宋体"/>
          <w:color w:val="000000"/>
          <w:sz w:val="24"/>
          <w:szCs w:val="24"/>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符合下列情形之一的，可不专门面向中小企业预留采购份额：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（一）法律法规和国家有关政策明确规定优先或者应当面向事业单位、社会组织等非企业主体采购的；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（二）因确需使用不可替代的专利、专有技术，基础设施限制，或者提供特定公共服务等原因，只能从中小企业之外的供应商处采购的；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（三）按照本办法规定预留采购份额无法确保充分供应、充分竞争，或者存在可能影响政府采购目标实现的情形；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（四）框架协议采购项目；</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（五）省级以上人民政府财政部门规定的其他情形。除上述情形外，其他均为适宜由中小企业提供的情形。</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第七条</w:t>
      </w:r>
      <w:r>
        <w:rPr>
          <w:rFonts w:hint="eastAsia" w:ascii="宋体" w:hAnsi="宋体" w:cs="宋体"/>
          <w:color w:val="000000"/>
          <w:sz w:val="24"/>
          <w:szCs w:val="24"/>
        </w:rPr>
        <w:t>采购限额标准以上，</w:t>
      </w:r>
      <w:r>
        <w:rPr>
          <w:rFonts w:ascii="宋体" w:hAnsi="宋体" w:cs="宋体"/>
          <w:color w:val="000000"/>
          <w:sz w:val="24"/>
          <w:szCs w:val="24"/>
        </w:rPr>
        <w:t xml:space="preserve">200 </w:t>
      </w:r>
      <w:r>
        <w:rPr>
          <w:rFonts w:hint="eastAsia" w:ascii="宋体" w:hAnsi="宋体" w:cs="宋体"/>
          <w:color w:val="000000"/>
          <w:sz w:val="24"/>
          <w:szCs w:val="24"/>
        </w:rPr>
        <w:t>万元以下的货物和服务采购项目、</w:t>
      </w:r>
      <w:r>
        <w:rPr>
          <w:rFonts w:ascii="宋体" w:hAnsi="宋体" w:cs="宋体"/>
          <w:color w:val="000000"/>
          <w:sz w:val="24"/>
          <w:szCs w:val="24"/>
        </w:rPr>
        <w:t xml:space="preserve">400 </w:t>
      </w:r>
      <w:r>
        <w:rPr>
          <w:rFonts w:hint="eastAsia" w:ascii="宋体" w:hAnsi="宋体" w:cs="宋体"/>
          <w:color w:val="000000"/>
          <w:sz w:val="24"/>
          <w:szCs w:val="24"/>
        </w:rPr>
        <w:t>万元以下的工程采购项目，适宜由中小企业提供的，采购人应当专门面向中小企业采购。</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第八条</w:t>
      </w:r>
      <w:r>
        <w:rPr>
          <w:rFonts w:hint="eastAsia" w:ascii="宋体" w:hAnsi="宋体" w:cs="宋体"/>
          <w:color w:val="000000"/>
          <w:sz w:val="24"/>
          <w:szCs w:val="24"/>
        </w:rPr>
        <w:t>超过</w:t>
      </w:r>
      <w:r>
        <w:rPr>
          <w:rFonts w:ascii="宋体" w:hAnsi="宋体" w:cs="宋体"/>
          <w:color w:val="000000"/>
          <w:sz w:val="24"/>
          <w:szCs w:val="24"/>
        </w:rPr>
        <w:t xml:space="preserve">200 </w:t>
      </w:r>
      <w:r>
        <w:rPr>
          <w:rFonts w:hint="eastAsia" w:ascii="宋体" w:hAnsi="宋体" w:cs="宋体"/>
          <w:color w:val="000000"/>
          <w:sz w:val="24"/>
          <w:szCs w:val="24"/>
        </w:rPr>
        <w:t>万元的货物和服务采购项目、超过</w:t>
      </w:r>
      <w:r>
        <w:rPr>
          <w:rFonts w:ascii="宋体" w:hAnsi="宋体" w:cs="宋体"/>
          <w:color w:val="000000"/>
          <w:sz w:val="24"/>
          <w:szCs w:val="24"/>
        </w:rPr>
        <w:t xml:space="preserve">400 </w:t>
      </w:r>
      <w:r>
        <w:rPr>
          <w:rFonts w:hint="eastAsia" w:ascii="宋体" w:hAnsi="宋体" w:cs="宋体"/>
          <w:color w:val="000000"/>
          <w:sz w:val="24"/>
          <w:szCs w:val="24"/>
        </w:rPr>
        <w:t>万元的工程采购项目中适宜由中小企业提供的，预留该部分采购项目预算总额的</w:t>
      </w:r>
      <w:r>
        <w:rPr>
          <w:rFonts w:ascii="宋体" w:hAnsi="宋体" w:cs="宋体"/>
          <w:color w:val="000000"/>
          <w:sz w:val="24"/>
          <w:szCs w:val="24"/>
        </w:rPr>
        <w:t>30%</w:t>
      </w:r>
      <w:r>
        <w:rPr>
          <w:rFonts w:hint="eastAsia" w:ascii="宋体" w:hAnsi="宋体" w:cs="宋体"/>
          <w:color w:val="000000"/>
          <w:sz w:val="24"/>
          <w:szCs w:val="24"/>
        </w:rPr>
        <w:t>以上专门面向中小企业采购，其中预留给小微企业的比例不低于</w:t>
      </w:r>
      <w:r>
        <w:rPr>
          <w:rFonts w:ascii="宋体" w:hAnsi="宋体" w:cs="宋体"/>
          <w:color w:val="000000"/>
          <w:sz w:val="24"/>
          <w:szCs w:val="24"/>
        </w:rPr>
        <w:t>60%</w:t>
      </w:r>
      <w:r>
        <w:rPr>
          <w:rFonts w:hint="eastAsia" w:ascii="宋体" w:hAnsi="宋体" w:cs="宋体"/>
          <w:color w:val="000000"/>
          <w:sz w:val="24"/>
          <w:szCs w:val="24"/>
        </w:rPr>
        <w:t>。预留份额通过下列措施进行：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（一）将采购项目整体或者设置采购包专门面向中小企业采购；</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（二）要求供应商以联合体形式参加采购活动，且联合体中中小企业承担的部分达到一定比例；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（三）要求获得采购合同的供应商将采购项目中的一定比例分包给一家或者多家中小企业。组成联合体或者接受分包合同的中小企业与联合体内其他企业、分包企业之间不得存在直接控股、管理关系。</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第九条</w:t>
      </w:r>
      <w:r>
        <w:rPr>
          <w:rFonts w:hint="eastAsia" w:ascii="宋体" w:hAnsi="宋体" w:cs="宋体"/>
          <w:color w:val="000000"/>
          <w:sz w:val="24"/>
          <w:szCs w:val="24"/>
        </w:rPr>
        <w:t>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s="宋体"/>
          <w:color w:val="000000"/>
          <w:sz w:val="24"/>
          <w:szCs w:val="24"/>
        </w:rPr>
        <w:t>6%</w:t>
      </w:r>
      <w:r>
        <w:rPr>
          <w:rFonts w:hint="eastAsia" w:ascii="宋体" w:hAnsi="宋体" w:cs="宋体"/>
          <w:color w:val="000000"/>
          <w:sz w:val="24"/>
          <w:szCs w:val="24"/>
        </w:rPr>
        <w:t>—</w:t>
      </w:r>
      <w:r>
        <w:rPr>
          <w:rFonts w:ascii="宋体" w:hAnsi="宋体" w:cs="宋体"/>
          <w:color w:val="000000"/>
          <w:sz w:val="24"/>
          <w:szCs w:val="24"/>
        </w:rPr>
        <w:t>10%</w:t>
      </w:r>
      <w:r>
        <w:rPr>
          <w:rFonts w:hint="eastAsia" w:ascii="宋体" w:hAnsi="宋体" w:cs="宋体"/>
          <w:color w:val="000000"/>
          <w:sz w:val="24"/>
          <w:szCs w:val="24"/>
        </w:rPr>
        <w:t>（工程项目为</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作为其价格分。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color w:val="000000"/>
          <w:sz w:val="24"/>
          <w:szCs w:val="24"/>
        </w:rPr>
        <w:t>30%</w:t>
      </w:r>
      <w:r>
        <w:rPr>
          <w:rFonts w:hint="eastAsia" w:ascii="宋体" w:hAnsi="宋体" w:cs="宋体"/>
          <w:color w:val="000000"/>
          <w:sz w:val="24"/>
          <w:szCs w:val="24"/>
        </w:rPr>
        <w:t>以上的，采购人、采购代理机构应当对联合体或者大中型企业的报价给予</w:t>
      </w:r>
      <w:r>
        <w:rPr>
          <w:rFonts w:ascii="宋体" w:hAnsi="宋体" w:cs="宋体"/>
          <w:color w:val="000000"/>
          <w:sz w:val="24"/>
          <w:szCs w:val="24"/>
        </w:rPr>
        <w:t>2%-3%</w:t>
      </w:r>
      <w:r>
        <w:rPr>
          <w:rFonts w:hint="eastAsia" w:ascii="宋体" w:hAnsi="宋体" w:cs="宋体"/>
          <w:color w:val="000000"/>
          <w:sz w:val="24"/>
          <w:szCs w:val="24"/>
        </w:rPr>
        <w:t>（工程项目为</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作为其价格分。组成联合体或者接受分包的小微企业与联合体内其他企业、分包企业之间存在直接控</w:t>
      </w:r>
    </w:p>
    <w:p>
      <w:pPr>
        <w:spacing w:line="360" w:lineRule="auto"/>
        <w:rPr>
          <w:rFonts w:ascii="宋体" w:hAnsi="宋体" w:cs="宋体"/>
          <w:color w:val="000000"/>
          <w:sz w:val="24"/>
          <w:szCs w:val="24"/>
        </w:rPr>
      </w:pPr>
      <w:r>
        <w:rPr>
          <w:rFonts w:hint="eastAsia" w:ascii="宋体" w:hAnsi="宋体" w:cs="宋体"/>
          <w:color w:val="000000"/>
          <w:sz w:val="24"/>
          <w:szCs w:val="24"/>
        </w:rPr>
        <w:t>股、管理关系的，不享受价格扣除优惠政策。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第十条</w:t>
      </w:r>
      <w:r>
        <w:rPr>
          <w:rFonts w:hint="eastAsia" w:ascii="宋体" w:hAnsi="宋体" w:cs="宋体"/>
          <w:color w:val="000000"/>
          <w:sz w:val="24"/>
          <w:szCs w:val="24"/>
        </w:rPr>
        <w:t>采购人应当严格按照本办法规定和主管预算单位制定的预留采购份额具体方案开展采购活动。预留份额的采购项目或者采购包，通过发布公告方式邀请供应商后，符合资格条件的中小企业数量不足</w:t>
      </w:r>
      <w:r>
        <w:rPr>
          <w:rFonts w:ascii="宋体" w:hAnsi="宋体" w:cs="宋体"/>
          <w:color w:val="000000"/>
          <w:sz w:val="24"/>
          <w:szCs w:val="24"/>
        </w:rPr>
        <w:t xml:space="preserve">3 </w:t>
      </w:r>
      <w:r>
        <w:rPr>
          <w:rFonts w:hint="eastAsia" w:ascii="宋体" w:hAnsi="宋体" w:cs="宋体"/>
          <w:color w:val="000000"/>
          <w:sz w:val="24"/>
          <w:szCs w:val="24"/>
        </w:rPr>
        <w:t>家的，应当中止采购活动，视同未预留份额的采购项目或者采购包，按照本办法第九条有关规定重新组织采购活动。</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第十一条</w:t>
      </w:r>
      <w:r>
        <w:rPr>
          <w:rFonts w:hint="eastAsia" w:ascii="宋体" w:hAnsi="宋体" w:cs="宋体"/>
          <w:color w:val="000000"/>
          <w:sz w:val="24"/>
          <w:szCs w:val="24"/>
        </w:rPr>
        <w:t>中小企业参加政府采购活动，应当出具本办法规定的《中小企业声明函》，否则不得享受相关中小企业扶持政策。任何单位和个人不得要求供应商提供《中小企业声明函》之外的中小企业身份证明文件。</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第十二条</w:t>
      </w:r>
      <w:r>
        <w:rPr>
          <w:rFonts w:hint="eastAsia" w:ascii="宋体" w:hAnsi="宋体" w:cs="宋体"/>
          <w:color w:val="000000"/>
          <w:sz w:val="24"/>
          <w:szCs w:val="24"/>
        </w:rPr>
        <w:t>采购项目涉及中小企业采购的，采购文件应当明确以下内容：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（一）预留份额的采购项目或者采购包，明确该项目或相关采购包专门面向中小企业采购，以及相关标的及预算金额；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（二）要求以联合体形式参加或者合同分包的，明确联合协议或者分包意向协议中中小企业合同金额应当达到的比例，并作为供应商资格条件；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（三）非预留份额的采购项目或者采购包，明确有关价格扣除比例或者价格分加分比例；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（四）规定依据本办法规定享受扶持政策获得政府采购合同的，小微企业不得将合同分包给大中型企业，中型企业不得将合同分包给大型企业；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（五）采购人认为具备相关条件的，明确对中小企业在资金支付期限、预付款比例等方面的优惠措施；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（六）明确采购标的对应的中小企业划分标准所属行业；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（七）法律法规和省级以上人民政府财政部门规定的其他事项。</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第十三条</w:t>
      </w:r>
      <w:r>
        <w:rPr>
          <w:rFonts w:hint="eastAsia" w:ascii="宋体" w:hAnsi="宋体" w:cs="宋体"/>
          <w:color w:val="000000"/>
          <w:sz w:val="24"/>
          <w:szCs w:val="24"/>
        </w:rPr>
        <w:t>中标、中标人享受本办法规定的中小企业扶持政策的，采购人、采购代理机构应当随中标、中标结果公开中标、中标人的《中小企业声明函》。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适用招标投标法的政府采购工程建设项目，应当在公示中标候选人时公开中标候选人的《中小企业声明函》。</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第十四条</w:t>
      </w:r>
      <w:r>
        <w:rPr>
          <w:rFonts w:hint="eastAsia" w:ascii="宋体" w:hAnsi="宋体" w:cs="宋体"/>
          <w:color w:val="000000"/>
          <w:sz w:val="24"/>
          <w:szCs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第十五条</w:t>
      </w:r>
      <w:r>
        <w:rPr>
          <w:rFonts w:hint="eastAsia" w:ascii="宋体" w:hAnsi="宋体" w:cs="宋体"/>
          <w:color w:val="000000"/>
          <w:sz w:val="24"/>
          <w:szCs w:val="24"/>
        </w:rPr>
        <w:t>鼓励各地区、各部门在采购活动中允许中小企业引入信用担保手段，为中小企业在投标（响应）保证、履约保证等方面提供专业化服务。鼓励中小企业依法合规通过政府采购合同融资。</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第十六条</w:t>
      </w:r>
      <w:r>
        <w:rPr>
          <w:rFonts w:hint="eastAsia" w:ascii="宋体" w:hAnsi="宋体" w:cs="宋体"/>
          <w:color w:val="000000"/>
          <w:sz w:val="24"/>
          <w:szCs w:val="24"/>
        </w:rPr>
        <w:t>政府采购监督检查、投诉处理及政府采购行政处罚中对中小企业的认定，由货物制造商或者工程、服务供应商注册登记所在地的县级以上人民政府中小企业主管部门负责。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中小企业主管部门应当在收到财政部门或者有关招标投标行政监督部门关于协助开展中小企业认定函后</w:t>
      </w:r>
      <w:r>
        <w:rPr>
          <w:rFonts w:ascii="宋体" w:hAnsi="宋体" w:cs="宋体"/>
          <w:color w:val="000000"/>
          <w:sz w:val="24"/>
          <w:szCs w:val="24"/>
        </w:rPr>
        <w:t xml:space="preserve">10 </w:t>
      </w:r>
      <w:r>
        <w:rPr>
          <w:rFonts w:hint="eastAsia" w:ascii="宋体" w:hAnsi="宋体" w:cs="宋体"/>
          <w:color w:val="000000"/>
          <w:sz w:val="24"/>
          <w:szCs w:val="24"/>
        </w:rPr>
        <w:t>个工作日内做出书面答复。</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第十七条</w:t>
      </w:r>
      <w:r>
        <w:rPr>
          <w:rFonts w:hint="eastAsia" w:ascii="宋体" w:hAnsi="宋体" w:cs="宋体"/>
          <w:color w:val="000000"/>
          <w:sz w:val="24"/>
          <w:szCs w:val="24"/>
        </w:rPr>
        <w:t>各地区、各部门应当对涉及中小企业采购的预算项目实施全过程绩效管理，合理设置绩效目标和指标，落实扶持中小企业有关政策要求，定期开展绩效监控和评价，强化绩效评价结果应用。</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第十八条</w:t>
      </w:r>
      <w:r>
        <w:rPr>
          <w:rFonts w:hint="eastAsia" w:ascii="宋体" w:hAnsi="宋体" w:cs="宋体"/>
          <w:color w:val="000000"/>
          <w:sz w:val="24"/>
          <w:szCs w:val="24"/>
        </w:rPr>
        <w:t>主管预算单位应当自</w:t>
      </w:r>
      <w:r>
        <w:rPr>
          <w:rFonts w:ascii="宋体" w:hAnsi="宋体" w:cs="宋体"/>
          <w:color w:val="000000"/>
          <w:sz w:val="24"/>
          <w:szCs w:val="24"/>
        </w:rPr>
        <w:t xml:space="preserve">2022 </w:t>
      </w:r>
      <w:r>
        <w:rPr>
          <w:rFonts w:hint="eastAsia" w:ascii="宋体" w:hAnsi="宋体" w:cs="宋体"/>
          <w:color w:val="000000"/>
          <w:sz w:val="24"/>
          <w:szCs w:val="24"/>
        </w:rPr>
        <w:t>年起向同级财政部门报告本部门上一年度面向中小企业预留份额和采购的具体情况，并在中国政府采购网公开预留项目执行情况。未达到本办法规定的预留份额比例的，应当作出说明。</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第十九条</w:t>
      </w:r>
      <w:r>
        <w:rPr>
          <w:rFonts w:hint="eastAsia" w:ascii="宋体" w:hAnsi="宋体" w:cs="宋体"/>
          <w:color w:val="000000"/>
          <w:sz w:val="24"/>
          <w:szCs w:val="24"/>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第二十条</w:t>
      </w:r>
      <w:r>
        <w:rPr>
          <w:rFonts w:hint="eastAsia" w:ascii="宋体" w:hAnsi="宋体" w:cs="宋体"/>
          <w:color w:val="000000"/>
          <w:sz w:val="24"/>
          <w:szCs w:val="24"/>
        </w:rPr>
        <w:t>供应商按照本办法规定提供声明函内容不实的，属于提供虚假材料谋取中标、中标，依照《中华人民共和国政府采购法》等国家有关规定追究相应责任。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适用招标投标法的政府采购工程建设项目，投标人按照本办法规定提供声明函内容不实的，属于弄虚作假骗取中标，</w:t>
      </w:r>
    </w:p>
    <w:p>
      <w:pPr>
        <w:spacing w:line="360" w:lineRule="auto"/>
        <w:rPr>
          <w:rFonts w:ascii="宋体" w:hAnsi="宋体" w:cs="宋体"/>
          <w:color w:val="000000"/>
          <w:sz w:val="24"/>
          <w:szCs w:val="24"/>
        </w:rPr>
      </w:pPr>
      <w:r>
        <w:rPr>
          <w:rFonts w:hint="eastAsia" w:ascii="宋体" w:hAnsi="宋体" w:cs="宋体"/>
          <w:color w:val="000000"/>
          <w:sz w:val="24"/>
          <w:szCs w:val="24"/>
        </w:rPr>
        <w:t>依照《中华人民共和国招标投标法》等国家有关规定追究相应责任。</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第二十一条</w:t>
      </w:r>
      <w:r>
        <w:rPr>
          <w:rFonts w:hint="eastAsia" w:ascii="宋体" w:hAnsi="宋体" w:cs="宋体"/>
          <w:color w:val="000000"/>
          <w:sz w:val="24"/>
          <w:szCs w:val="24"/>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第二十二条</w:t>
      </w:r>
      <w:r>
        <w:rPr>
          <w:rFonts w:hint="eastAsia" w:ascii="宋体" w:hAnsi="宋体" w:cs="宋体"/>
          <w:color w:val="000000"/>
          <w:sz w:val="24"/>
          <w:szCs w:val="24"/>
        </w:rPr>
        <w:t>对外援助项目、国家相关资格或者资质管理制度另有规定的项目，不适用本办法。</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第二十三条</w:t>
      </w:r>
      <w:r>
        <w:rPr>
          <w:rFonts w:hint="eastAsia" w:ascii="宋体" w:hAnsi="宋体" w:cs="宋体"/>
          <w:color w:val="000000"/>
          <w:sz w:val="24"/>
          <w:szCs w:val="24"/>
        </w:rPr>
        <w:t>关于视同中小企业的其他主体的政府采购扶持政策，由财政部会同有关部门另行规定。</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第二十四条</w:t>
      </w:r>
      <w:r>
        <w:rPr>
          <w:rFonts w:hint="eastAsia" w:ascii="宋体" w:hAnsi="宋体" w:cs="宋体"/>
          <w:color w:val="000000"/>
          <w:sz w:val="24"/>
          <w:szCs w:val="24"/>
        </w:rPr>
        <w:t>省级财政部门可以会同中小企业主管部门根据本办法的规定制定具体实施办法。</w:t>
      </w:r>
    </w:p>
    <w:p>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第二十五条</w:t>
      </w:r>
      <w:r>
        <w:rPr>
          <w:rFonts w:hint="eastAsia" w:ascii="宋体" w:hAnsi="宋体" w:cs="宋体"/>
          <w:color w:val="000000"/>
          <w:sz w:val="24"/>
          <w:szCs w:val="24"/>
        </w:rPr>
        <w:t>本办法自</w:t>
      </w:r>
      <w:r>
        <w:rPr>
          <w:rFonts w:ascii="宋体" w:hAnsi="宋体" w:cs="宋体"/>
          <w:color w:val="000000"/>
          <w:sz w:val="24"/>
          <w:szCs w:val="24"/>
        </w:rPr>
        <w:t xml:space="preserve">2021 </w:t>
      </w:r>
      <w:r>
        <w:rPr>
          <w:rFonts w:hint="eastAsia" w:ascii="宋体" w:hAnsi="宋体" w:cs="宋体"/>
          <w:color w:val="000000"/>
          <w:sz w:val="24"/>
          <w:szCs w:val="24"/>
        </w:rPr>
        <w:t>年</w:t>
      </w:r>
      <w:r>
        <w:rPr>
          <w:rFonts w:ascii="宋体" w:hAnsi="宋体" w:cs="宋体"/>
          <w:color w:val="000000"/>
          <w:sz w:val="24"/>
          <w:szCs w:val="24"/>
        </w:rPr>
        <w:t xml:space="preserve">1 </w:t>
      </w:r>
      <w:r>
        <w:rPr>
          <w:rFonts w:hint="eastAsia" w:ascii="宋体" w:hAnsi="宋体" w:cs="宋体"/>
          <w:color w:val="000000"/>
          <w:sz w:val="24"/>
          <w:szCs w:val="24"/>
        </w:rPr>
        <w:t>月</w:t>
      </w:r>
      <w:r>
        <w:rPr>
          <w:rFonts w:ascii="宋体" w:hAnsi="宋体" w:cs="宋体"/>
          <w:color w:val="000000"/>
          <w:sz w:val="24"/>
          <w:szCs w:val="24"/>
        </w:rPr>
        <w:t xml:space="preserve">1 </w:t>
      </w:r>
      <w:r>
        <w:rPr>
          <w:rFonts w:hint="eastAsia" w:ascii="宋体" w:hAnsi="宋体" w:cs="宋体"/>
          <w:color w:val="000000"/>
          <w:sz w:val="24"/>
          <w:szCs w:val="24"/>
        </w:rPr>
        <w:t>日起施行。《财政部工业和信息化部关于印发〈政府采购促进中小企业发展暂行办法〉的通知》（财库﹝</w:t>
      </w:r>
      <w:r>
        <w:rPr>
          <w:rFonts w:ascii="宋体" w:hAnsi="宋体" w:cs="宋体"/>
          <w:color w:val="000000"/>
          <w:sz w:val="24"/>
          <w:szCs w:val="24"/>
        </w:rPr>
        <w:t>2011</w:t>
      </w:r>
      <w:r>
        <w:rPr>
          <w:rFonts w:hint="eastAsia" w:ascii="宋体" w:hAnsi="宋体" w:cs="宋体"/>
          <w:color w:val="000000"/>
          <w:sz w:val="24"/>
          <w:szCs w:val="24"/>
        </w:rPr>
        <w:t>﹞</w:t>
      </w:r>
      <w:r>
        <w:rPr>
          <w:rFonts w:ascii="宋体" w:hAnsi="宋体" w:cs="宋体"/>
          <w:color w:val="000000"/>
          <w:sz w:val="24"/>
          <w:szCs w:val="24"/>
        </w:rPr>
        <w:t xml:space="preserve">181 </w:t>
      </w:r>
      <w:r>
        <w:rPr>
          <w:rFonts w:hint="eastAsia" w:ascii="宋体" w:hAnsi="宋体" w:cs="宋体"/>
          <w:color w:val="000000"/>
          <w:sz w:val="24"/>
          <w:szCs w:val="24"/>
        </w:rPr>
        <w:t>号）同时废止。</w:t>
      </w:r>
    </w:p>
    <w:p>
      <w:pPr>
        <w:widowControl/>
        <w:jc w:val="left"/>
        <w:rPr>
          <w:rFonts w:ascii="宋体" w:hAnsi="宋体" w:cs="宋体"/>
          <w:b/>
          <w:color w:val="000000"/>
          <w:sz w:val="24"/>
          <w:szCs w:val="24"/>
        </w:rPr>
      </w:pPr>
      <w:r>
        <w:rPr>
          <w:rFonts w:ascii="宋体" w:hAnsi="宋体" w:cs="宋体"/>
          <w:b/>
          <w:color w:val="000000"/>
          <w:sz w:val="24"/>
          <w:szCs w:val="24"/>
        </w:rPr>
        <w:br w:type="page"/>
      </w:r>
    </w:p>
    <w:p>
      <w:pPr>
        <w:spacing w:line="360" w:lineRule="auto"/>
        <w:rPr>
          <w:rFonts w:ascii="宋体" w:hAnsi="宋体" w:cs="宋体"/>
          <w:b/>
          <w:color w:val="000000"/>
          <w:sz w:val="24"/>
          <w:szCs w:val="24"/>
        </w:rPr>
      </w:pPr>
      <w:r>
        <w:rPr>
          <w:rFonts w:hint="eastAsia" w:ascii="宋体" w:hAnsi="宋体" w:cs="宋体"/>
          <w:b/>
          <w:color w:val="000000"/>
          <w:sz w:val="24"/>
          <w:szCs w:val="24"/>
        </w:rPr>
        <w:t>关于进一步加大政府采购支持中小企业力度的通知</w:t>
      </w:r>
    </w:p>
    <w:p>
      <w:pPr>
        <w:spacing w:line="360" w:lineRule="auto"/>
        <w:rPr>
          <w:rFonts w:ascii="宋体" w:hAnsi="宋体" w:cs="宋体"/>
          <w:color w:val="000000"/>
          <w:sz w:val="24"/>
          <w:szCs w:val="24"/>
        </w:rPr>
      </w:pPr>
    </w:p>
    <w:p>
      <w:pPr>
        <w:spacing w:line="360" w:lineRule="auto"/>
        <w:jc w:val="center"/>
        <w:rPr>
          <w:rFonts w:ascii="宋体" w:hAnsi="宋体" w:cs="宋体"/>
          <w:color w:val="000000"/>
          <w:sz w:val="24"/>
          <w:szCs w:val="24"/>
        </w:rPr>
      </w:pPr>
      <w:r>
        <w:rPr>
          <w:rFonts w:hint="eastAsia" w:ascii="宋体" w:hAnsi="宋体" w:cs="宋体"/>
          <w:color w:val="000000"/>
          <w:sz w:val="24"/>
          <w:szCs w:val="24"/>
        </w:rPr>
        <w:t>财库〔2022〕19号</w:t>
      </w:r>
    </w:p>
    <w:p>
      <w:pPr>
        <w:spacing w:line="360" w:lineRule="auto"/>
        <w:rPr>
          <w:rFonts w:ascii="宋体" w:hAnsi="宋体" w:cs="宋体"/>
          <w:color w:val="000000"/>
          <w:sz w:val="24"/>
          <w:szCs w:val="24"/>
        </w:rPr>
      </w:pPr>
      <w:r>
        <w:rPr>
          <w:rFonts w:hint="eastAsia" w:ascii="宋体" w:hAnsi="宋体" w:cs="宋体"/>
          <w:color w:val="000000"/>
          <w:sz w:val="24"/>
          <w:szCs w:val="24"/>
        </w:rPr>
        <w:t>各中央预算单位，各省、自治区、直辖市、计划单列市财政厅（局），新疆生产建设兵团财政局：</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四、认真做好组织实施。各地区、各部门应当加强组织领导，明确工作责任，细化执行要求，强化监督检查，确保国务院部署落实到位，对通知执行中出现的问题要及时向财政部报告。</w:t>
      </w:r>
    </w:p>
    <w:p>
      <w:pPr>
        <w:spacing w:line="360" w:lineRule="auto"/>
        <w:rPr>
          <w:rFonts w:ascii="宋体" w:hAnsi="宋体" w:cs="宋体"/>
          <w:color w:val="000000"/>
          <w:sz w:val="24"/>
          <w:szCs w:val="24"/>
        </w:rPr>
      </w:pPr>
    </w:p>
    <w:p>
      <w:pPr>
        <w:spacing w:line="360" w:lineRule="auto"/>
        <w:jc w:val="right"/>
        <w:rPr>
          <w:rFonts w:ascii="宋体" w:hAnsi="宋体" w:cs="宋体"/>
          <w:color w:val="000000"/>
          <w:sz w:val="24"/>
          <w:szCs w:val="24"/>
        </w:rPr>
      </w:pPr>
      <w:r>
        <w:rPr>
          <w:rFonts w:hint="eastAsia" w:ascii="宋体" w:hAnsi="宋体" w:cs="宋体"/>
          <w:color w:val="000000"/>
          <w:sz w:val="24"/>
          <w:szCs w:val="24"/>
        </w:rPr>
        <w:t>财  政  部</w:t>
      </w:r>
    </w:p>
    <w:p>
      <w:pPr>
        <w:spacing w:line="360" w:lineRule="auto"/>
        <w:jc w:val="right"/>
        <w:rPr>
          <w:rFonts w:ascii="宋体" w:hAnsi="宋体" w:cs="宋体"/>
          <w:color w:val="000000"/>
          <w:sz w:val="24"/>
          <w:szCs w:val="24"/>
        </w:rPr>
      </w:pPr>
    </w:p>
    <w:p>
      <w:pPr>
        <w:spacing w:line="360" w:lineRule="auto"/>
        <w:jc w:val="right"/>
        <w:rPr>
          <w:rFonts w:ascii="宋体" w:hAnsi="宋体" w:cs="宋体"/>
          <w:color w:val="000000"/>
          <w:sz w:val="24"/>
          <w:szCs w:val="24"/>
        </w:rPr>
      </w:pPr>
      <w:r>
        <w:rPr>
          <w:rFonts w:hint="eastAsia" w:ascii="宋体" w:hAnsi="宋体" w:cs="宋体"/>
          <w:color w:val="000000"/>
          <w:sz w:val="24"/>
          <w:szCs w:val="24"/>
        </w:rPr>
        <w:t>2022年5月30日</w:t>
      </w:r>
    </w:p>
    <w:p>
      <w:pPr>
        <w:pStyle w:val="41"/>
        <w:spacing w:before="0" w:beforeAutospacing="0" w:after="0" w:afterAutospacing="0" w:line="360" w:lineRule="auto"/>
        <w:rPr>
          <w:rFonts w:cs="宋体"/>
          <w:color w:val="000000"/>
        </w:rPr>
      </w:pPr>
      <w:r>
        <w:rPr>
          <w:rFonts w:cs="宋体"/>
          <w:b/>
          <w:color w:val="000000"/>
        </w:rPr>
        <w:br w:type="page"/>
      </w:r>
      <w:r>
        <w:rPr>
          <w:rStyle w:val="50"/>
          <w:rFonts w:hint="eastAsia" w:cs="宋体"/>
          <w:color w:val="000000"/>
        </w:rPr>
        <w:t>中小企业划型标准规定</w:t>
      </w:r>
    </w:p>
    <w:p>
      <w:pPr>
        <w:pStyle w:val="41"/>
        <w:spacing w:before="0" w:beforeAutospacing="0" w:after="0" w:afterAutospacing="0" w:line="360" w:lineRule="auto"/>
        <w:rPr>
          <w:rFonts w:hint="eastAsia" w:eastAsia="宋体" w:cs="宋体"/>
          <w:color w:val="000000"/>
          <w:lang w:eastAsia="zh-CN"/>
        </w:rPr>
      </w:pPr>
      <w:r>
        <w:rPr>
          <w:rFonts w:cs="宋体"/>
          <w:color w:val="000000"/>
        </w:rPr>
        <w:t> </w:t>
      </w:r>
      <w:r>
        <w:rPr>
          <w:rFonts w:hint="eastAsia" w:cs="宋体"/>
          <w:color w:val="000000"/>
        </w:rPr>
        <w:t>　一、根据《中华人民共和国中小企业促进法》和《国务院关于进一步促进中小企业发展的若干意见》</w:t>
      </w:r>
      <w:r>
        <w:rPr>
          <w:rFonts w:cs="宋体"/>
          <w:color w:val="000000"/>
        </w:rPr>
        <w:t>(</w:t>
      </w:r>
      <w:r>
        <w:rPr>
          <w:rFonts w:hint="eastAsia" w:cs="宋体"/>
          <w:color w:val="000000"/>
        </w:rPr>
        <w:t>国发〔</w:t>
      </w:r>
      <w:r>
        <w:rPr>
          <w:rFonts w:cs="宋体"/>
          <w:color w:val="000000"/>
        </w:rPr>
        <w:t>2009</w:t>
      </w:r>
      <w:r>
        <w:rPr>
          <w:rFonts w:hint="eastAsia" w:cs="宋体"/>
          <w:color w:val="000000"/>
        </w:rPr>
        <w:t>〕</w:t>
      </w:r>
      <w:r>
        <w:rPr>
          <w:rFonts w:cs="宋体"/>
          <w:color w:val="000000"/>
        </w:rPr>
        <w:t>36</w:t>
      </w:r>
      <w:r>
        <w:rPr>
          <w:rFonts w:hint="eastAsia" w:cs="宋体"/>
          <w:color w:val="000000"/>
        </w:rPr>
        <w:t>号</w:t>
      </w:r>
      <w:r>
        <w:rPr>
          <w:rFonts w:cs="宋体"/>
          <w:color w:val="000000"/>
        </w:rPr>
        <w:t>)</w:t>
      </w:r>
      <w:r>
        <w:rPr>
          <w:rFonts w:hint="eastAsia" w:cs="宋体"/>
          <w:color w:val="000000"/>
        </w:rPr>
        <w:t>，制定本规定。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二、中小企业划分为中型、小型、微型三种类型，具体标准根据企业从业人员、营业收入、资产总额等指标，结合行业特点制定。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四、各行业划型标准为：</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（一）农、林、牧、渔业。营业收入</w:t>
      </w:r>
      <w:r>
        <w:rPr>
          <w:rFonts w:cs="宋体"/>
          <w:color w:val="000000"/>
        </w:rPr>
        <w:t>20000</w:t>
      </w:r>
      <w:r>
        <w:rPr>
          <w:rFonts w:hint="eastAsia" w:cs="宋体"/>
          <w:color w:val="000000"/>
        </w:rPr>
        <w:t>万元以下的为中小微型企业。其中，营业收入</w:t>
      </w:r>
      <w:r>
        <w:rPr>
          <w:rFonts w:cs="宋体"/>
          <w:color w:val="000000"/>
        </w:rPr>
        <w:t>500</w:t>
      </w:r>
      <w:r>
        <w:rPr>
          <w:rFonts w:hint="eastAsia" w:cs="宋体"/>
          <w:color w:val="000000"/>
        </w:rPr>
        <w:t>万元及以上的为中型企业，营业收入</w:t>
      </w:r>
      <w:r>
        <w:rPr>
          <w:rFonts w:cs="宋体"/>
          <w:color w:val="000000"/>
        </w:rPr>
        <w:t>50</w:t>
      </w:r>
      <w:r>
        <w:rPr>
          <w:rFonts w:hint="eastAsia" w:cs="宋体"/>
          <w:color w:val="000000"/>
        </w:rPr>
        <w:t>万元及以上的为小型企业，营业收入</w:t>
      </w:r>
      <w:r>
        <w:rPr>
          <w:rFonts w:cs="宋体"/>
          <w:color w:val="000000"/>
        </w:rPr>
        <w:t>50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（二）工业。从业人员</w:t>
      </w:r>
      <w:r>
        <w:rPr>
          <w:rFonts w:cs="宋体"/>
          <w:color w:val="000000"/>
        </w:rPr>
        <w:t>1000</w:t>
      </w:r>
      <w:r>
        <w:rPr>
          <w:rFonts w:hint="eastAsia" w:cs="宋体"/>
          <w:color w:val="000000"/>
        </w:rPr>
        <w:t>人以下或营业收入</w:t>
      </w:r>
      <w:r>
        <w:rPr>
          <w:rFonts w:cs="宋体"/>
          <w:color w:val="000000"/>
        </w:rPr>
        <w:t>40000</w:t>
      </w:r>
      <w:r>
        <w:rPr>
          <w:rFonts w:hint="eastAsia" w:cs="宋体"/>
          <w:color w:val="000000"/>
        </w:rPr>
        <w:t>万元以下的为中小微型企业。其中，从业人员</w:t>
      </w:r>
      <w:r>
        <w:rPr>
          <w:rFonts w:cs="宋体"/>
          <w:color w:val="000000"/>
        </w:rPr>
        <w:t>300</w:t>
      </w:r>
      <w:r>
        <w:rPr>
          <w:rFonts w:hint="eastAsia" w:cs="宋体"/>
          <w:color w:val="000000"/>
        </w:rPr>
        <w:t>人及以上，且营业收入</w:t>
      </w:r>
      <w:r>
        <w:rPr>
          <w:rFonts w:cs="宋体"/>
          <w:color w:val="000000"/>
        </w:rPr>
        <w:t>2000</w:t>
      </w:r>
      <w:r>
        <w:rPr>
          <w:rFonts w:hint="eastAsia" w:cs="宋体"/>
          <w:color w:val="000000"/>
        </w:rPr>
        <w:t>万元及以上的为中型企业；从业人员</w:t>
      </w:r>
      <w:r>
        <w:rPr>
          <w:rFonts w:cs="宋体"/>
          <w:color w:val="000000"/>
        </w:rPr>
        <w:t>20</w:t>
      </w:r>
      <w:r>
        <w:rPr>
          <w:rFonts w:hint="eastAsia" w:cs="宋体"/>
          <w:color w:val="000000"/>
        </w:rPr>
        <w:t>人及以上，且营业收入</w:t>
      </w:r>
      <w:r>
        <w:rPr>
          <w:rFonts w:cs="宋体"/>
          <w:color w:val="000000"/>
        </w:rPr>
        <w:t>300</w:t>
      </w:r>
      <w:r>
        <w:rPr>
          <w:rFonts w:hint="eastAsia" w:cs="宋体"/>
          <w:color w:val="000000"/>
        </w:rPr>
        <w:t>万元及以上的为小型企业；从业人员</w:t>
      </w:r>
      <w:r>
        <w:rPr>
          <w:rFonts w:cs="宋体"/>
          <w:color w:val="000000"/>
        </w:rPr>
        <w:t>20</w:t>
      </w:r>
      <w:r>
        <w:rPr>
          <w:rFonts w:hint="eastAsia" w:cs="宋体"/>
          <w:color w:val="000000"/>
        </w:rPr>
        <w:t>人以下或营业收入</w:t>
      </w:r>
      <w:r>
        <w:rPr>
          <w:rFonts w:cs="宋体"/>
          <w:color w:val="000000"/>
        </w:rPr>
        <w:t>300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（三）建筑业。营业收入</w:t>
      </w:r>
      <w:r>
        <w:rPr>
          <w:rFonts w:cs="宋体"/>
          <w:color w:val="000000"/>
        </w:rPr>
        <w:t>80000</w:t>
      </w:r>
      <w:r>
        <w:rPr>
          <w:rFonts w:hint="eastAsia" w:cs="宋体"/>
          <w:color w:val="000000"/>
        </w:rPr>
        <w:t>万元以下或资产总额</w:t>
      </w:r>
      <w:r>
        <w:rPr>
          <w:rFonts w:cs="宋体"/>
          <w:color w:val="000000"/>
        </w:rPr>
        <w:t>80000</w:t>
      </w:r>
      <w:r>
        <w:rPr>
          <w:rFonts w:hint="eastAsia" w:cs="宋体"/>
          <w:color w:val="000000"/>
        </w:rPr>
        <w:t>万元以下的为中小微型企业。其中，营业收入</w:t>
      </w:r>
      <w:r>
        <w:rPr>
          <w:rFonts w:cs="宋体"/>
          <w:color w:val="000000"/>
        </w:rPr>
        <w:t>6000</w:t>
      </w:r>
      <w:r>
        <w:rPr>
          <w:rFonts w:hint="eastAsia" w:cs="宋体"/>
          <w:color w:val="000000"/>
        </w:rPr>
        <w:t>万元及以上，且资产总额</w:t>
      </w:r>
      <w:r>
        <w:rPr>
          <w:rFonts w:cs="宋体"/>
          <w:color w:val="000000"/>
        </w:rPr>
        <w:t>5000</w:t>
      </w:r>
      <w:r>
        <w:rPr>
          <w:rFonts w:hint="eastAsia" w:cs="宋体"/>
          <w:color w:val="000000"/>
        </w:rPr>
        <w:t>万元及以上的为中型企业；营业收入</w:t>
      </w:r>
      <w:r>
        <w:rPr>
          <w:rFonts w:cs="宋体"/>
          <w:color w:val="000000"/>
        </w:rPr>
        <w:t>300</w:t>
      </w:r>
      <w:r>
        <w:rPr>
          <w:rFonts w:hint="eastAsia" w:cs="宋体"/>
          <w:color w:val="000000"/>
        </w:rPr>
        <w:t>万元及以上，且资产总额</w:t>
      </w:r>
      <w:r>
        <w:rPr>
          <w:rFonts w:cs="宋体"/>
          <w:color w:val="000000"/>
        </w:rPr>
        <w:t>300</w:t>
      </w:r>
      <w:r>
        <w:rPr>
          <w:rFonts w:hint="eastAsia" w:cs="宋体"/>
          <w:color w:val="000000"/>
        </w:rPr>
        <w:t>万元及以上的为小型企业；营业收入</w:t>
      </w:r>
      <w:r>
        <w:rPr>
          <w:rFonts w:cs="宋体"/>
          <w:color w:val="000000"/>
        </w:rPr>
        <w:t>300</w:t>
      </w:r>
      <w:r>
        <w:rPr>
          <w:rFonts w:hint="eastAsia" w:cs="宋体"/>
          <w:color w:val="000000"/>
        </w:rPr>
        <w:t>万元以下或资产总额</w:t>
      </w:r>
      <w:r>
        <w:rPr>
          <w:rFonts w:cs="宋体"/>
          <w:color w:val="000000"/>
        </w:rPr>
        <w:t>300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（四）批发业。从业人员</w:t>
      </w:r>
      <w:r>
        <w:rPr>
          <w:rFonts w:cs="宋体"/>
          <w:color w:val="000000"/>
        </w:rPr>
        <w:t>200</w:t>
      </w:r>
      <w:r>
        <w:rPr>
          <w:rFonts w:hint="eastAsia" w:cs="宋体"/>
          <w:color w:val="000000"/>
        </w:rPr>
        <w:t>人以下或营业收入</w:t>
      </w:r>
      <w:r>
        <w:rPr>
          <w:rFonts w:cs="宋体"/>
          <w:color w:val="000000"/>
        </w:rPr>
        <w:t>40000</w:t>
      </w:r>
      <w:r>
        <w:rPr>
          <w:rFonts w:hint="eastAsia" w:cs="宋体"/>
          <w:color w:val="000000"/>
        </w:rPr>
        <w:t>万元以下的为中小微型企业。其中，从业人员</w:t>
      </w:r>
      <w:r>
        <w:rPr>
          <w:rFonts w:cs="宋体"/>
          <w:color w:val="000000"/>
        </w:rPr>
        <w:t>20</w:t>
      </w:r>
      <w:r>
        <w:rPr>
          <w:rFonts w:hint="eastAsia" w:cs="宋体"/>
          <w:color w:val="000000"/>
        </w:rPr>
        <w:t>人及以上，且营业收入</w:t>
      </w:r>
      <w:r>
        <w:rPr>
          <w:rFonts w:cs="宋体"/>
          <w:color w:val="000000"/>
        </w:rPr>
        <w:t>5000</w:t>
      </w:r>
      <w:r>
        <w:rPr>
          <w:rFonts w:hint="eastAsia" w:cs="宋体"/>
          <w:color w:val="000000"/>
        </w:rPr>
        <w:t>万元及以上的为中型企业；从业人员</w:t>
      </w:r>
      <w:r>
        <w:rPr>
          <w:rFonts w:cs="宋体"/>
          <w:color w:val="000000"/>
        </w:rPr>
        <w:t>5</w:t>
      </w:r>
      <w:r>
        <w:rPr>
          <w:rFonts w:hint="eastAsia" w:cs="宋体"/>
          <w:color w:val="000000"/>
        </w:rPr>
        <w:t>人及以上，且营业收入</w:t>
      </w:r>
      <w:r>
        <w:rPr>
          <w:rFonts w:cs="宋体"/>
          <w:color w:val="000000"/>
        </w:rPr>
        <w:t>1000</w:t>
      </w:r>
      <w:r>
        <w:rPr>
          <w:rFonts w:hint="eastAsia" w:cs="宋体"/>
          <w:color w:val="000000"/>
        </w:rPr>
        <w:t>万元及以上的为小型企业；从业人员</w:t>
      </w:r>
      <w:r>
        <w:rPr>
          <w:rFonts w:cs="宋体"/>
          <w:color w:val="000000"/>
        </w:rPr>
        <w:t>5</w:t>
      </w:r>
      <w:r>
        <w:rPr>
          <w:rFonts w:hint="eastAsia" w:cs="宋体"/>
          <w:color w:val="000000"/>
        </w:rPr>
        <w:t>人以下或营业收入</w:t>
      </w:r>
      <w:r>
        <w:rPr>
          <w:rFonts w:cs="宋体"/>
          <w:color w:val="000000"/>
        </w:rPr>
        <w:t>1000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（五）零售业。从业人员</w:t>
      </w:r>
      <w:r>
        <w:rPr>
          <w:rFonts w:cs="宋体"/>
          <w:color w:val="000000"/>
        </w:rPr>
        <w:t>300</w:t>
      </w:r>
      <w:r>
        <w:rPr>
          <w:rFonts w:hint="eastAsia" w:cs="宋体"/>
          <w:color w:val="000000"/>
        </w:rPr>
        <w:t>人以下或营业收入</w:t>
      </w:r>
      <w:r>
        <w:rPr>
          <w:rFonts w:cs="宋体"/>
          <w:color w:val="000000"/>
        </w:rPr>
        <w:t>20000</w:t>
      </w:r>
      <w:r>
        <w:rPr>
          <w:rFonts w:hint="eastAsia" w:cs="宋体"/>
          <w:color w:val="000000"/>
        </w:rPr>
        <w:t>万元以下的为中小微型企业。其中，从业人员</w:t>
      </w:r>
      <w:r>
        <w:rPr>
          <w:rFonts w:cs="宋体"/>
          <w:color w:val="000000"/>
        </w:rPr>
        <w:t>50</w:t>
      </w:r>
      <w:r>
        <w:rPr>
          <w:rFonts w:hint="eastAsia" w:cs="宋体"/>
          <w:color w:val="000000"/>
        </w:rPr>
        <w:t>人及以上，且营业收入</w:t>
      </w:r>
      <w:r>
        <w:rPr>
          <w:rFonts w:cs="宋体"/>
          <w:color w:val="000000"/>
        </w:rPr>
        <w:t>500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（六）交通运输业。从业人员</w:t>
      </w:r>
      <w:r>
        <w:rPr>
          <w:rFonts w:cs="宋体"/>
          <w:color w:val="000000"/>
        </w:rPr>
        <w:t>1000</w:t>
      </w:r>
      <w:r>
        <w:rPr>
          <w:rFonts w:hint="eastAsia" w:cs="宋体"/>
          <w:color w:val="000000"/>
        </w:rPr>
        <w:t>人以下或营业收入</w:t>
      </w:r>
      <w:r>
        <w:rPr>
          <w:rFonts w:cs="宋体"/>
          <w:color w:val="000000"/>
        </w:rPr>
        <w:t>30000</w:t>
      </w:r>
      <w:r>
        <w:rPr>
          <w:rFonts w:hint="eastAsia" w:cs="宋体"/>
          <w:color w:val="000000"/>
        </w:rPr>
        <w:t>万元以下的为中小微型企业。其中，从业人员</w:t>
      </w:r>
      <w:r>
        <w:rPr>
          <w:rFonts w:cs="宋体"/>
          <w:color w:val="000000"/>
        </w:rPr>
        <w:t>300</w:t>
      </w:r>
      <w:r>
        <w:rPr>
          <w:rFonts w:hint="eastAsia" w:cs="宋体"/>
          <w:color w:val="000000"/>
        </w:rPr>
        <w:t>人及以上，且营业收入</w:t>
      </w:r>
      <w:r>
        <w:rPr>
          <w:rFonts w:cs="宋体"/>
          <w:color w:val="000000"/>
        </w:rPr>
        <w:t>3000</w:t>
      </w:r>
      <w:r>
        <w:rPr>
          <w:rFonts w:hint="eastAsia" w:cs="宋体"/>
          <w:color w:val="000000"/>
        </w:rPr>
        <w:t>万元及以上的为中型企业；从业人员</w:t>
      </w:r>
      <w:r>
        <w:rPr>
          <w:rFonts w:cs="宋体"/>
          <w:color w:val="000000"/>
        </w:rPr>
        <w:t>20</w:t>
      </w:r>
      <w:r>
        <w:rPr>
          <w:rFonts w:hint="eastAsia" w:cs="宋体"/>
          <w:color w:val="000000"/>
        </w:rPr>
        <w:t>人及以上，且营业收入</w:t>
      </w:r>
      <w:r>
        <w:rPr>
          <w:rFonts w:cs="宋体"/>
          <w:color w:val="000000"/>
        </w:rPr>
        <w:t>200</w:t>
      </w:r>
      <w:r>
        <w:rPr>
          <w:rFonts w:hint="eastAsia" w:cs="宋体"/>
          <w:color w:val="000000"/>
        </w:rPr>
        <w:t>万元及以上的为小型企业；从业人员</w:t>
      </w:r>
      <w:r>
        <w:rPr>
          <w:rFonts w:cs="宋体"/>
          <w:color w:val="000000"/>
        </w:rPr>
        <w:t>20</w:t>
      </w:r>
      <w:r>
        <w:rPr>
          <w:rFonts w:hint="eastAsia" w:cs="宋体"/>
          <w:color w:val="000000"/>
        </w:rPr>
        <w:t>人以下或营业收入</w:t>
      </w:r>
      <w:r>
        <w:rPr>
          <w:rFonts w:cs="宋体"/>
          <w:color w:val="000000"/>
        </w:rPr>
        <w:t>200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（七）仓储业。从业人员</w:t>
      </w:r>
      <w:r>
        <w:rPr>
          <w:rFonts w:cs="宋体"/>
          <w:color w:val="000000"/>
        </w:rPr>
        <w:t>200</w:t>
      </w:r>
      <w:r>
        <w:rPr>
          <w:rFonts w:hint="eastAsia" w:cs="宋体"/>
          <w:color w:val="000000"/>
        </w:rPr>
        <w:t>人以下或营业收入</w:t>
      </w:r>
      <w:r>
        <w:rPr>
          <w:rFonts w:cs="宋体"/>
          <w:color w:val="000000"/>
        </w:rPr>
        <w:t>30000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1000</w:t>
      </w:r>
      <w:r>
        <w:rPr>
          <w:rFonts w:hint="eastAsia" w:cs="宋体"/>
          <w:color w:val="000000"/>
        </w:rPr>
        <w:t>万元及以上的为中型企业；从业人员</w:t>
      </w:r>
      <w:r>
        <w:rPr>
          <w:rFonts w:cs="宋体"/>
          <w:color w:val="000000"/>
        </w:rPr>
        <w:t>20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20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（八）邮政业。从业人员</w:t>
      </w:r>
      <w:r>
        <w:rPr>
          <w:rFonts w:cs="宋体"/>
          <w:color w:val="000000"/>
        </w:rPr>
        <w:t>1000</w:t>
      </w:r>
      <w:r>
        <w:rPr>
          <w:rFonts w:hint="eastAsia" w:cs="宋体"/>
          <w:color w:val="000000"/>
        </w:rPr>
        <w:t>人以下或营业收入</w:t>
      </w:r>
      <w:r>
        <w:rPr>
          <w:rFonts w:cs="宋体"/>
          <w:color w:val="000000"/>
        </w:rPr>
        <w:t>30000</w:t>
      </w:r>
      <w:r>
        <w:rPr>
          <w:rFonts w:hint="eastAsia" w:cs="宋体"/>
          <w:color w:val="000000"/>
        </w:rPr>
        <w:t>万元以下的为中小微型企业。其中，从业人员</w:t>
      </w:r>
      <w:r>
        <w:rPr>
          <w:rFonts w:cs="宋体"/>
          <w:color w:val="000000"/>
        </w:rPr>
        <w:t>300</w:t>
      </w:r>
      <w:r>
        <w:rPr>
          <w:rFonts w:hint="eastAsia" w:cs="宋体"/>
          <w:color w:val="000000"/>
        </w:rPr>
        <w:t>人及以上，且营业收入</w:t>
      </w:r>
      <w:r>
        <w:rPr>
          <w:rFonts w:cs="宋体"/>
          <w:color w:val="000000"/>
        </w:rPr>
        <w:t>2000</w:t>
      </w:r>
      <w:r>
        <w:rPr>
          <w:rFonts w:hint="eastAsia" w:cs="宋体"/>
          <w:color w:val="000000"/>
        </w:rPr>
        <w:t>万元及以上的为中型企业；从业人员</w:t>
      </w:r>
      <w:r>
        <w:rPr>
          <w:rFonts w:cs="宋体"/>
          <w:color w:val="000000"/>
        </w:rPr>
        <w:t>20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20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（九）住宿业。从业人员</w:t>
      </w:r>
      <w:r>
        <w:rPr>
          <w:rFonts w:cs="宋体"/>
          <w:color w:val="000000"/>
        </w:rPr>
        <w:t>300</w:t>
      </w:r>
      <w:r>
        <w:rPr>
          <w:rFonts w:hint="eastAsia" w:cs="宋体"/>
          <w:color w:val="000000"/>
        </w:rPr>
        <w:t>人以下或营业收入</w:t>
      </w:r>
      <w:r>
        <w:rPr>
          <w:rFonts w:cs="宋体"/>
          <w:color w:val="000000"/>
        </w:rPr>
        <w:t>10000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2000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（十）餐饮业。从业人员</w:t>
      </w:r>
      <w:r>
        <w:rPr>
          <w:rFonts w:cs="宋体"/>
          <w:color w:val="000000"/>
        </w:rPr>
        <w:t>300</w:t>
      </w:r>
      <w:r>
        <w:rPr>
          <w:rFonts w:hint="eastAsia" w:cs="宋体"/>
          <w:color w:val="000000"/>
        </w:rPr>
        <w:t>人以下或营业收入</w:t>
      </w:r>
      <w:r>
        <w:rPr>
          <w:rFonts w:cs="宋体"/>
          <w:color w:val="000000"/>
        </w:rPr>
        <w:t>10000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2000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（十一）信息传输业。从业人员</w:t>
      </w:r>
      <w:r>
        <w:rPr>
          <w:rFonts w:cs="宋体"/>
          <w:color w:val="000000"/>
        </w:rPr>
        <w:t>2000</w:t>
      </w:r>
      <w:r>
        <w:rPr>
          <w:rFonts w:hint="eastAsia" w:cs="宋体"/>
          <w:color w:val="000000"/>
        </w:rPr>
        <w:t>人以下或营业收入</w:t>
      </w:r>
      <w:r>
        <w:rPr>
          <w:rFonts w:cs="宋体"/>
          <w:color w:val="000000"/>
        </w:rPr>
        <w:t>100000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1000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（十二）软件和信息技术服务业。从业人员</w:t>
      </w:r>
      <w:r>
        <w:rPr>
          <w:rFonts w:cs="宋体"/>
          <w:color w:val="000000"/>
        </w:rPr>
        <w:t>300</w:t>
      </w:r>
      <w:r>
        <w:rPr>
          <w:rFonts w:hint="eastAsia" w:cs="宋体"/>
          <w:color w:val="000000"/>
        </w:rPr>
        <w:t>人以下或营业收入</w:t>
      </w:r>
      <w:r>
        <w:rPr>
          <w:rFonts w:cs="宋体"/>
          <w:color w:val="000000"/>
        </w:rPr>
        <w:t>10000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1000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50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50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（十三）房地产开发经营。营业收入</w:t>
      </w:r>
      <w:r>
        <w:rPr>
          <w:rFonts w:cs="宋体"/>
          <w:color w:val="000000"/>
        </w:rPr>
        <w:t>200000</w:t>
      </w:r>
      <w:r>
        <w:rPr>
          <w:rFonts w:hint="eastAsia" w:cs="宋体"/>
          <w:color w:val="000000"/>
        </w:rPr>
        <w:t>万元以下或资产总额</w:t>
      </w:r>
      <w:r>
        <w:rPr>
          <w:rFonts w:cs="宋体"/>
          <w:color w:val="000000"/>
        </w:rPr>
        <w:t>10000</w:t>
      </w:r>
      <w:r>
        <w:rPr>
          <w:rFonts w:hint="eastAsia" w:cs="宋体"/>
          <w:color w:val="000000"/>
        </w:rPr>
        <w:t>万元以下的为中小微型企业。其中，营业收入</w:t>
      </w:r>
      <w:r>
        <w:rPr>
          <w:rFonts w:cs="宋体"/>
          <w:color w:val="000000"/>
        </w:rPr>
        <w:t>1000</w:t>
      </w:r>
      <w:r>
        <w:rPr>
          <w:rFonts w:hint="eastAsia" w:cs="宋体"/>
          <w:color w:val="000000"/>
        </w:rPr>
        <w:t>万元及以上，且资产总额</w:t>
      </w:r>
      <w:r>
        <w:rPr>
          <w:rFonts w:cs="宋体"/>
          <w:color w:val="000000"/>
        </w:rPr>
        <w:t>5000</w:t>
      </w:r>
      <w:r>
        <w:rPr>
          <w:rFonts w:hint="eastAsia" w:cs="宋体"/>
          <w:color w:val="000000"/>
        </w:rPr>
        <w:t>万元及以上的为中型企业；营业收入</w:t>
      </w:r>
      <w:r>
        <w:rPr>
          <w:rFonts w:cs="宋体"/>
          <w:color w:val="000000"/>
        </w:rPr>
        <w:t>100</w:t>
      </w:r>
      <w:r>
        <w:rPr>
          <w:rFonts w:hint="eastAsia" w:cs="宋体"/>
          <w:color w:val="000000"/>
        </w:rPr>
        <w:t>万元及以上，且资产总额</w:t>
      </w:r>
      <w:r>
        <w:rPr>
          <w:rFonts w:cs="宋体"/>
          <w:color w:val="000000"/>
        </w:rPr>
        <w:t>2000</w:t>
      </w:r>
      <w:r>
        <w:rPr>
          <w:rFonts w:hint="eastAsia" w:cs="宋体"/>
          <w:color w:val="000000"/>
        </w:rPr>
        <w:t>万元及以上的为小型企业；营业收入</w:t>
      </w:r>
      <w:r>
        <w:rPr>
          <w:rFonts w:cs="宋体"/>
          <w:color w:val="000000"/>
        </w:rPr>
        <w:t>100</w:t>
      </w:r>
      <w:r>
        <w:rPr>
          <w:rFonts w:hint="eastAsia" w:cs="宋体"/>
          <w:color w:val="000000"/>
        </w:rPr>
        <w:t>万元以下或资产总额</w:t>
      </w:r>
      <w:r>
        <w:rPr>
          <w:rFonts w:cs="宋体"/>
          <w:color w:val="000000"/>
        </w:rPr>
        <w:t>2000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（十四）物业管理。从业人员</w:t>
      </w:r>
      <w:r>
        <w:rPr>
          <w:rFonts w:cs="宋体"/>
          <w:color w:val="000000"/>
        </w:rPr>
        <w:t>1000</w:t>
      </w:r>
      <w:r>
        <w:rPr>
          <w:rFonts w:hint="eastAsia" w:cs="宋体"/>
          <w:color w:val="000000"/>
        </w:rPr>
        <w:t>人以下或营业收入</w:t>
      </w:r>
      <w:r>
        <w:rPr>
          <w:rFonts w:cs="宋体"/>
          <w:color w:val="000000"/>
        </w:rPr>
        <w:t>5000</w:t>
      </w:r>
      <w:r>
        <w:rPr>
          <w:rFonts w:hint="eastAsia" w:cs="宋体"/>
          <w:color w:val="000000"/>
        </w:rPr>
        <w:t>万元以下的为中小微型企业。其中，从业人员</w:t>
      </w:r>
      <w:r>
        <w:rPr>
          <w:rFonts w:cs="宋体"/>
          <w:color w:val="000000"/>
        </w:rPr>
        <w:t>300</w:t>
      </w:r>
      <w:r>
        <w:rPr>
          <w:rFonts w:hint="eastAsia" w:cs="宋体"/>
          <w:color w:val="000000"/>
        </w:rPr>
        <w:t>人及以上，且营业收入</w:t>
      </w:r>
      <w:r>
        <w:rPr>
          <w:rFonts w:cs="宋体"/>
          <w:color w:val="000000"/>
        </w:rPr>
        <w:t>1000</w:t>
      </w:r>
      <w:r>
        <w:rPr>
          <w:rFonts w:hint="eastAsia" w:cs="宋体"/>
          <w:color w:val="000000"/>
        </w:rPr>
        <w:t>万元及以上的为中型企业；从业人员</w:t>
      </w:r>
      <w:r>
        <w:rPr>
          <w:rFonts w:cs="宋体"/>
          <w:color w:val="000000"/>
        </w:rPr>
        <w:t>100</w:t>
      </w:r>
      <w:r>
        <w:rPr>
          <w:rFonts w:hint="eastAsia" w:cs="宋体"/>
          <w:color w:val="000000"/>
        </w:rPr>
        <w:t>人及以上，且营业收入</w:t>
      </w:r>
      <w:r>
        <w:rPr>
          <w:rFonts w:cs="宋体"/>
          <w:color w:val="000000"/>
        </w:rPr>
        <w:t>500</w:t>
      </w:r>
      <w:r>
        <w:rPr>
          <w:rFonts w:hint="eastAsia" w:cs="宋体"/>
          <w:color w:val="000000"/>
        </w:rPr>
        <w:t>万元及以上的为小型企业；从业人员</w:t>
      </w:r>
      <w:r>
        <w:rPr>
          <w:rFonts w:cs="宋体"/>
          <w:color w:val="000000"/>
        </w:rPr>
        <w:t>100</w:t>
      </w:r>
      <w:r>
        <w:rPr>
          <w:rFonts w:hint="eastAsia" w:cs="宋体"/>
          <w:color w:val="000000"/>
        </w:rPr>
        <w:t>人以下或营业收入</w:t>
      </w:r>
      <w:r>
        <w:rPr>
          <w:rFonts w:cs="宋体"/>
          <w:color w:val="000000"/>
        </w:rPr>
        <w:t>500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（十五）租赁和商务服务业。从业人员</w:t>
      </w:r>
      <w:r>
        <w:rPr>
          <w:rFonts w:cs="宋体"/>
          <w:color w:val="000000"/>
        </w:rPr>
        <w:t>300</w:t>
      </w:r>
      <w:r>
        <w:rPr>
          <w:rFonts w:hint="eastAsia" w:cs="宋体"/>
          <w:color w:val="000000"/>
        </w:rPr>
        <w:t>人以下或资产总额</w:t>
      </w:r>
      <w:r>
        <w:rPr>
          <w:rFonts w:cs="宋体"/>
          <w:color w:val="000000"/>
        </w:rPr>
        <w:t>120000</w:t>
      </w:r>
      <w:r>
        <w:rPr>
          <w:rFonts w:hint="eastAsia" w:cs="宋体"/>
          <w:color w:val="000000"/>
        </w:rPr>
        <w:t>万元以下的为中小微型企业。其中，从业人员</w:t>
      </w:r>
      <w:r>
        <w:rPr>
          <w:rFonts w:cs="宋体"/>
          <w:color w:val="000000"/>
        </w:rPr>
        <w:t>100</w:t>
      </w:r>
      <w:r>
        <w:rPr>
          <w:rFonts w:hint="eastAsia" w:cs="宋体"/>
          <w:color w:val="000000"/>
        </w:rPr>
        <w:t>人及以上，且资产总额</w:t>
      </w:r>
      <w:r>
        <w:rPr>
          <w:rFonts w:cs="宋体"/>
          <w:color w:val="000000"/>
        </w:rPr>
        <w:t>8000</w:t>
      </w:r>
      <w:r>
        <w:rPr>
          <w:rFonts w:hint="eastAsia" w:cs="宋体"/>
          <w:color w:val="000000"/>
        </w:rPr>
        <w:t>万元及以上的为中型企业；从业人员</w:t>
      </w:r>
      <w:r>
        <w:rPr>
          <w:rFonts w:cs="宋体"/>
          <w:color w:val="000000"/>
        </w:rPr>
        <w:t>10</w:t>
      </w:r>
      <w:r>
        <w:rPr>
          <w:rFonts w:hint="eastAsia" w:cs="宋体"/>
          <w:color w:val="000000"/>
        </w:rPr>
        <w:t>人及以上，且资产总额</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人以下或资产总额</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（十六）其他未列明行业。从业人员</w:t>
      </w:r>
      <w:r>
        <w:rPr>
          <w:rFonts w:cs="宋体"/>
          <w:color w:val="000000"/>
        </w:rPr>
        <w:t>300</w:t>
      </w:r>
      <w:r>
        <w:rPr>
          <w:rFonts w:hint="eastAsia" w:cs="宋体"/>
          <w:color w:val="000000"/>
        </w:rPr>
        <w:t>人以下的为中小微型企业。其中，从业人员</w:t>
      </w:r>
      <w:r>
        <w:rPr>
          <w:rFonts w:cs="宋体"/>
          <w:color w:val="000000"/>
        </w:rPr>
        <w:t>100</w:t>
      </w:r>
      <w:r>
        <w:rPr>
          <w:rFonts w:hint="eastAsia" w:cs="宋体"/>
          <w:color w:val="000000"/>
        </w:rPr>
        <w:t>人及以上的为中型企业；从业人员</w:t>
      </w:r>
      <w:r>
        <w:rPr>
          <w:rFonts w:cs="宋体"/>
          <w:color w:val="000000"/>
        </w:rPr>
        <w:t>10</w:t>
      </w:r>
      <w:r>
        <w:rPr>
          <w:rFonts w:hint="eastAsia" w:cs="宋体"/>
          <w:color w:val="000000"/>
        </w:rPr>
        <w:t>人及以上的为小型企业；从业人员</w:t>
      </w:r>
      <w:r>
        <w:rPr>
          <w:rFonts w:cs="宋体"/>
          <w:color w:val="000000"/>
        </w:rPr>
        <w:t>10</w:t>
      </w:r>
      <w:r>
        <w:rPr>
          <w:rFonts w:hint="eastAsia" w:cs="宋体"/>
          <w:color w:val="000000"/>
        </w:rPr>
        <w:t>人以下的为微型企业。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五、企业类型的划分以统计部门的统计数据为依据。</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六、本规定适用于在中华人民共和国境内依法设立的各类所有制和各种组织形式的企业。个体工商户和本规定以外的行业，参照本规定进行划型。</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八、本规定由工业和信息化部、国家统计局会同有关部门根据《国民经济行业分类》修订情况和企业发展变化情况适时修订。</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九、本规定由工业和信息化部、国家统计局会同有关部门负责解释。</w:t>
      </w:r>
    </w:p>
    <w:p>
      <w:pPr>
        <w:pStyle w:val="41"/>
        <w:spacing w:before="0" w:beforeAutospacing="0" w:after="0" w:afterAutospacing="0" w:line="360" w:lineRule="auto"/>
        <w:rPr>
          <w:rFonts w:cs="宋体"/>
          <w:color w:val="000000"/>
        </w:rPr>
      </w:pPr>
      <w:r>
        <w:rPr>
          <w:rFonts w:hint="eastAsia" w:cs="宋体"/>
          <w:color w:val="000000"/>
        </w:rPr>
        <w:t>　　十、本规定自发布之日起执行，原国家经贸委、原国家计委、财政部和国家统计局</w:t>
      </w:r>
      <w:r>
        <w:rPr>
          <w:rFonts w:cs="宋体"/>
          <w:color w:val="000000"/>
        </w:rPr>
        <w:t>2003</w:t>
      </w:r>
      <w:r>
        <w:rPr>
          <w:rFonts w:hint="eastAsia" w:cs="宋体"/>
          <w:color w:val="000000"/>
        </w:rPr>
        <w:t>年颁布的《中小企业标准暂行规定》同时废止。</w:t>
      </w:r>
    </w:p>
    <w:p>
      <w:pPr>
        <w:spacing w:line="360" w:lineRule="auto"/>
        <w:rPr>
          <w:rFonts w:ascii="宋体" w:cs="宋体"/>
          <w:color w:val="000000"/>
          <w:sz w:val="24"/>
          <w:szCs w:val="24"/>
        </w:rPr>
      </w:pPr>
    </w:p>
    <w:p>
      <w:pPr>
        <w:spacing w:line="360" w:lineRule="auto"/>
        <w:jc w:val="right"/>
        <w:rPr>
          <w:rFonts w:ascii="宋体" w:cs="宋体"/>
          <w:color w:val="000000"/>
          <w:sz w:val="24"/>
          <w:szCs w:val="24"/>
        </w:rPr>
      </w:pPr>
      <w:r>
        <w:rPr>
          <w:rFonts w:hint="eastAsia" w:ascii="宋体" w:hAnsi="宋体" w:cs="宋体"/>
          <w:color w:val="000000"/>
          <w:sz w:val="24"/>
          <w:szCs w:val="24"/>
        </w:rPr>
        <w:t>工业和信息化部</w:t>
      </w:r>
      <w:r>
        <w:rPr>
          <w:rFonts w:ascii="宋体" w:hAnsi="宋体" w:cs="宋体"/>
          <w:color w:val="000000"/>
          <w:sz w:val="24"/>
          <w:szCs w:val="24"/>
        </w:rPr>
        <w:t xml:space="preserve">   </w:t>
      </w:r>
      <w:r>
        <w:rPr>
          <w:rFonts w:hint="eastAsia" w:ascii="宋体" w:hAnsi="宋体" w:cs="宋体"/>
          <w:color w:val="000000"/>
          <w:sz w:val="24"/>
          <w:szCs w:val="24"/>
        </w:rPr>
        <w:t>国家统计局</w:t>
      </w:r>
    </w:p>
    <w:p>
      <w:pPr>
        <w:spacing w:line="360" w:lineRule="auto"/>
        <w:jc w:val="right"/>
        <w:rPr>
          <w:rFonts w:ascii="宋体" w:cs="宋体"/>
          <w:color w:val="000000"/>
          <w:sz w:val="24"/>
          <w:szCs w:val="24"/>
        </w:rPr>
      </w:pPr>
      <w:r>
        <w:rPr>
          <w:rFonts w:hint="eastAsia" w:ascii="宋体" w:hAnsi="宋体" w:cs="宋体"/>
          <w:color w:val="000000"/>
          <w:sz w:val="24"/>
          <w:szCs w:val="24"/>
        </w:rPr>
        <w:t>国家发展和改革委员会</w:t>
      </w:r>
      <w:r>
        <w:rPr>
          <w:rFonts w:ascii="宋体" w:hAnsi="宋体" w:cs="宋体"/>
          <w:color w:val="000000"/>
          <w:sz w:val="24"/>
          <w:szCs w:val="24"/>
        </w:rPr>
        <w:t xml:space="preserve">  </w:t>
      </w:r>
      <w:r>
        <w:rPr>
          <w:rFonts w:hint="eastAsia" w:ascii="宋体" w:hAnsi="宋体" w:cs="宋体"/>
          <w:color w:val="000000"/>
          <w:sz w:val="24"/>
          <w:szCs w:val="24"/>
        </w:rPr>
        <w:t>财政部</w:t>
      </w:r>
    </w:p>
    <w:p>
      <w:pPr>
        <w:spacing w:line="360" w:lineRule="auto"/>
        <w:ind w:right="240"/>
        <w:jc w:val="right"/>
        <w:rPr>
          <w:rFonts w:hint="eastAsia" w:ascii="宋体" w:hAnsi="宋体" w:cs="宋体"/>
          <w:color w:val="000000"/>
          <w:sz w:val="24"/>
          <w:szCs w:val="24"/>
        </w:rPr>
      </w:pPr>
      <w:r>
        <w:rPr>
          <w:rFonts w:hint="eastAsia" w:ascii="宋体" w:hAnsi="宋体" w:cs="宋体"/>
          <w:color w:val="000000"/>
          <w:sz w:val="24"/>
          <w:szCs w:val="24"/>
        </w:rPr>
        <w:t>二〇一一年六月十八日</w:t>
      </w:r>
      <w:bookmarkEnd w:id="251"/>
      <w:bookmarkEnd w:id="252"/>
      <w:bookmarkEnd w:id="253"/>
      <w:bookmarkEnd w:id="254"/>
      <w:bookmarkEnd w:id="255"/>
      <w:bookmarkEnd w:id="256"/>
      <w:bookmarkEnd w:id="257"/>
      <w:bookmarkEnd w:id="258"/>
      <w:bookmarkEnd w:id="259"/>
      <w:bookmarkEnd w:id="260"/>
      <w:bookmarkEnd w:id="261"/>
      <w:bookmarkEnd w:id="262"/>
    </w:p>
    <w:p>
      <w:pPr>
        <w:spacing w:line="400" w:lineRule="exact"/>
        <w:rPr>
          <w:rFonts w:ascii="宋体"/>
          <w:b/>
          <w:bCs/>
          <w:color w:val="auto"/>
          <w:sz w:val="32"/>
          <w:highlight w:val="none"/>
        </w:rPr>
      </w:pPr>
      <w:r>
        <w:rPr>
          <w:rFonts w:hint="eastAsia" w:ascii="宋体" w:hAnsi="宋体"/>
          <w:b/>
          <w:bCs/>
          <w:color w:val="auto"/>
          <w:sz w:val="32"/>
          <w:highlight w:val="none"/>
        </w:rPr>
        <w:t>附件资料一：</w:t>
      </w:r>
    </w:p>
    <w:p>
      <w:pPr>
        <w:spacing w:line="400" w:lineRule="exact"/>
        <w:jc w:val="center"/>
        <w:rPr>
          <w:rFonts w:ascii="宋体"/>
          <w:b/>
          <w:bCs/>
          <w:color w:val="auto"/>
          <w:sz w:val="32"/>
          <w:highlight w:val="none"/>
        </w:rPr>
      </w:pPr>
    </w:p>
    <w:p>
      <w:pPr>
        <w:spacing w:line="400" w:lineRule="exact"/>
        <w:jc w:val="center"/>
        <w:rPr>
          <w:rFonts w:ascii="宋体"/>
          <w:b/>
          <w:bCs/>
          <w:color w:val="auto"/>
          <w:sz w:val="32"/>
          <w:highlight w:val="none"/>
        </w:rPr>
      </w:pPr>
      <w:r>
        <w:rPr>
          <w:rFonts w:hint="eastAsia" w:ascii="宋体" w:hAnsi="宋体"/>
          <w:b/>
          <w:bCs/>
          <w:color w:val="auto"/>
          <w:sz w:val="32"/>
          <w:highlight w:val="none"/>
        </w:rPr>
        <w:t>招标代理服务收费标准</w:t>
      </w:r>
    </w:p>
    <w:p>
      <w:pPr>
        <w:spacing w:line="400" w:lineRule="exact"/>
        <w:jc w:val="center"/>
        <w:rPr>
          <w:rFonts w:ascii="宋体" w:hAnsi="宋体"/>
          <w:b/>
          <w:bCs/>
          <w:color w:val="auto"/>
          <w:sz w:val="32"/>
          <w:highlight w:val="none"/>
        </w:rPr>
      </w:pPr>
    </w:p>
    <w:p>
      <w:pPr>
        <w:spacing w:line="400" w:lineRule="exact"/>
        <w:ind w:firstLine="480" w:firstLineChars="200"/>
        <w:rPr>
          <w:rFonts w:ascii="宋体" w:hAnsi="宋体"/>
          <w:b/>
          <w:bCs/>
          <w:color w:val="auto"/>
          <w:sz w:val="24"/>
          <w:highlight w:val="none"/>
        </w:rPr>
      </w:pPr>
      <w:bookmarkStart w:id="263" w:name="OLE_LINK3"/>
      <w:r>
        <w:rPr>
          <w:rFonts w:hint="eastAsia" w:ascii="宋体" w:hAnsi="宋体"/>
          <w:bCs/>
          <w:color w:val="auto"/>
          <w:sz w:val="24"/>
          <w:highlight w:val="none"/>
        </w:rPr>
        <w:t>招标代理服务费的计算收费标准及依据：</w:t>
      </w:r>
      <w:r>
        <w:rPr>
          <w:rFonts w:hint="eastAsia" w:ascii="宋体" w:hAnsi="宋体" w:cs="宋体"/>
          <w:color w:val="auto"/>
          <w:kern w:val="0"/>
          <w:sz w:val="24"/>
          <w:highlight w:val="none"/>
        </w:rPr>
        <w:t>国家计委计价格[2002]1980号、</w:t>
      </w:r>
      <w:r>
        <w:rPr>
          <w:rFonts w:ascii="Arial" w:hAnsi="Arial" w:cs="Arial"/>
          <w:color w:val="auto"/>
          <w:sz w:val="24"/>
          <w:highlight w:val="none"/>
          <w:shd w:val="clear" w:color="auto" w:fill="FFFFFF"/>
        </w:rPr>
        <w:t>《国家发展改革委办公厅关于招标代理服务收费有关问题的通知》</w:t>
      </w:r>
      <w:r>
        <w:rPr>
          <w:rFonts w:hint="eastAsia" w:ascii="宋体" w:hAnsi="宋体" w:cs="宋体"/>
          <w:color w:val="auto"/>
          <w:kern w:val="0"/>
          <w:sz w:val="24"/>
          <w:highlight w:val="none"/>
        </w:rPr>
        <w:t>发改办价格[2003]857号通知规定、</w:t>
      </w:r>
      <w:r>
        <w:rPr>
          <w:rFonts w:hint="eastAsia" w:ascii="宋体" w:hAnsi="宋体"/>
          <w:bCs/>
          <w:color w:val="auto"/>
          <w:sz w:val="24"/>
          <w:highlight w:val="none"/>
        </w:rPr>
        <w:t>国家发展改革委办公厅关于招标代理服务收费有关问题的通知（ 发改价格[2011]534号）文件等。</w:t>
      </w:r>
    </w:p>
    <w:bookmarkEnd w:id="263"/>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9"/>
        <w:gridCol w:w="1937"/>
        <w:gridCol w:w="1926"/>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339" w:type="dxa"/>
            <w:tcBorders>
              <w:tl2br w:val="single" w:color="auto" w:sz="4" w:space="0"/>
            </w:tcBorders>
            <w:noWrap w:val="0"/>
            <w:vAlign w:val="top"/>
          </w:tcPr>
          <w:p>
            <w:pPr>
              <w:ind w:firstLine="2520" w:firstLineChars="1050"/>
              <w:rPr>
                <w:color w:val="auto"/>
                <w:sz w:val="24"/>
                <w:highlight w:val="none"/>
              </w:rPr>
            </w:pPr>
            <w:r>
              <w:rPr>
                <w:color w:val="auto"/>
                <w:sz w:val="24"/>
                <w:highlight w:val="none"/>
              </w:rPr>
              <w:t>费率</w:t>
            </w:r>
          </w:p>
          <w:p>
            <w:pPr>
              <w:rPr>
                <w:color w:val="auto"/>
                <w:sz w:val="24"/>
                <w:highlight w:val="none"/>
              </w:rPr>
            </w:pPr>
          </w:p>
          <w:p>
            <w:pPr>
              <w:rPr>
                <w:color w:val="auto"/>
                <w:sz w:val="24"/>
                <w:highlight w:val="none"/>
              </w:rPr>
            </w:pPr>
          </w:p>
          <w:p>
            <w:pPr>
              <w:rPr>
                <w:color w:val="auto"/>
                <w:sz w:val="24"/>
                <w:highlight w:val="none"/>
              </w:rPr>
            </w:pPr>
            <w:r>
              <w:rPr>
                <w:color w:val="auto"/>
                <w:sz w:val="24"/>
                <w:highlight w:val="none"/>
              </w:rPr>
              <w:t>中标金额</w:t>
            </w:r>
            <w:r>
              <w:rPr>
                <w:rFonts w:hint="eastAsia"/>
                <w:color w:val="auto"/>
                <w:sz w:val="24"/>
                <w:highlight w:val="none"/>
              </w:rPr>
              <w:t>（万元）</w:t>
            </w:r>
          </w:p>
        </w:tc>
        <w:tc>
          <w:tcPr>
            <w:tcW w:w="1937" w:type="dxa"/>
            <w:noWrap w:val="0"/>
            <w:vAlign w:val="center"/>
          </w:tcPr>
          <w:p>
            <w:pPr>
              <w:ind w:firstLine="120" w:firstLineChars="50"/>
              <w:jc w:val="center"/>
              <w:rPr>
                <w:color w:val="auto"/>
                <w:sz w:val="24"/>
                <w:highlight w:val="none"/>
              </w:rPr>
            </w:pPr>
            <w:r>
              <w:rPr>
                <w:color w:val="auto"/>
                <w:sz w:val="24"/>
                <w:highlight w:val="none"/>
              </w:rPr>
              <w:t>货物招标</w:t>
            </w:r>
          </w:p>
        </w:tc>
        <w:tc>
          <w:tcPr>
            <w:tcW w:w="1926" w:type="dxa"/>
            <w:noWrap w:val="0"/>
            <w:vAlign w:val="center"/>
          </w:tcPr>
          <w:p>
            <w:pPr>
              <w:jc w:val="center"/>
              <w:rPr>
                <w:color w:val="auto"/>
                <w:sz w:val="24"/>
                <w:highlight w:val="none"/>
              </w:rPr>
            </w:pPr>
            <w:r>
              <w:rPr>
                <w:color w:val="auto"/>
                <w:sz w:val="24"/>
                <w:highlight w:val="none"/>
              </w:rPr>
              <w:t>服务招标</w:t>
            </w:r>
          </w:p>
        </w:tc>
        <w:tc>
          <w:tcPr>
            <w:tcW w:w="1759" w:type="dxa"/>
            <w:noWrap w:val="0"/>
            <w:vAlign w:val="center"/>
          </w:tcPr>
          <w:p>
            <w:pPr>
              <w:jc w:val="center"/>
              <w:rPr>
                <w:color w:val="auto"/>
                <w:sz w:val="24"/>
                <w:highlight w:val="none"/>
              </w:rPr>
            </w:pPr>
            <w:r>
              <w:rPr>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39" w:type="dxa"/>
            <w:noWrap w:val="0"/>
            <w:vAlign w:val="center"/>
          </w:tcPr>
          <w:p>
            <w:pPr>
              <w:rPr>
                <w:color w:val="auto"/>
                <w:sz w:val="24"/>
                <w:highlight w:val="none"/>
              </w:rPr>
            </w:pPr>
            <w:r>
              <w:rPr>
                <w:color w:val="auto"/>
                <w:sz w:val="24"/>
                <w:highlight w:val="none"/>
              </w:rPr>
              <w:t>100以下</w:t>
            </w:r>
          </w:p>
        </w:tc>
        <w:tc>
          <w:tcPr>
            <w:tcW w:w="1937" w:type="dxa"/>
            <w:noWrap w:val="0"/>
            <w:vAlign w:val="center"/>
          </w:tcPr>
          <w:p>
            <w:pPr>
              <w:jc w:val="center"/>
              <w:rPr>
                <w:color w:val="auto"/>
                <w:sz w:val="24"/>
                <w:highlight w:val="none"/>
              </w:rPr>
            </w:pPr>
            <w:r>
              <w:rPr>
                <w:color w:val="auto"/>
                <w:kern w:val="0"/>
                <w:sz w:val="24"/>
                <w:highlight w:val="none"/>
              </w:rPr>
              <w:t>1.5%</w:t>
            </w:r>
          </w:p>
        </w:tc>
        <w:tc>
          <w:tcPr>
            <w:tcW w:w="1926" w:type="dxa"/>
            <w:noWrap w:val="0"/>
            <w:vAlign w:val="center"/>
          </w:tcPr>
          <w:p>
            <w:pPr>
              <w:jc w:val="center"/>
              <w:rPr>
                <w:color w:val="auto"/>
                <w:sz w:val="24"/>
                <w:highlight w:val="none"/>
              </w:rPr>
            </w:pPr>
            <w:r>
              <w:rPr>
                <w:color w:val="auto"/>
                <w:kern w:val="0"/>
                <w:sz w:val="24"/>
                <w:highlight w:val="none"/>
              </w:rPr>
              <w:t>1.5%</w:t>
            </w:r>
          </w:p>
        </w:tc>
        <w:tc>
          <w:tcPr>
            <w:tcW w:w="1759" w:type="dxa"/>
            <w:noWrap w:val="0"/>
            <w:vAlign w:val="center"/>
          </w:tcPr>
          <w:p>
            <w:pPr>
              <w:jc w:val="center"/>
              <w:rPr>
                <w:color w:val="auto"/>
                <w:sz w:val="24"/>
                <w:highlight w:val="none"/>
              </w:rPr>
            </w:pPr>
            <w:r>
              <w:rPr>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339" w:type="dxa"/>
            <w:noWrap w:val="0"/>
            <w:vAlign w:val="center"/>
          </w:tcPr>
          <w:p>
            <w:pPr>
              <w:rPr>
                <w:color w:val="auto"/>
                <w:sz w:val="24"/>
                <w:highlight w:val="none"/>
              </w:rPr>
            </w:pPr>
            <w:r>
              <w:rPr>
                <w:color w:val="auto"/>
                <w:sz w:val="24"/>
                <w:highlight w:val="none"/>
              </w:rPr>
              <w:t>100</w:t>
            </w:r>
            <w:r>
              <w:rPr>
                <w:rFonts w:hAnsi="宋体"/>
                <w:color w:val="auto"/>
                <w:sz w:val="24"/>
                <w:highlight w:val="none"/>
              </w:rPr>
              <w:t>～</w:t>
            </w:r>
            <w:r>
              <w:rPr>
                <w:color w:val="auto"/>
                <w:sz w:val="24"/>
                <w:highlight w:val="none"/>
              </w:rPr>
              <w:t>500</w:t>
            </w:r>
          </w:p>
        </w:tc>
        <w:tc>
          <w:tcPr>
            <w:tcW w:w="1937" w:type="dxa"/>
            <w:noWrap w:val="0"/>
            <w:vAlign w:val="center"/>
          </w:tcPr>
          <w:p>
            <w:pPr>
              <w:jc w:val="center"/>
              <w:rPr>
                <w:color w:val="auto"/>
                <w:sz w:val="24"/>
                <w:highlight w:val="none"/>
              </w:rPr>
            </w:pPr>
            <w:r>
              <w:rPr>
                <w:color w:val="auto"/>
                <w:kern w:val="0"/>
                <w:sz w:val="24"/>
                <w:highlight w:val="none"/>
              </w:rPr>
              <w:t>1.1%</w:t>
            </w:r>
          </w:p>
        </w:tc>
        <w:tc>
          <w:tcPr>
            <w:tcW w:w="1926" w:type="dxa"/>
            <w:noWrap w:val="0"/>
            <w:vAlign w:val="center"/>
          </w:tcPr>
          <w:p>
            <w:pPr>
              <w:jc w:val="center"/>
              <w:rPr>
                <w:color w:val="auto"/>
                <w:sz w:val="24"/>
                <w:highlight w:val="none"/>
              </w:rPr>
            </w:pPr>
            <w:r>
              <w:rPr>
                <w:color w:val="auto"/>
                <w:kern w:val="0"/>
                <w:sz w:val="24"/>
                <w:highlight w:val="none"/>
              </w:rPr>
              <w:t>0.8%</w:t>
            </w:r>
          </w:p>
        </w:tc>
        <w:tc>
          <w:tcPr>
            <w:tcW w:w="1759" w:type="dxa"/>
            <w:noWrap w:val="0"/>
            <w:vAlign w:val="center"/>
          </w:tcPr>
          <w:p>
            <w:pPr>
              <w:jc w:val="center"/>
              <w:rPr>
                <w:color w:val="auto"/>
                <w:sz w:val="24"/>
                <w:highlight w:val="none"/>
              </w:rPr>
            </w:pPr>
            <w:r>
              <w:rPr>
                <w:color w:val="auto"/>
                <w:kern w:val="0"/>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39" w:type="dxa"/>
            <w:noWrap w:val="0"/>
            <w:vAlign w:val="center"/>
          </w:tcPr>
          <w:p>
            <w:pPr>
              <w:rPr>
                <w:color w:val="auto"/>
                <w:sz w:val="24"/>
                <w:highlight w:val="none"/>
              </w:rPr>
            </w:pPr>
            <w:r>
              <w:rPr>
                <w:color w:val="auto"/>
                <w:sz w:val="24"/>
                <w:highlight w:val="none"/>
              </w:rPr>
              <w:t>500</w:t>
            </w:r>
            <w:r>
              <w:rPr>
                <w:rFonts w:hAnsi="宋体"/>
                <w:color w:val="auto"/>
                <w:sz w:val="24"/>
                <w:highlight w:val="none"/>
              </w:rPr>
              <w:t>～</w:t>
            </w:r>
            <w:r>
              <w:rPr>
                <w:color w:val="auto"/>
                <w:sz w:val="24"/>
                <w:highlight w:val="none"/>
              </w:rPr>
              <w:t xml:space="preserve">1000 </w:t>
            </w:r>
          </w:p>
        </w:tc>
        <w:tc>
          <w:tcPr>
            <w:tcW w:w="1937" w:type="dxa"/>
            <w:noWrap w:val="0"/>
            <w:vAlign w:val="center"/>
          </w:tcPr>
          <w:p>
            <w:pPr>
              <w:jc w:val="center"/>
              <w:rPr>
                <w:color w:val="auto"/>
                <w:sz w:val="24"/>
                <w:highlight w:val="none"/>
              </w:rPr>
            </w:pPr>
            <w:r>
              <w:rPr>
                <w:color w:val="auto"/>
                <w:kern w:val="0"/>
                <w:sz w:val="24"/>
                <w:highlight w:val="none"/>
              </w:rPr>
              <w:t>0.8%</w:t>
            </w:r>
          </w:p>
        </w:tc>
        <w:tc>
          <w:tcPr>
            <w:tcW w:w="1926" w:type="dxa"/>
            <w:noWrap w:val="0"/>
            <w:vAlign w:val="center"/>
          </w:tcPr>
          <w:p>
            <w:pPr>
              <w:jc w:val="center"/>
              <w:rPr>
                <w:color w:val="auto"/>
                <w:sz w:val="24"/>
                <w:highlight w:val="none"/>
              </w:rPr>
            </w:pPr>
            <w:r>
              <w:rPr>
                <w:color w:val="auto"/>
                <w:kern w:val="0"/>
                <w:sz w:val="24"/>
                <w:highlight w:val="none"/>
              </w:rPr>
              <w:t>0.45%</w:t>
            </w:r>
          </w:p>
        </w:tc>
        <w:tc>
          <w:tcPr>
            <w:tcW w:w="1759" w:type="dxa"/>
            <w:noWrap w:val="0"/>
            <w:vAlign w:val="center"/>
          </w:tcPr>
          <w:p>
            <w:pPr>
              <w:jc w:val="center"/>
              <w:rPr>
                <w:color w:val="auto"/>
                <w:sz w:val="24"/>
                <w:highlight w:val="none"/>
              </w:rPr>
            </w:pPr>
            <w:r>
              <w:rPr>
                <w:color w:val="auto"/>
                <w:kern w:val="0"/>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339" w:type="dxa"/>
            <w:noWrap w:val="0"/>
            <w:vAlign w:val="center"/>
          </w:tcPr>
          <w:p>
            <w:pPr>
              <w:rPr>
                <w:color w:val="auto"/>
                <w:sz w:val="24"/>
                <w:highlight w:val="none"/>
              </w:rPr>
            </w:pPr>
            <w:r>
              <w:rPr>
                <w:color w:val="auto"/>
                <w:sz w:val="24"/>
                <w:highlight w:val="none"/>
              </w:rPr>
              <w:t>1000</w:t>
            </w:r>
            <w:r>
              <w:rPr>
                <w:rFonts w:hAnsi="宋体"/>
                <w:color w:val="auto"/>
                <w:sz w:val="24"/>
                <w:highlight w:val="none"/>
              </w:rPr>
              <w:t>～</w:t>
            </w:r>
            <w:r>
              <w:rPr>
                <w:color w:val="auto"/>
                <w:sz w:val="24"/>
                <w:highlight w:val="none"/>
              </w:rPr>
              <w:t>5000</w:t>
            </w:r>
          </w:p>
        </w:tc>
        <w:tc>
          <w:tcPr>
            <w:tcW w:w="1937" w:type="dxa"/>
            <w:noWrap w:val="0"/>
            <w:vAlign w:val="center"/>
          </w:tcPr>
          <w:p>
            <w:pPr>
              <w:jc w:val="center"/>
              <w:rPr>
                <w:color w:val="auto"/>
                <w:sz w:val="24"/>
                <w:highlight w:val="none"/>
              </w:rPr>
            </w:pPr>
            <w:r>
              <w:rPr>
                <w:color w:val="auto"/>
                <w:kern w:val="0"/>
                <w:sz w:val="24"/>
                <w:highlight w:val="none"/>
              </w:rPr>
              <w:t>0.5%</w:t>
            </w:r>
          </w:p>
        </w:tc>
        <w:tc>
          <w:tcPr>
            <w:tcW w:w="1926" w:type="dxa"/>
            <w:noWrap w:val="0"/>
            <w:vAlign w:val="center"/>
          </w:tcPr>
          <w:p>
            <w:pPr>
              <w:jc w:val="center"/>
              <w:rPr>
                <w:color w:val="auto"/>
                <w:sz w:val="24"/>
                <w:highlight w:val="none"/>
              </w:rPr>
            </w:pPr>
            <w:r>
              <w:rPr>
                <w:color w:val="auto"/>
                <w:kern w:val="0"/>
                <w:sz w:val="24"/>
                <w:highlight w:val="none"/>
              </w:rPr>
              <w:t>0.25%</w:t>
            </w:r>
          </w:p>
        </w:tc>
        <w:tc>
          <w:tcPr>
            <w:tcW w:w="1759" w:type="dxa"/>
            <w:noWrap w:val="0"/>
            <w:vAlign w:val="center"/>
          </w:tcPr>
          <w:p>
            <w:pPr>
              <w:jc w:val="center"/>
              <w:rPr>
                <w:color w:val="auto"/>
                <w:sz w:val="24"/>
                <w:highlight w:val="none"/>
              </w:rPr>
            </w:pPr>
            <w:r>
              <w:rPr>
                <w:color w:val="auto"/>
                <w:kern w:val="0"/>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39" w:type="dxa"/>
            <w:noWrap w:val="0"/>
            <w:vAlign w:val="center"/>
          </w:tcPr>
          <w:p>
            <w:pPr>
              <w:rPr>
                <w:color w:val="auto"/>
                <w:sz w:val="24"/>
                <w:highlight w:val="none"/>
              </w:rPr>
            </w:pPr>
            <w:r>
              <w:rPr>
                <w:color w:val="auto"/>
                <w:sz w:val="24"/>
                <w:highlight w:val="none"/>
              </w:rPr>
              <w:t>5000</w:t>
            </w:r>
            <w:r>
              <w:rPr>
                <w:rFonts w:hAnsi="宋体"/>
                <w:color w:val="auto"/>
                <w:sz w:val="24"/>
                <w:highlight w:val="none"/>
              </w:rPr>
              <w:t>～</w:t>
            </w:r>
            <w:r>
              <w:rPr>
                <w:color w:val="auto"/>
                <w:sz w:val="24"/>
                <w:highlight w:val="none"/>
              </w:rPr>
              <w:t>10000</w:t>
            </w:r>
          </w:p>
        </w:tc>
        <w:tc>
          <w:tcPr>
            <w:tcW w:w="1937" w:type="dxa"/>
            <w:noWrap w:val="0"/>
            <w:vAlign w:val="center"/>
          </w:tcPr>
          <w:p>
            <w:pPr>
              <w:jc w:val="center"/>
              <w:rPr>
                <w:color w:val="auto"/>
                <w:sz w:val="24"/>
                <w:highlight w:val="none"/>
              </w:rPr>
            </w:pPr>
            <w:r>
              <w:rPr>
                <w:color w:val="auto"/>
                <w:kern w:val="0"/>
                <w:sz w:val="24"/>
                <w:highlight w:val="none"/>
              </w:rPr>
              <w:t>0.25%</w:t>
            </w:r>
          </w:p>
        </w:tc>
        <w:tc>
          <w:tcPr>
            <w:tcW w:w="1926" w:type="dxa"/>
            <w:noWrap w:val="0"/>
            <w:vAlign w:val="center"/>
          </w:tcPr>
          <w:p>
            <w:pPr>
              <w:jc w:val="center"/>
              <w:rPr>
                <w:color w:val="auto"/>
                <w:sz w:val="24"/>
                <w:highlight w:val="none"/>
              </w:rPr>
            </w:pPr>
            <w:r>
              <w:rPr>
                <w:color w:val="auto"/>
                <w:kern w:val="0"/>
                <w:sz w:val="24"/>
                <w:highlight w:val="none"/>
              </w:rPr>
              <w:t>0.1%</w:t>
            </w:r>
          </w:p>
        </w:tc>
        <w:tc>
          <w:tcPr>
            <w:tcW w:w="1759" w:type="dxa"/>
            <w:noWrap w:val="0"/>
            <w:vAlign w:val="center"/>
          </w:tcPr>
          <w:p>
            <w:pPr>
              <w:jc w:val="center"/>
              <w:rPr>
                <w:color w:val="auto"/>
                <w:sz w:val="24"/>
                <w:highlight w:val="none"/>
              </w:rPr>
            </w:pPr>
            <w:r>
              <w:rPr>
                <w:color w:val="auto"/>
                <w:kern w:val="0"/>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339" w:type="dxa"/>
            <w:noWrap w:val="0"/>
            <w:vAlign w:val="center"/>
          </w:tcPr>
          <w:p>
            <w:pPr>
              <w:rPr>
                <w:color w:val="auto"/>
                <w:sz w:val="24"/>
                <w:highlight w:val="none"/>
              </w:rPr>
            </w:pPr>
            <w:r>
              <w:rPr>
                <w:color w:val="auto"/>
                <w:sz w:val="24"/>
                <w:highlight w:val="none"/>
              </w:rPr>
              <w:t>10000</w:t>
            </w:r>
            <w:r>
              <w:rPr>
                <w:rFonts w:hAnsi="宋体"/>
                <w:color w:val="auto"/>
                <w:sz w:val="24"/>
                <w:highlight w:val="none"/>
              </w:rPr>
              <w:t>～</w:t>
            </w:r>
            <w:r>
              <w:rPr>
                <w:color w:val="auto"/>
                <w:sz w:val="24"/>
                <w:highlight w:val="none"/>
              </w:rPr>
              <w:t>100000</w:t>
            </w:r>
          </w:p>
        </w:tc>
        <w:tc>
          <w:tcPr>
            <w:tcW w:w="1937" w:type="dxa"/>
            <w:noWrap w:val="0"/>
            <w:vAlign w:val="center"/>
          </w:tcPr>
          <w:p>
            <w:pPr>
              <w:jc w:val="center"/>
              <w:rPr>
                <w:color w:val="auto"/>
                <w:sz w:val="24"/>
                <w:highlight w:val="none"/>
              </w:rPr>
            </w:pPr>
            <w:r>
              <w:rPr>
                <w:color w:val="auto"/>
                <w:sz w:val="24"/>
                <w:highlight w:val="none"/>
              </w:rPr>
              <w:t>0.05%</w:t>
            </w:r>
          </w:p>
        </w:tc>
        <w:tc>
          <w:tcPr>
            <w:tcW w:w="1926" w:type="dxa"/>
            <w:noWrap w:val="0"/>
            <w:vAlign w:val="center"/>
          </w:tcPr>
          <w:p>
            <w:pPr>
              <w:jc w:val="center"/>
              <w:rPr>
                <w:color w:val="auto"/>
                <w:sz w:val="24"/>
                <w:highlight w:val="none"/>
              </w:rPr>
            </w:pPr>
            <w:r>
              <w:rPr>
                <w:color w:val="auto"/>
                <w:sz w:val="24"/>
                <w:highlight w:val="none"/>
              </w:rPr>
              <w:t>0.05%</w:t>
            </w:r>
          </w:p>
        </w:tc>
        <w:tc>
          <w:tcPr>
            <w:tcW w:w="1759" w:type="dxa"/>
            <w:noWrap w:val="0"/>
            <w:vAlign w:val="center"/>
          </w:tcPr>
          <w:p>
            <w:pPr>
              <w:jc w:val="center"/>
              <w:rPr>
                <w:color w:val="auto"/>
                <w:sz w:val="24"/>
                <w:highlight w:val="none"/>
              </w:rPr>
            </w:pPr>
            <w:r>
              <w:rPr>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39" w:type="dxa"/>
            <w:noWrap w:val="0"/>
            <w:vAlign w:val="center"/>
          </w:tcPr>
          <w:p>
            <w:pPr>
              <w:rPr>
                <w:color w:val="auto"/>
                <w:sz w:val="24"/>
                <w:highlight w:val="none"/>
              </w:rPr>
            </w:pPr>
            <w:r>
              <w:rPr>
                <w:rFonts w:hint="eastAsia"/>
                <w:color w:val="auto"/>
                <w:sz w:val="24"/>
                <w:highlight w:val="none"/>
              </w:rPr>
              <w:t>1000000以上</w:t>
            </w:r>
          </w:p>
        </w:tc>
        <w:tc>
          <w:tcPr>
            <w:tcW w:w="1937" w:type="dxa"/>
            <w:noWrap w:val="0"/>
            <w:vAlign w:val="center"/>
          </w:tcPr>
          <w:p>
            <w:pPr>
              <w:jc w:val="center"/>
              <w:rPr>
                <w:color w:val="auto"/>
                <w:sz w:val="24"/>
                <w:highlight w:val="none"/>
              </w:rPr>
            </w:pPr>
            <w:r>
              <w:rPr>
                <w:color w:val="auto"/>
                <w:sz w:val="24"/>
                <w:highlight w:val="none"/>
              </w:rPr>
              <w:t>0.0</w:t>
            </w:r>
            <w:r>
              <w:rPr>
                <w:rFonts w:hint="eastAsia"/>
                <w:color w:val="auto"/>
                <w:sz w:val="24"/>
                <w:highlight w:val="none"/>
              </w:rPr>
              <w:t>1</w:t>
            </w:r>
            <w:r>
              <w:rPr>
                <w:color w:val="auto"/>
                <w:sz w:val="24"/>
                <w:highlight w:val="none"/>
              </w:rPr>
              <w:t>%</w:t>
            </w:r>
          </w:p>
        </w:tc>
        <w:tc>
          <w:tcPr>
            <w:tcW w:w="1926" w:type="dxa"/>
            <w:noWrap w:val="0"/>
            <w:vAlign w:val="center"/>
          </w:tcPr>
          <w:p>
            <w:pPr>
              <w:jc w:val="center"/>
              <w:rPr>
                <w:color w:val="auto"/>
                <w:sz w:val="24"/>
                <w:highlight w:val="none"/>
              </w:rPr>
            </w:pPr>
            <w:r>
              <w:rPr>
                <w:color w:val="auto"/>
                <w:sz w:val="24"/>
                <w:highlight w:val="none"/>
              </w:rPr>
              <w:t>0.0</w:t>
            </w:r>
            <w:r>
              <w:rPr>
                <w:rFonts w:hint="eastAsia"/>
                <w:color w:val="auto"/>
                <w:sz w:val="24"/>
                <w:highlight w:val="none"/>
              </w:rPr>
              <w:t>1</w:t>
            </w:r>
            <w:r>
              <w:rPr>
                <w:color w:val="auto"/>
                <w:sz w:val="24"/>
                <w:highlight w:val="none"/>
              </w:rPr>
              <w:t>%</w:t>
            </w:r>
          </w:p>
        </w:tc>
        <w:tc>
          <w:tcPr>
            <w:tcW w:w="1759" w:type="dxa"/>
            <w:noWrap w:val="0"/>
            <w:vAlign w:val="center"/>
          </w:tcPr>
          <w:p>
            <w:pPr>
              <w:jc w:val="center"/>
              <w:rPr>
                <w:color w:val="auto"/>
                <w:sz w:val="24"/>
                <w:highlight w:val="none"/>
              </w:rPr>
            </w:pPr>
            <w:r>
              <w:rPr>
                <w:color w:val="auto"/>
                <w:sz w:val="24"/>
                <w:highlight w:val="none"/>
              </w:rPr>
              <w:t>0.0</w:t>
            </w:r>
            <w:r>
              <w:rPr>
                <w:rFonts w:hint="eastAsia"/>
                <w:color w:val="auto"/>
                <w:sz w:val="24"/>
                <w:highlight w:val="none"/>
              </w:rPr>
              <w:t>1</w:t>
            </w:r>
            <w:r>
              <w:rPr>
                <w:color w:val="auto"/>
                <w:sz w:val="24"/>
                <w:highlight w:val="none"/>
              </w:rPr>
              <w:t>%</w:t>
            </w:r>
          </w:p>
        </w:tc>
      </w:tr>
    </w:tbl>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招标代理服务收费以中标金额作为计算基数，按差额定率累进法计算。例如：某</w:t>
      </w:r>
      <w:r>
        <w:rPr>
          <w:rFonts w:hint="eastAsia" w:ascii="宋体" w:hAnsi="宋体"/>
          <w:color w:val="auto"/>
          <w:sz w:val="24"/>
          <w:highlight w:val="none"/>
          <w:lang w:val="en-US" w:eastAsia="zh-CN"/>
        </w:rPr>
        <w:t>服务</w:t>
      </w:r>
      <w:r>
        <w:rPr>
          <w:rFonts w:hint="eastAsia" w:ascii="宋体" w:hAnsi="宋体"/>
          <w:color w:val="auto"/>
          <w:sz w:val="24"/>
          <w:highlight w:val="none"/>
        </w:rPr>
        <w:t>采购项目招标代理业务中标金额为200万元，计算招标代理服务收费额如下：</w:t>
      </w:r>
    </w:p>
    <w:p>
      <w:pPr>
        <w:spacing w:line="420" w:lineRule="exact"/>
        <w:ind w:firstLine="240" w:firstLineChars="100"/>
        <w:rPr>
          <w:rFonts w:ascii="宋体" w:hAnsi="宋体"/>
          <w:color w:val="auto"/>
          <w:sz w:val="24"/>
          <w:highlight w:val="none"/>
        </w:rPr>
      </w:pPr>
      <w:r>
        <w:rPr>
          <w:rFonts w:hint="eastAsia" w:ascii="宋体" w:hAnsi="宋体"/>
          <w:color w:val="auto"/>
          <w:sz w:val="24"/>
          <w:highlight w:val="none"/>
        </w:rPr>
        <w:t>100×1.5％=1.5万元</w:t>
      </w:r>
    </w:p>
    <w:p>
      <w:pPr>
        <w:spacing w:line="420" w:lineRule="exact"/>
        <w:ind w:firstLine="120" w:firstLineChars="50"/>
        <w:outlineLvl w:val="0"/>
        <w:rPr>
          <w:rFonts w:ascii="宋体" w:hAnsi="宋体"/>
          <w:color w:val="auto"/>
          <w:sz w:val="24"/>
          <w:highlight w:val="none"/>
        </w:rPr>
      </w:pPr>
      <w:r>
        <w:rPr>
          <w:rFonts w:hint="eastAsia" w:ascii="宋体" w:hAnsi="宋体"/>
          <w:color w:val="auto"/>
          <w:sz w:val="24"/>
          <w:highlight w:val="none"/>
        </w:rPr>
        <w:t>（200-100）万元×</w:t>
      </w:r>
      <w:r>
        <w:rPr>
          <w:rFonts w:hint="eastAsia" w:ascii="宋体" w:hAnsi="宋体"/>
          <w:color w:val="auto"/>
          <w:sz w:val="24"/>
          <w:highlight w:val="none"/>
          <w:lang w:val="en-US" w:eastAsia="zh-CN"/>
        </w:rPr>
        <w:t>0.8</w:t>
      </w:r>
      <w:r>
        <w:rPr>
          <w:rFonts w:hint="eastAsia" w:ascii="宋体" w:hAnsi="宋体"/>
          <w:color w:val="auto"/>
          <w:sz w:val="24"/>
          <w:highlight w:val="none"/>
        </w:rPr>
        <w:t>％=</w:t>
      </w:r>
      <w:r>
        <w:rPr>
          <w:rFonts w:hint="eastAsia" w:ascii="宋体" w:hAnsi="宋体"/>
          <w:color w:val="auto"/>
          <w:sz w:val="24"/>
          <w:highlight w:val="none"/>
          <w:lang w:val="en-US" w:eastAsia="zh-CN"/>
        </w:rPr>
        <w:t>0.8</w:t>
      </w:r>
      <w:r>
        <w:rPr>
          <w:rFonts w:hint="eastAsia" w:ascii="宋体" w:hAnsi="宋体"/>
          <w:color w:val="auto"/>
          <w:sz w:val="24"/>
          <w:highlight w:val="none"/>
        </w:rPr>
        <w:t>万元</w:t>
      </w:r>
    </w:p>
    <w:p>
      <w:pPr>
        <w:spacing w:line="420" w:lineRule="exact"/>
        <w:ind w:firstLine="240" w:firstLineChars="100"/>
        <w:rPr>
          <w:color w:val="auto"/>
          <w:highlight w:val="none"/>
        </w:rPr>
      </w:pPr>
      <w:r>
        <w:rPr>
          <w:rFonts w:hint="eastAsia" w:ascii="宋体" w:hAnsi="宋体"/>
          <w:color w:val="auto"/>
          <w:sz w:val="24"/>
          <w:highlight w:val="none"/>
        </w:rPr>
        <w:t>合计收费=1.5+</w:t>
      </w:r>
      <w:r>
        <w:rPr>
          <w:rFonts w:hint="eastAsia" w:ascii="宋体" w:hAnsi="宋体"/>
          <w:color w:val="auto"/>
          <w:sz w:val="24"/>
          <w:highlight w:val="none"/>
          <w:lang w:val="en-US" w:eastAsia="zh-CN"/>
        </w:rPr>
        <w:t>0.8</w:t>
      </w:r>
      <w:r>
        <w:rPr>
          <w:rFonts w:hint="eastAsia" w:ascii="宋体" w:hAnsi="宋体"/>
          <w:color w:val="auto"/>
          <w:sz w:val="24"/>
          <w:highlight w:val="none"/>
        </w:rPr>
        <w:t>=</w:t>
      </w:r>
      <w:r>
        <w:rPr>
          <w:rFonts w:hint="eastAsia" w:ascii="宋体" w:hAnsi="宋体"/>
          <w:color w:val="auto"/>
          <w:sz w:val="24"/>
          <w:highlight w:val="none"/>
          <w:lang w:val="en-US" w:eastAsia="zh-CN"/>
        </w:rPr>
        <w:t>2.3</w:t>
      </w:r>
      <w:r>
        <w:rPr>
          <w:rFonts w:hint="eastAsia" w:ascii="宋体" w:hAnsi="宋体"/>
          <w:color w:val="auto"/>
          <w:sz w:val="24"/>
          <w:highlight w:val="none"/>
        </w:rPr>
        <w:t>万元。</w:t>
      </w:r>
    </w:p>
    <w:p>
      <w:pPr>
        <w:pStyle w:val="2"/>
      </w:pPr>
    </w:p>
    <w:sectPr>
      <w:footerReference r:id="rId9" w:type="default"/>
      <w:pgSz w:w="11907" w:h="16840"/>
      <w:pgMar w:top="1440" w:right="1469" w:bottom="1440" w:left="1622" w:header="454"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Style w:val="51"/>
      </w:rPr>
      <w:fldChar w:fldCharType="begin"/>
    </w:r>
    <w:r>
      <w:rPr>
        <w:rStyle w:val="51"/>
      </w:rPr>
      <w:instrText xml:space="preserve"> PAGE </w:instrText>
    </w:r>
    <w:r>
      <w:rPr>
        <w:rStyle w:val="51"/>
      </w:rPr>
      <w:fldChar w:fldCharType="separate"/>
    </w:r>
    <w:r>
      <w:rPr>
        <w:rStyle w:val="51"/>
      </w:rPr>
      <w:t>2</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27</w:t>
    </w:r>
    <w:r>
      <w:rPr>
        <w:rStyle w:val="51"/>
      </w:rP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81</w:t>
    </w:r>
    <w:r>
      <w:rPr>
        <w:lang w:val="zh-CN"/>
      </w:rP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Cs w:val="18"/>
      </w:rPr>
    </w:pPr>
    <w:r>
      <w:rPr>
        <w:rStyle w:val="51"/>
        <w:szCs w:val="18"/>
      </w:rPr>
      <w:fldChar w:fldCharType="begin"/>
    </w:r>
    <w:r>
      <w:rPr>
        <w:rStyle w:val="51"/>
        <w:szCs w:val="18"/>
      </w:rPr>
      <w:instrText xml:space="preserve"> PAGE </w:instrText>
    </w:r>
    <w:r>
      <w:rPr>
        <w:rStyle w:val="51"/>
        <w:szCs w:val="18"/>
      </w:rPr>
      <w:fldChar w:fldCharType="separate"/>
    </w:r>
    <w:r>
      <w:rPr>
        <w:rStyle w:val="51"/>
        <w:szCs w:val="18"/>
      </w:rPr>
      <w:t>117</w:t>
    </w:r>
    <w:r>
      <w:rPr>
        <w:rStyle w:val="51"/>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0"/>
      </w:pBdr>
      <w:jc w:val="center"/>
    </w:pPr>
    <w:r>
      <w:rPr>
        <w:rFonts w:hint="eastAsia" w:ascii="宋体" w:eastAsia="宋体" w:cs="宋体"/>
        <w:b w:val="0"/>
        <w:bCs/>
        <w:sz w:val="160"/>
        <w:szCs w:val="24"/>
        <w:u w:val="single"/>
        <w:lang w:eastAsia="zh-CN"/>
      </w:rPr>
      <w:drawing>
        <wp:anchor distT="0" distB="0" distL="114300" distR="114300" simplePos="0" relativeHeight="251660288" behindDoc="1" locked="0" layoutInCell="1" allowOverlap="1">
          <wp:simplePos x="0" y="0"/>
          <wp:positionH relativeFrom="column">
            <wp:posOffset>-545465</wp:posOffset>
          </wp:positionH>
          <wp:positionV relativeFrom="paragraph">
            <wp:posOffset>-95250</wp:posOffset>
          </wp:positionV>
          <wp:extent cx="566420" cy="481330"/>
          <wp:effectExtent l="0" t="0" r="5080" b="13970"/>
          <wp:wrapTight wrapText="bothSides">
            <wp:wrapPolygon>
              <wp:start x="0" y="0"/>
              <wp:lineTo x="0" y="20517"/>
              <wp:lineTo x="21067" y="20517"/>
              <wp:lineTo x="21067" y="0"/>
              <wp:lineTo x="0" y="0"/>
            </wp:wrapPolygon>
          </wp:wrapTight>
          <wp:docPr id="1" name="图片 1"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1"/>
                  <pic:cNvPicPr>
                    <a:picLocks noChangeAspect="1"/>
                  </pic:cNvPicPr>
                </pic:nvPicPr>
                <pic:blipFill>
                  <a:blip r:embed="rId1"/>
                  <a:stretch>
                    <a:fillRect/>
                  </a:stretch>
                </pic:blipFill>
                <pic:spPr>
                  <a:xfrm>
                    <a:off x="0" y="0"/>
                    <a:ext cx="566420" cy="481330"/>
                  </a:xfrm>
                  <a:prstGeom prst="rect">
                    <a:avLst/>
                  </a:prstGeom>
                </pic:spPr>
              </pic:pic>
            </a:graphicData>
          </a:graphic>
        </wp:anchor>
      </w:drawing>
    </w:r>
    <w:r>
      <w:rPr>
        <w:rFonts w:hint="eastAsia" w:ascii="宋体" w:hAnsi="宋体" w:cs="宋体"/>
        <w:bCs/>
        <w:sz w:val="28"/>
        <w:szCs w:val="28"/>
        <w:highlight w:val="none"/>
        <w:u w:val="none"/>
        <w:lang w:eastAsia="zh-CN"/>
      </w:rPr>
      <w:t>高新区（新市区）卫生健康委员会体检医院服务商采购项目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pPr>
    <w:r>
      <w:rPr>
        <w:rFonts w:hint="eastAsia" w:ascii="宋体" w:eastAsia="宋体" w:cs="宋体"/>
        <w:b w:val="0"/>
        <w:bCs/>
        <w:sz w:val="160"/>
        <w:szCs w:val="24"/>
        <w:u w:val="single"/>
        <w:lang w:eastAsia="zh-CN"/>
      </w:rPr>
      <w:drawing>
        <wp:anchor distT="0" distB="0" distL="114300" distR="114300" simplePos="0" relativeHeight="251659264" behindDoc="1" locked="0" layoutInCell="1" allowOverlap="1">
          <wp:simplePos x="0" y="0"/>
          <wp:positionH relativeFrom="column">
            <wp:posOffset>-545465</wp:posOffset>
          </wp:positionH>
          <wp:positionV relativeFrom="paragraph">
            <wp:posOffset>-95250</wp:posOffset>
          </wp:positionV>
          <wp:extent cx="566420" cy="481330"/>
          <wp:effectExtent l="0" t="0" r="5080" b="13970"/>
          <wp:wrapTight wrapText="bothSides">
            <wp:wrapPolygon>
              <wp:start x="0" y="0"/>
              <wp:lineTo x="0" y="20517"/>
              <wp:lineTo x="21067" y="20517"/>
              <wp:lineTo x="21067" y="0"/>
              <wp:lineTo x="0" y="0"/>
            </wp:wrapPolygon>
          </wp:wrapTight>
          <wp:docPr id="4" name="图片 4"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1"/>
                  <pic:cNvPicPr>
                    <a:picLocks noChangeAspect="1"/>
                  </pic:cNvPicPr>
                </pic:nvPicPr>
                <pic:blipFill>
                  <a:blip r:embed="rId1"/>
                  <a:stretch>
                    <a:fillRect/>
                  </a:stretch>
                </pic:blipFill>
                <pic:spPr>
                  <a:xfrm>
                    <a:off x="0" y="0"/>
                    <a:ext cx="566420" cy="481330"/>
                  </a:xfrm>
                  <a:prstGeom prst="rect">
                    <a:avLst/>
                  </a:prstGeom>
                </pic:spPr>
              </pic:pic>
            </a:graphicData>
          </a:graphic>
        </wp:anchor>
      </w:drawing>
    </w:r>
    <w:r>
      <w:rPr>
        <w:rFonts w:hint="eastAsia" w:ascii="宋体" w:hAnsi="宋体" w:cs="宋体"/>
        <w:bCs/>
        <w:sz w:val="28"/>
        <w:szCs w:val="28"/>
        <w:highlight w:val="none"/>
        <w:u w:val="none"/>
        <w:lang w:eastAsia="zh-CN"/>
      </w:rPr>
      <w:t>高新区（新市区）卫生健康委员会体检医院服务商采购项目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rFonts w:eastAsia="隶书"/>
        <w:color w:val="FF0000"/>
        <w:spacing w:val="40"/>
        <w:sz w:val="21"/>
        <w:szCs w:val="21"/>
        <w:u w:val="single"/>
      </w:rPr>
    </w:pPr>
  </w:p>
  <w:p>
    <w:pPr>
      <w:pStyle w:val="31"/>
      <w:pBdr>
        <w:bottom w:val="single" w:color="auto" w:sz="4" w:space="1"/>
      </w:pBdr>
    </w:pPr>
    <w:r>
      <w:rPr>
        <w:rFonts w:hint="eastAsia" w:ascii="宋体" w:eastAsia="宋体" w:cs="宋体"/>
        <w:b w:val="0"/>
        <w:bCs/>
        <w:sz w:val="160"/>
        <w:szCs w:val="24"/>
        <w:u w:val="single"/>
        <w:lang w:eastAsia="zh-CN"/>
      </w:rPr>
      <w:drawing>
        <wp:anchor distT="0" distB="0" distL="114300" distR="114300" simplePos="0" relativeHeight="251661312" behindDoc="1" locked="0" layoutInCell="1" allowOverlap="1">
          <wp:simplePos x="0" y="0"/>
          <wp:positionH relativeFrom="column">
            <wp:posOffset>-545465</wp:posOffset>
          </wp:positionH>
          <wp:positionV relativeFrom="paragraph">
            <wp:posOffset>-95250</wp:posOffset>
          </wp:positionV>
          <wp:extent cx="566420" cy="481330"/>
          <wp:effectExtent l="0" t="0" r="5080" b="13970"/>
          <wp:wrapTight wrapText="bothSides">
            <wp:wrapPolygon>
              <wp:start x="0" y="0"/>
              <wp:lineTo x="0" y="20517"/>
              <wp:lineTo x="21067" y="20517"/>
              <wp:lineTo x="21067" y="0"/>
              <wp:lineTo x="0" y="0"/>
            </wp:wrapPolygon>
          </wp:wrapTight>
          <wp:docPr id="3" name="图片 3"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1"/>
                  <pic:cNvPicPr>
                    <a:picLocks noChangeAspect="1"/>
                  </pic:cNvPicPr>
                </pic:nvPicPr>
                <pic:blipFill>
                  <a:blip r:embed="rId1"/>
                  <a:stretch>
                    <a:fillRect/>
                  </a:stretch>
                </pic:blipFill>
                <pic:spPr>
                  <a:xfrm>
                    <a:off x="0" y="0"/>
                    <a:ext cx="566420" cy="481330"/>
                  </a:xfrm>
                  <a:prstGeom prst="rect">
                    <a:avLst/>
                  </a:prstGeom>
                </pic:spPr>
              </pic:pic>
            </a:graphicData>
          </a:graphic>
        </wp:anchor>
      </w:drawing>
    </w:r>
    <w:r>
      <w:rPr>
        <w:rFonts w:hint="eastAsia" w:ascii="宋体" w:hAnsi="宋体" w:cs="宋体"/>
        <w:bCs/>
        <w:sz w:val="28"/>
        <w:szCs w:val="28"/>
        <w:highlight w:val="none"/>
        <w:u w:val="none"/>
        <w:lang w:eastAsia="zh-CN"/>
      </w:rPr>
      <w:t>高新区（新市区）卫生健康委员会体检医院服务商采购项目</w:t>
    </w:r>
  </w:p>
  <w:p>
    <w:pPr>
      <w:pStyle w:val="31"/>
      <w:pBdr>
        <w:bottom w:val="none" w:color="auto" w:sz="0" w:space="0"/>
      </w:pBdr>
      <w:jc w:val="both"/>
      <w:rPr>
        <w:rFonts w:eastAsia="隶书"/>
        <w:color w:val="FF0000"/>
        <w:spacing w:val="40"/>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50294"/>
    <w:multiLevelType w:val="singleLevel"/>
    <w:tmpl w:val="FA950294"/>
    <w:lvl w:ilvl="0" w:tentative="0">
      <w:start w:val="1"/>
      <w:numFmt w:val="decimal"/>
      <w:pStyle w:val="34"/>
      <w:lvlText w:val="%1."/>
      <w:lvlJc w:val="left"/>
      <w:pPr>
        <w:tabs>
          <w:tab w:val="left" w:pos="2040"/>
        </w:tabs>
        <w:ind w:left="2040" w:hanging="360"/>
      </w:pPr>
    </w:lvl>
  </w:abstractNum>
  <w:abstractNum w:abstractNumId="1">
    <w:nsid w:val="00000022"/>
    <w:multiLevelType w:val="multilevel"/>
    <w:tmpl w:val="00000022"/>
    <w:lvl w:ilvl="0" w:tentative="0">
      <w:start w:val="1"/>
      <w:numFmt w:val="decimal"/>
      <w:lvlText w:val="%1)"/>
      <w:lvlJc w:val="left"/>
      <w:pPr>
        <w:tabs>
          <w:tab w:val="left" w:pos="1680"/>
        </w:tabs>
        <w:ind w:left="1680" w:hanging="420"/>
      </w:pPr>
      <w:rPr>
        <w:rFonts w:hint="eastAsia" w:cs="Times New Roman"/>
      </w:rPr>
    </w:lvl>
    <w:lvl w:ilvl="1" w:tentative="0">
      <w:start w:val="1"/>
      <w:numFmt w:val="decimal"/>
      <w:lvlText w:val="%2、"/>
      <w:lvlJc w:val="left"/>
      <w:pPr>
        <w:tabs>
          <w:tab w:val="left" w:pos="780"/>
        </w:tabs>
        <w:ind w:left="780" w:hanging="360"/>
      </w:pPr>
      <w:rPr>
        <w:rFonts w:hint="default" w:cs="Times New Roman"/>
        <w:b w:val="0"/>
      </w:rPr>
    </w:lvl>
    <w:lvl w:ilvl="2" w:tentative="0">
      <w:start w:val="1"/>
      <w:numFmt w:val="decimal"/>
      <w:lvlText w:val="%3."/>
      <w:lvlJc w:val="left"/>
      <w:pPr>
        <w:tabs>
          <w:tab w:val="left" w:pos="1560"/>
        </w:tabs>
        <w:ind w:left="1560" w:hanging="720"/>
      </w:pPr>
      <w:rPr>
        <w:rFonts w:hint="default" w:cs="Times New Roman"/>
      </w:rPr>
    </w:lvl>
    <w:lvl w:ilvl="3" w:tentative="0">
      <w:start w:val="5"/>
      <w:numFmt w:val="bullet"/>
      <w:lvlText w:val="●"/>
      <w:lvlJc w:val="left"/>
      <w:pPr>
        <w:tabs>
          <w:tab w:val="left" w:pos="1620"/>
        </w:tabs>
        <w:ind w:left="1620" w:hanging="360"/>
      </w:pPr>
      <w:rPr>
        <w:rFonts w:hint="eastAsia" w:ascii="宋体" w:hAnsi="宋体" w:eastAsia="宋体"/>
      </w:rPr>
    </w:lvl>
    <w:lvl w:ilvl="4" w:tentative="0">
      <w:start w:val="1"/>
      <w:numFmt w:val="japaneseCounting"/>
      <w:lvlText w:val="%5、"/>
      <w:lvlJc w:val="left"/>
      <w:pPr>
        <w:tabs>
          <w:tab w:val="left" w:pos="2400"/>
        </w:tabs>
        <w:ind w:left="2400" w:hanging="720"/>
      </w:pPr>
      <w:rPr>
        <w:rFonts w:hint="default" w:cs="Times New Roman"/>
      </w:rPr>
    </w:lvl>
    <w:lvl w:ilvl="5" w:tentative="0">
      <w:start w:val="0"/>
      <w:numFmt w:val="bullet"/>
      <w:lvlText w:val=""/>
      <w:lvlJc w:val="left"/>
      <w:pPr>
        <w:tabs>
          <w:tab w:val="left" w:pos="2460"/>
        </w:tabs>
        <w:ind w:left="2460" w:hanging="360"/>
      </w:pPr>
      <w:rPr>
        <w:rFonts w:hint="default" w:ascii="Wingdings" w:hAnsi="Wingdings" w:eastAsia="宋体"/>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5C505B4"/>
    <w:multiLevelType w:val="multilevel"/>
    <w:tmpl w:val="05C505B4"/>
    <w:lvl w:ilvl="0" w:tentative="0">
      <w:start w:val="1"/>
      <w:numFmt w:val="decimal"/>
      <w:lvlText w:val="%1)"/>
      <w:lvlJc w:val="left"/>
      <w:pPr>
        <w:tabs>
          <w:tab w:val="left" w:pos="1680"/>
        </w:tabs>
        <w:ind w:left="168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C1657F2"/>
    <w:multiLevelType w:val="multilevel"/>
    <w:tmpl w:val="0C1657F2"/>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23757D77"/>
    <w:multiLevelType w:val="multilevel"/>
    <w:tmpl w:val="23757D77"/>
    <w:lvl w:ilvl="0" w:tentative="0">
      <w:start w:val="1"/>
      <w:numFmt w:val="japaneseCounting"/>
      <w:lvlText w:val="%1、"/>
      <w:lvlJc w:val="left"/>
      <w:pPr>
        <w:tabs>
          <w:tab w:val="left" w:pos="420"/>
        </w:tabs>
        <w:ind w:left="420" w:hanging="420"/>
      </w:pPr>
      <w:rPr>
        <w:rFonts w:hint="default" w:cs="Times New Roman"/>
      </w:rPr>
    </w:lvl>
    <w:lvl w:ilvl="1" w:tentative="0">
      <w:start w:val="1"/>
      <w:numFmt w:val="japaneseCounting"/>
      <w:lvlText w:val="第%2章"/>
      <w:lvlJc w:val="left"/>
      <w:pPr>
        <w:tabs>
          <w:tab w:val="left" w:pos="1408"/>
        </w:tabs>
        <w:ind w:left="1408" w:hanging="840"/>
      </w:pPr>
      <w:rPr>
        <w:rFonts w:hint="default"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3A77F1A"/>
    <w:multiLevelType w:val="multilevel"/>
    <w:tmpl w:val="23A77F1A"/>
    <w:lvl w:ilvl="0" w:tentative="0">
      <w:start w:val="1"/>
      <w:numFmt w:val="decimal"/>
      <w:lvlText w:val="%1)"/>
      <w:lvlJc w:val="left"/>
      <w:pPr>
        <w:tabs>
          <w:tab w:val="left" w:pos="1140"/>
        </w:tabs>
        <w:ind w:left="1140" w:hanging="420"/>
      </w:pPr>
      <w:rPr>
        <w:rFonts w:hint="eastAsia" w:cs="Times New Roman"/>
        <w:b/>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6">
    <w:nsid w:val="3FA85A6C"/>
    <w:multiLevelType w:val="multilevel"/>
    <w:tmpl w:val="3FA85A6C"/>
    <w:lvl w:ilvl="0" w:tentative="0">
      <w:start w:val="1"/>
      <w:numFmt w:val="decimal"/>
      <w:pStyle w:val="231"/>
      <w:lvlText w:val="（%1）"/>
      <w:lvlJc w:val="left"/>
      <w:pPr>
        <w:ind w:left="1200" w:hanging="720"/>
      </w:pPr>
      <w:rPr>
        <w:rFonts w:hint="default" w:ascii="Calibri" w:hAnsi="Calibri" w:cs="宋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3FBB35D9"/>
    <w:multiLevelType w:val="multilevel"/>
    <w:tmpl w:val="3FBB35D9"/>
    <w:lvl w:ilvl="0" w:tentative="0">
      <w:start w:val="1"/>
      <w:numFmt w:val="decimal"/>
      <w:pStyle w:val="235"/>
      <w:lvlText w:val="（%1）"/>
      <w:lvlJc w:val="left"/>
      <w:pPr>
        <w:ind w:left="1200" w:hanging="720"/>
      </w:pPr>
      <w:rPr>
        <w:rFonts w:hint="default" w:ascii="Calibri" w:hAnsi="Calibri" w:cs="宋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423C354E"/>
    <w:multiLevelType w:val="multilevel"/>
    <w:tmpl w:val="423C354E"/>
    <w:lvl w:ilvl="0" w:tentative="0">
      <w:start w:val="1"/>
      <w:numFmt w:val="decimal"/>
      <w:pStyle w:val="14"/>
      <w:lvlText w:val="%1."/>
      <w:lvlJc w:val="left"/>
      <w:pPr>
        <w:tabs>
          <w:tab w:val="left" w:pos="420"/>
        </w:tabs>
        <w:ind w:left="420" w:hanging="420"/>
      </w:pPr>
      <w:rPr>
        <w:rFonts w:cs="Times New Roman"/>
      </w:rPr>
    </w:lvl>
    <w:lvl w:ilvl="1" w:tentative="0">
      <w:start w:val="1"/>
      <w:numFmt w:val="bullet"/>
      <w:pStyle w:val="16"/>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4A1D0B86"/>
    <w:multiLevelType w:val="multilevel"/>
    <w:tmpl w:val="4A1D0B86"/>
    <w:lvl w:ilvl="0" w:tentative="0">
      <w:start w:val="1"/>
      <w:numFmt w:val="decimal"/>
      <w:lvlText w:val="%1."/>
      <w:lvlJc w:val="left"/>
      <w:pPr>
        <w:tabs>
          <w:tab w:val="left" w:pos="560"/>
        </w:tabs>
        <w:ind w:left="900" w:hanging="340"/>
      </w:pPr>
      <w:rPr>
        <w:rFonts w:hint="eastAsia" w:cs="Times New Roman"/>
      </w:rPr>
    </w:lvl>
    <w:lvl w:ilvl="1" w:tentative="0">
      <w:start w:val="1"/>
      <w:numFmt w:val="decimal"/>
      <w:lvlText w:val="%2."/>
      <w:lvlJc w:val="left"/>
      <w:pPr>
        <w:tabs>
          <w:tab w:val="left" w:pos="420"/>
        </w:tabs>
        <w:ind w:left="760" w:hanging="34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AF31D51"/>
    <w:multiLevelType w:val="multilevel"/>
    <w:tmpl w:val="4AF31D51"/>
    <w:lvl w:ilvl="0" w:tentative="0">
      <w:start w:val="1"/>
      <w:numFmt w:val="bullet"/>
      <w:pStyle w:val="150"/>
      <w:lvlText w:val=""/>
      <w:lvlJc w:val="left"/>
      <w:pPr>
        <w:tabs>
          <w:tab w:val="left" w:pos="1500"/>
        </w:tabs>
        <w:ind w:left="1500" w:hanging="420"/>
      </w:pPr>
      <w:rPr>
        <w:rFonts w:hint="default" w:ascii="Wingdings" w:hAnsi="Wingdings"/>
      </w:rPr>
    </w:lvl>
    <w:lvl w:ilvl="1" w:tentative="0">
      <w:start w:val="1"/>
      <w:numFmt w:val="decimal"/>
      <w:lvlText w:val="%2."/>
      <w:lvlJc w:val="left"/>
      <w:pPr>
        <w:tabs>
          <w:tab w:val="left" w:pos="1407"/>
        </w:tabs>
        <w:ind w:left="1407" w:hanging="420"/>
      </w:pPr>
      <w:rPr>
        <w:rFonts w:hint="default" w:cs="Times New Roman"/>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C5F2D84"/>
    <w:multiLevelType w:val="multilevel"/>
    <w:tmpl w:val="4C5F2D84"/>
    <w:lvl w:ilvl="0" w:tentative="0">
      <w:start w:val="1"/>
      <w:numFmt w:val="decimal"/>
      <w:lvlText w:val="%1."/>
      <w:lvlJc w:val="left"/>
      <w:pPr>
        <w:tabs>
          <w:tab w:val="left" w:pos="840"/>
        </w:tabs>
        <w:ind w:left="1180" w:hanging="340"/>
      </w:pPr>
      <w:rPr>
        <w:rFonts w:hint="eastAsia" w:cs="Times New Roman"/>
      </w:rPr>
    </w:lvl>
    <w:lvl w:ilvl="1" w:tentative="0">
      <w:start w:val="1"/>
      <w:numFmt w:val="decimal"/>
      <w:lvlText w:val="%2)"/>
      <w:lvlJc w:val="left"/>
      <w:pPr>
        <w:tabs>
          <w:tab w:val="left" w:pos="1680"/>
        </w:tabs>
        <w:ind w:left="1680" w:hanging="420"/>
      </w:pPr>
      <w:rPr>
        <w:rFonts w:hint="eastAsia" w:cs="Times New Roman"/>
      </w:rPr>
    </w:lvl>
    <w:lvl w:ilvl="2" w:tentative="0">
      <w:start w:val="1"/>
      <w:numFmt w:val="decimal"/>
      <w:lvlText w:val="%3）"/>
      <w:lvlJc w:val="left"/>
      <w:pPr>
        <w:tabs>
          <w:tab w:val="left" w:pos="2520"/>
        </w:tabs>
        <w:ind w:left="2520" w:hanging="840"/>
      </w:pPr>
      <w:rPr>
        <w:rFonts w:hint="default" w:cs="Times New Roman"/>
      </w:rPr>
    </w:lvl>
    <w:lvl w:ilvl="3" w:tentative="0">
      <w:start w:val="1"/>
      <w:numFmt w:val="decimal"/>
      <w:lvlText w:val="%4."/>
      <w:lvlJc w:val="left"/>
      <w:pPr>
        <w:tabs>
          <w:tab w:val="left" w:pos="2520"/>
        </w:tabs>
        <w:ind w:left="2520" w:hanging="420"/>
      </w:pPr>
      <w:rPr>
        <w:rFonts w:cs="Times New Roman"/>
      </w:rPr>
    </w:lvl>
    <w:lvl w:ilvl="4" w:tentative="0">
      <w:start w:val="1"/>
      <w:numFmt w:val="lowerLetter"/>
      <w:lvlText w:val="%5)"/>
      <w:lvlJc w:val="left"/>
      <w:pPr>
        <w:tabs>
          <w:tab w:val="left" w:pos="2940"/>
        </w:tabs>
        <w:ind w:left="2940" w:hanging="420"/>
      </w:pPr>
      <w:rPr>
        <w:rFonts w:cs="Times New Roman"/>
      </w:rPr>
    </w:lvl>
    <w:lvl w:ilvl="5" w:tentative="0">
      <w:start w:val="1"/>
      <w:numFmt w:val="lowerRoman"/>
      <w:lvlText w:val="%6."/>
      <w:lvlJc w:val="right"/>
      <w:pPr>
        <w:tabs>
          <w:tab w:val="left" w:pos="3360"/>
        </w:tabs>
        <w:ind w:left="3360" w:hanging="420"/>
      </w:pPr>
      <w:rPr>
        <w:rFonts w:cs="Times New Roman"/>
      </w:rPr>
    </w:lvl>
    <w:lvl w:ilvl="6" w:tentative="0">
      <w:start w:val="1"/>
      <w:numFmt w:val="decimal"/>
      <w:lvlText w:val="%7."/>
      <w:lvlJc w:val="left"/>
      <w:pPr>
        <w:tabs>
          <w:tab w:val="left" w:pos="3780"/>
        </w:tabs>
        <w:ind w:left="3780" w:hanging="420"/>
      </w:pPr>
      <w:rPr>
        <w:rFonts w:cs="Times New Roman"/>
      </w:rPr>
    </w:lvl>
    <w:lvl w:ilvl="7" w:tentative="0">
      <w:start w:val="1"/>
      <w:numFmt w:val="lowerLetter"/>
      <w:lvlText w:val="%8)"/>
      <w:lvlJc w:val="left"/>
      <w:pPr>
        <w:tabs>
          <w:tab w:val="left" w:pos="4200"/>
        </w:tabs>
        <w:ind w:left="4200" w:hanging="420"/>
      </w:pPr>
      <w:rPr>
        <w:rFonts w:cs="Times New Roman"/>
      </w:rPr>
    </w:lvl>
    <w:lvl w:ilvl="8" w:tentative="0">
      <w:start w:val="1"/>
      <w:numFmt w:val="lowerRoman"/>
      <w:lvlText w:val="%9."/>
      <w:lvlJc w:val="right"/>
      <w:pPr>
        <w:tabs>
          <w:tab w:val="left" w:pos="4620"/>
        </w:tabs>
        <w:ind w:left="4620" w:hanging="420"/>
      </w:pPr>
      <w:rPr>
        <w:rFonts w:cs="Times New Roman"/>
      </w:rPr>
    </w:lvl>
  </w:abstractNum>
  <w:abstractNum w:abstractNumId="12">
    <w:nsid w:val="5DB53A89"/>
    <w:multiLevelType w:val="multilevel"/>
    <w:tmpl w:val="5DB53A89"/>
    <w:lvl w:ilvl="0" w:tentative="0">
      <w:start w:val="2"/>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663B4382"/>
    <w:multiLevelType w:val="multilevel"/>
    <w:tmpl w:val="663B4382"/>
    <w:lvl w:ilvl="0" w:tentative="0">
      <w:start w:val="1"/>
      <w:numFmt w:val="decimal"/>
      <w:lvlText w:val="%1."/>
      <w:lvlJc w:val="left"/>
      <w:pPr>
        <w:tabs>
          <w:tab w:val="left" w:pos="360"/>
        </w:tabs>
        <w:ind w:left="360" w:hanging="360"/>
      </w:pPr>
      <w:rPr>
        <w:rFonts w:hint="default" w:cs="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decimal"/>
      <w:lvlText w:val="3.%3"/>
      <w:lvlJc w:val="left"/>
      <w:pPr>
        <w:tabs>
          <w:tab w:val="left" w:pos="0"/>
        </w:tabs>
        <w:ind w:left="454" w:hanging="454"/>
      </w:pPr>
      <w:rPr>
        <w:rFonts w:hint="eastAsia" w:cs="Times New Roman"/>
      </w:rPr>
    </w:lvl>
    <w:lvl w:ilvl="3" w:tentative="0">
      <w:start w:val="1"/>
      <w:numFmt w:val="decimal"/>
      <w:pStyle w:val="237"/>
      <w:lvlText w:val="%4)"/>
      <w:lvlJc w:val="left"/>
      <w:pPr>
        <w:tabs>
          <w:tab w:val="left" w:pos="1680"/>
        </w:tabs>
        <w:ind w:left="1680" w:hanging="420"/>
      </w:pPr>
      <w:rPr>
        <w:rFonts w:hint="eastAsia" w:cs="Times New Roman"/>
      </w:rPr>
    </w:lvl>
    <w:lvl w:ilvl="4" w:tentative="0">
      <w:start w:val="1"/>
      <w:numFmt w:val="decimal"/>
      <w:lvlText w:val="%5）"/>
      <w:lvlJc w:val="left"/>
      <w:pPr>
        <w:tabs>
          <w:tab w:val="left" w:pos="2400"/>
        </w:tabs>
        <w:ind w:left="2400" w:hanging="720"/>
      </w:pPr>
      <w:rPr>
        <w:rFonts w:hint="default"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6F54455B"/>
    <w:multiLevelType w:val="multilevel"/>
    <w:tmpl w:val="6F54455B"/>
    <w:lvl w:ilvl="0" w:tentative="0">
      <w:start w:val="17"/>
      <w:numFmt w:val="decimal"/>
      <w:lvlText w:val="%1"/>
      <w:lvlJc w:val="left"/>
      <w:pPr>
        <w:ind w:left="480" w:hanging="480"/>
      </w:pPr>
      <w:rPr>
        <w:rFonts w:hint="default" w:cs="Times New Roman"/>
      </w:rPr>
    </w:lvl>
    <w:lvl w:ilvl="1" w:tentative="0">
      <w:start w:val="6"/>
      <w:numFmt w:val="decimal"/>
      <w:lvlText w:val="%1.%2"/>
      <w:lvlJc w:val="left"/>
      <w:pPr>
        <w:ind w:left="960" w:hanging="480"/>
      </w:pPr>
      <w:rPr>
        <w:rFonts w:hint="default" w:cs="Times New Roman"/>
      </w:rPr>
    </w:lvl>
    <w:lvl w:ilvl="2" w:tentative="0">
      <w:start w:val="1"/>
      <w:numFmt w:val="decimal"/>
      <w:lvlText w:val="%1.%2.%3"/>
      <w:lvlJc w:val="left"/>
      <w:pPr>
        <w:ind w:left="1680" w:hanging="720"/>
      </w:pPr>
      <w:rPr>
        <w:rFonts w:hint="default" w:cs="Times New Roman"/>
      </w:rPr>
    </w:lvl>
    <w:lvl w:ilvl="3" w:tentative="0">
      <w:start w:val="1"/>
      <w:numFmt w:val="decimal"/>
      <w:lvlText w:val="%1.%2.%3.%4"/>
      <w:lvlJc w:val="left"/>
      <w:pPr>
        <w:ind w:left="2520" w:hanging="1080"/>
      </w:pPr>
      <w:rPr>
        <w:rFonts w:hint="default" w:cs="Times New Roman"/>
      </w:rPr>
    </w:lvl>
    <w:lvl w:ilvl="4" w:tentative="0">
      <w:start w:val="1"/>
      <w:numFmt w:val="decimal"/>
      <w:lvlText w:val="%1.%2.%3.%4.%5"/>
      <w:lvlJc w:val="left"/>
      <w:pPr>
        <w:ind w:left="3000" w:hanging="1080"/>
      </w:pPr>
      <w:rPr>
        <w:rFonts w:hint="default" w:cs="Times New Roman"/>
      </w:rPr>
    </w:lvl>
    <w:lvl w:ilvl="5" w:tentative="0">
      <w:start w:val="1"/>
      <w:numFmt w:val="decimal"/>
      <w:lvlText w:val="%1.%2.%3.%4.%5.%6"/>
      <w:lvlJc w:val="left"/>
      <w:pPr>
        <w:ind w:left="3840" w:hanging="1440"/>
      </w:pPr>
      <w:rPr>
        <w:rFonts w:hint="default" w:cs="Times New Roman"/>
      </w:rPr>
    </w:lvl>
    <w:lvl w:ilvl="6" w:tentative="0">
      <w:start w:val="1"/>
      <w:numFmt w:val="decimal"/>
      <w:lvlText w:val="%1.%2.%3.%4.%5.%6.%7"/>
      <w:lvlJc w:val="left"/>
      <w:pPr>
        <w:ind w:left="4680" w:hanging="1800"/>
      </w:pPr>
      <w:rPr>
        <w:rFonts w:hint="default" w:cs="Times New Roman"/>
      </w:rPr>
    </w:lvl>
    <w:lvl w:ilvl="7" w:tentative="0">
      <w:start w:val="1"/>
      <w:numFmt w:val="decimal"/>
      <w:lvlText w:val="%1.%2.%3.%4.%5.%6.%7.%8"/>
      <w:lvlJc w:val="left"/>
      <w:pPr>
        <w:ind w:left="5160" w:hanging="1800"/>
      </w:pPr>
      <w:rPr>
        <w:rFonts w:hint="default" w:cs="Times New Roman"/>
      </w:rPr>
    </w:lvl>
    <w:lvl w:ilvl="8" w:tentative="0">
      <w:start w:val="1"/>
      <w:numFmt w:val="decimal"/>
      <w:lvlText w:val="%1.%2.%3.%4.%5.%6.%7.%8.%9"/>
      <w:lvlJc w:val="left"/>
      <w:pPr>
        <w:ind w:left="6000" w:hanging="2160"/>
      </w:pPr>
      <w:rPr>
        <w:rFonts w:hint="default" w:cs="Times New Roman"/>
      </w:rPr>
    </w:lvl>
  </w:abstractNum>
  <w:num w:numId="1">
    <w:abstractNumId w:val="8"/>
  </w:num>
  <w:num w:numId="2">
    <w:abstractNumId w:val="0"/>
  </w:num>
  <w:num w:numId="3">
    <w:abstractNumId w:val="10"/>
  </w:num>
  <w:num w:numId="4">
    <w:abstractNumId w:val="6"/>
  </w:num>
  <w:num w:numId="5">
    <w:abstractNumId w:val="7"/>
  </w:num>
  <w:num w:numId="6">
    <w:abstractNumId w:val="13"/>
  </w:num>
  <w:num w:numId="7">
    <w:abstractNumId w:val="3"/>
  </w:num>
  <w:num w:numId="8">
    <w:abstractNumId w:val="4"/>
  </w:num>
  <w:num w:numId="9">
    <w:abstractNumId w:val="2"/>
  </w:num>
  <w:num w:numId="10">
    <w:abstractNumId w:val="14"/>
  </w:num>
  <w:num w:numId="11">
    <w:abstractNumId w:val="5"/>
  </w:num>
  <w:num w:numId="12">
    <w:abstractNumId w:val="1"/>
  </w:num>
  <w:num w:numId="13">
    <w:abstractNumId w:val="1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mU5MjEyYmU0ZWIyNjM5YTYwNDkyZTU1MDVlMDMifQ=="/>
  </w:docVars>
  <w:rsids>
    <w:rsidRoot w:val="00064755"/>
    <w:rsid w:val="0000036B"/>
    <w:rsid w:val="00000F9D"/>
    <w:rsid w:val="00001749"/>
    <w:rsid w:val="0000229A"/>
    <w:rsid w:val="000025A7"/>
    <w:rsid w:val="00002916"/>
    <w:rsid w:val="00002B02"/>
    <w:rsid w:val="00003093"/>
    <w:rsid w:val="0000388F"/>
    <w:rsid w:val="00004038"/>
    <w:rsid w:val="0000462E"/>
    <w:rsid w:val="00004984"/>
    <w:rsid w:val="0000630B"/>
    <w:rsid w:val="00007F5F"/>
    <w:rsid w:val="00007FA8"/>
    <w:rsid w:val="00010580"/>
    <w:rsid w:val="00010F0A"/>
    <w:rsid w:val="00011A63"/>
    <w:rsid w:val="00011D72"/>
    <w:rsid w:val="00012625"/>
    <w:rsid w:val="00012640"/>
    <w:rsid w:val="000127B7"/>
    <w:rsid w:val="00014B79"/>
    <w:rsid w:val="00014EE7"/>
    <w:rsid w:val="000153AC"/>
    <w:rsid w:val="0001555F"/>
    <w:rsid w:val="000157A5"/>
    <w:rsid w:val="00015D99"/>
    <w:rsid w:val="0001785D"/>
    <w:rsid w:val="00017B44"/>
    <w:rsid w:val="00020477"/>
    <w:rsid w:val="000221EF"/>
    <w:rsid w:val="00022767"/>
    <w:rsid w:val="00023661"/>
    <w:rsid w:val="00023BF4"/>
    <w:rsid w:val="000246D1"/>
    <w:rsid w:val="0002628D"/>
    <w:rsid w:val="000267F3"/>
    <w:rsid w:val="00026990"/>
    <w:rsid w:val="0003098C"/>
    <w:rsid w:val="00030A21"/>
    <w:rsid w:val="00030C24"/>
    <w:rsid w:val="00030D6D"/>
    <w:rsid w:val="00031366"/>
    <w:rsid w:val="00033DA2"/>
    <w:rsid w:val="00035062"/>
    <w:rsid w:val="00036452"/>
    <w:rsid w:val="000400FD"/>
    <w:rsid w:val="00040B5C"/>
    <w:rsid w:val="00040BF6"/>
    <w:rsid w:val="00041460"/>
    <w:rsid w:val="000420A8"/>
    <w:rsid w:val="00042779"/>
    <w:rsid w:val="00043411"/>
    <w:rsid w:val="00043643"/>
    <w:rsid w:val="00045904"/>
    <w:rsid w:val="00046008"/>
    <w:rsid w:val="00046806"/>
    <w:rsid w:val="0004718D"/>
    <w:rsid w:val="00047CCA"/>
    <w:rsid w:val="0005001E"/>
    <w:rsid w:val="00050D49"/>
    <w:rsid w:val="0005143E"/>
    <w:rsid w:val="00051738"/>
    <w:rsid w:val="000517A4"/>
    <w:rsid w:val="000517AC"/>
    <w:rsid w:val="000518A9"/>
    <w:rsid w:val="00051C7D"/>
    <w:rsid w:val="00051D70"/>
    <w:rsid w:val="00052536"/>
    <w:rsid w:val="00053ECD"/>
    <w:rsid w:val="00054067"/>
    <w:rsid w:val="000557FD"/>
    <w:rsid w:val="0005580C"/>
    <w:rsid w:val="0005623A"/>
    <w:rsid w:val="000567F1"/>
    <w:rsid w:val="0005742C"/>
    <w:rsid w:val="00060438"/>
    <w:rsid w:val="000604E0"/>
    <w:rsid w:val="0006175B"/>
    <w:rsid w:val="000631D1"/>
    <w:rsid w:val="00063E84"/>
    <w:rsid w:val="00064755"/>
    <w:rsid w:val="0006591A"/>
    <w:rsid w:val="00066220"/>
    <w:rsid w:val="00066D3B"/>
    <w:rsid w:val="00067049"/>
    <w:rsid w:val="00067615"/>
    <w:rsid w:val="00067950"/>
    <w:rsid w:val="000707C6"/>
    <w:rsid w:val="00071096"/>
    <w:rsid w:val="00071F8E"/>
    <w:rsid w:val="000736E3"/>
    <w:rsid w:val="0007403F"/>
    <w:rsid w:val="00074DC5"/>
    <w:rsid w:val="00075C58"/>
    <w:rsid w:val="000760AD"/>
    <w:rsid w:val="000765B1"/>
    <w:rsid w:val="00076648"/>
    <w:rsid w:val="000775E1"/>
    <w:rsid w:val="0008159A"/>
    <w:rsid w:val="00081EFB"/>
    <w:rsid w:val="000835AA"/>
    <w:rsid w:val="00084193"/>
    <w:rsid w:val="00084872"/>
    <w:rsid w:val="00085E2A"/>
    <w:rsid w:val="00086A75"/>
    <w:rsid w:val="0008799A"/>
    <w:rsid w:val="00087B35"/>
    <w:rsid w:val="00087CC2"/>
    <w:rsid w:val="0009165E"/>
    <w:rsid w:val="0009173F"/>
    <w:rsid w:val="000924AA"/>
    <w:rsid w:val="00092B21"/>
    <w:rsid w:val="0009314A"/>
    <w:rsid w:val="00093716"/>
    <w:rsid w:val="000952B8"/>
    <w:rsid w:val="00095CC4"/>
    <w:rsid w:val="000965CF"/>
    <w:rsid w:val="00096766"/>
    <w:rsid w:val="0009703C"/>
    <w:rsid w:val="000A0B91"/>
    <w:rsid w:val="000A1D75"/>
    <w:rsid w:val="000A22F0"/>
    <w:rsid w:val="000A2ACA"/>
    <w:rsid w:val="000A34BD"/>
    <w:rsid w:val="000A410E"/>
    <w:rsid w:val="000A49F8"/>
    <w:rsid w:val="000A4DB7"/>
    <w:rsid w:val="000A4E2D"/>
    <w:rsid w:val="000A5C49"/>
    <w:rsid w:val="000A66C9"/>
    <w:rsid w:val="000A67CD"/>
    <w:rsid w:val="000A6870"/>
    <w:rsid w:val="000B0B34"/>
    <w:rsid w:val="000B0DDA"/>
    <w:rsid w:val="000B116D"/>
    <w:rsid w:val="000B20B7"/>
    <w:rsid w:val="000B20EB"/>
    <w:rsid w:val="000B2FE5"/>
    <w:rsid w:val="000B4E08"/>
    <w:rsid w:val="000B5CA7"/>
    <w:rsid w:val="000B72F1"/>
    <w:rsid w:val="000B77AE"/>
    <w:rsid w:val="000B7EAE"/>
    <w:rsid w:val="000C0E75"/>
    <w:rsid w:val="000C2A5B"/>
    <w:rsid w:val="000C3052"/>
    <w:rsid w:val="000C3EE7"/>
    <w:rsid w:val="000C42F6"/>
    <w:rsid w:val="000C5678"/>
    <w:rsid w:val="000C7035"/>
    <w:rsid w:val="000C74C4"/>
    <w:rsid w:val="000C7787"/>
    <w:rsid w:val="000C7795"/>
    <w:rsid w:val="000C7A05"/>
    <w:rsid w:val="000C7AAF"/>
    <w:rsid w:val="000C7AEA"/>
    <w:rsid w:val="000C7C91"/>
    <w:rsid w:val="000C7E20"/>
    <w:rsid w:val="000D051A"/>
    <w:rsid w:val="000D060E"/>
    <w:rsid w:val="000D147E"/>
    <w:rsid w:val="000D1CB9"/>
    <w:rsid w:val="000D2582"/>
    <w:rsid w:val="000D2762"/>
    <w:rsid w:val="000D27D6"/>
    <w:rsid w:val="000D2A0A"/>
    <w:rsid w:val="000D31D7"/>
    <w:rsid w:val="000D32E3"/>
    <w:rsid w:val="000D3676"/>
    <w:rsid w:val="000D39FC"/>
    <w:rsid w:val="000D5410"/>
    <w:rsid w:val="000D6086"/>
    <w:rsid w:val="000D6212"/>
    <w:rsid w:val="000D658E"/>
    <w:rsid w:val="000D65B1"/>
    <w:rsid w:val="000E0198"/>
    <w:rsid w:val="000E2123"/>
    <w:rsid w:val="000E2C34"/>
    <w:rsid w:val="000E3037"/>
    <w:rsid w:val="000E3790"/>
    <w:rsid w:val="000E392D"/>
    <w:rsid w:val="000E492B"/>
    <w:rsid w:val="000E5615"/>
    <w:rsid w:val="000E77B1"/>
    <w:rsid w:val="000F099A"/>
    <w:rsid w:val="000F0C1A"/>
    <w:rsid w:val="000F1B6B"/>
    <w:rsid w:val="000F1CD4"/>
    <w:rsid w:val="000F2B09"/>
    <w:rsid w:val="000F2D05"/>
    <w:rsid w:val="000F3FD2"/>
    <w:rsid w:val="000F4088"/>
    <w:rsid w:val="000F4324"/>
    <w:rsid w:val="000F45DB"/>
    <w:rsid w:val="000F5BF6"/>
    <w:rsid w:val="000F5D6E"/>
    <w:rsid w:val="000F6252"/>
    <w:rsid w:val="000F7155"/>
    <w:rsid w:val="000F717F"/>
    <w:rsid w:val="000F71C6"/>
    <w:rsid w:val="000F77FB"/>
    <w:rsid w:val="000F7D53"/>
    <w:rsid w:val="00100B45"/>
    <w:rsid w:val="00100CB8"/>
    <w:rsid w:val="001018DC"/>
    <w:rsid w:val="00101BD1"/>
    <w:rsid w:val="00102B61"/>
    <w:rsid w:val="00104913"/>
    <w:rsid w:val="00104B69"/>
    <w:rsid w:val="00105123"/>
    <w:rsid w:val="001053B3"/>
    <w:rsid w:val="00106FEC"/>
    <w:rsid w:val="00107903"/>
    <w:rsid w:val="001136B8"/>
    <w:rsid w:val="001138F8"/>
    <w:rsid w:val="00116339"/>
    <w:rsid w:val="0011678D"/>
    <w:rsid w:val="001178B3"/>
    <w:rsid w:val="00117E2F"/>
    <w:rsid w:val="00117EA4"/>
    <w:rsid w:val="001217F8"/>
    <w:rsid w:val="001228E5"/>
    <w:rsid w:val="00122C22"/>
    <w:rsid w:val="0012373B"/>
    <w:rsid w:val="001242AD"/>
    <w:rsid w:val="00124AD4"/>
    <w:rsid w:val="00126B84"/>
    <w:rsid w:val="001272B3"/>
    <w:rsid w:val="001276AE"/>
    <w:rsid w:val="00127E99"/>
    <w:rsid w:val="001307DD"/>
    <w:rsid w:val="001308FA"/>
    <w:rsid w:val="0013168C"/>
    <w:rsid w:val="00132DA6"/>
    <w:rsid w:val="001346C8"/>
    <w:rsid w:val="00134B91"/>
    <w:rsid w:val="00134EF1"/>
    <w:rsid w:val="0013500F"/>
    <w:rsid w:val="00135A97"/>
    <w:rsid w:val="00135D56"/>
    <w:rsid w:val="00136109"/>
    <w:rsid w:val="00136441"/>
    <w:rsid w:val="00136489"/>
    <w:rsid w:val="0013699F"/>
    <w:rsid w:val="00136F75"/>
    <w:rsid w:val="00140482"/>
    <w:rsid w:val="00140D99"/>
    <w:rsid w:val="00143B70"/>
    <w:rsid w:val="00146705"/>
    <w:rsid w:val="0014704D"/>
    <w:rsid w:val="0014771D"/>
    <w:rsid w:val="00150F07"/>
    <w:rsid w:val="00155142"/>
    <w:rsid w:val="0015531B"/>
    <w:rsid w:val="001553D2"/>
    <w:rsid w:val="00155B14"/>
    <w:rsid w:val="00156047"/>
    <w:rsid w:val="00156128"/>
    <w:rsid w:val="00156484"/>
    <w:rsid w:val="00156C04"/>
    <w:rsid w:val="00156F5E"/>
    <w:rsid w:val="001570AA"/>
    <w:rsid w:val="00160452"/>
    <w:rsid w:val="001604C9"/>
    <w:rsid w:val="00160BA0"/>
    <w:rsid w:val="00160DBB"/>
    <w:rsid w:val="00161728"/>
    <w:rsid w:val="00161804"/>
    <w:rsid w:val="00162851"/>
    <w:rsid w:val="00162A64"/>
    <w:rsid w:val="00163155"/>
    <w:rsid w:val="001631F4"/>
    <w:rsid w:val="001632DC"/>
    <w:rsid w:val="00163749"/>
    <w:rsid w:val="00163EAE"/>
    <w:rsid w:val="00164D06"/>
    <w:rsid w:val="00164F6C"/>
    <w:rsid w:val="00165357"/>
    <w:rsid w:val="001659C6"/>
    <w:rsid w:val="001665F0"/>
    <w:rsid w:val="00167483"/>
    <w:rsid w:val="00167CA3"/>
    <w:rsid w:val="00170701"/>
    <w:rsid w:val="00170D94"/>
    <w:rsid w:val="00171077"/>
    <w:rsid w:val="001714FE"/>
    <w:rsid w:val="00172593"/>
    <w:rsid w:val="00172D14"/>
    <w:rsid w:val="00173093"/>
    <w:rsid w:val="001732B7"/>
    <w:rsid w:val="0017425F"/>
    <w:rsid w:val="00174CF8"/>
    <w:rsid w:val="0017577C"/>
    <w:rsid w:val="00175D86"/>
    <w:rsid w:val="0017684C"/>
    <w:rsid w:val="001777AF"/>
    <w:rsid w:val="00180E4D"/>
    <w:rsid w:val="00181082"/>
    <w:rsid w:val="00182526"/>
    <w:rsid w:val="00182896"/>
    <w:rsid w:val="001830E1"/>
    <w:rsid w:val="001834B3"/>
    <w:rsid w:val="0018365B"/>
    <w:rsid w:val="00183684"/>
    <w:rsid w:val="00183BB3"/>
    <w:rsid w:val="00184170"/>
    <w:rsid w:val="001848F1"/>
    <w:rsid w:val="001859C3"/>
    <w:rsid w:val="00185B35"/>
    <w:rsid w:val="00185B8E"/>
    <w:rsid w:val="00186A27"/>
    <w:rsid w:val="001874B5"/>
    <w:rsid w:val="001918F5"/>
    <w:rsid w:val="00191B6E"/>
    <w:rsid w:val="00192BF1"/>
    <w:rsid w:val="001932CF"/>
    <w:rsid w:val="00193AA2"/>
    <w:rsid w:val="00194B7E"/>
    <w:rsid w:val="00194C89"/>
    <w:rsid w:val="00195E49"/>
    <w:rsid w:val="00196240"/>
    <w:rsid w:val="0019651F"/>
    <w:rsid w:val="00196E27"/>
    <w:rsid w:val="001976FE"/>
    <w:rsid w:val="001A15A5"/>
    <w:rsid w:val="001A1B92"/>
    <w:rsid w:val="001A208D"/>
    <w:rsid w:val="001A2248"/>
    <w:rsid w:val="001A330E"/>
    <w:rsid w:val="001A33E0"/>
    <w:rsid w:val="001A48D6"/>
    <w:rsid w:val="001A4C39"/>
    <w:rsid w:val="001A4D0B"/>
    <w:rsid w:val="001A5098"/>
    <w:rsid w:val="001A5502"/>
    <w:rsid w:val="001A5B1E"/>
    <w:rsid w:val="001A7233"/>
    <w:rsid w:val="001A7C62"/>
    <w:rsid w:val="001B0142"/>
    <w:rsid w:val="001B0CA3"/>
    <w:rsid w:val="001B0E45"/>
    <w:rsid w:val="001B0F9A"/>
    <w:rsid w:val="001B3AC6"/>
    <w:rsid w:val="001B3EF4"/>
    <w:rsid w:val="001B41E5"/>
    <w:rsid w:val="001B42A7"/>
    <w:rsid w:val="001B4747"/>
    <w:rsid w:val="001B4F02"/>
    <w:rsid w:val="001B5839"/>
    <w:rsid w:val="001B69BD"/>
    <w:rsid w:val="001B6E8D"/>
    <w:rsid w:val="001B7BD2"/>
    <w:rsid w:val="001C1CAB"/>
    <w:rsid w:val="001C25CA"/>
    <w:rsid w:val="001C2650"/>
    <w:rsid w:val="001C272E"/>
    <w:rsid w:val="001C4412"/>
    <w:rsid w:val="001C466A"/>
    <w:rsid w:val="001C526E"/>
    <w:rsid w:val="001C5412"/>
    <w:rsid w:val="001D03E5"/>
    <w:rsid w:val="001D060A"/>
    <w:rsid w:val="001D1952"/>
    <w:rsid w:val="001D23AE"/>
    <w:rsid w:val="001D2536"/>
    <w:rsid w:val="001D3E02"/>
    <w:rsid w:val="001D418F"/>
    <w:rsid w:val="001D5374"/>
    <w:rsid w:val="001D5997"/>
    <w:rsid w:val="001D5ACC"/>
    <w:rsid w:val="001D6194"/>
    <w:rsid w:val="001E0C56"/>
    <w:rsid w:val="001E1A8C"/>
    <w:rsid w:val="001E236E"/>
    <w:rsid w:val="001E2C78"/>
    <w:rsid w:val="001E2F31"/>
    <w:rsid w:val="001E3519"/>
    <w:rsid w:val="001E3727"/>
    <w:rsid w:val="001E39B4"/>
    <w:rsid w:val="001E3EF1"/>
    <w:rsid w:val="001E5961"/>
    <w:rsid w:val="001E62E4"/>
    <w:rsid w:val="001E67F5"/>
    <w:rsid w:val="001E694C"/>
    <w:rsid w:val="001E6A17"/>
    <w:rsid w:val="001E6D93"/>
    <w:rsid w:val="001E7F55"/>
    <w:rsid w:val="001F0025"/>
    <w:rsid w:val="001F127D"/>
    <w:rsid w:val="001F24DC"/>
    <w:rsid w:val="001F2CD4"/>
    <w:rsid w:val="001F3DCF"/>
    <w:rsid w:val="001F409B"/>
    <w:rsid w:val="001F48E0"/>
    <w:rsid w:val="001F4FC3"/>
    <w:rsid w:val="001F55ED"/>
    <w:rsid w:val="001F5F8D"/>
    <w:rsid w:val="001F6224"/>
    <w:rsid w:val="001F7393"/>
    <w:rsid w:val="001F78F5"/>
    <w:rsid w:val="00201181"/>
    <w:rsid w:val="00201397"/>
    <w:rsid w:val="0020159F"/>
    <w:rsid w:val="00203763"/>
    <w:rsid w:val="00203B6C"/>
    <w:rsid w:val="00204152"/>
    <w:rsid w:val="0020509B"/>
    <w:rsid w:val="002052B1"/>
    <w:rsid w:val="0020559D"/>
    <w:rsid w:val="00205DDE"/>
    <w:rsid w:val="00206F7D"/>
    <w:rsid w:val="00207AEE"/>
    <w:rsid w:val="00207D34"/>
    <w:rsid w:val="00207EE2"/>
    <w:rsid w:val="00211239"/>
    <w:rsid w:val="00211B48"/>
    <w:rsid w:val="00212E88"/>
    <w:rsid w:val="00213548"/>
    <w:rsid w:val="00214155"/>
    <w:rsid w:val="00216B1F"/>
    <w:rsid w:val="00216F2E"/>
    <w:rsid w:val="00217EDF"/>
    <w:rsid w:val="0022008D"/>
    <w:rsid w:val="00220109"/>
    <w:rsid w:val="00220370"/>
    <w:rsid w:val="00220498"/>
    <w:rsid w:val="00220CCE"/>
    <w:rsid w:val="002214F0"/>
    <w:rsid w:val="00222570"/>
    <w:rsid w:val="00223C71"/>
    <w:rsid w:val="002241AC"/>
    <w:rsid w:val="0022443F"/>
    <w:rsid w:val="002246FD"/>
    <w:rsid w:val="00224E79"/>
    <w:rsid w:val="00225407"/>
    <w:rsid w:val="00225E8D"/>
    <w:rsid w:val="00226FAB"/>
    <w:rsid w:val="00227EC0"/>
    <w:rsid w:val="00230346"/>
    <w:rsid w:val="00230721"/>
    <w:rsid w:val="002308A0"/>
    <w:rsid w:val="00231029"/>
    <w:rsid w:val="00231E61"/>
    <w:rsid w:val="0023227F"/>
    <w:rsid w:val="00232696"/>
    <w:rsid w:val="002327AC"/>
    <w:rsid w:val="00232CE0"/>
    <w:rsid w:val="00233039"/>
    <w:rsid w:val="00233203"/>
    <w:rsid w:val="00234770"/>
    <w:rsid w:val="00234884"/>
    <w:rsid w:val="00234C10"/>
    <w:rsid w:val="00234CCF"/>
    <w:rsid w:val="002364E9"/>
    <w:rsid w:val="00236786"/>
    <w:rsid w:val="00237308"/>
    <w:rsid w:val="002407DC"/>
    <w:rsid w:val="002408CB"/>
    <w:rsid w:val="00240A5B"/>
    <w:rsid w:val="00240AC7"/>
    <w:rsid w:val="002417E7"/>
    <w:rsid w:val="00241807"/>
    <w:rsid w:val="00241D71"/>
    <w:rsid w:val="00242A9D"/>
    <w:rsid w:val="00243C35"/>
    <w:rsid w:val="00244679"/>
    <w:rsid w:val="00244B81"/>
    <w:rsid w:val="00246A7F"/>
    <w:rsid w:val="00247D17"/>
    <w:rsid w:val="002510AE"/>
    <w:rsid w:val="00252A9F"/>
    <w:rsid w:val="00252BFE"/>
    <w:rsid w:val="0025377F"/>
    <w:rsid w:val="00254C30"/>
    <w:rsid w:val="00254CC3"/>
    <w:rsid w:val="0025537B"/>
    <w:rsid w:val="00255E20"/>
    <w:rsid w:val="0025619B"/>
    <w:rsid w:val="002563B1"/>
    <w:rsid w:val="002564AD"/>
    <w:rsid w:val="002570AF"/>
    <w:rsid w:val="00257678"/>
    <w:rsid w:val="00257AE6"/>
    <w:rsid w:val="00257DAC"/>
    <w:rsid w:val="002603BA"/>
    <w:rsid w:val="00260C01"/>
    <w:rsid w:val="002615AC"/>
    <w:rsid w:val="00262C2F"/>
    <w:rsid w:val="0026330C"/>
    <w:rsid w:val="00263417"/>
    <w:rsid w:val="00264F98"/>
    <w:rsid w:val="00265788"/>
    <w:rsid w:val="00265A87"/>
    <w:rsid w:val="0026630F"/>
    <w:rsid w:val="00266D94"/>
    <w:rsid w:val="00267C1B"/>
    <w:rsid w:val="00270F32"/>
    <w:rsid w:val="00271BC8"/>
    <w:rsid w:val="00271FFE"/>
    <w:rsid w:val="002724DC"/>
    <w:rsid w:val="0027440A"/>
    <w:rsid w:val="0027617F"/>
    <w:rsid w:val="0027634D"/>
    <w:rsid w:val="002779E9"/>
    <w:rsid w:val="0028060E"/>
    <w:rsid w:val="00281402"/>
    <w:rsid w:val="00281C3C"/>
    <w:rsid w:val="00282E93"/>
    <w:rsid w:val="00282ECB"/>
    <w:rsid w:val="00284589"/>
    <w:rsid w:val="00284CB4"/>
    <w:rsid w:val="002866EE"/>
    <w:rsid w:val="00291DD7"/>
    <w:rsid w:val="00291FE7"/>
    <w:rsid w:val="00292465"/>
    <w:rsid w:val="00292B27"/>
    <w:rsid w:val="002942EE"/>
    <w:rsid w:val="002953B1"/>
    <w:rsid w:val="002A0ABB"/>
    <w:rsid w:val="002A0D4A"/>
    <w:rsid w:val="002A0EE7"/>
    <w:rsid w:val="002A100B"/>
    <w:rsid w:val="002A171D"/>
    <w:rsid w:val="002A2A14"/>
    <w:rsid w:val="002A43C1"/>
    <w:rsid w:val="002A610A"/>
    <w:rsid w:val="002A61EC"/>
    <w:rsid w:val="002A6D50"/>
    <w:rsid w:val="002A74C7"/>
    <w:rsid w:val="002A7513"/>
    <w:rsid w:val="002A76A5"/>
    <w:rsid w:val="002A773B"/>
    <w:rsid w:val="002B12F4"/>
    <w:rsid w:val="002B1844"/>
    <w:rsid w:val="002B1EDC"/>
    <w:rsid w:val="002B20A3"/>
    <w:rsid w:val="002B20A5"/>
    <w:rsid w:val="002B31A8"/>
    <w:rsid w:val="002B36F6"/>
    <w:rsid w:val="002B38BE"/>
    <w:rsid w:val="002B5077"/>
    <w:rsid w:val="002B50A6"/>
    <w:rsid w:val="002B7235"/>
    <w:rsid w:val="002B750F"/>
    <w:rsid w:val="002C0B8B"/>
    <w:rsid w:val="002C1CA4"/>
    <w:rsid w:val="002C2D7B"/>
    <w:rsid w:val="002C2F96"/>
    <w:rsid w:val="002C3849"/>
    <w:rsid w:val="002C3B7E"/>
    <w:rsid w:val="002C4AAE"/>
    <w:rsid w:val="002C51CE"/>
    <w:rsid w:val="002C72C7"/>
    <w:rsid w:val="002C7DD0"/>
    <w:rsid w:val="002D0860"/>
    <w:rsid w:val="002D18CA"/>
    <w:rsid w:val="002D2DEE"/>
    <w:rsid w:val="002D34F1"/>
    <w:rsid w:val="002D3CA4"/>
    <w:rsid w:val="002D4394"/>
    <w:rsid w:val="002D4669"/>
    <w:rsid w:val="002D4D80"/>
    <w:rsid w:val="002D55DB"/>
    <w:rsid w:val="002D5C30"/>
    <w:rsid w:val="002D5FCC"/>
    <w:rsid w:val="002D6365"/>
    <w:rsid w:val="002D69FF"/>
    <w:rsid w:val="002E017F"/>
    <w:rsid w:val="002E0570"/>
    <w:rsid w:val="002E1491"/>
    <w:rsid w:val="002E14D8"/>
    <w:rsid w:val="002E1825"/>
    <w:rsid w:val="002E22FC"/>
    <w:rsid w:val="002E3211"/>
    <w:rsid w:val="002E3E93"/>
    <w:rsid w:val="002E4049"/>
    <w:rsid w:val="002E4E33"/>
    <w:rsid w:val="002E5056"/>
    <w:rsid w:val="002E50BC"/>
    <w:rsid w:val="002E62A5"/>
    <w:rsid w:val="002E6313"/>
    <w:rsid w:val="002E6B6B"/>
    <w:rsid w:val="002E6D60"/>
    <w:rsid w:val="002F034A"/>
    <w:rsid w:val="002F07AA"/>
    <w:rsid w:val="002F08F0"/>
    <w:rsid w:val="002F0ADC"/>
    <w:rsid w:val="002F0D45"/>
    <w:rsid w:val="002F192E"/>
    <w:rsid w:val="002F2F06"/>
    <w:rsid w:val="002F3585"/>
    <w:rsid w:val="002F3C8B"/>
    <w:rsid w:val="002F3F0F"/>
    <w:rsid w:val="002F46C2"/>
    <w:rsid w:val="002F652F"/>
    <w:rsid w:val="002F6F81"/>
    <w:rsid w:val="00300561"/>
    <w:rsid w:val="003009F0"/>
    <w:rsid w:val="00301393"/>
    <w:rsid w:val="00301F93"/>
    <w:rsid w:val="003020D1"/>
    <w:rsid w:val="003031A7"/>
    <w:rsid w:val="00303211"/>
    <w:rsid w:val="00303444"/>
    <w:rsid w:val="003051E6"/>
    <w:rsid w:val="00305FCF"/>
    <w:rsid w:val="003070DE"/>
    <w:rsid w:val="00307A01"/>
    <w:rsid w:val="003100B2"/>
    <w:rsid w:val="00311071"/>
    <w:rsid w:val="00311551"/>
    <w:rsid w:val="003116ED"/>
    <w:rsid w:val="0031185D"/>
    <w:rsid w:val="00311B59"/>
    <w:rsid w:val="00312399"/>
    <w:rsid w:val="003128BD"/>
    <w:rsid w:val="003145B2"/>
    <w:rsid w:val="00315457"/>
    <w:rsid w:val="003156F6"/>
    <w:rsid w:val="00317018"/>
    <w:rsid w:val="00317A31"/>
    <w:rsid w:val="00320076"/>
    <w:rsid w:val="00320E5E"/>
    <w:rsid w:val="00320F3C"/>
    <w:rsid w:val="0032115A"/>
    <w:rsid w:val="003216D5"/>
    <w:rsid w:val="00321FD3"/>
    <w:rsid w:val="00322A96"/>
    <w:rsid w:val="003242E4"/>
    <w:rsid w:val="003243D5"/>
    <w:rsid w:val="003249A7"/>
    <w:rsid w:val="00324A8F"/>
    <w:rsid w:val="00324DCE"/>
    <w:rsid w:val="00324FA2"/>
    <w:rsid w:val="003253BF"/>
    <w:rsid w:val="00325BC7"/>
    <w:rsid w:val="003260AC"/>
    <w:rsid w:val="003264ED"/>
    <w:rsid w:val="0033013B"/>
    <w:rsid w:val="00331486"/>
    <w:rsid w:val="00331738"/>
    <w:rsid w:val="00334370"/>
    <w:rsid w:val="00334A6D"/>
    <w:rsid w:val="00334CD9"/>
    <w:rsid w:val="00334CFA"/>
    <w:rsid w:val="00335469"/>
    <w:rsid w:val="003377AE"/>
    <w:rsid w:val="00337B0C"/>
    <w:rsid w:val="00340531"/>
    <w:rsid w:val="00341AC1"/>
    <w:rsid w:val="003422C3"/>
    <w:rsid w:val="003424D6"/>
    <w:rsid w:val="003427FC"/>
    <w:rsid w:val="00344B4A"/>
    <w:rsid w:val="0034506A"/>
    <w:rsid w:val="00345E5B"/>
    <w:rsid w:val="00346597"/>
    <w:rsid w:val="0035275E"/>
    <w:rsid w:val="0035287E"/>
    <w:rsid w:val="00354C8F"/>
    <w:rsid w:val="00354E59"/>
    <w:rsid w:val="00354EB0"/>
    <w:rsid w:val="00355C4B"/>
    <w:rsid w:val="00356B84"/>
    <w:rsid w:val="00362399"/>
    <w:rsid w:val="00362645"/>
    <w:rsid w:val="00363BD9"/>
    <w:rsid w:val="00363E63"/>
    <w:rsid w:val="00363F9B"/>
    <w:rsid w:val="00365AD4"/>
    <w:rsid w:val="00365CC1"/>
    <w:rsid w:val="00365D78"/>
    <w:rsid w:val="00366666"/>
    <w:rsid w:val="00366EA6"/>
    <w:rsid w:val="00367F31"/>
    <w:rsid w:val="0037061E"/>
    <w:rsid w:val="00370918"/>
    <w:rsid w:val="00371B14"/>
    <w:rsid w:val="00371C6C"/>
    <w:rsid w:val="00372A36"/>
    <w:rsid w:val="00373176"/>
    <w:rsid w:val="00374233"/>
    <w:rsid w:val="0037522B"/>
    <w:rsid w:val="003752A2"/>
    <w:rsid w:val="00375682"/>
    <w:rsid w:val="00375980"/>
    <w:rsid w:val="003816F3"/>
    <w:rsid w:val="00381733"/>
    <w:rsid w:val="00381CD1"/>
    <w:rsid w:val="00381E7B"/>
    <w:rsid w:val="003823ED"/>
    <w:rsid w:val="00382548"/>
    <w:rsid w:val="00382C2D"/>
    <w:rsid w:val="003832DD"/>
    <w:rsid w:val="00383CCE"/>
    <w:rsid w:val="0038405D"/>
    <w:rsid w:val="003841ED"/>
    <w:rsid w:val="00384D26"/>
    <w:rsid w:val="0038531F"/>
    <w:rsid w:val="00386655"/>
    <w:rsid w:val="00387308"/>
    <w:rsid w:val="00390CC4"/>
    <w:rsid w:val="003926EF"/>
    <w:rsid w:val="003928F3"/>
    <w:rsid w:val="00392BEC"/>
    <w:rsid w:val="00393E1B"/>
    <w:rsid w:val="00393FDC"/>
    <w:rsid w:val="0039404A"/>
    <w:rsid w:val="003940A7"/>
    <w:rsid w:val="00394FCA"/>
    <w:rsid w:val="0039597A"/>
    <w:rsid w:val="00395E15"/>
    <w:rsid w:val="003962DB"/>
    <w:rsid w:val="00396ED3"/>
    <w:rsid w:val="00397858"/>
    <w:rsid w:val="0039792F"/>
    <w:rsid w:val="00397BE8"/>
    <w:rsid w:val="003A000E"/>
    <w:rsid w:val="003A0204"/>
    <w:rsid w:val="003A0B3D"/>
    <w:rsid w:val="003A13AC"/>
    <w:rsid w:val="003A30FE"/>
    <w:rsid w:val="003A3CD8"/>
    <w:rsid w:val="003A47C8"/>
    <w:rsid w:val="003A4A3E"/>
    <w:rsid w:val="003A4E52"/>
    <w:rsid w:val="003A62FD"/>
    <w:rsid w:val="003A7002"/>
    <w:rsid w:val="003A7D18"/>
    <w:rsid w:val="003A7EA9"/>
    <w:rsid w:val="003B088F"/>
    <w:rsid w:val="003B0DF7"/>
    <w:rsid w:val="003B1D4E"/>
    <w:rsid w:val="003B21FF"/>
    <w:rsid w:val="003B30CA"/>
    <w:rsid w:val="003B45C7"/>
    <w:rsid w:val="003B582F"/>
    <w:rsid w:val="003B5AB3"/>
    <w:rsid w:val="003B633A"/>
    <w:rsid w:val="003B79FB"/>
    <w:rsid w:val="003C05AA"/>
    <w:rsid w:val="003C0ADC"/>
    <w:rsid w:val="003C2EEC"/>
    <w:rsid w:val="003C34A6"/>
    <w:rsid w:val="003C426F"/>
    <w:rsid w:val="003C4322"/>
    <w:rsid w:val="003C46E7"/>
    <w:rsid w:val="003C50E4"/>
    <w:rsid w:val="003C5E69"/>
    <w:rsid w:val="003C613E"/>
    <w:rsid w:val="003C68C1"/>
    <w:rsid w:val="003C68CD"/>
    <w:rsid w:val="003C78EF"/>
    <w:rsid w:val="003C7D23"/>
    <w:rsid w:val="003D04A1"/>
    <w:rsid w:val="003D0CB6"/>
    <w:rsid w:val="003D10EF"/>
    <w:rsid w:val="003D140C"/>
    <w:rsid w:val="003D1C13"/>
    <w:rsid w:val="003D23B5"/>
    <w:rsid w:val="003D27A4"/>
    <w:rsid w:val="003D3448"/>
    <w:rsid w:val="003D3467"/>
    <w:rsid w:val="003D39A3"/>
    <w:rsid w:val="003D4A14"/>
    <w:rsid w:val="003D4D5F"/>
    <w:rsid w:val="003D649A"/>
    <w:rsid w:val="003D7E36"/>
    <w:rsid w:val="003E182C"/>
    <w:rsid w:val="003E1A8A"/>
    <w:rsid w:val="003E1F59"/>
    <w:rsid w:val="003E2E1A"/>
    <w:rsid w:val="003E33FC"/>
    <w:rsid w:val="003E3A12"/>
    <w:rsid w:val="003E59C4"/>
    <w:rsid w:val="003E5F72"/>
    <w:rsid w:val="003E6A10"/>
    <w:rsid w:val="003F02BA"/>
    <w:rsid w:val="003F04CD"/>
    <w:rsid w:val="003F192C"/>
    <w:rsid w:val="003F2A79"/>
    <w:rsid w:val="003F3FC0"/>
    <w:rsid w:val="003F4275"/>
    <w:rsid w:val="003F482C"/>
    <w:rsid w:val="003F4918"/>
    <w:rsid w:val="003F58BE"/>
    <w:rsid w:val="003F5C37"/>
    <w:rsid w:val="003F73CD"/>
    <w:rsid w:val="00400C60"/>
    <w:rsid w:val="0040118D"/>
    <w:rsid w:val="004012D4"/>
    <w:rsid w:val="00402283"/>
    <w:rsid w:val="00402952"/>
    <w:rsid w:val="00402A9F"/>
    <w:rsid w:val="00403F65"/>
    <w:rsid w:val="00407B1C"/>
    <w:rsid w:val="00407D2E"/>
    <w:rsid w:val="00410744"/>
    <w:rsid w:val="00411150"/>
    <w:rsid w:val="0041167A"/>
    <w:rsid w:val="004129AA"/>
    <w:rsid w:val="00412EEF"/>
    <w:rsid w:val="00414D90"/>
    <w:rsid w:val="00415B79"/>
    <w:rsid w:val="00415C86"/>
    <w:rsid w:val="00415D0F"/>
    <w:rsid w:val="004201FA"/>
    <w:rsid w:val="004211ED"/>
    <w:rsid w:val="00422207"/>
    <w:rsid w:val="004227AB"/>
    <w:rsid w:val="00423E9B"/>
    <w:rsid w:val="004248EA"/>
    <w:rsid w:val="00424E5D"/>
    <w:rsid w:val="004254BA"/>
    <w:rsid w:val="0042604E"/>
    <w:rsid w:val="00426B5C"/>
    <w:rsid w:val="00427063"/>
    <w:rsid w:val="00427791"/>
    <w:rsid w:val="00427BE0"/>
    <w:rsid w:val="004302DD"/>
    <w:rsid w:val="004307FA"/>
    <w:rsid w:val="00431E5B"/>
    <w:rsid w:val="004328EC"/>
    <w:rsid w:val="00432CFF"/>
    <w:rsid w:val="0043312E"/>
    <w:rsid w:val="004331C6"/>
    <w:rsid w:val="0043323F"/>
    <w:rsid w:val="004335FF"/>
    <w:rsid w:val="00433CBF"/>
    <w:rsid w:val="00434344"/>
    <w:rsid w:val="00434524"/>
    <w:rsid w:val="00434F5C"/>
    <w:rsid w:val="0043575D"/>
    <w:rsid w:val="004359F8"/>
    <w:rsid w:val="0043705A"/>
    <w:rsid w:val="00437A5A"/>
    <w:rsid w:val="00437E23"/>
    <w:rsid w:val="00442116"/>
    <w:rsid w:val="004422EC"/>
    <w:rsid w:val="004426CF"/>
    <w:rsid w:val="0044383D"/>
    <w:rsid w:val="00444D88"/>
    <w:rsid w:val="00445106"/>
    <w:rsid w:val="0044557F"/>
    <w:rsid w:val="00445BB3"/>
    <w:rsid w:val="00446F16"/>
    <w:rsid w:val="00447B59"/>
    <w:rsid w:val="00450172"/>
    <w:rsid w:val="0045080C"/>
    <w:rsid w:val="004523A1"/>
    <w:rsid w:val="00452734"/>
    <w:rsid w:val="00452FA3"/>
    <w:rsid w:val="00453148"/>
    <w:rsid w:val="004545C2"/>
    <w:rsid w:val="0045486C"/>
    <w:rsid w:val="00455813"/>
    <w:rsid w:val="00455B98"/>
    <w:rsid w:val="00456875"/>
    <w:rsid w:val="004569AE"/>
    <w:rsid w:val="00456BC6"/>
    <w:rsid w:val="0045719B"/>
    <w:rsid w:val="0045762D"/>
    <w:rsid w:val="00460BD4"/>
    <w:rsid w:val="00460E14"/>
    <w:rsid w:val="00461200"/>
    <w:rsid w:val="00461242"/>
    <w:rsid w:val="004612C8"/>
    <w:rsid w:val="00461DD2"/>
    <w:rsid w:val="00463247"/>
    <w:rsid w:val="00466BFC"/>
    <w:rsid w:val="00467009"/>
    <w:rsid w:val="00467FD9"/>
    <w:rsid w:val="0047057C"/>
    <w:rsid w:val="00470E3A"/>
    <w:rsid w:val="004714FE"/>
    <w:rsid w:val="0047276A"/>
    <w:rsid w:val="00472FDA"/>
    <w:rsid w:val="004736C9"/>
    <w:rsid w:val="00473B7F"/>
    <w:rsid w:val="0047445C"/>
    <w:rsid w:val="004748C8"/>
    <w:rsid w:val="004757B6"/>
    <w:rsid w:val="00475DB3"/>
    <w:rsid w:val="004760BC"/>
    <w:rsid w:val="0047707A"/>
    <w:rsid w:val="0047769A"/>
    <w:rsid w:val="00480B88"/>
    <w:rsid w:val="00481889"/>
    <w:rsid w:val="004827EF"/>
    <w:rsid w:val="00482A3A"/>
    <w:rsid w:val="00482F7D"/>
    <w:rsid w:val="004844EC"/>
    <w:rsid w:val="00485B39"/>
    <w:rsid w:val="0048657C"/>
    <w:rsid w:val="00486F37"/>
    <w:rsid w:val="0048717E"/>
    <w:rsid w:val="004900DC"/>
    <w:rsid w:val="004901EE"/>
    <w:rsid w:val="004902A0"/>
    <w:rsid w:val="00490444"/>
    <w:rsid w:val="00490F30"/>
    <w:rsid w:val="00491842"/>
    <w:rsid w:val="004919F3"/>
    <w:rsid w:val="00491B20"/>
    <w:rsid w:val="00492258"/>
    <w:rsid w:val="004928A0"/>
    <w:rsid w:val="00493AAE"/>
    <w:rsid w:val="00494169"/>
    <w:rsid w:val="00494620"/>
    <w:rsid w:val="00496480"/>
    <w:rsid w:val="0049654F"/>
    <w:rsid w:val="00496DC6"/>
    <w:rsid w:val="004979EE"/>
    <w:rsid w:val="004A013B"/>
    <w:rsid w:val="004A0A05"/>
    <w:rsid w:val="004A2D26"/>
    <w:rsid w:val="004A3118"/>
    <w:rsid w:val="004A3440"/>
    <w:rsid w:val="004A3D8E"/>
    <w:rsid w:val="004A5EBF"/>
    <w:rsid w:val="004A5ED9"/>
    <w:rsid w:val="004A64F6"/>
    <w:rsid w:val="004A69F4"/>
    <w:rsid w:val="004B0707"/>
    <w:rsid w:val="004B11C2"/>
    <w:rsid w:val="004B1D9B"/>
    <w:rsid w:val="004B2042"/>
    <w:rsid w:val="004B29B2"/>
    <w:rsid w:val="004B4945"/>
    <w:rsid w:val="004B4DDD"/>
    <w:rsid w:val="004B4E62"/>
    <w:rsid w:val="004B589F"/>
    <w:rsid w:val="004B6062"/>
    <w:rsid w:val="004B606F"/>
    <w:rsid w:val="004B6785"/>
    <w:rsid w:val="004B720D"/>
    <w:rsid w:val="004C0855"/>
    <w:rsid w:val="004C135A"/>
    <w:rsid w:val="004C1C81"/>
    <w:rsid w:val="004C225C"/>
    <w:rsid w:val="004C2E40"/>
    <w:rsid w:val="004C385D"/>
    <w:rsid w:val="004C4577"/>
    <w:rsid w:val="004C45CC"/>
    <w:rsid w:val="004C5420"/>
    <w:rsid w:val="004C62B4"/>
    <w:rsid w:val="004C6326"/>
    <w:rsid w:val="004C6728"/>
    <w:rsid w:val="004C6CF7"/>
    <w:rsid w:val="004D02B5"/>
    <w:rsid w:val="004D0BD7"/>
    <w:rsid w:val="004D0E1C"/>
    <w:rsid w:val="004D1B67"/>
    <w:rsid w:val="004D1C19"/>
    <w:rsid w:val="004D228E"/>
    <w:rsid w:val="004D319E"/>
    <w:rsid w:val="004D3336"/>
    <w:rsid w:val="004D360C"/>
    <w:rsid w:val="004D36BF"/>
    <w:rsid w:val="004D395F"/>
    <w:rsid w:val="004D3CAD"/>
    <w:rsid w:val="004D4BAD"/>
    <w:rsid w:val="004D5476"/>
    <w:rsid w:val="004D5A69"/>
    <w:rsid w:val="004D5D79"/>
    <w:rsid w:val="004D5E94"/>
    <w:rsid w:val="004D6127"/>
    <w:rsid w:val="004D7C00"/>
    <w:rsid w:val="004E018B"/>
    <w:rsid w:val="004E0FF3"/>
    <w:rsid w:val="004E24A2"/>
    <w:rsid w:val="004E27F5"/>
    <w:rsid w:val="004E2E93"/>
    <w:rsid w:val="004E38C4"/>
    <w:rsid w:val="004E3934"/>
    <w:rsid w:val="004E3FE0"/>
    <w:rsid w:val="004E4EA5"/>
    <w:rsid w:val="004E5251"/>
    <w:rsid w:val="004E6175"/>
    <w:rsid w:val="004E61FB"/>
    <w:rsid w:val="004E67C2"/>
    <w:rsid w:val="004E76F4"/>
    <w:rsid w:val="004F0C27"/>
    <w:rsid w:val="004F14E0"/>
    <w:rsid w:val="004F1CEE"/>
    <w:rsid w:val="004F2963"/>
    <w:rsid w:val="004F3228"/>
    <w:rsid w:val="004F482C"/>
    <w:rsid w:val="004F4D04"/>
    <w:rsid w:val="004F5FBA"/>
    <w:rsid w:val="004F6B3E"/>
    <w:rsid w:val="004F7178"/>
    <w:rsid w:val="004F77C8"/>
    <w:rsid w:val="004F7E96"/>
    <w:rsid w:val="0050003C"/>
    <w:rsid w:val="00500E2D"/>
    <w:rsid w:val="00501B29"/>
    <w:rsid w:val="0050333C"/>
    <w:rsid w:val="0050456C"/>
    <w:rsid w:val="005045C6"/>
    <w:rsid w:val="00504F2E"/>
    <w:rsid w:val="00505C78"/>
    <w:rsid w:val="005061AF"/>
    <w:rsid w:val="0050693E"/>
    <w:rsid w:val="00506E16"/>
    <w:rsid w:val="005072F9"/>
    <w:rsid w:val="00511D90"/>
    <w:rsid w:val="00512382"/>
    <w:rsid w:val="00512E54"/>
    <w:rsid w:val="00513729"/>
    <w:rsid w:val="00515074"/>
    <w:rsid w:val="0051511F"/>
    <w:rsid w:val="00515C18"/>
    <w:rsid w:val="00516C1C"/>
    <w:rsid w:val="00517683"/>
    <w:rsid w:val="00517B8E"/>
    <w:rsid w:val="005200F8"/>
    <w:rsid w:val="0052050E"/>
    <w:rsid w:val="00520FCE"/>
    <w:rsid w:val="0052147B"/>
    <w:rsid w:val="00521531"/>
    <w:rsid w:val="00521C05"/>
    <w:rsid w:val="00521F8E"/>
    <w:rsid w:val="005239B6"/>
    <w:rsid w:val="005240E6"/>
    <w:rsid w:val="0052454B"/>
    <w:rsid w:val="00525AAC"/>
    <w:rsid w:val="00525F6A"/>
    <w:rsid w:val="005266F3"/>
    <w:rsid w:val="00526E95"/>
    <w:rsid w:val="00527332"/>
    <w:rsid w:val="0053057F"/>
    <w:rsid w:val="00530A11"/>
    <w:rsid w:val="00530F7C"/>
    <w:rsid w:val="0053122E"/>
    <w:rsid w:val="00531F9E"/>
    <w:rsid w:val="005324C6"/>
    <w:rsid w:val="0053263D"/>
    <w:rsid w:val="00532AA3"/>
    <w:rsid w:val="00533683"/>
    <w:rsid w:val="005339E5"/>
    <w:rsid w:val="00533CC8"/>
    <w:rsid w:val="005340F1"/>
    <w:rsid w:val="0053481F"/>
    <w:rsid w:val="005371E1"/>
    <w:rsid w:val="00541044"/>
    <w:rsid w:val="0054172F"/>
    <w:rsid w:val="00541C0F"/>
    <w:rsid w:val="00541D48"/>
    <w:rsid w:val="00542058"/>
    <w:rsid w:val="00542154"/>
    <w:rsid w:val="00542FB0"/>
    <w:rsid w:val="005430A7"/>
    <w:rsid w:val="0054320C"/>
    <w:rsid w:val="0054345B"/>
    <w:rsid w:val="00543AE8"/>
    <w:rsid w:val="005441A0"/>
    <w:rsid w:val="005441FA"/>
    <w:rsid w:val="005449FA"/>
    <w:rsid w:val="00544D0C"/>
    <w:rsid w:val="00545379"/>
    <w:rsid w:val="005457B2"/>
    <w:rsid w:val="0054653C"/>
    <w:rsid w:val="005475F3"/>
    <w:rsid w:val="00547BD3"/>
    <w:rsid w:val="00551057"/>
    <w:rsid w:val="005511B9"/>
    <w:rsid w:val="00551213"/>
    <w:rsid w:val="005515E1"/>
    <w:rsid w:val="00551C68"/>
    <w:rsid w:val="005522A7"/>
    <w:rsid w:val="005522EA"/>
    <w:rsid w:val="005523B6"/>
    <w:rsid w:val="00552552"/>
    <w:rsid w:val="005546DE"/>
    <w:rsid w:val="00554F63"/>
    <w:rsid w:val="0055523B"/>
    <w:rsid w:val="005566F7"/>
    <w:rsid w:val="005600B5"/>
    <w:rsid w:val="005600B8"/>
    <w:rsid w:val="00560BFE"/>
    <w:rsid w:val="005610CE"/>
    <w:rsid w:val="00561650"/>
    <w:rsid w:val="0056175D"/>
    <w:rsid w:val="00562852"/>
    <w:rsid w:val="00562B50"/>
    <w:rsid w:val="00563024"/>
    <w:rsid w:val="005630A3"/>
    <w:rsid w:val="00563191"/>
    <w:rsid w:val="005638D7"/>
    <w:rsid w:val="00563B7D"/>
    <w:rsid w:val="005641FC"/>
    <w:rsid w:val="00564822"/>
    <w:rsid w:val="00564FB1"/>
    <w:rsid w:val="00564FE9"/>
    <w:rsid w:val="00565251"/>
    <w:rsid w:val="00566BDE"/>
    <w:rsid w:val="00570DAB"/>
    <w:rsid w:val="00571C8E"/>
    <w:rsid w:val="00571D5E"/>
    <w:rsid w:val="00571E46"/>
    <w:rsid w:val="00571ECA"/>
    <w:rsid w:val="0057216D"/>
    <w:rsid w:val="0057263B"/>
    <w:rsid w:val="0057281E"/>
    <w:rsid w:val="00572EC9"/>
    <w:rsid w:val="00573050"/>
    <w:rsid w:val="00573689"/>
    <w:rsid w:val="005737AD"/>
    <w:rsid w:val="00573F8B"/>
    <w:rsid w:val="00574576"/>
    <w:rsid w:val="00574E8C"/>
    <w:rsid w:val="0057510E"/>
    <w:rsid w:val="00575697"/>
    <w:rsid w:val="00576551"/>
    <w:rsid w:val="00576E8B"/>
    <w:rsid w:val="0057729B"/>
    <w:rsid w:val="00577A36"/>
    <w:rsid w:val="00577CA1"/>
    <w:rsid w:val="00580BC4"/>
    <w:rsid w:val="00582465"/>
    <w:rsid w:val="00583532"/>
    <w:rsid w:val="00583F9E"/>
    <w:rsid w:val="00584077"/>
    <w:rsid w:val="00584E84"/>
    <w:rsid w:val="0058640B"/>
    <w:rsid w:val="0058678C"/>
    <w:rsid w:val="005876AA"/>
    <w:rsid w:val="005876FE"/>
    <w:rsid w:val="005877C9"/>
    <w:rsid w:val="005878ED"/>
    <w:rsid w:val="00590191"/>
    <w:rsid w:val="005905C9"/>
    <w:rsid w:val="00590809"/>
    <w:rsid w:val="00591639"/>
    <w:rsid w:val="00591B79"/>
    <w:rsid w:val="00591E2F"/>
    <w:rsid w:val="0059610F"/>
    <w:rsid w:val="00596686"/>
    <w:rsid w:val="00596AE0"/>
    <w:rsid w:val="00597572"/>
    <w:rsid w:val="00597641"/>
    <w:rsid w:val="005A08C1"/>
    <w:rsid w:val="005A2A9A"/>
    <w:rsid w:val="005A3FDF"/>
    <w:rsid w:val="005A4EEF"/>
    <w:rsid w:val="005A568A"/>
    <w:rsid w:val="005A58FB"/>
    <w:rsid w:val="005A5B71"/>
    <w:rsid w:val="005A6621"/>
    <w:rsid w:val="005A69BD"/>
    <w:rsid w:val="005A776F"/>
    <w:rsid w:val="005B1285"/>
    <w:rsid w:val="005B1465"/>
    <w:rsid w:val="005B1D4C"/>
    <w:rsid w:val="005B1FEB"/>
    <w:rsid w:val="005B20E7"/>
    <w:rsid w:val="005B26D6"/>
    <w:rsid w:val="005B2A2E"/>
    <w:rsid w:val="005B37AB"/>
    <w:rsid w:val="005B3D4B"/>
    <w:rsid w:val="005B3E97"/>
    <w:rsid w:val="005B4D20"/>
    <w:rsid w:val="005B5AE6"/>
    <w:rsid w:val="005B6310"/>
    <w:rsid w:val="005B6886"/>
    <w:rsid w:val="005B6FA5"/>
    <w:rsid w:val="005C00E4"/>
    <w:rsid w:val="005C024B"/>
    <w:rsid w:val="005C092D"/>
    <w:rsid w:val="005C0C73"/>
    <w:rsid w:val="005C1F71"/>
    <w:rsid w:val="005C1F75"/>
    <w:rsid w:val="005C2022"/>
    <w:rsid w:val="005C2FAE"/>
    <w:rsid w:val="005C3686"/>
    <w:rsid w:val="005C3B27"/>
    <w:rsid w:val="005C6B97"/>
    <w:rsid w:val="005C6DB9"/>
    <w:rsid w:val="005C72FC"/>
    <w:rsid w:val="005C7320"/>
    <w:rsid w:val="005C77CE"/>
    <w:rsid w:val="005D06F1"/>
    <w:rsid w:val="005D0FBB"/>
    <w:rsid w:val="005D2390"/>
    <w:rsid w:val="005D369C"/>
    <w:rsid w:val="005D4603"/>
    <w:rsid w:val="005D51E8"/>
    <w:rsid w:val="005D55B2"/>
    <w:rsid w:val="005D5AC1"/>
    <w:rsid w:val="005D748E"/>
    <w:rsid w:val="005E0441"/>
    <w:rsid w:val="005E0481"/>
    <w:rsid w:val="005E12DB"/>
    <w:rsid w:val="005E1F81"/>
    <w:rsid w:val="005E2162"/>
    <w:rsid w:val="005E28C2"/>
    <w:rsid w:val="005E2EFA"/>
    <w:rsid w:val="005E33E4"/>
    <w:rsid w:val="005E3FE4"/>
    <w:rsid w:val="005E5B01"/>
    <w:rsid w:val="005E6166"/>
    <w:rsid w:val="005E76C1"/>
    <w:rsid w:val="005F097E"/>
    <w:rsid w:val="005F0E7F"/>
    <w:rsid w:val="005F1126"/>
    <w:rsid w:val="005F133F"/>
    <w:rsid w:val="005F144B"/>
    <w:rsid w:val="005F1EFB"/>
    <w:rsid w:val="005F281E"/>
    <w:rsid w:val="005F2AA0"/>
    <w:rsid w:val="005F2E09"/>
    <w:rsid w:val="005F335F"/>
    <w:rsid w:val="005F3A4A"/>
    <w:rsid w:val="005F3BE2"/>
    <w:rsid w:val="005F3C79"/>
    <w:rsid w:val="005F5021"/>
    <w:rsid w:val="005F5612"/>
    <w:rsid w:val="005F58AD"/>
    <w:rsid w:val="005F6422"/>
    <w:rsid w:val="005F7310"/>
    <w:rsid w:val="005F78E1"/>
    <w:rsid w:val="005F7B0A"/>
    <w:rsid w:val="00600EA6"/>
    <w:rsid w:val="00602201"/>
    <w:rsid w:val="00602B9B"/>
    <w:rsid w:val="00602F8D"/>
    <w:rsid w:val="006030A2"/>
    <w:rsid w:val="00603544"/>
    <w:rsid w:val="00603C3A"/>
    <w:rsid w:val="00603F92"/>
    <w:rsid w:val="006050AE"/>
    <w:rsid w:val="0060523D"/>
    <w:rsid w:val="00605AEF"/>
    <w:rsid w:val="00605EFC"/>
    <w:rsid w:val="006076E0"/>
    <w:rsid w:val="0060782F"/>
    <w:rsid w:val="00607BE8"/>
    <w:rsid w:val="00607FDE"/>
    <w:rsid w:val="00611202"/>
    <w:rsid w:val="00611DD0"/>
    <w:rsid w:val="0061436F"/>
    <w:rsid w:val="00616305"/>
    <w:rsid w:val="00617CCE"/>
    <w:rsid w:val="006206C9"/>
    <w:rsid w:val="00620CD1"/>
    <w:rsid w:val="0062179F"/>
    <w:rsid w:val="00621863"/>
    <w:rsid w:val="00621887"/>
    <w:rsid w:val="00622BA8"/>
    <w:rsid w:val="00623699"/>
    <w:rsid w:val="006249A7"/>
    <w:rsid w:val="00625C97"/>
    <w:rsid w:val="00627283"/>
    <w:rsid w:val="006300AC"/>
    <w:rsid w:val="00630E6D"/>
    <w:rsid w:val="006311DD"/>
    <w:rsid w:val="0063267F"/>
    <w:rsid w:val="00633B95"/>
    <w:rsid w:val="00633C5E"/>
    <w:rsid w:val="00633EEA"/>
    <w:rsid w:val="00635BFA"/>
    <w:rsid w:val="0063769A"/>
    <w:rsid w:val="00637FF2"/>
    <w:rsid w:val="00640130"/>
    <w:rsid w:val="00640F96"/>
    <w:rsid w:val="00641CF3"/>
    <w:rsid w:val="006426AC"/>
    <w:rsid w:val="00642D83"/>
    <w:rsid w:val="00643047"/>
    <w:rsid w:val="006430D1"/>
    <w:rsid w:val="006431D3"/>
    <w:rsid w:val="006434B9"/>
    <w:rsid w:val="00643637"/>
    <w:rsid w:val="00643F64"/>
    <w:rsid w:val="006443E1"/>
    <w:rsid w:val="00644496"/>
    <w:rsid w:val="0064469F"/>
    <w:rsid w:val="0064485A"/>
    <w:rsid w:val="006455B3"/>
    <w:rsid w:val="006466CE"/>
    <w:rsid w:val="00651209"/>
    <w:rsid w:val="0065160E"/>
    <w:rsid w:val="006537F0"/>
    <w:rsid w:val="00653BCD"/>
    <w:rsid w:val="006546CA"/>
    <w:rsid w:val="006558B4"/>
    <w:rsid w:val="00655AE1"/>
    <w:rsid w:val="006561D1"/>
    <w:rsid w:val="006569FC"/>
    <w:rsid w:val="00656C0A"/>
    <w:rsid w:val="00656EAD"/>
    <w:rsid w:val="006574B3"/>
    <w:rsid w:val="006608CE"/>
    <w:rsid w:val="00660B2F"/>
    <w:rsid w:val="00660D4C"/>
    <w:rsid w:val="00661CF4"/>
    <w:rsid w:val="00661D4E"/>
    <w:rsid w:val="00661E2D"/>
    <w:rsid w:val="006621D2"/>
    <w:rsid w:val="00662336"/>
    <w:rsid w:val="00662881"/>
    <w:rsid w:val="00662C76"/>
    <w:rsid w:val="00662DFB"/>
    <w:rsid w:val="00663092"/>
    <w:rsid w:val="00664EB2"/>
    <w:rsid w:val="0066679D"/>
    <w:rsid w:val="006667CB"/>
    <w:rsid w:val="00667578"/>
    <w:rsid w:val="00670124"/>
    <w:rsid w:val="00671894"/>
    <w:rsid w:val="00672197"/>
    <w:rsid w:val="00672295"/>
    <w:rsid w:val="0067314D"/>
    <w:rsid w:val="00674425"/>
    <w:rsid w:val="0067472E"/>
    <w:rsid w:val="00674ECF"/>
    <w:rsid w:val="00675397"/>
    <w:rsid w:val="00676C10"/>
    <w:rsid w:val="006776F5"/>
    <w:rsid w:val="00677E45"/>
    <w:rsid w:val="0068150B"/>
    <w:rsid w:val="006815BA"/>
    <w:rsid w:val="006821D9"/>
    <w:rsid w:val="006825DC"/>
    <w:rsid w:val="0068393C"/>
    <w:rsid w:val="0068394F"/>
    <w:rsid w:val="0068488E"/>
    <w:rsid w:val="00684DF9"/>
    <w:rsid w:val="00684EC1"/>
    <w:rsid w:val="0068569D"/>
    <w:rsid w:val="00685F0F"/>
    <w:rsid w:val="00687CCC"/>
    <w:rsid w:val="00690296"/>
    <w:rsid w:val="00691BB8"/>
    <w:rsid w:val="006920A0"/>
    <w:rsid w:val="0069215E"/>
    <w:rsid w:val="00692AB9"/>
    <w:rsid w:val="00693896"/>
    <w:rsid w:val="00693DF3"/>
    <w:rsid w:val="00696331"/>
    <w:rsid w:val="006966E7"/>
    <w:rsid w:val="00696B97"/>
    <w:rsid w:val="00696EAE"/>
    <w:rsid w:val="006970C0"/>
    <w:rsid w:val="00697307"/>
    <w:rsid w:val="00697335"/>
    <w:rsid w:val="00697E16"/>
    <w:rsid w:val="006A0424"/>
    <w:rsid w:val="006A1346"/>
    <w:rsid w:val="006A1A01"/>
    <w:rsid w:val="006A33FF"/>
    <w:rsid w:val="006A34CA"/>
    <w:rsid w:val="006A39A9"/>
    <w:rsid w:val="006A3D31"/>
    <w:rsid w:val="006A5205"/>
    <w:rsid w:val="006A6159"/>
    <w:rsid w:val="006A6288"/>
    <w:rsid w:val="006A6713"/>
    <w:rsid w:val="006A774D"/>
    <w:rsid w:val="006A78E8"/>
    <w:rsid w:val="006B0261"/>
    <w:rsid w:val="006B0FBC"/>
    <w:rsid w:val="006B32DA"/>
    <w:rsid w:val="006B3833"/>
    <w:rsid w:val="006B3FE3"/>
    <w:rsid w:val="006B4513"/>
    <w:rsid w:val="006B4F98"/>
    <w:rsid w:val="006B52BD"/>
    <w:rsid w:val="006B5494"/>
    <w:rsid w:val="006B6368"/>
    <w:rsid w:val="006B7892"/>
    <w:rsid w:val="006B7A5C"/>
    <w:rsid w:val="006C058C"/>
    <w:rsid w:val="006C10DC"/>
    <w:rsid w:val="006C1D5D"/>
    <w:rsid w:val="006C45AD"/>
    <w:rsid w:val="006C487D"/>
    <w:rsid w:val="006C4F11"/>
    <w:rsid w:val="006C5C5D"/>
    <w:rsid w:val="006C5F5A"/>
    <w:rsid w:val="006C602E"/>
    <w:rsid w:val="006C689C"/>
    <w:rsid w:val="006C7448"/>
    <w:rsid w:val="006C77B5"/>
    <w:rsid w:val="006C77C7"/>
    <w:rsid w:val="006C7902"/>
    <w:rsid w:val="006C7BF5"/>
    <w:rsid w:val="006D043B"/>
    <w:rsid w:val="006D089F"/>
    <w:rsid w:val="006D0CE0"/>
    <w:rsid w:val="006D16E6"/>
    <w:rsid w:val="006D1DF2"/>
    <w:rsid w:val="006D266F"/>
    <w:rsid w:val="006D2AFA"/>
    <w:rsid w:val="006D36DC"/>
    <w:rsid w:val="006D3832"/>
    <w:rsid w:val="006D3C51"/>
    <w:rsid w:val="006D4028"/>
    <w:rsid w:val="006D47AB"/>
    <w:rsid w:val="006D4B46"/>
    <w:rsid w:val="006D5837"/>
    <w:rsid w:val="006D5B22"/>
    <w:rsid w:val="006E09C0"/>
    <w:rsid w:val="006E193A"/>
    <w:rsid w:val="006E2092"/>
    <w:rsid w:val="006E2458"/>
    <w:rsid w:val="006E2A8B"/>
    <w:rsid w:val="006E33BB"/>
    <w:rsid w:val="006E3557"/>
    <w:rsid w:val="006E3BBE"/>
    <w:rsid w:val="006E3E18"/>
    <w:rsid w:val="006E4292"/>
    <w:rsid w:val="006E4684"/>
    <w:rsid w:val="006E4916"/>
    <w:rsid w:val="006E4C82"/>
    <w:rsid w:val="006E60F9"/>
    <w:rsid w:val="006E67B6"/>
    <w:rsid w:val="006E71F7"/>
    <w:rsid w:val="006E7363"/>
    <w:rsid w:val="006E75E6"/>
    <w:rsid w:val="006E7868"/>
    <w:rsid w:val="006F1EA0"/>
    <w:rsid w:val="006F2428"/>
    <w:rsid w:val="006F3446"/>
    <w:rsid w:val="006F4224"/>
    <w:rsid w:val="006F422C"/>
    <w:rsid w:val="006F53A9"/>
    <w:rsid w:val="006F69F7"/>
    <w:rsid w:val="006F73BE"/>
    <w:rsid w:val="006F7DB0"/>
    <w:rsid w:val="007000D2"/>
    <w:rsid w:val="0070113C"/>
    <w:rsid w:val="007020E4"/>
    <w:rsid w:val="00702637"/>
    <w:rsid w:val="00702C80"/>
    <w:rsid w:val="00703317"/>
    <w:rsid w:val="00703C91"/>
    <w:rsid w:val="007049F1"/>
    <w:rsid w:val="00705329"/>
    <w:rsid w:val="00705DB2"/>
    <w:rsid w:val="007061A2"/>
    <w:rsid w:val="0070700E"/>
    <w:rsid w:val="007070DA"/>
    <w:rsid w:val="00710803"/>
    <w:rsid w:val="00710CE0"/>
    <w:rsid w:val="007112C7"/>
    <w:rsid w:val="00711C90"/>
    <w:rsid w:val="00712039"/>
    <w:rsid w:val="0071205D"/>
    <w:rsid w:val="00712504"/>
    <w:rsid w:val="007126FF"/>
    <w:rsid w:val="0071371F"/>
    <w:rsid w:val="007138E0"/>
    <w:rsid w:val="00714397"/>
    <w:rsid w:val="00714EA1"/>
    <w:rsid w:val="00715FE5"/>
    <w:rsid w:val="00716BC6"/>
    <w:rsid w:val="00717777"/>
    <w:rsid w:val="00720399"/>
    <w:rsid w:val="00720C52"/>
    <w:rsid w:val="00722506"/>
    <w:rsid w:val="007241B2"/>
    <w:rsid w:val="00724834"/>
    <w:rsid w:val="00725350"/>
    <w:rsid w:val="007260F1"/>
    <w:rsid w:val="00726E81"/>
    <w:rsid w:val="0073038B"/>
    <w:rsid w:val="007317C0"/>
    <w:rsid w:val="0073292D"/>
    <w:rsid w:val="00732E59"/>
    <w:rsid w:val="00733093"/>
    <w:rsid w:val="007334B7"/>
    <w:rsid w:val="007345F4"/>
    <w:rsid w:val="00735234"/>
    <w:rsid w:val="007363A5"/>
    <w:rsid w:val="00736A7A"/>
    <w:rsid w:val="00737719"/>
    <w:rsid w:val="00740791"/>
    <w:rsid w:val="00740A1C"/>
    <w:rsid w:val="00741293"/>
    <w:rsid w:val="00741788"/>
    <w:rsid w:val="00741FA3"/>
    <w:rsid w:val="00741FB7"/>
    <w:rsid w:val="00742571"/>
    <w:rsid w:val="00742A29"/>
    <w:rsid w:val="007431D3"/>
    <w:rsid w:val="007433E1"/>
    <w:rsid w:val="00745573"/>
    <w:rsid w:val="0074608C"/>
    <w:rsid w:val="00747455"/>
    <w:rsid w:val="00747D0A"/>
    <w:rsid w:val="00750517"/>
    <w:rsid w:val="007518AD"/>
    <w:rsid w:val="00751E46"/>
    <w:rsid w:val="007529FC"/>
    <w:rsid w:val="00752DAF"/>
    <w:rsid w:val="00753C96"/>
    <w:rsid w:val="00754432"/>
    <w:rsid w:val="00755009"/>
    <w:rsid w:val="00755E22"/>
    <w:rsid w:val="0075762A"/>
    <w:rsid w:val="00757965"/>
    <w:rsid w:val="00757CF9"/>
    <w:rsid w:val="00760773"/>
    <w:rsid w:val="0076270D"/>
    <w:rsid w:val="0076272D"/>
    <w:rsid w:val="00762D02"/>
    <w:rsid w:val="0076337C"/>
    <w:rsid w:val="00763458"/>
    <w:rsid w:val="00764228"/>
    <w:rsid w:val="007649B8"/>
    <w:rsid w:val="0076501B"/>
    <w:rsid w:val="00765CEC"/>
    <w:rsid w:val="007662E3"/>
    <w:rsid w:val="00766C4F"/>
    <w:rsid w:val="00767453"/>
    <w:rsid w:val="00767A78"/>
    <w:rsid w:val="00770F55"/>
    <w:rsid w:val="00772149"/>
    <w:rsid w:val="00772EC9"/>
    <w:rsid w:val="0077427A"/>
    <w:rsid w:val="00775312"/>
    <w:rsid w:val="0077543E"/>
    <w:rsid w:val="00776539"/>
    <w:rsid w:val="00776616"/>
    <w:rsid w:val="00777B27"/>
    <w:rsid w:val="00777B7D"/>
    <w:rsid w:val="00781640"/>
    <w:rsid w:val="00781747"/>
    <w:rsid w:val="00781876"/>
    <w:rsid w:val="00781D1F"/>
    <w:rsid w:val="0078200F"/>
    <w:rsid w:val="00782309"/>
    <w:rsid w:val="00782F8B"/>
    <w:rsid w:val="007841BE"/>
    <w:rsid w:val="007850DE"/>
    <w:rsid w:val="007867D4"/>
    <w:rsid w:val="00786B90"/>
    <w:rsid w:val="00787173"/>
    <w:rsid w:val="00790CF5"/>
    <w:rsid w:val="007914D3"/>
    <w:rsid w:val="00792B6C"/>
    <w:rsid w:val="00792D44"/>
    <w:rsid w:val="00793064"/>
    <w:rsid w:val="00793D45"/>
    <w:rsid w:val="00794486"/>
    <w:rsid w:val="0079547D"/>
    <w:rsid w:val="0079566D"/>
    <w:rsid w:val="007957C3"/>
    <w:rsid w:val="00795E59"/>
    <w:rsid w:val="00796615"/>
    <w:rsid w:val="0079716F"/>
    <w:rsid w:val="007A0112"/>
    <w:rsid w:val="007A0BED"/>
    <w:rsid w:val="007A1C2F"/>
    <w:rsid w:val="007A245C"/>
    <w:rsid w:val="007A338B"/>
    <w:rsid w:val="007A33BF"/>
    <w:rsid w:val="007A3422"/>
    <w:rsid w:val="007A3457"/>
    <w:rsid w:val="007A3DC4"/>
    <w:rsid w:val="007A55B6"/>
    <w:rsid w:val="007A56A0"/>
    <w:rsid w:val="007A6238"/>
    <w:rsid w:val="007A68DC"/>
    <w:rsid w:val="007A749B"/>
    <w:rsid w:val="007A7E4B"/>
    <w:rsid w:val="007B0F14"/>
    <w:rsid w:val="007B13EC"/>
    <w:rsid w:val="007B22F9"/>
    <w:rsid w:val="007B2A74"/>
    <w:rsid w:val="007B3A17"/>
    <w:rsid w:val="007B4C5F"/>
    <w:rsid w:val="007B5A3B"/>
    <w:rsid w:val="007B5B0C"/>
    <w:rsid w:val="007B6D66"/>
    <w:rsid w:val="007B72E4"/>
    <w:rsid w:val="007C065A"/>
    <w:rsid w:val="007C13B1"/>
    <w:rsid w:val="007C14E9"/>
    <w:rsid w:val="007C15F8"/>
    <w:rsid w:val="007C3033"/>
    <w:rsid w:val="007C4973"/>
    <w:rsid w:val="007C4A97"/>
    <w:rsid w:val="007C6974"/>
    <w:rsid w:val="007C6BDD"/>
    <w:rsid w:val="007C7185"/>
    <w:rsid w:val="007C71CF"/>
    <w:rsid w:val="007C7209"/>
    <w:rsid w:val="007D016C"/>
    <w:rsid w:val="007D0612"/>
    <w:rsid w:val="007D10D3"/>
    <w:rsid w:val="007D28C8"/>
    <w:rsid w:val="007D3A1B"/>
    <w:rsid w:val="007D3FE7"/>
    <w:rsid w:val="007D4255"/>
    <w:rsid w:val="007D5A4B"/>
    <w:rsid w:val="007D5A80"/>
    <w:rsid w:val="007D69F8"/>
    <w:rsid w:val="007D6C6A"/>
    <w:rsid w:val="007D74D9"/>
    <w:rsid w:val="007E087C"/>
    <w:rsid w:val="007E11C2"/>
    <w:rsid w:val="007E1AF9"/>
    <w:rsid w:val="007E2720"/>
    <w:rsid w:val="007E27CB"/>
    <w:rsid w:val="007E2B71"/>
    <w:rsid w:val="007E3234"/>
    <w:rsid w:val="007E3ACE"/>
    <w:rsid w:val="007E4064"/>
    <w:rsid w:val="007E48E5"/>
    <w:rsid w:val="007E4A03"/>
    <w:rsid w:val="007E56D3"/>
    <w:rsid w:val="007E6E53"/>
    <w:rsid w:val="007E737D"/>
    <w:rsid w:val="007F0E67"/>
    <w:rsid w:val="007F0EF4"/>
    <w:rsid w:val="007F18E7"/>
    <w:rsid w:val="007F20AD"/>
    <w:rsid w:val="007F221D"/>
    <w:rsid w:val="007F2FE9"/>
    <w:rsid w:val="007F3130"/>
    <w:rsid w:val="007F425D"/>
    <w:rsid w:val="007F492E"/>
    <w:rsid w:val="007F4BA5"/>
    <w:rsid w:val="007F5340"/>
    <w:rsid w:val="007F5785"/>
    <w:rsid w:val="007F5AF0"/>
    <w:rsid w:val="007F5F13"/>
    <w:rsid w:val="007F6B32"/>
    <w:rsid w:val="007F6B59"/>
    <w:rsid w:val="007F6D4E"/>
    <w:rsid w:val="007F74DA"/>
    <w:rsid w:val="007F7A91"/>
    <w:rsid w:val="0080045C"/>
    <w:rsid w:val="00802B80"/>
    <w:rsid w:val="00803521"/>
    <w:rsid w:val="00805553"/>
    <w:rsid w:val="0080556E"/>
    <w:rsid w:val="00805947"/>
    <w:rsid w:val="00805C34"/>
    <w:rsid w:val="008062E1"/>
    <w:rsid w:val="00806324"/>
    <w:rsid w:val="00806746"/>
    <w:rsid w:val="00807B65"/>
    <w:rsid w:val="00807C96"/>
    <w:rsid w:val="00810B79"/>
    <w:rsid w:val="008115E3"/>
    <w:rsid w:val="0081181C"/>
    <w:rsid w:val="00812975"/>
    <w:rsid w:val="00812B08"/>
    <w:rsid w:val="00813C57"/>
    <w:rsid w:val="008147C5"/>
    <w:rsid w:val="008149EE"/>
    <w:rsid w:val="00815FA1"/>
    <w:rsid w:val="008174B6"/>
    <w:rsid w:val="00817A24"/>
    <w:rsid w:val="00817F01"/>
    <w:rsid w:val="008202D9"/>
    <w:rsid w:val="00820E34"/>
    <w:rsid w:val="00822234"/>
    <w:rsid w:val="00822307"/>
    <w:rsid w:val="00822BF9"/>
    <w:rsid w:val="00825AAC"/>
    <w:rsid w:val="00825AFE"/>
    <w:rsid w:val="00826E7A"/>
    <w:rsid w:val="00827817"/>
    <w:rsid w:val="0082793C"/>
    <w:rsid w:val="00827D7C"/>
    <w:rsid w:val="00830463"/>
    <w:rsid w:val="0083092E"/>
    <w:rsid w:val="00831A33"/>
    <w:rsid w:val="00831A63"/>
    <w:rsid w:val="00832296"/>
    <w:rsid w:val="00832990"/>
    <w:rsid w:val="0083316D"/>
    <w:rsid w:val="00834C98"/>
    <w:rsid w:val="00835736"/>
    <w:rsid w:val="00835AEE"/>
    <w:rsid w:val="00836C20"/>
    <w:rsid w:val="00836DC7"/>
    <w:rsid w:val="00837477"/>
    <w:rsid w:val="008408D9"/>
    <w:rsid w:val="008424E9"/>
    <w:rsid w:val="00843863"/>
    <w:rsid w:val="008441B5"/>
    <w:rsid w:val="00844610"/>
    <w:rsid w:val="0084646B"/>
    <w:rsid w:val="00846A96"/>
    <w:rsid w:val="00846B32"/>
    <w:rsid w:val="0084728A"/>
    <w:rsid w:val="0084782E"/>
    <w:rsid w:val="00847983"/>
    <w:rsid w:val="008479CC"/>
    <w:rsid w:val="00847D81"/>
    <w:rsid w:val="00850090"/>
    <w:rsid w:val="00850495"/>
    <w:rsid w:val="008511DB"/>
    <w:rsid w:val="008520BF"/>
    <w:rsid w:val="008530FC"/>
    <w:rsid w:val="00853761"/>
    <w:rsid w:val="008537C0"/>
    <w:rsid w:val="0085516E"/>
    <w:rsid w:val="00856669"/>
    <w:rsid w:val="008579AF"/>
    <w:rsid w:val="00860060"/>
    <w:rsid w:val="008607AB"/>
    <w:rsid w:val="00860A85"/>
    <w:rsid w:val="00860EDD"/>
    <w:rsid w:val="0086135B"/>
    <w:rsid w:val="00861878"/>
    <w:rsid w:val="00862857"/>
    <w:rsid w:val="008628BF"/>
    <w:rsid w:val="0086345C"/>
    <w:rsid w:val="00863C93"/>
    <w:rsid w:val="00864732"/>
    <w:rsid w:val="00864AA3"/>
    <w:rsid w:val="00864B42"/>
    <w:rsid w:val="00865480"/>
    <w:rsid w:val="008665D4"/>
    <w:rsid w:val="00866EEC"/>
    <w:rsid w:val="008672E1"/>
    <w:rsid w:val="008701BD"/>
    <w:rsid w:val="008706DB"/>
    <w:rsid w:val="0087167F"/>
    <w:rsid w:val="008725B4"/>
    <w:rsid w:val="00872A40"/>
    <w:rsid w:val="00872CBE"/>
    <w:rsid w:val="00873756"/>
    <w:rsid w:val="00873EB5"/>
    <w:rsid w:val="00874275"/>
    <w:rsid w:val="00874634"/>
    <w:rsid w:val="00875314"/>
    <w:rsid w:val="00875A12"/>
    <w:rsid w:val="00877029"/>
    <w:rsid w:val="00880119"/>
    <w:rsid w:val="00881067"/>
    <w:rsid w:val="0088114D"/>
    <w:rsid w:val="0088150E"/>
    <w:rsid w:val="00882B62"/>
    <w:rsid w:val="00883392"/>
    <w:rsid w:val="008845D1"/>
    <w:rsid w:val="008846EA"/>
    <w:rsid w:val="008853A7"/>
    <w:rsid w:val="0088550E"/>
    <w:rsid w:val="00886013"/>
    <w:rsid w:val="00887C68"/>
    <w:rsid w:val="00887EB7"/>
    <w:rsid w:val="008900A9"/>
    <w:rsid w:val="0089046E"/>
    <w:rsid w:val="00891643"/>
    <w:rsid w:val="00891664"/>
    <w:rsid w:val="00892563"/>
    <w:rsid w:val="008929DB"/>
    <w:rsid w:val="0089438C"/>
    <w:rsid w:val="00895558"/>
    <w:rsid w:val="0089583E"/>
    <w:rsid w:val="00897439"/>
    <w:rsid w:val="008975A9"/>
    <w:rsid w:val="00897687"/>
    <w:rsid w:val="008A068F"/>
    <w:rsid w:val="008A06C3"/>
    <w:rsid w:val="008A1C7A"/>
    <w:rsid w:val="008A2E4A"/>
    <w:rsid w:val="008A3628"/>
    <w:rsid w:val="008A3743"/>
    <w:rsid w:val="008A40B2"/>
    <w:rsid w:val="008A42CA"/>
    <w:rsid w:val="008A7188"/>
    <w:rsid w:val="008A71F5"/>
    <w:rsid w:val="008A72DC"/>
    <w:rsid w:val="008A763F"/>
    <w:rsid w:val="008A7D55"/>
    <w:rsid w:val="008B06A7"/>
    <w:rsid w:val="008B1EA5"/>
    <w:rsid w:val="008B26E0"/>
    <w:rsid w:val="008B2E9C"/>
    <w:rsid w:val="008B3145"/>
    <w:rsid w:val="008B39D8"/>
    <w:rsid w:val="008B3B6C"/>
    <w:rsid w:val="008B60AD"/>
    <w:rsid w:val="008B61FC"/>
    <w:rsid w:val="008B71D2"/>
    <w:rsid w:val="008B7D62"/>
    <w:rsid w:val="008C0462"/>
    <w:rsid w:val="008C0DD3"/>
    <w:rsid w:val="008C19F5"/>
    <w:rsid w:val="008C1AB8"/>
    <w:rsid w:val="008C26A2"/>
    <w:rsid w:val="008C298B"/>
    <w:rsid w:val="008C2F42"/>
    <w:rsid w:val="008C3088"/>
    <w:rsid w:val="008C3182"/>
    <w:rsid w:val="008C336A"/>
    <w:rsid w:val="008C33F2"/>
    <w:rsid w:val="008C3B9D"/>
    <w:rsid w:val="008C50D7"/>
    <w:rsid w:val="008C51E0"/>
    <w:rsid w:val="008C5CBE"/>
    <w:rsid w:val="008C624D"/>
    <w:rsid w:val="008C6574"/>
    <w:rsid w:val="008C6A4E"/>
    <w:rsid w:val="008C79AC"/>
    <w:rsid w:val="008C7C25"/>
    <w:rsid w:val="008D1571"/>
    <w:rsid w:val="008D20BD"/>
    <w:rsid w:val="008D49B8"/>
    <w:rsid w:val="008D60B9"/>
    <w:rsid w:val="008D6229"/>
    <w:rsid w:val="008D6438"/>
    <w:rsid w:val="008D6BB6"/>
    <w:rsid w:val="008D7682"/>
    <w:rsid w:val="008D7B03"/>
    <w:rsid w:val="008D7F9D"/>
    <w:rsid w:val="008E0571"/>
    <w:rsid w:val="008E1A65"/>
    <w:rsid w:val="008E1C50"/>
    <w:rsid w:val="008E1F3C"/>
    <w:rsid w:val="008E2DD1"/>
    <w:rsid w:val="008E37C0"/>
    <w:rsid w:val="008E3B5A"/>
    <w:rsid w:val="008E3BC6"/>
    <w:rsid w:val="008E4552"/>
    <w:rsid w:val="008E4592"/>
    <w:rsid w:val="008E77BF"/>
    <w:rsid w:val="008E7B48"/>
    <w:rsid w:val="008F0087"/>
    <w:rsid w:val="008F0372"/>
    <w:rsid w:val="008F0A0F"/>
    <w:rsid w:val="008F0B48"/>
    <w:rsid w:val="008F1DBB"/>
    <w:rsid w:val="008F2DE4"/>
    <w:rsid w:val="008F3283"/>
    <w:rsid w:val="008F3337"/>
    <w:rsid w:val="008F3691"/>
    <w:rsid w:val="008F3D17"/>
    <w:rsid w:val="008F5D9E"/>
    <w:rsid w:val="008F626A"/>
    <w:rsid w:val="008F6346"/>
    <w:rsid w:val="008F66A1"/>
    <w:rsid w:val="008F74AA"/>
    <w:rsid w:val="008F7660"/>
    <w:rsid w:val="0090002B"/>
    <w:rsid w:val="009008ED"/>
    <w:rsid w:val="00900BB2"/>
    <w:rsid w:val="00900CD8"/>
    <w:rsid w:val="00900DF2"/>
    <w:rsid w:val="00900E5E"/>
    <w:rsid w:val="009014D3"/>
    <w:rsid w:val="009028D8"/>
    <w:rsid w:val="009033C9"/>
    <w:rsid w:val="009034F0"/>
    <w:rsid w:val="0090399F"/>
    <w:rsid w:val="00903E67"/>
    <w:rsid w:val="009051FA"/>
    <w:rsid w:val="009066D7"/>
    <w:rsid w:val="00906E50"/>
    <w:rsid w:val="009078CB"/>
    <w:rsid w:val="009105C2"/>
    <w:rsid w:val="00910713"/>
    <w:rsid w:val="00911AE6"/>
    <w:rsid w:val="009129E3"/>
    <w:rsid w:val="009133EC"/>
    <w:rsid w:val="00913CC1"/>
    <w:rsid w:val="00913ED5"/>
    <w:rsid w:val="00914308"/>
    <w:rsid w:val="0091631D"/>
    <w:rsid w:val="00916544"/>
    <w:rsid w:val="00916ABA"/>
    <w:rsid w:val="00917677"/>
    <w:rsid w:val="00917E68"/>
    <w:rsid w:val="00920314"/>
    <w:rsid w:val="00920546"/>
    <w:rsid w:val="00922081"/>
    <w:rsid w:val="009225CF"/>
    <w:rsid w:val="0092283D"/>
    <w:rsid w:val="0092361B"/>
    <w:rsid w:val="00923734"/>
    <w:rsid w:val="00923994"/>
    <w:rsid w:val="009244BC"/>
    <w:rsid w:val="0092515F"/>
    <w:rsid w:val="009257A0"/>
    <w:rsid w:val="00925B1C"/>
    <w:rsid w:val="00925B94"/>
    <w:rsid w:val="00926998"/>
    <w:rsid w:val="009276A8"/>
    <w:rsid w:val="00927FEB"/>
    <w:rsid w:val="009309CA"/>
    <w:rsid w:val="00930B43"/>
    <w:rsid w:val="00930F45"/>
    <w:rsid w:val="00931AD2"/>
    <w:rsid w:val="0093221C"/>
    <w:rsid w:val="00932394"/>
    <w:rsid w:val="00932C43"/>
    <w:rsid w:val="00932FD2"/>
    <w:rsid w:val="00934CC1"/>
    <w:rsid w:val="00934EB5"/>
    <w:rsid w:val="0093593A"/>
    <w:rsid w:val="00940180"/>
    <w:rsid w:val="009401E2"/>
    <w:rsid w:val="009409B8"/>
    <w:rsid w:val="00940C1C"/>
    <w:rsid w:val="00940CD4"/>
    <w:rsid w:val="00940DE1"/>
    <w:rsid w:val="00942BF3"/>
    <w:rsid w:val="00942E3B"/>
    <w:rsid w:val="00943B51"/>
    <w:rsid w:val="00944776"/>
    <w:rsid w:val="00944878"/>
    <w:rsid w:val="0094492D"/>
    <w:rsid w:val="009451DE"/>
    <w:rsid w:val="009454F1"/>
    <w:rsid w:val="00945D6E"/>
    <w:rsid w:val="0094605C"/>
    <w:rsid w:val="00946758"/>
    <w:rsid w:val="0094682E"/>
    <w:rsid w:val="009475A5"/>
    <w:rsid w:val="00947A10"/>
    <w:rsid w:val="00947A2F"/>
    <w:rsid w:val="00947C23"/>
    <w:rsid w:val="00947DCF"/>
    <w:rsid w:val="00950A44"/>
    <w:rsid w:val="00951AB5"/>
    <w:rsid w:val="0095220B"/>
    <w:rsid w:val="00953F35"/>
    <w:rsid w:val="0095490A"/>
    <w:rsid w:val="00954960"/>
    <w:rsid w:val="009557E7"/>
    <w:rsid w:val="00955A99"/>
    <w:rsid w:val="00956E3F"/>
    <w:rsid w:val="0095759A"/>
    <w:rsid w:val="009579D6"/>
    <w:rsid w:val="00957E99"/>
    <w:rsid w:val="00960266"/>
    <w:rsid w:val="00960353"/>
    <w:rsid w:val="00960DE9"/>
    <w:rsid w:val="00961146"/>
    <w:rsid w:val="009611F9"/>
    <w:rsid w:val="0096148B"/>
    <w:rsid w:val="009637FE"/>
    <w:rsid w:val="00963BFE"/>
    <w:rsid w:val="0096503F"/>
    <w:rsid w:val="009656C7"/>
    <w:rsid w:val="00965D1C"/>
    <w:rsid w:val="00966179"/>
    <w:rsid w:val="00967676"/>
    <w:rsid w:val="00970475"/>
    <w:rsid w:val="00971401"/>
    <w:rsid w:val="009730D9"/>
    <w:rsid w:val="009737E9"/>
    <w:rsid w:val="00973D2A"/>
    <w:rsid w:val="009740FE"/>
    <w:rsid w:val="00975706"/>
    <w:rsid w:val="00975749"/>
    <w:rsid w:val="00975861"/>
    <w:rsid w:val="00975AC6"/>
    <w:rsid w:val="00975D2B"/>
    <w:rsid w:val="00976613"/>
    <w:rsid w:val="00977C4C"/>
    <w:rsid w:val="00977E89"/>
    <w:rsid w:val="0098116D"/>
    <w:rsid w:val="009824CD"/>
    <w:rsid w:val="00982924"/>
    <w:rsid w:val="00983B6F"/>
    <w:rsid w:val="0098450D"/>
    <w:rsid w:val="0098596B"/>
    <w:rsid w:val="009867AA"/>
    <w:rsid w:val="009869D1"/>
    <w:rsid w:val="00990C3A"/>
    <w:rsid w:val="00991091"/>
    <w:rsid w:val="00991107"/>
    <w:rsid w:val="00993D52"/>
    <w:rsid w:val="009957C3"/>
    <w:rsid w:val="00995AB0"/>
    <w:rsid w:val="00995CB0"/>
    <w:rsid w:val="00995ED0"/>
    <w:rsid w:val="009964FD"/>
    <w:rsid w:val="0099682C"/>
    <w:rsid w:val="00997F47"/>
    <w:rsid w:val="009A0451"/>
    <w:rsid w:val="009A0B1A"/>
    <w:rsid w:val="009A1EF8"/>
    <w:rsid w:val="009A23B0"/>
    <w:rsid w:val="009A2A1E"/>
    <w:rsid w:val="009A2B7D"/>
    <w:rsid w:val="009A2BF3"/>
    <w:rsid w:val="009A3263"/>
    <w:rsid w:val="009A3DC8"/>
    <w:rsid w:val="009A4257"/>
    <w:rsid w:val="009A63AA"/>
    <w:rsid w:val="009A6721"/>
    <w:rsid w:val="009A710F"/>
    <w:rsid w:val="009A7C2F"/>
    <w:rsid w:val="009B09FF"/>
    <w:rsid w:val="009B0DC6"/>
    <w:rsid w:val="009B1395"/>
    <w:rsid w:val="009B2908"/>
    <w:rsid w:val="009B2977"/>
    <w:rsid w:val="009B2B8A"/>
    <w:rsid w:val="009B33AF"/>
    <w:rsid w:val="009B387C"/>
    <w:rsid w:val="009B3D57"/>
    <w:rsid w:val="009B4CDE"/>
    <w:rsid w:val="009B5832"/>
    <w:rsid w:val="009B697D"/>
    <w:rsid w:val="009B78F3"/>
    <w:rsid w:val="009C121E"/>
    <w:rsid w:val="009C12BA"/>
    <w:rsid w:val="009C2064"/>
    <w:rsid w:val="009C49AD"/>
    <w:rsid w:val="009C5629"/>
    <w:rsid w:val="009C63BA"/>
    <w:rsid w:val="009C6C5B"/>
    <w:rsid w:val="009C6FD6"/>
    <w:rsid w:val="009C7C9A"/>
    <w:rsid w:val="009C7DE0"/>
    <w:rsid w:val="009D0732"/>
    <w:rsid w:val="009D143A"/>
    <w:rsid w:val="009D1B60"/>
    <w:rsid w:val="009D290D"/>
    <w:rsid w:val="009D2D90"/>
    <w:rsid w:val="009D2E51"/>
    <w:rsid w:val="009D39B3"/>
    <w:rsid w:val="009D4CE9"/>
    <w:rsid w:val="009D53D3"/>
    <w:rsid w:val="009D588A"/>
    <w:rsid w:val="009D60EA"/>
    <w:rsid w:val="009D7449"/>
    <w:rsid w:val="009E200A"/>
    <w:rsid w:val="009E24A0"/>
    <w:rsid w:val="009E3062"/>
    <w:rsid w:val="009E38A4"/>
    <w:rsid w:val="009E3AC0"/>
    <w:rsid w:val="009E3FEB"/>
    <w:rsid w:val="009E4797"/>
    <w:rsid w:val="009F043B"/>
    <w:rsid w:val="009F04B8"/>
    <w:rsid w:val="009F0EA5"/>
    <w:rsid w:val="009F1502"/>
    <w:rsid w:val="009F1627"/>
    <w:rsid w:val="009F1747"/>
    <w:rsid w:val="009F1A8D"/>
    <w:rsid w:val="009F21DA"/>
    <w:rsid w:val="009F3216"/>
    <w:rsid w:val="009F3835"/>
    <w:rsid w:val="009F3862"/>
    <w:rsid w:val="009F4179"/>
    <w:rsid w:val="009F475E"/>
    <w:rsid w:val="009F47D7"/>
    <w:rsid w:val="009F4CD6"/>
    <w:rsid w:val="009F4F47"/>
    <w:rsid w:val="009F5725"/>
    <w:rsid w:val="009F5768"/>
    <w:rsid w:val="009F57FF"/>
    <w:rsid w:val="009F5BEF"/>
    <w:rsid w:val="009F71FF"/>
    <w:rsid w:val="009F7C94"/>
    <w:rsid w:val="00A0130D"/>
    <w:rsid w:val="00A019A6"/>
    <w:rsid w:val="00A0261F"/>
    <w:rsid w:val="00A040BA"/>
    <w:rsid w:val="00A05F67"/>
    <w:rsid w:val="00A0620D"/>
    <w:rsid w:val="00A07C00"/>
    <w:rsid w:val="00A10003"/>
    <w:rsid w:val="00A1006F"/>
    <w:rsid w:val="00A10B88"/>
    <w:rsid w:val="00A10F91"/>
    <w:rsid w:val="00A11235"/>
    <w:rsid w:val="00A11389"/>
    <w:rsid w:val="00A11F00"/>
    <w:rsid w:val="00A1269B"/>
    <w:rsid w:val="00A1296F"/>
    <w:rsid w:val="00A12E25"/>
    <w:rsid w:val="00A134FD"/>
    <w:rsid w:val="00A14CD2"/>
    <w:rsid w:val="00A16844"/>
    <w:rsid w:val="00A175CF"/>
    <w:rsid w:val="00A176E2"/>
    <w:rsid w:val="00A17D3E"/>
    <w:rsid w:val="00A205B1"/>
    <w:rsid w:val="00A209D9"/>
    <w:rsid w:val="00A20C1F"/>
    <w:rsid w:val="00A2162A"/>
    <w:rsid w:val="00A217ED"/>
    <w:rsid w:val="00A21CFC"/>
    <w:rsid w:val="00A21F56"/>
    <w:rsid w:val="00A22F79"/>
    <w:rsid w:val="00A232C9"/>
    <w:rsid w:val="00A237EE"/>
    <w:rsid w:val="00A23BDC"/>
    <w:rsid w:val="00A2404D"/>
    <w:rsid w:val="00A24E1E"/>
    <w:rsid w:val="00A25610"/>
    <w:rsid w:val="00A256A2"/>
    <w:rsid w:val="00A27828"/>
    <w:rsid w:val="00A27867"/>
    <w:rsid w:val="00A30D10"/>
    <w:rsid w:val="00A30EF1"/>
    <w:rsid w:val="00A32BC2"/>
    <w:rsid w:val="00A3323F"/>
    <w:rsid w:val="00A34CDE"/>
    <w:rsid w:val="00A34F62"/>
    <w:rsid w:val="00A36692"/>
    <w:rsid w:val="00A369FE"/>
    <w:rsid w:val="00A36D92"/>
    <w:rsid w:val="00A4027D"/>
    <w:rsid w:val="00A40289"/>
    <w:rsid w:val="00A40B14"/>
    <w:rsid w:val="00A41BE5"/>
    <w:rsid w:val="00A41D0B"/>
    <w:rsid w:val="00A42475"/>
    <w:rsid w:val="00A43286"/>
    <w:rsid w:val="00A436A0"/>
    <w:rsid w:val="00A4393E"/>
    <w:rsid w:val="00A44798"/>
    <w:rsid w:val="00A45B6A"/>
    <w:rsid w:val="00A46F7B"/>
    <w:rsid w:val="00A47672"/>
    <w:rsid w:val="00A50F42"/>
    <w:rsid w:val="00A518C7"/>
    <w:rsid w:val="00A51919"/>
    <w:rsid w:val="00A524CF"/>
    <w:rsid w:val="00A530C8"/>
    <w:rsid w:val="00A530E5"/>
    <w:rsid w:val="00A533ED"/>
    <w:rsid w:val="00A534DE"/>
    <w:rsid w:val="00A538AD"/>
    <w:rsid w:val="00A53C99"/>
    <w:rsid w:val="00A5469A"/>
    <w:rsid w:val="00A5658C"/>
    <w:rsid w:val="00A572C6"/>
    <w:rsid w:val="00A60935"/>
    <w:rsid w:val="00A6155C"/>
    <w:rsid w:val="00A61737"/>
    <w:rsid w:val="00A61FBE"/>
    <w:rsid w:val="00A62450"/>
    <w:rsid w:val="00A627AC"/>
    <w:rsid w:val="00A62A7B"/>
    <w:rsid w:val="00A62C63"/>
    <w:rsid w:val="00A63429"/>
    <w:rsid w:val="00A6370F"/>
    <w:rsid w:val="00A63BEC"/>
    <w:rsid w:val="00A63D3E"/>
    <w:rsid w:val="00A64059"/>
    <w:rsid w:val="00A64206"/>
    <w:rsid w:val="00A64DB5"/>
    <w:rsid w:val="00A65606"/>
    <w:rsid w:val="00A66D25"/>
    <w:rsid w:val="00A670BA"/>
    <w:rsid w:val="00A67F55"/>
    <w:rsid w:val="00A73C3C"/>
    <w:rsid w:val="00A74A68"/>
    <w:rsid w:val="00A7636E"/>
    <w:rsid w:val="00A76BA5"/>
    <w:rsid w:val="00A7773A"/>
    <w:rsid w:val="00A7785B"/>
    <w:rsid w:val="00A8148B"/>
    <w:rsid w:val="00A8218F"/>
    <w:rsid w:val="00A82396"/>
    <w:rsid w:val="00A8283E"/>
    <w:rsid w:val="00A828E8"/>
    <w:rsid w:val="00A82DBA"/>
    <w:rsid w:val="00A835A0"/>
    <w:rsid w:val="00A83785"/>
    <w:rsid w:val="00A8567A"/>
    <w:rsid w:val="00A86CC3"/>
    <w:rsid w:val="00A871EF"/>
    <w:rsid w:val="00A87212"/>
    <w:rsid w:val="00A900EF"/>
    <w:rsid w:val="00A912E4"/>
    <w:rsid w:val="00A91BBB"/>
    <w:rsid w:val="00A91E95"/>
    <w:rsid w:val="00A92B39"/>
    <w:rsid w:val="00A92FA0"/>
    <w:rsid w:val="00A93CCB"/>
    <w:rsid w:val="00A9453F"/>
    <w:rsid w:val="00A94975"/>
    <w:rsid w:val="00A94FC9"/>
    <w:rsid w:val="00A95A65"/>
    <w:rsid w:val="00A96A47"/>
    <w:rsid w:val="00A97173"/>
    <w:rsid w:val="00A97524"/>
    <w:rsid w:val="00AA0381"/>
    <w:rsid w:val="00AA188D"/>
    <w:rsid w:val="00AA1F0C"/>
    <w:rsid w:val="00AA2171"/>
    <w:rsid w:val="00AA2259"/>
    <w:rsid w:val="00AA4E42"/>
    <w:rsid w:val="00AA6367"/>
    <w:rsid w:val="00AA6F57"/>
    <w:rsid w:val="00AA71F1"/>
    <w:rsid w:val="00AA7666"/>
    <w:rsid w:val="00AA79F6"/>
    <w:rsid w:val="00AB03C1"/>
    <w:rsid w:val="00AB06F9"/>
    <w:rsid w:val="00AB073E"/>
    <w:rsid w:val="00AB0891"/>
    <w:rsid w:val="00AB1CB9"/>
    <w:rsid w:val="00AB239A"/>
    <w:rsid w:val="00AB2E67"/>
    <w:rsid w:val="00AB2E88"/>
    <w:rsid w:val="00AB396E"/>
    <w:rsid w:val="00AB65CC"/>
    <w:rsid w:val="00AB72E1"/>
    <w:rsid w:val="00AB74BC"/>
    <w:rsid w:val="00AC1053"/>
    <w:rsid w:val="00AC13BF"/>
    <w:rsid w:val="00AC1862"/>
    <w:rsid w:val="00AC24FF"/>
    <w:rsid w:val="00AC4658"/>
    <w:rsid w:val="00AC4A1E"/>
    <w:rsid w:val="00AC4C46"/>
    <w:rsid w:val="00AC58B4"/>
    <w:rsid w:val="00AC66ED"/>
    <w:rsid w:val="00AC7518"/>
    <w:rsid w:val="00AD059A"/>
    <w:rsid w:val="00AD08FD"/>
    <w:rsid w:val="00AD0CE8"/>
    <w:rsid w:val="00AD0DA1"/>
    <w:rsid w:val="00AD384D"/>
    <w:rsid w:val="00AD3CDF"/>
    <w:rsid w:val="00AD4309"/>
    <w:rsid w:val="00AD46B7"/>
    <w:rsid w:val="00AD4C4D"/>
    <w:rsid w:val="00AD4C6B"/>
    <w:rsid w:val="00AD66CD"/>
    <w:rsid w:val="00AD6BCB"/>
    <w:rsid w:val="00AD76B9"/>
    <w:rsid w:val="00AD7F7A"/>
    <w:rsid w:val="00AE05CC"/>
    <w:rsid w:val="00AE1415"/>
    <w:rsid w:val="00AE14E2"/>
    <w:rsid w:val="00AE2ACC"/>
    <w:rsid w:val="00AE30A9"/>
    <w:rsid w:val="00AE39D1"/>
    <w:rsid w:val="00AE54E7"/>
    <w:rsid w:val="00AF1EF4"/>
    <w:rsid w:val="00AF204F"/>
    <w:rsid w:val="00AF4141"/>
    <w:rsid w:val="00AF4403"/>
    <w:rsid w:val="00AF44CE"/>
    <w:rsid w:val="00AF45F8"/>
    <w:rsid w:val="00AF4B6A"/>
    <w:rsid w:val="00AF5AC0"/>
    <w:rsid w:val="00AF6414"/>
    <w:rsid w:val="00AF6BA7"/>
    <w:rsid w:val="00AF6F04"/>
    <w:rsid w:val="00AF7F2B"/>
    <w:rsid w:val="00B000E0"/>
    <w:rsid w:val="00B02999"/>
    <w:rsid w:val="00B032CB"/>
    <w:rsid w:val="00B034E8"/>
    <w:rsid w:val="00B0610F"/>
    <w:rsid w:val="00B062F3"/>
    <w:rsid w:val="00B06BEC"/>
    <w:rsid w:val="00B1068A"/>
    <w:rsid w:val="00B11136"/>
    <w:rsid w:val="00B11748"/>
    <w:rsid w:val="00B12888"/>
    <w:rsid w:val="00B12939"/>
    <w:rsid w:val="00B1324C"/>
    <w:rsid w:val="00B1390B"/>
    <w:rsid w:val="00B13A81"/>
    <w:rsid w:val="00B13EEE"/>
    <w:rsid w:val="00B1416A"/>
    <w:rsid w:val="00B14A88"/>
    <w:rsid w:val="00B14F42"/>
    <w:rsid w:val="00B154B2"/>
    <w:rsid w:val="00B155E0"/>
    <w:rsid w:val="00B1581D"/>
    <w:rsid w:val="00B1647D"/>
    <w:rsid w:val="00B165D6"/>
    <w:rsid w:val="00B17952"/>
    <w:rsid w:val="00B2076D"/>
    <w:rsid w:val="00B20CD9"/>
    <w:rsid w:val="00B21321"/>
    <w:rsid w:val="00B216D1"/>
    <w:rsid w:val="00B2479E"/>
    <w:rsid w:val="00B247E9"/>
    <w:rsid w:val="00B25464"/>
    <w:rsid w:val="00B26281"/>
    <w:rsid w:val="00B27635"/>
    <w:rsid w:val="00B27D35"/>
    <w:rsid w:val="00B31014"/>
    <w:rsid w:val="00B31A1D"/>
    <w:rsid w:val="00B328F0"/>
    <w:rsid w:val="00B34FFB"/>
    <w:rsid w:val="00B36C7A"/>
    <w:rsid w:val="00B37219"/>
    <w:rsid w:val="00B410EA"/>
    <w:rsid w:val="00B4195C"/>
    <w:rsid w:val="00B41EE1"/>
    <w:rsid w:val="00B42FAB"/>
    <w:rsid w:val="00B431CC"/>
    <w:rsid w:val="00B435B5"/>
    <w:rsid w:val="00B4392E"/>
    <w:rsid w:val="00B4486F"/>
    <w:rsid w:val="00B44981"/>
    <w:rsid w:val="00B44CCF"/>
    <w:rsid w:val="00B44F5C"/>
    <w:rsid w:val="00B46458"/>
    <w:rsid w:val="00B46735"/>
    <w:rsid w:val="00B477FB"/>
    <w:rsid w:val="00B50715"/>
    <w:rsid w:val="00B50C9A"/>
    <w:rsid w:val="00B51CF6"/>
    <w:rsid w:val="00B522AA"/>
    <w:rsid w:val="00B52309"/>
    <w:rsid w:val="00B531CD"/>
    <w:rsid w:val="00B547C8"/>
    <w:rsid w:val="00B5505D"/>
    <w:rsid w:val="00B555B1"/>
    <w:rsid w:val="00B5661C"/>
    <w:rsid w:val="00B567FB"/>
    <w:rsid w:val="00B6199B"/>
    <w:rsid w:val="00B620BC"/>
    <w:rsid w:val="00B6226B"/>
    <w:rsid w:val="00B64B35"/>
    <w:rsid w:val="00B655CB"/>
    <w:rsid w:val="00B668E9"/>
    <w:rsid w:val="00B66E76"/>
    <w:rsid w:val="00B66E78"/>
    <w:rsid w:val="00B67336"/>
    <w:rsid w:val="00B67B38"/>
    <w:rsid w:val="00B70FAD"/>
    <w:rsid w:val="00B72063"/>
    <w:rsid w:val="00B721EF"/>
    <w:rsid w:val="00B72ADB"/>
    <w:rsid w:val="00B72F0F"/>
    <w:rsid w:val="00B74912"/>
    <w:rsid w:val="00B756B6"/>
    <w:rsid w:val="00B75E97"/>
    <w:rsid w:val="00B7742A"/>
    <w:rsid w:val="00B77CAB"/>
    <w:rsid w:val="00B81EA0"/>
    <w:rsid w:val="00B8290E"/>
    <w:rsid w:val="00B8351C"/>
    <w:rsid w:val="00B849E9"/>
    <w:rsid w:val="00B84A96"/>
    <w:rsid w:val="00B863A7"/>
    <w:rsid w:val="00B876F5"/>
    <w:rsid w:val="00B8793D"/>
    <w:rsid w:val="00B909F3"/>
    <w:rsid w:val="00B90F11"/>
    <w:rsid w:val="00B9107D"/>
    <w:rsid w:val="00B91899"/>
    <w:rsid w:val="00B91B93"/>
    <w:rsid w:val="00B92EB7"/>
    <w:rsid w:val="00B9484A"/>
    <w:rsid w:val="00B96824"/>
    <w:rsid w:val="00B96ADA"/>
    <w:rsid w:val="00B96D16"/>
    <w:rsid w:val="00BA1BDA"/>
    <w:rsid w:val="00BA3382"/>
    <w:rsid w:val="00BA3A0B"/>
    <w:rsid w:val="00BA4644"/>
    <w:rsid w:val="00BA52AF"/>
    <w:rsid w:val="00BA5998"/>
    <w:rsid w:val="00BA5D24"/>
    <w:rsid w:val="00BA5FC7"/>
    <w:rsid w:val="00BA63A0"/>
    <w:rsid w:val="00BA68F6"/>
    <w:rsid w:val="00BA6D0B"/>
    <w:rsid w:val="00BA7C2C"/>
    <w:rsid w:val="00BB0074"/>
    <w:rsid w:val="00BB01B5"/>
    <w:rsid w:val="00BB19C4"/>
    <w:rsid w:val="00BB1A15"/>
    <w:rsid w:val="00BB1A23"/>
    <w:rsid w:val="00BB1CD4"/>
    <w:rsid w:val="00BB1E3B"/>
    <w:rsid w:val="00BB2194"/>
    <w:rsid w:val="00BB2552"/>
    <w:rsid w:val="00BB257F"/>
    <w:rsid w:val="00BB43EF"/>
    <w:rsid w:val="00BB49E3"/>
    <w:rsid w:val="00BB4B9D"/>
    <w:rsid w:val="00BB4D8D"/>
    <w:rsid w:val="00BB5021"/>
    <w:rsid w:val="00BB570E"/>
    <w:rsid w:val="00BB5DC4"/>
    <w:rsid w:val="00BB717A"/>
    <w:rsid w:val="00BB7FE6"/>
    <w:rsid w:val="00BC022F"/>
    <w:rsid w:val="00BC051A"/>
    <w:rsid w:val="00BC0769"/>
    <w:rsid w:val="00BC09AA"/>
    <w:rsid w:val="00BC18AF"/>
    <w:rsid w:val="00BC29FA"/>
    <w:rsid w:val="00BC2A44"/>
    <w:rsid w:val="00BC300D"/>
    <w:rsid w:val="00BC396A"/>
    <w:rsid w:val="00BC3C65"/>
    <w:rsid w:val="00BC3DBF"/>
    <w:rsid w:val="00BC55E0"/>
    <w:rsid w:val="00BC73B3"/>
    <w:rsid w:val="00BC7912"/>
    <w:rsid w:val="00BC7D89"/>
    <w:rsid w:val="00BD08EF"/>
    <w:rsid w:val="00BD0CB6"/>
    <w:rsid w:val="00BD2056"/>
    <w:rsid w:val="00BD230C"/>
    <w:rsid w:val="00BD252C"/>
    <w:rsid w:val="00BD3332"/>
    <w:rsid w:val="00BD3AD3"/>
    <w:rsid w:val="00BD47CB"/>
    <w:rsid w:val="00BD4962"/>
    <w:rsid w:val="00BD5501"/>
    <w:rsid w:val="00BD6EB3"/>
    <w:rsid w:val="00BD72D9"/>
    <w:rsid w:val="00BE060B"/>
    <w:rsid w:val="00BE155A"/>
    <w:rsid w:val="00BE1DF0"/>
    <w:rsid w:val="00BE43E1"/>
    <w:rsid w:val="00BE7044"/>
    <w:rsid w:val="00BE7085"/>
    <w:rsid w:val="00BF01FA"/>
    <w:rsid w:val="00BF2784"/>
    <w:rsid w:val="00BF30E1"/>
    <w:rsid w:val="00BF44E3"/>
    <w:rsid w:val="00BF5389"/>
    <w:rsid w:val="00BF54D2"/>
    <w:rsid w:val="00BF5EC6"/>
    <w:rsid w:val="00BF6220"/>
    <w:rsid w:val="00BF62A0"/>
    <w:rsid w:val="00BF6359"/>
    <w:rsid w:val="00BF64BD"/>
    <w:rsid w:val="00BF6DCE"/>
    <w:rsid w:val="00BF77D9"/>
    <w:rsid w:val="00BF7D15"/>
    <w:rsid w:val="00C021F7"/>
    <w:rsid w:val="00C022EF"/>
    <w:rsid w:val="00C02732"/>
    <w:rsid w:val="00C02BBB"/>
    <w:rsid w:val="00C03696"/>
    <w:rsid w:val="00C0379A"/>
    <w:rsid w:val="00C0392F"/>
    <w:rsid w:val="00C039E9"/>
    <w:rsid w:val="00C04529"/>
    <w:rsid w:val="00C0491C"/>
    <w:rsid w:val="00C0575F"/>
    <w:rsid w:val="00C05843"/>
    <w:rsid w:val="00C06C17"/>
    <w:rsid w:val="00C06E16"/>
    <w:rsid w:val="00C07216"/>
    <w:rsid w:val="00C07360"/>
    <w:rsid w:val="00C1048F"/>
    <w:rsid w:val="00C10EE9"/>
    <w:rsid w:val="00C123BD"/>
    <w:rsid w:val="00C123DB"/>
    <w:rsid w:val="00C124F1"/>
    <w:rsid w:val="00C1278A"/>
    <w:rsid w:val="00C13745"/>
    <w:rsid w:val="00C13A76"/>
    <w:rsid w:val="00C13C46"/>
    <w:rsid w:val="00C14888"/>
    <w:rsid w:val="00C14963"/>
    <w:rsid w:val="00C1500A"/>
    <w:rsid w:val="00C16209"/>
    <w:rsid w:val="00C165D9"/>
    <w:rsid w:val="00C171FD"/>
    <w:rsid w:val="00C1758C"/>
    <w:rsid w:val="00C17C5A"/>
    <w:rsid w:val="00C2091B"/>
    <w:rsid w:val="00C20BE4"/>
    <w:rsid w:val="00C20C56"/>
    <w:rsid w:val="00C21356"/>
    <w:rsid w:val="00C2160C"/>
    <w:rsid w:val="00C2177D"/>
    <w:rsid w:val="00C22DDB"/>
    <w:rsid w:val="00C22E49"/>
    <w:rsid w:val="00C22E50"/>
    <w:rsid w:val="00C26EB1"/>
    <w:rsid w:val="00C277F1"/>
    <w:rsid w:val="00C3038C"/>
    <w:rsid w:val="00C3101A"/>
    <w:rsid w:val="00C31978"/>
    <w:rsid w:val="00C319B0"/>
    <w:rsid w:val="00C32CD1"/>
    <w:rsid w:val="00C34FED"/>
    <w:rsid w:val="00C35389"/>
    <w:rsid w:val="00C35C7B"/>
    <w:rsid w:val="00C366A4"/>
    <w:rsid w:val="00C378B7"/>
    <w:rsid w:val="00C409DE"/>
    <w:rsid w:val="00C40BAD"/>
    <w:rsid w:val="00C42B37"/>
    <w:rsid w:val="00C4373D"/>
    <w:rsid w:val="00C43819"/>
    <w:rsid w:val="00C4381B"/>
    <w:rsid w:val="00C44B71"/>
    <w:rsid w:val="00C453F3"/>
    <w:rsid w:val="00C464B6"/>
    <w:rsid w:val="00C46817"/>
    <w:rsid w:val="00C4695F"/>
    <w:rsid w:val="00C46A11"/>
    <w:rsid w:val="00C475B4"/>
    <w:rsid w:val="00C47EEE"/>
    <w:rsid w:val="00C51730"/>
    <w:rsid w:val="00C51D93"/>
    <w:rsid w:val="00C51DB7"/>
    <w:rsid w:val="00C521E3"/>
    <w:rsid w:val="00C52C9F"/>
    <w:rsid w:val="00C53617"/>
    <w:rsid w:val="00C53AB1"/>
    <w:rsid w:val="00C53DB2"/>
    <w:rsid w:val="00C53F5F"/>
    <w:rsid w:val="00C56080"/>
    <w:rsid w:val="00C562BA"/>
    <w:rsid w:val="00C562DE"/>
    <w:rsid w:val="00C5633C"/>
    <w:rsid w:val="00C56747"/>
    <w:rsid w:val="00C56CE5"/>
    <w:rsid w:val="00C575CF"/>
    <w:rsid w:val="00C57BE7"/>
    <w:rsid w:val="00C60387"/>
    <w:rsid w:val="00C61030"/>
    <w:rsid w:val="00C6137F"/>
    <w:rsid w:val="00C61B51"/>
    <w:rsid w:val="00C64792"/>
    <w:rsid w:val="00C66018"/>
    <w:rsid w:val="00C6652F"/>
    <w:rsid w:val="00C666B0"/>
    <w:rsid w:val="00C702C5"/>
    <w:rsid w:val="00C70434"/>
    <w:rsid w:val="00C708DD"/>
    <w:rsid w:val="00C71C4F"/>
    <w:rsid w:val="00C71CB9"/>
    <w:rsid w:val="00C72310"/>
    <w:rsid w:val="00C72B6A"/>
    <w:rsid w:val="00C7518B"/>
    <w:rsid w:val="00C7613C"/>
    <w:rsid w:val="00C767EB"/>
    <w:rsid w:val="00C769A3"/>
    <w:rsid w:val="00C772B1"/>
    <w:rsid w:val="00C77BCF"/>
    <w:rsid w:val="00C77D53"/>
    <w:rsid w:val="00C81A37"/>
    <w:rsid w:val="00C82559"/>
    <w:rsid w:val="00C82675"/>
    <w:rsid w:val="00C8286B"/>
    <w:rsid w:val="00C83B85"/>
    <w:rsid w:val="00C83DCE"/>
    <w:rsid w:val="00C84056"/>
    <w:rsid w:val="00C84B64"/>
    <w:rsid w:val="00C84E27"/>
    <w:rsid w:val="00C8556B"/>
    <w:rsid w:val="00C855F8"/>
    <w:rsid w:val="00C85638"/>
    <w:rsid w:val="00C85AFA"/>
    <w:rsid w:val="00C85D61"/>
    <w:rsid w:val="00C864B1"/>
    <w:rsid w:val="00C866B4"/>
    <w:rsid w:val="00C86CEE"/>
    <w:rsid w:val="00C86E6F"/>
    <w:rsid w:val="00C87427"/>
    <w:rsid w:val="00C876DF"/>
    <w:rsid w:val="00C877B6"/>
    <w:rsid w:val="00C90956"/>
    <w:rsid w:val="00C92002"/>
    <w:rsid w:val="00C92D13"/>
    <w:rsid w:val="00C93071"/>
    <w:rsid w:val="00C94699"/>
    <w:rsid w:val="00C9551B"/>
    <w:rsid w:val="00C95D2A"/>
    <w:rsid w:val="00C95E05"/>
    <w:rsid w:val="00C961C7"/>
    <w:rsid w:val="00C977A6"/>
    <w:rsid w:val="00C97ACB"/>
    <w:rsid w:val="00C97F57"/>
    <w:rsid w:val="00CA114F"/>
    <w:rsid w:val="00CA505F"/>
    <w:rsid w:val="00CA5953"/>
    <w:rsid w:val="00CA6296"/>
    <w:rsid w:val="00CA63EA"/>
    <w:rsid w:val="00CA6CD0"/>
    <w:rsid w:val="00CB0133"/>
    <w:rsid w:val="00CB05A1"/>
    <w:rsid w:val="00CB0ED7"/>
    <w:rsid w:val="00CB24A7"/>
    <w:rsid w:val="00CB38C8"/>
    <w:rsid w:val="00CB394F"/>
    <w:rsid w:val="00CB39F5"/>
    <w:rsid w:val="00CB3AF9"/>
    <w:rsid w:val="00CB3B9F"/>
    <w:rsid w:val="00CB4607"/>
    <w:rsid w:val="00CB461A"/>
    <w:rsid w:val="00CB4C2C"/>
    <w:rsid w:val="00CB5A2A"/>
    <w:rsid w:val="00CB659A"/>
    <w:rsid w:val="00CB7100"/>
    <w:rsid w:val="00CB7478"/>
    <w:rsid w:val="00CB74F9"/>
    <w:rsid w:val="00CC2BD6"/>
    <w:rsid w:val="00CC2E4C"/>
    <w:rsid w:val="00CC3903"/>
    <w:rsid w:val="00CC4EB3"/>
    <w:rsid w:val="00CC5144"/>
    <w:rsid w:val="00CC6748"/>
    <w:rsid w:val="00CC72C7"/>
    <w:rsid w:val="00CC760D"/>
    <w:rsid w:val="00CD0864"/>
    <w:rsid w:val="00CD0BB5"/>
    <w:rsid w:val="00CD1788"/>
    <w:rsid w:val="00CD2A8F"/>
    <w:rsid w:val="00CD2EDA"/>
    <w:rsid w:val="00CD54BD"/>
    <w:rsid w:val="00CD5511"/>
    <w:rsid w:val="00CD55D6"/>
    <w:rsid w:val="00CD5A9E"/>
    <w:rsid w:val="00CD7459"/>
    <w:rsid w:val="00CD75A8"/>
    <w:rsid w:val="00CD7AE3"/>
    <w:rsid w:val="00CD7C4E"/>
    <w:rsid w:val="00CE003E"/>
    <w:rsid w:val="00CE0D0A"/>
    <w:rsid w:val="00CE0D1F"/>
    <w:rsid w:val="00CE2907"/>
    <w:rsid w:val="00CE5074"/>
    <w:rsid w:val="00CE644B"/>
    <w:rsid w:val="00CF0173"/>
    <w:rsid w:val="00CF0A15"/>
    <w:rsid w:val="00CF0EE0"/>
    <w:rsid w:val="00CF1C6E"/>
    <w:rsid w:val="00CF2215"/>
    <w:rsid w:val="00CF337D"/>
    <w:rsid w:val="00CF4690"/>
    <w:rsid w:val="00CF5C78"/>
    <w:rsid w:val="00CF6B17"/>
    <w:rsid w:val="00CF70B4"/>
    <w:rsid w:val="00CF71E9"/>
    <w:rsid w:val="00D00E03"/>
    <w:rsid w:val="00D011B3"/>
    <w:rsid w:val="00D02BA9"/>
    <w:rsid w:val="00D03D7D"/>
    <w:rsid w:val="00D03F44"/>
    <w:rsid w:val="00D040E0"/>
    <w:rsid w:val="00D04DC3"/>
    <w:rsid w:val="00D054F9"/>
    <w:rsid w:val="00D06BE9"/>
    <w:rsid w:val="00D07249"/>
    <w:rsid w:val="00D07D8E"/>
    <w:rsid w:val="00D101C6"/>
    <w:rsid w:val="00D107B3"/>
    <w:rsid w:val="00D10CA9"/>
    <w:rsid w:val="00D10EEB"/>
    <w:rsid w:val="00D11D7E"/>
    <w:rsid w:val="00D1318D"/>
    <w:rsid w:val="00D13EC4"/>
    <w:rsid w:val="00D13F67"/>
    <w:rsid w:val="00D14037"/>
    <w:rsid w:val="00D152F1"/>
    <w:rsid w:val="00D174BB"/>
    <w:rsid w:val="00D2081E"/>
    <w:rsid w:val="00D20AC5"/>
    <w:rsid w:val="00D23751"/>
    <w:rsid w:val="00D23AAE"/>
    <w:rsid w:val="00D2525A"/>
    <w:rsid w:val="00D257D3"/>
    <w:rsid w:val="00D25D56"/>
    <w:rsid w:val="00D26008"/>
    <w:rsid w:val="00D26847"/>
    <w:rsid w:val="00D304F1"/>
    <w:rsid w:val="00D31A06"/>
    <w:rsid w:val="00D31B9C"/>
    <w:rsid w:val="00D31EC3"/>
    <w:rsid w:val="00D33861"/>
    <w:rsid w:val="00D33B6B"/>
    <w:rsid w:val="00D33CA6"/>
    <w:rsid w:val="00D3462C"/>
    <w:rsid w:val="00D3477C"/>
    <w:rsid w:val="00D34B28"/>
    <w:rsid w:val="00D3547A"/>
    <w:rsid w:val="00D41058"/>
    <w:rsid w:val="00D436F5"/>
    <w:rsid w:val="00D442B9"/>
    <w:rsid w:val="00D45373"/>
    <w:rsid w:val="00D46836"/>
    <w:rsid w:val="00D47091"/>
    <w:rsid w:val="00D47924"/>
    <w:rsid w:val="00D500C1"/>
    <w:rsid w:val="00D501F0"/>
    <w:rsid w:val="00D5035A"/>
    <w:rsid w:val="00D50746"/>
    <w:rsid w:val="00D5084F"/>
    <w:rsid w:val="00D5118B"/>
    <w:rsid w:val="00D524AB"/>
    <w:rsid w:val="00D525BA"/>
    <w:rsid w:val="00D528FA"/>
    <w:rsid w:val="00D52E05"/>
    <w:rsid w:val="00D52FE5"/>
    <w:rsid w:val="00D531CD"/>
    <w:rsid w:val="00D553A4"/>
    <w:rsid w:val="00D55824"/>
    <w:rsid w:val="00D561EE"/>
    <w:rsid w:val="00D56CE3"/>
    <w:rsid w:val="00D575B9"/>
    <w:rsid w:val="00D60A9B"/>
    <w:rsid w:val="00D60C3A"/>
    <w:rsid w:val="00D6260D"/>
    <w:rsid w:val="00D62AA9"/>
    <w:rsid w:val="00D6347A"/>
    <w:rsid w:val="00D636C1"/>
    <w:rsid w:val="00D64156"/>
    <w:rsid w:val="00D6421A"/>
    <w:rsid w:val="00D65E7A"/>
    <w:rsid w:val="00D6662B"/>
    <w:rsid w:val="00D67E8A"/>
    <w:rsid w:val="00D7062A"/>
    <w:rsid w:val="00D7080D"/>
    <w:rsid w:val="00D717D5"/>
    <w:rsid w:val="00D72D36"/>
    <w:rsid w:val="00D73C26"/>
    <w:rsid w:val="00D73D98"/>
    <w:rsid w:val="00D74A82"/>
    <w:rsid w:val="00D74E61"/>
    <w:rsid w:val="00D76279"/>
    <w:rsid w:val="00D76F66"/>
    <w:rsid w:val="00D77434"/>
    <w:rsid w:val="00D77641"/>
    <w:rsid w:val="00D80615"/>
    <w:rsid w:val="00D810F5"/>
    <w:rsid w:val="00D81163"/>
    <w:rsid w:val="00D815A2"/>
    <w:rsid w:val="00D81609"/>
    <w:rsid w:val="00D81DA3"/>
    <w:rsid w:val="00D8226A"/>
    <w:rsid w:val="00D830C2"/>
    <w:rsid w:val="00D86726"/>
    <w:rsid w:val="00D87EEA"/>
    <w:rsid w:val="00D9029B"/>
    <w:rsid w:val="00D90FDF"/>
    <w:rsid w:val="00D91426"/>
    <w:rsid w:val="00D9181B"/>
    <w:rsid w:val="00D92EC2"/>
    <w:rsid w:val="00D93C31"/>
    <w:rsid w:val="00D93CAC"/>
    <w:rsid w:val="00D950C7"/>
    <w:rsid w:val="00D95740"/>
    <w:rsid w:val="00D96DEA"/>
    <w:rsid w:val="00DA07D7"/>
    <w:rsid w:val="00DA1510"/>
    <w:rsid w:val="00DA1873"/>
    <w:rsid w:val="00DA1C1F"/>
    <w:rsid w:val="00DA34C9"/>
    <w:rsid w:val="00DA3B72"/>
    <w:rsid w:val="00DA4DE3"/>
    <w:rsid w:val="00DA4FFE"/>
    <w:rsid w:val="00DA5059"/>
    <w:rsid w:val="00DA555C"/>
    <w:rsid w:val="00DA5E00"/>
    <w:rsid w:val="00DA61B1"/>
    <w:rsid w:val="00DA6377"/>
    <w:rsid w:val="00DA751C"/>
    <w:rsid w:val="00DA77A7"/>
    <w:rsid w:val="00DA7D1A"/>
    <w:rsid w:val="00DA7FF1"/>
    <w:rsid w:val="00DB03C7"/>
    <w:rsid w:val="00DB06F2"/>
    <w:rsid w:val="00DB24B4"/>
    <w:rsid w:val="00DB3BB4"/>
    <w:rsid w:val="00DB3DEF"/>
    <w:rsid w:val="00DB465C"/>
    <w:rsid w:val="00DB4C42"/>
    <w:rsid w:val="00DB4DD4"/>
    <w:rsid w:val="00DB5A3E"/>
    <w:rsid w:val="00DB5BED"/>
    <w:rsid w:val="00DB5CB8"/>
    <w:rsid w:val="00DB6B3B"/>
    <w:rsid w:val="00DB6C46"/>
    <w:rsid w:val="00DB7741"/>
    <w:rsid w:val="00DC031C"/>
    <w:rsid w:val="00DC1AF4"/>
    <w:rsid w:val="00DC242D"/>
    <w:rsid w:val="00DC2B77"/>
    <w:rsid w:val="00DC3253"/>
    <w:rsid w:val="00DC4457"/>
    <w:rsid w:val="00DC46AE"/>
    <w:rsid w:val="00DC498D"/>
    <w:rsid w:val="00DC5233"/>
    <w:rsid w:val="00DC5541"/>
    <w:rsid w:val="00DC5F92"/>
    <w:rsid w:val="00DC64CA"/>
    <w:rsid w:val="00DC682C"/>
    <w:rsid w:val="00DC7633"/>
    <w:rsid w:val="00DC7B11"/>
    <w:rsid w:val="00DC7DF3"/>
    <w:rsid w:val="00DC7E0F"/>
    <w:rsid w:val="00DD02C4"/>
    <w:rsid w:val="00DD06BD"/>
    <w:rsid w:val="00DD0A94"/>
    <w:rsid w:val="00DD1204"/>
    <w:rsid w:val="00DD1DAB"/>
    <w:rsid w:val="00DD3924"/>
    <w:rsid w:val="00DD4B9E"/>
    <w:rsid w:val="00DD51BC"/>
    <w:rsid w:val="00DD5FFC"/>
    <w:rsid w:val="00DD6044"/>
    <w:rsid w:val="00DD61B8"/>
    <w:rsid w:val="00DD74A8"/>
    <w:rsid w:val="00DE004A"/>
    <w:rsid w:val="00DE0742"/>
    <w:rsid w:val="00DE44FC"/>
    <w:rsid w:val="00DE4C75"/>
    <w:rsid w:val="00DE69E9"/>
    <w:rsid w:val="00DE769D"/>
    <w:rsid w:val="00DE7A2A"/>
    <w:rsid w:val="00DE7DA0"/>
    <w:rsid w:val="00DF0114"/>
    <w:rsid w:val="00DF0C27"/>
    <w:rsid w:val="00DF0D60"/>
    <w:rsid w:val="00DF190B"/>
    <w:rsid w:val="00DF190C"/>
    <w:rsid w:val="00DF288A"/>
    <w:rsid w:val="00DF2EFD"/>
    <w:rsid w:val="00DF44A2"/>
    <w:rsid w:val="00DF44D7"/>
    <w:rsid w:val="00DF47F1"/>
    <w:rsid w:val="00DF49BF"/>
    <w:rsid w:val="00DF5695"/>
    <w:rsid w:val="00DF5E21"/>
    <w:rsid w:val="00E030A9"/>
    <w:rsid w:val="00E03384"/>
    <w:rsid w:val="00E03AC3"/>
    <w:rsid w:val="00E0421C"/>
    <w:rsid w:val="00E0426B"/>
    <w:rsid w:val="00E044B8"/>
    <w:rsid w:val="00E065A5"/>
    <w:rsid w:val="00E06C1F"/>
    <w:rsid w:val="00E06EED"/>
    <w:rsid w:val="00E0766A"/>
    <w:rsid w:val="00E115DF"/>
    <w:rsid w:val="00E1268D"/>
    <w:rsid w:val="00E12A68"/>
    <w:rsid w:val="00E12B51"/>
    <w:rsid w:val="00E12E61"/>
    <w:rsid w:val="00E12F45"/>
    <w:rsid w:val="00E132A3"/>
    <w:rsid w:val="00E135A6"/>
    <w:rsid w:val="00E1371E"/>
    <w:rsid w:val="00E14184"/>
    <w:rsid w:val="00E16A8F"/>
    <w:rsid w:val="00E173D2"/>
    <w:rsid w:val="00E20B20"/>
    <w:rsid w:val="00E20E49"/>
    <w:rsid w:val="00E2112C"/>
    <w:rsid w:val="00E21EBE"/>
    <w:rsid w:val="00E22238"/>
    <w:rsid w:val="00E23929"/>
    <w:rsid w:val="00E23F0F"/>
    <w:rsid w:val="00E2455C"/>
    <w:rsid w:val="00E24DDC"/>
    <w:rsid w:val="00E25DD0"/>
    <w:rsid w:val="00E26380"/>
    <w:rsid w:val="00E26495"/>
    <w:rsid w:val="00E27E0B"/>
    <w:rsid w:val="00E27EB4"/>
    <w:rsid w:val="00E30055"/>
    <w:rsid w:val="00E314C7"/>
    <w:rsid w:val="00E31B6C"/>
    <w:rsid w:val="00E31DE5"/>
    <w:rsid w:val="00E3234E"/>
    <w:rsid w:val="00E3282C"/>
    <w:rsid w:val="00E32A4A"/>
    <w:rsid w:val="00E335FF"/>
    <w:rsid w:val="00E33868"/>
    <w:rsid w:val="00E3429A"/>
    <w:rsid w:val="00E34FDB"/>
    <w:rsid w:val="00E355B9"/>
    <w:rsid w:val="00E3604F"/>
    <w:rsid w:val="00E4055E"/>
    <w:rsid w:val="00E4121B"/>
    <w:rsid w:val="00E420E4"/>
    <w:rsid w:val="00E420F2"/>
    <w:rsid w:val="00E428EB"/>
    <w:rsid w:val="00E42C45"/>
    <w:rsid w:val="00E430D4"/>
    <w:rsid w:val="00E445EF"/>
    <w:rsid w:val="00E46B36"/>
    <w:rsid w:val="00E50865"/>
    <w:rsid w:val="00E50C73"/>
    <w:rsid w:val="00E50DC1"/>
    <w:rsid w:val="00E51115"/>
    <w:rsid w:val="00E5125F"/>
    <w:rsid w:val="00E512BF"/>
    <w:rsid w:val="00E51543"/>
    <w:rsid w:val="00E522A7"/>
    <w:rsid w:val="00E543CF"/>
    <w:rsid w:val="00E5537F"/>
    <w:rsid w:val="00E55B06"/>
    <w:rsid w:val="00E56AD1"/>
    <w:rsid w:val="00E57EAA"/>
    <w:rsid w:val="00E6028A"/>
    <w:rsid w:val="00E60DD7"/>
    <w:rsid w:val="00E6105F"/>
    <w:rsid w:val="00E612C6"/>
    <w:rsid w:val="00E620CA"/>
    <w:rsid w:val="00E63926"/>
    <w:rsid w:val="00E645E9"/>
    <w:rsid w:val="00E65E18"/>
    <w:rsid w:val="00E66FF6"/>
    <w:rsid w:val="00E706D6"/>
    <w:rsid w:val="00E707BC"/>
    <w:rsid w:val="00E707DC"/>
    <w:rsid w:val="00E70B44"/>
    <w:rsid w:val="00E712EE"/>
    <w:rsid w:val="00E71318"/>
    <w:rsid w:val="00E71449"/>
    <w:rsid w:val="00E718C4"/>
    <w:rsid w:val="00E71F6A"/>
    <w:rsid w:val="00E73310"/>
    <w:rsid w:val="00E73621"/>
    <w:rsid w:val="00E7416C"/>
    <w:rsid w:val="00E74179"/>
    <w:rsid w:val="00E75229"/>
    <w:rsid w:val="00E75E68"/>
    <w:rsid w:val="00E779B9"/>
    <w:rsid w:val="00E77C62"/>
    <w:rsid w:val="00E807AE"/>
    <w:rsid w:val="00E81C69"/>
    <w:rsid w:val="00E82070"/>
    <w:rsid w:val="00E826F4"/>
    <w:rsid w:val="00E82B1C"/>
    <w:rsid w:val="00E838F4"/>
    <w:rsid w:val="00E83952"/>
    <w:rsid w:val="00E83C2B"/>
    <w:rsid w:val="00E84872"/>
    <w:rsid w:val="00E84A97"/>
    <w:rsid w:val="00E84D1B"/>
    <w:rsid w:val="00E85102"/>
    <w:rsid w:val="00E85572"/>
    <w:rsid w:val="00E865BF"/>
    <w:rsid w:val="00E86B21"/>
    <w:rsid w:val="00E8705E"/>
    <w:rsid w:val="00E8766B"/>
    <w:rsid w:val="00E90A99"/>
    <w:rsid w:val="00E912C1"/>
    <w:rsid w:val="00E92376"/>
    <w:rsid w:val="00E9271A"/>
    <w:rsid w:val="00E93B67"/>
    <w:rsid w:val="00E94D82"/>
    <w:rsid w:val="00E95C7D"/>
    <w:rsid w:val="00E964B3"/>
    <w:rsid w:val="00EA068B"/>
    <w:rsid w:val="00EA0C46"/>
    <w:rsid w:val="00EA1BC7"/>
    <w:rsid w:val="00EA2396"/>
    <w:rsid w:val="00EA240E"/>
    <w:rsid w:val="00EA30D4"/>
    <w:rsid w:val="00EA361B"/>
    <w:rsid w:val="00EA3915"/>
    <w:rsid w:val="00EA3E56"/>
    <w:rsid w:val="00EA3E76"/>
    <w:rsid w:val="00EA6BCA"/>
    <w:rsid w:val="00EB0031"/>
    <w:rsid w:val="00EB0641"/>
    <w:rsid w:val="00EB0AF9"/>
    <w:rsid w:val="00EB152B"/>
    <w:rsid w:val="00EB1AA7"/>
    <w:rsid w:val="00EB3022"/>
    <w:rsid w:val="00EB351C"/>
    <w:rsid w:val="00EB487E"/>
    <w:rsid w:val="00EB5C26"/>
    <w:rsid w:val="00EB6264"/>
    <w:rsid w:val="00EB7C25"/>
    <w:rsid w:val="00EC06C8"/>
    <w:rsid w:val="00EC0B9F"/>
    <w:rsid w:val="00EC0CF4"/>
    <w:rsid w:val="00EC11BE"/>
    <w:rsid w:val="00EC1426"/>
    <w:rsid w:val="00EC23F0"/>
    <w:rsid w:val="00EC48A8"/>
    <w:rsid w:val="00EC533A"/>
    <w:rsid w:val="00EC5D6B"/>
    <w:rsid w:val="00EC6835"/>
    <w:rsid w:val="00EC6EF8"/>
    <w:rsid w:val="00EC7576"/>
    <w:rsid w:val="00EC7CDA"/>
    <w:rsid w:val="00ED0076"/>
    <w:rsid w:val="00ED0E7B"/>
    <w:rsid w:val="00ED12F1"/>
    <w:rsid w:val="00ED14C4"/>
    <w:rsid w:val="00ED15DE"/>
    <w:rsid w:val="00ED1942"/>
    <w:rsid w:val="00ED2C83"/>
    <w:rsid w:val="00ED37DE"/>
    <w:rsid w:val="00ED398E"/>
    <w:rsid w:val="00ED3B18"/>
    <w:rsid w:val="00ED3B3C"/>
    <w:rsid w:val="00ED3E39"/>
    <w:rsid w:val="00ED4771"/>
    <w:rsid w:val="00ED4844"/>
    <w:rsid w:val="00ED5753"/>
    <w:rsid w:val="00ED6757"/>
    <w:rsid w:val="00ED7B63"/>
    <w:rsid w:val="00ED7F56"/>
    <w:rsid w:val="00EE0F03"/>
    <w:rsid w:val="00EE11F5"/>
    <w:rsid w:val="00EE1603"/>
    <w:rsid w:val="00EE32E1"/>
    <w:rsid w:val="00EE34CA"/>
    <w:rsid w:val="00EE43EE"/>
    <w:rsid w:val="00EE4B62"/>
    <w:rsid w:val="00EE5798"/>
    <w:rsid w:val="00EE59D1"/>
    <w:rsid w:val="00EE5C7B"/>
    <w:rsid w:val="00EE6CC9"/>
    <w:rsid w:val="00EE7370"/>
    <w:rsid w:val="00EF0AFD"/>
    <w:rsid w:val="00EF1206"/>
    <w:rsid w:val="00EF1670"/>
    <w:rsid w:val="00EF19B0"/>
    <w:rsid w:val="00EF19F8"/>
    <w:rsid w:val="00EF3254"/>
    <w:rsid w:val="00EF36CD"/>
    <w:rsid w:val="00EF4421"/>
    <w:rsid w:val="00EF5748"/>
    <w:rsid w:val="00EF601C"/>
    <w:rsid w:val="00EF6717"/>
    <w:rsid w:val="00F02882"/>
    <w:rsid w:val="00F032CB"/>
    <w:rsid w:val="00F066F2"/>
    <w:rsid w:val="00F07B93"/>
    <w:rsid w:val="00F113F2"/>
    <w:rsid w:val="00F119E4"/>
    <w:rsid w:val="00F121D9"/>
    <w:rsid w:val="00F12C33"/>
    <w:rsid w:val="00F12D8D"/>
    <w:rsid w:val="00F12ED8"/>
    <w:rsid w:val="00F14C1F"/>
    <w:rsid w:val="00F15844"/>
    <w:rsid w:val="00F15D3C"/>
    <w:rsid w:val="00F17607"/>
    <w:rsid w:val="00F20D46"/>
    <w:rsid w:val="00F21C9D"/>
    <w:rsid w:val="00F2255F"/>
    <w:rsid w:val="00F22725"/>
    <w:rsid w:val="00F22EF1"/>
    <w:rsid w:val="00F23421"/>
    <w:rsid w:val="00F2380C"/>
    <w:rsid w:val="00F23C66"/>
    <w:rsid w:val="00F23F9B"/>
    <w:rsid w:val="00F24A0F"/>
    <w:rsid w:val="00F24E50"/>
    <w:rsid w:val="00F25D51"/>
    <w:rsid w:val="00F25F1A"/>
    <w:rsid w:val="00F26121"/>
    <w:rsid w:val="00F2697D"/>
    <w:rsid w:val="00F27D31"/>
    <w:rsid w:val="00F309EA"/>
    <w:rsid w:val="00F30EAA"/>
    <w:rsid w:val="00F31350"/>
    <w:rsid w:val="00F32539"/>
    <w:rsid w:val="00F325BB"/>
    <w:rsid w:val="00F3273E"/>
    <w:rsid w:val="00F32A73"/>
    <w:rsid w:val="00F34463"/>
    <w:rsid w:val="00F345D2"/>
    <w:rsid w:val="00F34A60"/>
    <w:rsid w:val="00F3591A"/>
    <w:rsid w:val="00F35D8A"/>
    <w:rsid w:val="00F36240"/>
    <w:rsid w:val="00F40364"/>
    <w:rsid w:val="00F412D8"/>
    <w:rsid w:val="00F4202F"/>
    <w:rsid w:val="00F4220F"/>
    <w:rsid w:val="00F42C0D"/>
    <w:rsid w:val="00F43250"/>
    <w:rsid w:val="00F434C4"/>
    <w:rsid w:val="00F438B0"/>
    <w:rsid w:val="00F4475D"/>
    <w:rsid w:val="00F44C0C"/>
    <w:rsid w:val="00F458BD"/>
    <w:rsid w:val="00F463EB"/>
    <w:rsid w:val="00F464C5"/>
    <w:rsid w:val="00F5000F"/>
    <w:rsid w:val="00F50884"/>
    <w:rsid w:val="00F50D21"/>
    <w:rsid w:val="00F523CA"/>
    <w:rsid w:val="00F52615"/>
    <w:rsid w:val="00F5300C"/>
    <w:rsid w:val="00F536CB"/>
    <w:rsid w:val="00F540A8"/>
    <w:rsid w:val="00F54E66"/>
    <w:rsid w:val="00F55F0B"/>
    <w:rsid w:val="00F60533"/>
    <w:rsid w:val="00F60F72"/>
    <w:rsid w:val="00F610F9"/>
    <w:rsid w:val="00F61D17"/>
    <w:rsid w:val="00F632CD"/>
    <w:rsid w:val="00F63ABB"/>
    <w:rsid w:val="00F64D8F"/>
    <w:rsid w:val="00F652E3"/>
    <w:rsid w:val="00F65F9B"/>
    <w:rsid w:val="00F66258"/>
    <w:rsid w:val="00F678F1"/>
    <w:rsid w:val="00F67928"/>
    <w:rsid w:val="00F67DE3"/>
    <w:rsid w:val="00F703D7"/>
    <w:rsid w:val="00F71092"/>
    <w:rsid w:val="00F729F9"/>
    <w:rsid w:val="00F7302E"/>
    <w:rsid w:val="00F73194"/>
    <w:rsid w:val="00F74149"/>
    <w:rsid w:val="00F741B7"/>
    <w:rsid w:val="00F74671"/>
    <w:rsid w:val="00F76B1C"/>
    <w:rsid w:val="00F77362"/>
    <w:rsid w:val="00F80B9B"/>
    <w:rsid w:val="00F80CA5"/>
    <w:rsid w:val="00F81227"/>
    <w:rsid w:val="00F81BC3"/>
    <w:rsid w:val="00F83092"/>
    <w:rsid w:val="00F83412"/>
    <w:rsid w:val="00F839A4"/>
    <w:rsid w:val="00F83C8F"/>
    <w:rsid w:val="00F842DE"/>
    <w:rsid w:val="00F84457"/>
    <w:rsid w:val="00F85C7B"/>
    <w:rsid w:val="00F86790"/>
    <w:rsid w:val="00F86D86"/>
    <w:rsid w:val="00F870FF"/>
    <w:rsid w:val="00F877E7"/>
    <w:rsid w:val="00F87C14"/>
    <w:rsid w:val="00F913DC"/>
    <w:rsid w:val="00F91908"/>
    <w:rsid w:val="00F91EEE"/>
    <w:rsid w:val="00F91FE8"/>
    <w:rsid w:val="00F93077"/>
    <w:rsid w:val="00F9309F"/>
    <w:rsid w:val="00F93B06"/>
    <w:rsid w:val="00F93FE8"/>
    <w:rsid w:val="00F94081"/>
    <w:rsid w:val="00F94450"/>
    <w:rsid w:val="00F94598"/>
    <w:rsid w:val="00F95974"/>
    <w:rsid w:val="00F960B6"/>
    <w:rsid w:val="00F96BC7"/>
    <w:rsid w:val="00F9750A"/>
    <w:rsid w:val="00F97CBE"/>
    <w:rsid w:val="00F97D6A"/>
    <w:rsid w:val="00FA0037"/>
    <w:rsid w:val="00FA15B8"/>
    <w:rsid w:val="00FA20DA"/>
    <w:rsid w:val="00FA2329"/>
    <w:rsid w:val="00FA287A"/>
    <w:rsid w:val="00FA2AE7"/>
    <w:rsid w:val="00FA388E"/>
    <w:rsid w:val="00FA4626"/>
    <w:rsid w:val="00FA564A"/>
    <w:rsid w:val="00FA5FAF"/>
    <w:rsid w:val="00FA65B7"/>
    <w:rsid w:val="00FA68C0"/>
    <w:rsid w:val="00FA7CB7"/>
    <w:rsid w:val="00FB0192"/>
    <w:rsid w:val="00FB0ABD"/>
    <w:rsid w:val="00FB109A"/>
    <w:rsid w:val="00FB20B5"/>
    <w:rsid w:val="00FB3366"/>
    <w:rsid w:val="00FB3EC6"/>
    <w:rsid w:val="00FB44C6"/>
    <w:rsid w:val="00FB461D"/>
    <w:rsid w:val="00FB5792"/>
    <w:rsid w:val="00FB6FE4"/>
    <w:rsid w:val="00FB7197"/>
    <w:rsid w:val="00FB729E"/>
    <w:rsid w:val="00FC03A6"/>
    <w:rsid w:val="00FC04AC"/>
    <w:rsid w:val="00FC0E4C"/>
    <w:rsid w:val="00FC30DE"/>
    <w:rsid w:val="00FC3A84"/>
    <w:rsid w:val="00FC427F"/>
    <w:rsid w:val="00FC4DD5"/>
    <w:rsid w:val="00FC550A"/>
    <w:rsid w:val="00FC5780"/>
    <w:rsid w:val="00FC57D6"/>
    <w:rsid w:val="00FC5F20"/>
    <w:rsid w:val="00FC7A36"/>
    <w:rsid w:val="00FD042B"/>
    <w:rsid w:val="00FD209C"/>
    <w:rsid w:val="00FD2221"/>
    <w:rsid w:val="00FD3180"/>
    <w:rsid w:val="00FD3AF0"/>
    <w:rsid w:val="00FD3B57"/>
    <w:rsid w:val="00FD54E6"/>
    <w:rsid w:val="00FD58E8"/>
    <w:rsid w:val="00FD59D5"/>
    <w:rsid w:val="00FD5CA7"/>
    <w:rsid w:val="00FD5D05"/>
    <w:rsid w:val="00FD5E2C"/>
    <w:rsid w:val="00FD624C"/>
    <w:rsid w:val="00FD65BA"/>
    <w:rsid w:val="00FD6745"/>
    <w:rsid w:val="00FD6E39"/>
    <w:rsid w:val="00FD7089"/>
    <w:rsid w:val="00FD7258"/>
    <w:rsid w:val="00FD76EE"/>
    <w:rsid w:val="00FD7B11"/>
    <w:rsid w:val="00FD7C80"/>
    <w:rsid w:val="00FE0CC6"/>
    <w:rsid w:val="00FE19D7"/>
    <w:rsid w:val="00FE2313"/>
    <w:rsid w:val="00FE26A9"/>
    <w:rsid w:val="00FE46F0"/>
    <w:rsid w:val="00FE472B"/>
    <w:rsid w:val="00FE5D20"/>
    <w:rsid w:val="00FE6E39"/>
    <w:rsid w:val="00FF086A"/>
    <w:rsid w:val="00FF0E20"/>
    <w:rsid w:val="00FF0F42"/>
    <w:rsid w:val="00FF1BC6"/>
    <w:rsid w:val="00FF26BB"/>
    <w:rsid w:val="00FF29EA"/>
    <w:rsid w:val="00FF3604"/>
    <w:rsid w:val="00FF5F9A"/>
    <w:rsid w:val="00FF647D"/>
    <w:rsid w:val="00FF70A3"/>
    <w:rsid w:val="00FF7AEF"/>
    <w:rsid w:val="014150EC"/>
    <w:rsid w:val="01620901"/>
    <w:rsid w:val="01A64956"/>
    <w:rsid w:val="01B953DE"/>
    <w:rsid w:val="01DA366C"/>
    <w:rsid w:val="028D2B9A"/>
    <w:rsid w:val="02DB4857"/>
    <w:rsid w:val="03A10246"/>
    <w:rsid w:val="03C23741"/>
    <w:rsid w:val="03DB0A08"/>
    <w:rsid w:val="04163446"/>
    <w:rsid w:val="04A54909"/>
    <w:rsid w:val="05416969"/>
    <w:rsid w:val="05BB24F7"/>
    <w:rsid w:val="05F075BE"/>
    <w:rsid w:val="05F11835"/>
    <w:rsid w:val="0641482C"/>
    <w:rsid w:val="06B47B85"/>
    <w:rsid w:val="06BB55AB"/>
    <w:rsid w:val="06BC556F"/>
    <w:rsid w:val="06C90471"/>
    <w:rsid w:val="06CD000C"/>
    <w:rsid w:val="06D3183B"/>
    <w:rsid w:val="079746BB"/>
    <w:rsid w:val="07AA2E63"/>
    <w:rsid w:val="07F21C72"/>
    <w:rsid w:val="080720F7"/>
    <w:rsid w:val="084361B5"/>
    <w:rsid w:val="08457A55"/>
    <w:rsid w:val="08791123"/>
    <w:rsid w:val="08A017B8"/>
    <w:rsid w:val="08F6648F"/>
    <w:rsid w:val="094C2A73"/>
    <w:rsid w:val="099D3423"/>
    <w:rsid w:val="09BE25B6"/>
    <w:rsid w:val="0A477FF4"/>
    <w:rsid w:val="0AA33311"/>
    <w:rsid w:val="0B600C6F"/>
    <w:rsid w:val="0C7E4AA6"/>
    <w:rsid w:val="0CC95C35"/>
    <w:rsid w:val="0D6B65B1"/>
    <w:rsid w:val="0D94218E"/>
    <w:rsid w:val="0E1C78AB"/>
    <w:rsid w:val="0E384926"/>
    <w:rsid w:val="0E5B092E"/>
    <w:rsid w:val="0E5E18FB"/>
    <w:rsid w:val="0EB24B66"/>
    <w:rsid w:val="0ECA5A9C"/>
    <w:rsid w:val="0F604037"/>
    <w:rsid w:val="0F755016"/>
    <w:rsid w:val="0F902059"/>
    <w:rsid w:val="0FAA27D5"/>
    <w:rsid w:val="0FAC57C4"/>
    <w:rsid w:val="0FFE0200"/>
    <w:rsid w:val="100106D5"/>
    <w:rsid w:val="105B3E4D"/>
    <w:rsid w:val="11843743"/>
    <w:rsid w:val="119C28BD"/>
    <w:rsid w:val="11A10F6A"/>
    <w:rsid w:val="11A45C86"/>
    <w:rsid w:val="11AA2CD7"/>
    <w:rsid w:val="11CF5AA0"/>
    <w:rsid w:val="120F3227"/>
    <w:rsid w:val="122277F5"/>
    <w:rsid w:val="12D055CC"/>
    <w:rsid w:val="12D9707E"/>
    <w:rsid w:val="130F7E33"/>
    <w:rsid w:val="1333312B"/>
    <w:rsid w:val="136A730B"/>
    <w:rsid w:val="13DB69C9"/>
    <w:rsid w:val="148E0B68"/>
    <w:rsid w:val="148E5ED8"/>
    <w:rsid w:val="14A37E3E"/>
    <w:rsid w:val="14BB7C7F"/>
    <w:rsid w:val="14E725C9"/>
    <w:rsid w:val="14F63C6C"/>
    <w:rsid w:val="15223BD0"/>
    <w:rsid w:val="154F298D"/>
    <w:rsid w:val="157319DE"/>
    <w:rsid w:val="15B41D32"/>
    <w:rsid w:val="15CE459E"/>
    <w:rsid w:val="15DD0268"/>
    <w:rsid w:val="179D67C3"/>
    <w:rsid w:val="17E14287"/>
    <w:rsid w:val="17E525AD"/>
    <w:rsid w:val="186C7E5E"/>
    <w:rsid w:val="18A264A4"/>
    <w:rsid w:val="192F467F"/>
    <w:rsid w:val="19737523"/>
    <w:rsid w:val="19C62294"/>
    <w:rsid w:val="19ED7773"/>
    <w:rsid w:val="1A381AE4"/>
    <w:rsid w:val="1A3A7A37"/>
    <w:rsid w:val="1A6858B8"/>
    <w:rsid w:val="1AF20311"/>
    <w:rsid w:val="1B4723CD"/>
    <w:rsid w:val="1B524A22"/>
    <w:rsid w:val="1B5C2DF2"/>
    <w:rsid w:val="1B7A03B1"/>
    <w:rsid w:val="1B8A7732"/>
    <w:rsid w:val="1B9143D0"/>
    <w:rsid w:val="1BA333BA"/>
    <w:rsid w:val="1BF00BC1"/>
    <w:rsid w:val="1BF553AD"/>
    <w:rsid w:val="1C5730EB"/>
    <w:rsid w:val="1C8C7369"/>
    <w:rsid w:val="1C9D1087"/>
    <w:rsid w:val="1CAD0CD7"/>
    <w:rsid w:val="1D2111E0"/>
    <w:rsid w:val="1D454033"/>
    <w:rsid w:val="1D495351"/>
    <w:rsid w:val="1D800546"/>
    <w:rsid w:val="1DC22E11"/>
    <w:rsid w:val="1DCC60E2"/>
    <w:rsid w:val="1E0F11DA"/>
    <w:rsid w:val="1E3866E4"/>
    <w:rsid w:val="1E3B5B2B"/>
    <w:rsid w:val="1E405B08"/>
    <w:rsid w:val="1E917D12"/>
    <w:rsid w:val="1ED007F0"/>
    <w:rsid w:val="1F126404"/>
    <w:rsid w:val="1F1559C4"/>
    <w:rsid w:val="1F1E78CF"/>
    <w:rsid w:val="1F4C00D9"/>
    <w:rsid w:val="1F91161F"/>
    <w:rsid w:val="1FCC5792"/>
    <w:rsid w:val="2008099C"/>
    <w:rsid w:val="20241E45"/>
    <w:rsid w:val="205E3D53"/>
    <w:rsid w:val="20983C9F"/>
    <w:rsid w:val="20D34930"/>
    <w:rsid w:val="21004E9C"/>
    <w:rsid w:val="210743CD"/>
    <w:rsid w:val="212F12B7"/>
    <w:rsid w:val="21DF0EC4"/>
    <w:rsid w:val="21EC402B"/>
    <w:rsid w:val="22211D2B"/>
    <w:rsid w:val="22F3479D"/>
    <w:rsid w:val="230C3692"/>
    <w:rsid w:val="233957E9"/>
    <w:rsid w:val="23504D9A"/>
    <w:rsid w:val="235350DD"/>
    <w:rsid w:val="23A130E8"/>
    <w:rsid w:val="23B72322"/>
    <w:rsid w:val="2410130E"/>
    <w:rsid w:val="24682699"/>
    <w:rsid w:val="24A922E7"/>
    <w:rsid w:val="24F51069"/>
    <w:rsid w:val="24FB3A0D"/>
    <w:rsid w:val="25982E24"/>
    <w:rsid w:val="25A35F8B"/>
    <w:rsid w:val="25C45A9B"/>
    <w:rsid w:val="26055255"/>
    <w:rsid w:val="26C94C07"/>
    <w:rsid w:val="270F7B55"/>
    <w:rsid w:val="27136455"/>
    <w:rsid w:val="27313F6F"/>
    <w:rsid w:val="27392A2B"/>
    <w:rsid w:val="27445CAF"/>
    <w:rsid w:val="27BD41B0"/>
    <w:rsid w:val="27DF3D1D"/>
    <w:rsid w:val="27EB3977"/>
    <w:rsid w:val="27FF5E1C"/>
    <w:rsid w:val="28033B1E"/>
    <w:rsid w:val="28845944"/>
    <w:rsid w:val="28BB1716"/>
    <w:rsid w:val="28EE73E7"/>
    <w:rsid w:val="2962747B"/>
    <w:rsid w:val="299F1540"/>
    <w:rsid w:val="29C1739D"/>
    <w:rsid w:val="29F82C9B"/>
    <w:rsid w:val="2A275CC6"/>
    <w:rsid w:val="2AA35D41"/>
    <w:rsid w:val="2AC60E73"/>
    <w:rsid w:val="2B553D51"/>
    <w:rsid w:val="2B5D536C"/>
    <w:rsid w:val="2BDB68F0"/>
    <w:rsid w:val="2C385A8A"/>
    <w:rsid w:val="2C6C216F"/>
    <w:rsid w:val="2C904653"/>
    <w:rsid w:val="2C9F6D93"/>
    <w:rsid w:val="2CA6293E"/>
    <w:rsid w:val="2CA70CBA"/>
    <w:rsid w:val="2CB30937"/>
    <w:rsid w:val="2CC50203"/>
    <w:rsid w:val="2D832F3B"/>
    <w:rsid w:val="2D8D2F06"/>
    <w:rsid w:val="2D8F7C42"/>
    <w:rsid w:val="2E1C28D1"/>
    <w:rsid w:val="2E2B2EDC"/>
    <w:rsid w:val="2E646914"/>
    <w:rsid w:val="2E8865CC"/>
    <w:rsid w:val="2EB711FE"/>
    <w:rsid w:val="2EC1761D"/>
    <w:rsid w:val="2ECE4481"/>
    <w:rsid w:val="2F107762"/>
    <w:rsid w:val="2F372ABC"/>
    <w:rsid w:val="2F5D14DA"/>
    <w:rsid w:val="300C229B"/>
    <w:rsid w:val="3036407A"/>
    <w:rsid w:val="307F7A7C"/>
    <w:rsid w:val="309E339F"/>
    <w:rsid w:val="30C83D8E"/>
    <w:rsid w:val="30F2186C"/>
    <w:rsid w:val="313B06D9"/>
    <w:rsid w:val="315F195A"/>
    <w:rsid w:val="31FF3D16"/>
    <w:rsid w:val="32002EBC"/>
    <w:rsid w:val="321F6FB8"/>
    <w:rsid w:val="322F384B"/>
    <w:rsid w:val="32603FEA"/>
    <w:rsid w:val="32723893"/>
    <w:rsid w:val="32A83CA0"/>
    <w:rsid w:val="32EB3B6C"/>
    <w:rsid w:val="32FF7F57"/>
    <w:rsid w:val="33334A79"/>
    <w:rsid w:val="335334BF"/>
    <w:rsid w:val="33C97B6D"/>
    <w:rsid w:val="34300D63"/>
    <w:rsid w:val="34F943E0"/>
    <w:rsid w:val="35674600"/>
    <w:rsid w:val="35CD32E4"/>
    <w:rsid w:val="362D44F2"/>
    <w:rsid w:val="362D6B76"/>
    <w:rsid w:val="36770097"/>
    <w:rsid w:val="3684409B"/>
    <w:rsid w:val="36EF5490"/>
    <w:rsid w:val="3705164D"/>
    <w:rsid w:val="371F1D47"/>
    <w:rsid w:val="37296A11"/>
    <w:rsid w:val="37316742"/>
    <w:rsid w:val="37364C27"/>
    <w:rsid w:val="37564AF7"/>
    <w:rsid w:val="37955999"/>
    <w:rsid w:val="379C6CAB"/>
    <w:rsid w:val="38054525"/>
    <w:rsid w:val="385043B8"/>
    <w:rsid w:val="389D6BFC"/>
    <w:rsid w:val="394C4EC3"/>
    <w:rsid w:val="39D6277A"/>
    <w:rsid w:val="3A6170D3"/>
    <w:rsid w:val="3A6F4087"/>
    <w:rsid w:val="3B483EE1"/>
    <w:rsid w:val="3B5D7C12"/>
    <w:rsid w:val="3B9330CB"/>
    <w:rsid w:val="3BA51165"/>
    <w:rsid w:val="3BCC7276"/>
    <w:rsid w:val="3BCE402B"/>
    <w:rsid w:val="3C4465A4"/>
    <w:rsid w:val="3C5B7244"/>
    <w:rsid w:val="3C784591"/>
    <w:rsid w:val="3C9F7897"/>
    <w:rsid w:val="3CDB69FF"/>
    <w:rsid w:val="3D2C725B"/>
    <w:rsid w:val="3D803A0D"/>
    <w:rsid w:val="3DB44244"/>
    <w:rsid w:val="3E723F45"/>
    <w:rsid w:val="3E850E06"/>
    <w:rsid w:val="3E87558E"/>
    <w:rsid w:val="3ECC2AA4"/>
    <w:rsid w:val="3EE15558"/>
    <w:rsid w:val="3EE93DB9"/>
    <w:rsid w:val="3F9E3173"/>
    <w:rsid w:val="3FA17652"/>
    <w:rsid w:val="3FC506DD"/>
    <w:rsid w:val="3FD6727B"/>
    <w:rsid w:val="3FDD65EB"/>
    <w:rsid w:val="3FEB378B"/>
    <w:rsid w:val="40283E93"/>
    <w:rsid w:val="40343666"/>
    <w:rsid w:val="403F1053"/>
    <w:rsid w:val="40674E0E"/>
    <w:rsid w:val="410F15EE"/>
    <w:rsid w:val="417F2CD0"/>
    <w:rsid w:val="41A75102"/>
    <w:rsid w:val="41AC1E55"/>
    <w:rsid w:val="41BF3F3D"/>
    <w:rsid w:val="4273599D"/>
    <w:rsid w:val="429B0D77"/>
    <w:rsid w:val="42F05AF8"/>
    <w:rsid w:val="4300593B"/>
    <w:rsid w:val="436E5946"/>
    <w:rsid w:val="43974D1C"/>
    <w:rsid w:val="43BC551C"/>
    <w:rsid w:val="43DA63F6"/>
    <w:rsid w:val="448D351B"/>
    <w:rsid w:val="44A8255D"/>
    <w:rsid w:val="44FA663F"/>
    <w:rsid w:val="451A4E08"/>
    <w:rsid w:val="45224EC2"/>
    <w:rsid w:val="45471EAF"/>
    <w:rsid w:val="45950583"/>
    <w:rsid w:val="45EF2B44"/>
    <w:rsid w:val="460E3773"/>
    <w:rsid w:val="46146893"/>
    <w:rsid w:val="465E3DEC"/>
    <w:rsid w:val="466F5D1F"/>
    <w:rsid w:val="46765C61"/>
    <w:rsid w:val="46BE55BB"/>
    <w:rsid w:val="46BE7CAA"/>
    <w:rsid w:val="46C66DCA"/>
    <w:rsid w:val="474E6B75"/>
    <w:rsid w:val="476632D8"/>
    <w:rsid w:val="47B01353"/>
    <w:rsid w:val="482D304E"/>
    <w:rsid w:val="48601B55"/>
    <w:rsid w:val="487C41EC"/>
    <w:rsid w:val="48CD208A"/>
    <w:rsid w:val="48EB621C"/>
    <w:rsid w:val="48F06C8D"/>
    <w:rsid w:val="495E139C"/>
    <w:rsid w:val="49675177"/>
    <w:rsid w:val="4976065D"/>
    <w:rsid w:val="49B303BC"/>
    <w:rsid w:val="49B567AB"/>
    <w:rsid w:val="49C900F1"/>
    <w:rsid w:val="49F7386B"/>
    <w:rsid w:val="4A53553E"/>
    <w:rsid w:val="4A93645E"/>
    <w:rsid w:val="4AB20FBB"/>
    <w:rsid w:val="4AEA5B51"/>
    <w:rsid w:val="4B09156D"/>
    <w:rsid w:val="4B2A5B9E"/>
    <w:rsid w:val="4B4A0C11"/>
    <w:rsid w:val="4B682742"/>
    <w:rsid w:val="4BC32B39"/>
    <w:rsid w:val="4BD40DF5"/>
    <w:rsid w:val="4BE400C1"/>
    <w:rsid w:val="4BE74853"/>
    <w:rsid w:val="4BFB6950"/>
    <w:rsid w:val="4C01483C"/>
    <w:rsid w:val="4C723A45"/>
    <w:rsid w:val="4D1B4BF6"/>
    <w:rsid w:val="4D297AA2"/>
    <w:rsid w:val="4D451FE7"/>
    <w:rsid w:val="4D73058E"/>
    <w:rsid w:val="4D7757D0"/>
    <w:rsid w:val="4DB246A9"/>
    <w:rsid w:val="4E2A77E0"/>
    <w:rsid w:val="4E9A4768"/>
    <w:rsid w:val="4EC458E5"/>
    <w:rsid w:val="4ED82C27"/>
    <w:rsid w:val="4ED95E96"/>
    <w:rsid w:val="4F161B19"/>
    <w:rsid w:val="4F1C09C2"/>
    <w:rsid w:val="4F6039AF"/>
    <w:rsid w:val="4F6A4C4B"/>
    <w:rsid w:val="4FC819B8"/>
    <w:rsid w:val="4FDA66A3"/>
    <w:rsid w:val="50835169"/>
    <w:rsid w:val="50A32247"/>
    <w:rsid w:val="50A42427"/>
    <w:rsid w:val="510E6D2D"/>
    <w:rsid w:val="518D5725"/>
    <w:rsid w:val="51BB6FB8"/>
    <w:rsid w:val="51D4507F"/>
    <w:rsid w:val="524370EE"/>
    <w:rsid w:val="52E45649"/>
    <w:rsid w:val="52EE62DD"/>
    <w:rsid w:val="53394FF5"/>
    <w:rsid w:val="534A724C"/>
    <w:rsid w:val="53787A0D"/>
    <w:rsid w:val="537D32FD"/>
    <w:rsid w:val="53C3497A"/>
    <w:rsid w:val="53D32540"/>
    <w:rsid w:val="54D473A8"/>
    <w:rsid w:val="54E621EE"/>
    <w:rsid w:val="550E4D86"/>
    <w:rsid w:val="55694E25"/>
    <w:rsid w:val="55B97C03"/>
    <w:rsid w:val="55F65ECA"/>
    <w:rsid w:val="563479CD"/>
    <w:rsid w:val="563B6FA5"/>
    <w:rsid w:val="567B6B94"/>
    <w:rsid w:val="568D326E"/>
    <w:rsid w:val="568F11B7"/>
    <w:rsid w:val="56DE3570"/>
    <w:rsid w:val="572165EE"/>
    <w:rsid w:val="578F7158"/>
    <w:rsid w:val="57BB299A"/>
    <w:rsid w:val="58BE0CF0"/>
    <w:rsid w:val="59570D64"/>
    <w:rsid w:val="597E42AD"/>
    <w:rsid w:val="598E0C21"/>
    <w:rsid w:val="59B10409"/>
    <w:rsid w:val="5A782122"/>
    <w:rsid w:val="5AC835F9"/>
    <w:rsid w:val="5AD214D4"/>
    <w:rsid w:val="5AD563E4"/>
    <w:rsid w:val="5AE326E8"/>
    <w:rsid w:val="5AF214D7"/>
    <w:rsid w:val="5B0A4E70"/>
    <w:rsid w:val="5B56026D"/>
    <w:rsid w:val="5B922351"/>
    <w:rsid w:val="5BCC45D6"/>
    <w:rsid w:val="5BCE27A6"/>
    <w:rsid w:val="5BDC0F7B"/>
    <w:rsid w:val="5C347E52"/>
    <w:rsid w:val="5C493178"/>
    <w:rsid w:val="5C7F0CFE"/>
    <w:rsid w:val="5D2E2F1D"/>
    <w:rsid w:val="5D5978B1"/>
    <w:rsid w:val="5D676832"/>
    <w:rsid w:val="5D73466D"/>
    <w:rsid w:val="5D897264"/>
    <w:rsid w:val="5DA852D2"/>
    <w:rsid w:val="5DDC4E8B"/>
    <w:rsid w:val="5E246319"/>
    <w:rsid w:val="5E9B7945"/>
    <w:rsid w:val="5EAC56AE"/>
    <w:rsid w:val="5ECF1B47"/>
    <w:rsid w:val="5ED36A31"/>
    <w:rsid w:val="5EE12FF6"/>
    <w:rsid w:val="5F437532"/>
    <w:rsid w:val="5F912BDB"/>
    <w:rsid w:val="5FD46F39"/>
    <w:rsid w:val="60401F66"/>
    <w:rsid w:val="607C7302"/>
    <w:rsid w:val="60A85C13"/>
    <w:rsid w:val="60C82F3C"/>
    <w:rsid w:val="612F46A4"/>
    <w:rsid w:val="61780285"/>
    <w:rsid w:val="61ED061F"/>
    <w:rsid w:val="620E4AB0"/>
    <w:rsid w:val="624C5211"/>
    <w:rsid w:val="629342FA"/>
    <w:rsid w:val="62B639F5"/>
    <w:rsid w:val="62EB1355"/>
    <w:rsid w:val="632F0F5F"/>
    <w:rsid w:val="63B2791F"/>
    <w:rsid w:val="63B40E6B"/>
    <w:rsid w:val="63EA16E9"/>
    <w:rsid w:val="63F168D8"/>
    <w:rsid w:val="63F527C5"/>
    <w:rsid w:val="64770155"/>
    <w:rsid w:val="647C7678"/>
    <w:rsid w:val="64E11EB3"/>
    <w:rsid w:val="64EE1F08"/>
    <w:rsid w:val="65071890"/>
    <w:rsid w:val="652D25B4"/>
    <w:rsid w:val="654F3736"/>
    <w:rsid w:val="65566374"/>
    <w:rsid w:val="65CE15B1"/>
    <w:rsid w:val="65E0208C"/>
    <w:rsid w:val="662D28B6"/>
    <w:rsid w:val="666C6F7B"/>
    <w:rsid w:val="66DB625C"/>
    <w:rsid w:val="66EA1828"/>
    <w:rsid w:val="678306B0"/>
    <w:rsid w:val="678D769B"/>
    <w:rsid w:val="68D90020"/>
    <w:rsid w:val="69341B87"/>
    <w:rsid w:val="697D1671"/>
    <w:rsid w:val="69A5703B"/>
    <w:rsid w:val="69AD52E1"/>
    <w:rsid w:val="69C73CE4"/>
    <w:rsid w:val="69D900ED"/>
    <w:rsid w:val="6A282597"/>
    <w:rsid w:val="6A503CD9"/>
    <w:rsid w:val="6A566BE2"/>
    <w:rsid w:val="6A80545F"/>
    <w:rsid w:val="6B150D27"/>
    <w:rsid w:val="6B476E8A"/>
    <w:rsid w:val="6BA86956"/>
    <w:rsid w:val="6BD73859"/>
    <w:rsid w:val="6BF92A4A"/>
    <w:rsid w:val="6C0B7AF4"/>
    <w:rsid w:val="6C352DD4"/>
    <w:rsid w:val="6C7F3FB5"/>
    <w:rsid w:val="6C910738"/>
    <w:rsid w:val="6CB23765"/>
    <w:rsid w:val="6CC8344F"/>
    <w:rsid w:val="6D3618D2"/>
    <w:rsid w:val="6D3B0212"/>
    <w:rsid w:val="6D594C53"/>
    <w:rsid w:val="6E013804"/>
    <w:rsid w:val="6E2241C6"/>
    <w:rsid w:val="6E8B2FEF"/>
    <w:rsid w:val="6F1928EC"/>
    <w:rsid w:val="6F4C31BA"/>
    <w:rsid w:val="6FC535DB"/>
    <w:rsid w:val="6FEE7EF1"/>
    <w:rsid w:val="70037034"/>
    <w:rsid w:val="700510C2"/>
    <w:rsid w:val="703B5596"/>
    <w:rsid w:val="713E0DC1"/>
    <w:rsid w:val="71406C47"/>
    <w:rsid w:val="71B05F7D"/>
    <w:rsid w:val="72645F5A"/>
    <w:rsid w:val="727711B5"/>
    <w:rsid w:val="727E5AC1"/>
    <w:rsid w:val="72810960"/>
    <w:rsid w:val="728F38B6"/>
    <w:rsid w:val="7297251B"/>
    <w:rsid w:val="72C21A73"/>
    <w:rsid w:val="73115E7C"/>
    <w:rsid w:val="73C96B2F"/>
    <w:rsid w:val="745167AA"/>
    <w:rsid w:val="745C25CC"/>
    <w:rsid w:val="74C96E61"/>
    <w:rsid w:val="75564E94"/>
    <w:rsid w:val="757C0B36"/>
    <w:rsid w:val="759D2552"/>
    <w:rsid w:val="75E9597A"/>
    <w:rsid w:val="75EB5E61"/>
    <w:rsid w:val="76366479"/>
    <w:rsid w:val="76726933"/>
    <w:rsid w:val="76894F7E"/>
    <w:rsid w:val="76C51888"/>
    <w:rsid w:val="76EA0738"/>
    <w:rsid w:val="775F7292"/>
    <w:rsid w:val="77656071"/>
    <w:rsid w:val="778A1A3D"/>
    <w:rsid w:val="77F6089B"/>
    <w:rsid w:val="78026295"/>
    <w:rsid w:val="781E4D92"/>
    <w:rsid w:val="7828345B"/>
    <w:rsid w:val="78A562A6"/>
    <w:rsid w:val="78EF2C59"/>
    <w:rsid w:val="78F30DF4"/>
    <w:rsid w:val="791353A7"/>
    <w:rsid w:val="79440EAD"/>
    <w:rsid w:val="79681277"/>
    <w:rsid w:val="7A011C46"/>
    <w:rsid w:val="7A097B9C"/>
    <w:rsid w:val="7A653177"/>
    <w:rsid w:val="7A6F6088"/>
    <w:rsid w:val="7A8A68A8"/>
    <w:rsid w:val="7ACE0F3C"/>
    <w:rsid w:val="7AE150F8"/>
    <w:rsid w:val="7B197A1F"/>
    <w:rsid w:val="7B3412B3"/>
    <w:rsid w:val="7B584DE6"/>
    <w:rsid w:val="7B913079"/>
    <w:rsid w:val="7BA365AD"/>
    <w:rsid w:val="7BBF3C2E"/>
    <w:rsid w:val="7BBF53F4"/>
    <w:rsid w:val="7C1C3F97"/>
    <w:rsid w:val="7C397321"/>
    <w:rsid w:val="7C3B04A6"/>
    <w:rsid w:val="7C5E0B6B"/>
    <w:rsid w:val="7CAF663E"/>
    <w:rsid w:val="7D2D3DD9"/>
    <w:rsid w:val="7D992B22"/>
    <w:rsid w:val="7DB61C4E"/>
    <w:rsid w:val="7DDE5E6C"/>
    <w:rsid w:val="7DF32EA2"/>
    <w:rsid w:val="7DF94956"/>
    <w:rsid w:val="7E050C3A"/>
    <w:rsid w:val="7EF1027D"/>
    <w:rsid w:val="7F9345EA"/>
    <w:rsid w:val="7FA123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qFormat="1" w:unhideWhenUsed="0" w:uiPriority="99" w:semiHidden="0" w:name="List Bullet 4"/>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autoRedefine/>
    <w:qFormat/>
    <w:uiPriority w:val="99"/>
    <w:pPr>
      <w:keepNext/>
      <w:keepLines/>
      <w:spacing w:before="340" w:after="330" w:line="578" w:lineRule="auto"/>
      <w:outlineLvl w:val="0"/>
    </w:pPr>
    <w:rPr>
      <w:rFonts w:ascii="Calibri" w:hAnsi="Calibri" w:cs="Arial"/>
      <w:b/>
      <w:bCs/>
      <w:kern w:val="44"/>
      <w:sz w:val="44"/>
      <w:szCs w:val="44"/>
    </w:rPr>
  </w:style>
  <w:style w:type="paragraph" w:styleId="4">
    <w:name w:val="heading 2"/>
    <w:basedOn w:val="1"/>
    <w:next w:val="5"/>
    <w:link w:val="59"/>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0"/>
    <w:autoRedefine/>
    <w:qFormat/>
    <w:uiPriority w:val="99"/>
    <w:pPr>
      <w:keepNext/>
      <w:keepLines/>
      <w:spacing w:before="120" w:after="120"/>
      <w:outlineLvl w:val="2"/>
    </w:pPr>
    <w:rPr>
      <w:rFonts w:ascii="Calibri" w:hAnsi="Calibri"/>
      <w:b/>
      <w:bCs/>
      <w:szCs w:val="32"/>
    </w:rPr>
  </w:style>
  <w:style w:type="paragraph" w:styleId="7">
    <w:name w:val="heading 4"/>
    <w:basedOn w:val="1"/>
    <w:next w:val="1"/>
    <w:link w:val="61"/>
    <w:autoRedefine/>
    <w:qFormat/>
    <w:uiPriority w:val="99"/>
    <w:pPr>
      <w:keepNext/>
      <w:widowControl/>
      <w:spacing w:before="240" w:after="60"/>
      <w:jc w:val="left"/>
      <w:outlineLvl w:val="3"/>
    </w:pPr>
    <w:rPr>
      <w:rFonts w:ascii="Calibri" w:hAnsi="Calibri" w:cs="Arial"/>
      <w:b/>
      <w:bCs/>
      <w:kern w:val="0"/>
      <w:sz w:val="28"/>
      <w:szCs w:val="28"/>
      <w:lang w:eastAsia="en-US"/>
    </w:rPr>
  </w:style>
  <w:style w:type="paragraph" w:styleId="8">
    <w:name w:val="heading 5"/>
    <w:basedOn w:val="1"/>
    <w:next w:val="1"/>
    <w:link w:val="62"/>
    <w:autoRedefine/>
    <w:qFormat/>
    <w:uiPriority w:val="99"/>
    <w:pPr>
      <w:widowControl/>
      <w:spacing w:before="240" w:after="60"/>
      <w:jc w:val="left"/>
      <w:outlineLvl w:val="4"/>
    </w:pPr>
    <w:rPr>
      <w:rFonts w:ascii="Calibri" w:hAnsi="Calibri" w:cs="Arial"/>
      <w:b/>
      <w:bCs/>
      <w:i/>
      <w:iCs/>
      <w:kern w:val="0"/>
      <w:sz w:val="26"/>
      <w:szCs w:val="26"/>
      <w:lang w:eastAsia="en-US"/>
    </w:rPr>
  </w:style>
  <w:style w:type="paragraph" w:styleId="9">
    <w:name w:val="heading 6"/>
    <w:basedOn w:val="1"/>
    <w:next w:val="1"/>
    <w:link w:val="63"/>
    <w:autoRedefine/>
    <w:qFormat/>
    <w:uiPriority w:val="99"/>
    <w:pPr>
      <w:widowControl/>
      <w:spacing w:before="240" w:after="60"/>
      <w:jc w:val="left"/>
      <w:outlineLvl w:val="5"/>
    </w:pPr>
    <w:rPr>
      <w:rFonts w:ascii="Calibri" w:hAnsi="Calibri" w:cs="Arial"/>
      <w:b/>
      <w:bCs/>
      <w:kern w:val="0"/>
      <w:sz w:val="22"/>
      <w:szCs w:val="22"/>
      <w:lang w:eastAsia="en-US"/>
    </w:rPr>
  </w:style>
  <w:style w:type="paragraph" w:styleId="10">
    <w:name w:val="heading 7"/>
    <w:basedOn w:val="1"/>
    <w:next w:val="1"/>
    <w:link w:val="64"/>
    <w:autoRedefine/>
    <w:qFormat/>
    <w:uiPriority w:val="99"/>
    <w:pPr>
      <w:widowControl/>
      <w:spacing w:before="240" w:after="60"/>
      <w:jc w:val="left"/>
      <w:outlineLvl w:val="6"/>
    </w:pPr>
    <w:rPr>
      <w:rFonts w:ascii="Calibri" w:hAnsi="Calibri" w:cs="Arial"/>
      <w:kern w:val="0"/>
      <w:sz w:val="24"/>
      <w:szCs w:val="24"/>
      <w:lang w:eastAsia="en-US"/>
    </w:rPr>
  </w:style>
  <w:style w:type="paragraph" w:styleId="11">
    <w:name w:val="heading 8"/>
    <w:basedOn w:val="1"/>
    <w:next w:val="1"/>
    <w:link w:val="65"/>
    <w:autoRedefine/>
    <w:qFormat/>
    <w:uiPriority w:val="99"/>
    <w:pPr>
      <w:widowControl/>
      <w:spacing w:before="240" w:after="60"/>
      <w:jc w:val="left"/>
      <w:outlineLvl w:val="7"/>
    </w:pPr>
    <w:rPr>
      <w:rFonts w:ascii="Calibri" w:hAnsi="Calibri" w:cs="Arial"/>
      <w:i/>
      <w:iCs/>
      <w:kern w:val="0"/>
      <w:sz w:val="24"/>
      <w:szCs w:val="24"/>
      <w:lang w:eastAsia="en-US"/>
    </w:rPr>
  </w:style>
  <w:style w:type="paragraph" w:styleId="12">
    <w:name w:val="heading 9"/>
    <w:basedOn w:val="1"/>
    <w:next w:val="1"/>
    <w:link w:val="66"/>
    <w:autoRedefine/>
    <w:qFormat/>
    <w:uiPriority w:val="99"/>
    <w:pPr>
      <w:widowControl/>
      <w:spacing w:before="240" w:after="60"/>
      <w:jc w:val="left"/>
      <w:outlineLvl w:val="8"/>
    </w:pPr>
    <w:rPr>
      <w:rFonts w:ascii="Cambria" w:hAnsi="Cambria" w:cs="Arial"/>
      <w:kern w:val="0"/>
      <w:sz w:val="22"/>
      <w:szCs w:val="22"/>
      <w:lang w:eastAsia="en-US"/>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jc w:val="left"/>
    </w:pPr>
    <w:rPr>
      <w:rFonts w:ascii="Calibri" w:hAnsi="Calibri" w:cs="Calibri"/>
      <w:b/>
      <w:bCs/>
      <w:caps/>
      <w:sz w:val="20"/>
    </w:rPr>
  </w:style>
  <w:style w:type="paragraph" w:styleId="5">
    <w:name w:val="Normal Indent"/>
    <w:basedOn w:val="1"/>
    <w:next w:val="1"/>
    <w:link w:val="84"/>
    <w:autoRedefine/>
    <w:qFormat/>
    <w:uiPriority w:val="99"/>
    <w:pPr>
      <w:ind w:firstLine="420"/>
    </w:pPr>
    <w:rPr>
      <w:rFonts w:ascii="Calibri" w:hAnsi="Calibri"/>
    </w:rPr>
  </w:style>
  <w:style w:type="paragraph" w:styleId="13">
    <w:name w:val="toc 7"/>
    <w:basedOn w:val="1"/>
    <w:next w:val="1"/>
    <w:autoRedefine/>
    <w:qFormat/>
    <w:uiPriority w:val="99"/>
    <w:pPr>
      <w:ind w:left="1260"/>
      <w:jc w:val="left"/>
    </w:pPr>
    <w:rPr>
      <w:rFonts w:ascii="Calibri" w:hAnsi="Calibri" w:cs="Calibri"/>
      <w:sz w:val="18"/>
      <w:szCs w:val="18"/>
    </w:rPr>
  </w:style>
  <w:style w:type="paragraph" w:styleId="14">
    <w:name w:val="List Bullet 4"/>
    <w:basedOn w:val="1"/>
    <w:autoRedefine/>
    <w:qFormat/>
    <w:uiPriority w:val="99"/>
    <w:pPr>
      <w:widowControl/>
      <w:numPr>
        <w:ilvl w:val="0"/>
        <w:numId w:val="1"/>
      </w:numPr>
      <w:topLinePunct/>
      <w:adjustRightInd w:val="0"/>
      <w:snapToGrid w:val="0"/>
      <w:spacing w:before="160" w:after="160" w:line="240" w:lineRule="atLeast"/>
      <w:jc w:val="left"/>
    </w:pPr>
    <w:rPr>
      <w:rFonts w:cs="Arial"/>
      <w:szCs w:val="21"/>
    </w:rPr>
  </w:style>
  <w:style w:type="paragraph" w:styleId="15">
    <w:name w:val="caption"/>
    <w:basedOn w:val="1"/>
    <w:next w:val="1"/>
    <w:autoRedefine/>
    <w:qFormat/>
    <w:uiPriority w:val="99"/>
    <w:rPr>
      <w:rFonts w:ascii="Arial" w:hAnsi="Arial" w:eastAsia="黑体"/>
      <w:sz w:val="20"/>
    </w:rPr>
  </w:style>
  <w:style w:type="paragraph" w:styleId="16">
    <w:name w:val="List Bullet"/>
    <w:basedOn w:val="17"/>
    <w:autoRedefine/>
    <w:qFormat/>
    <w:uiPriority w:val="99"/>
    <w:pPr>
      <w:widowControl/>
      <w:numPr>
        <w:ilvl w:val="1"/>
        <w:numId w:val="1"/>
      </w:numPr>
      <w:spacing w:line="300" w:lineRule="auto"/>
      <w:ind w:firstLine="0" w:firstLineChars="0"/>
    </w:pPr>
    <w:rPr>
      <w:rFonts w:eastAsia="幼圆"/>
      <w:spacing w:val="-5"/>
      <w:kern w:val="0"/>
      <w:sz w:val="24"/>
      <w:szCs w:val="24"/>
      <w:lang w:val="zh-CN"/>
    </w:rPr>
  </w:style>
  <w:style w:type="paragraph" w:styleId="17">
    <w:name w:val="List"/>
    <w:basedOn w:val="1"/>
    <w:autoRedefine/>
    <w:qFormat/>
    <w:uiPriority w:val="99"/>
    <w:pPr>
      <w:ind w:left="200" w:hanging="200" w:hangingChars="200"/>
    </w:pPr>
  </w:style>
  <w:style w:type="paragraph" w:styleId="18">
    <w:name w:val="Document Map"/>
    <w:basedOn w:val="1"/>
    <w:link w:val="68"/>
    <w:autoRedefine/>
    <w:qFormat/>
    <w:uiPriority w:val="99"/>
    <w:pPr>
      <w:shd w:val="clear" w:color="auto" w:fill="000080"/>
    </w:pPr>
    <w:rPr>
      <w:rFonts w:ascii="Calibri" w:hAnsi="Calibri"/>
    </w:rPr>
  </w:style>
  <w:style w:type="paragraph" w:styleId="19">
    <w:name w:val="annotation text"/>
    <w:basedOn w:val="1"/>
    <w:link w:val="69"/>
    <w:autoRedefine/>
    <w:qFormat/>
    <w:uiPriority w:val="99"/>
    <w:pPr>
      <w:jc w:val="left"/>
    </w:pPr>
    <w:rPr>
      <w:rFonts w:ascii="Calibri" w:hAnsi="Calibri" w:cs="Arial"/>
    </w:rPr>
  </w:style>
  <w:style w:type="paragraph" w:styleId="20">
    <w:name w:val="Body Text 3"/>
    <w:basedOn w:val="1"/>
    <w:link w:val="70"/>
    <w:autoRedefine/>
    <w:qFormat/>
    <w:uiPriority w:val="99"/>
    <w:pPr>
      <w:spacing w:after="120"/>
    </w:pPr>
    <w:rPr>
      <w:sz w:val="16"/>
      <w:szCs w:val="16"/>
    </w:rPr>
  </w:style>
  <w:style w:type="paragraph" w:styleId="21">
    <w:name w:val="Body Text"/>
    <w:basedOn w:val="1"/>
    <w:next w:val="1"/>
    <w:link w:val="67"/>
    <w:autoRedefine/>
    <w:qFormat/>
    <w:uiPriority w:val="99"/>
    <w:pPr>
      <w:spacing w:line="360" w:lineRule="auto"/>
    </w:pPr>
    <w:rPr>
      <w:rFonts w:ascii="Calibri" w:hAnsi="Calibri"/>
      <w:sz w:val="24"/>
    </w:rPr>
  </w:style>
  <w:style w:type="paragraph" w:styleId="22">
    <w:name w:val="Body Text Indent"/>
    <w:basedOn w:val="1"/>
    <w:link w:val="71"/>
    <w:autoRedefine/>
    <w:qFormat/>
    <w:uiPriority w:val="99"/>
    <w:pPr>
      <w:snapToGrid w:val="0"/>
      <w:spacing w:line="400" w:lineRule="exact"/>
      <w:ind w:firstLine="540" w:firstLineChars="225"/>
    </w:pPr>
    <w:rPr>
      <w:rFonts w:ascii="Calibri" w:hAnsi="Calibri" w:eastAsia="仿宋_GB2312"/>
      <w:sz w:val="24"/>
      <w:szCs w:val="24"/>
    </w:rPr>
  </w:style>
  <w:style w:type="paragraph" w:styleId="23">
    <w:name w:val="toc 5"/>
    <w:basedOn w:val="1"/>
    <w:next w:val="1"/>
    <w:autoRedefine/>
    <w:qFormat/>
    <w:uiPriority w:val="99"/>
    <w:pPr>
      <w:ind w:left="840"/>
      <w:jc w:val="left"/>
    </w:pPr>
    <w:rPr>
      <w:rFonts w:ascii="Calibri" w:hAnsi="Calibri" w:cs="Calibri"/>
      <w:sz w:val="18"/>
      <w:szCs w:val="18"/>
    </w:rPr>
  </w:style>
  <w:style w:type="paragraph" w:styleId="24">
    <w:name w:val="toc 3"/>
    <w:basedOn w:val="1"/>
    <w:next w:val="1"/>
    <w:autoRedefine/>
    <w:qFormat/>
    <w:uiPriority w:val="39"/>
    <w:pPr>
      <w:ind w:left="420"/>
      <w:jc w:val="left"/>
    </w:pPr>
    <w:rPr>
      <w:rFonts w:ascii="Calibri" w:hAnsi="Calibri" w:cs="Calibri"/>
      <w:i/>
      <w:iCs/>
      <w:sz w:val="20"/>
    </w:rPr>
  </w:style>
  <w:style w:type="paragraph" w:styleId="25">
    <w:name w:val="Plain Text"/>
    <w:basedOn w:val="1"/>
    <w:link w:val="72"/>
    <w:autoRedefine/>
    <w:qFormat/>
    <w:uiPriority w:val="0"/>
    <w:rPr>
      <w:rFonts w:ascii="宋体" w:hAnsi="Courier New" w:cs="Arial"/>
    </w:rPr>
  </w:style>
  <w:style w:type="paragraph" w:styleId="26">
    <w:name w:val="toc 8"/>
    <w:basedOn w:val="1"/>
    <w:next w:val="1"/>
    <w:autoRedefine/>
    <w:qFormat/>
    <w:uiPriority w:val="99"/>
    <w:pPr>
      <w:ind w:left="1470"/>
      <w:jc w:val="left"/>
    </w:pPr>
    <w:rPr>
      <w:rFonts w:ascii="Calibri" w:hAnsi="Calibri" w:cs="Calibri"/>
      <w:sz w:val="18"/>
      <w:szCs w:val="18"/>
    </w:rPr>
  </w:style>
  <w:style w:type="paragraph" w:styleId="27">
    <w:name w:val="Date"/>
    <w:basedOn w:val="1"/>
    <w:next w:val="1"/>
    <w:link w:val="73"/>
    <w:autoRedefine/>
    <w:qFormat/>
    <w:uiPriority w:val="99"/>
    <w:rPr>
      <w:rFonts w:ascii="Calibri" w:hAnsi="Calibri"/>
    </w:rPr>
  </w:style>
  <w:style w:type="paragraph" w:styleId="28">
    <w:name w:val="Body Text Indent 2"/>
    <w:basedOn w:val="1"/>
    <w:link w:val="74"/>
    <w:autoRedefine/>
    <w:qFormat/>
    <w:uiPriority w:val="99"/>
    <w:pPr>
      <w:spacing w:after="120" w:line="480" w:lineRule="auto"/>
      <w:ind w:left="420" w:leftChars="200"/>
    </w:pPr>
    <w:rPr>
      <w:rFonts w:ascii="Calibri" w:hAnsi="Calibri"/>
    </w:rPr>
  </w:style>
  <w:style w:type="paragraph" w:styleId="29">
    <w:name w:val="Balloon Text"/>
    <w:basedOn w:val="1"/>
    <w:link w:val="75"/>
    <w:autoRedefine/>
    <w:qFormat/>
    <w:uiPriority w:val="99"/>
    <w:rPr>
      <w:rFonts w:ascii="Calibri" w:hAnsi="Calibri"/>
      <w:sz w:val="18"/>
      <w:szCs w:val="18"/>
    </w:rPr>
  </w:style>
  <w:style w:type="paragraph" w:styleId="30">
    <w:name w:val="footer"/>
    <w:basedOn w:val="1"/>
    <w:link w:val="76"/>
    <w:autoRedefine/>
    <w:qFormat/>
    <w:uiPriority w:val="99"/>
    <w:pPr>
      <w:tabs>
        <w:tab w:val="center" w:pos="4153"/>
        <w:tab w:val="right" w:pos="8306"/>
      </w:tabs>
      <w:snapToGrid w:val="0"/>
      <w:jc w:val="left"/>
    </w:pPr>
    <w:rPr>
      <w:rFonts w:ascii="Calibri" w:hAnsi="Calibri"/>
      <w:sz w:val="18"/>
    </w:rPr>
  </w:style>
  <w:style w:type="paragraph" w:styleId="31">
    <w:name w:val="header"/>
    <w:basedOn w:val="1"/>
    <w:link w:val="77"/>
    <w:autoRedefine/>
    <w:qFormat/>
    <w:uiPriority w:val="99"/>
    <w:pPr>
      <w:pBdr>
        <w:bottom w:val="single" w:color="auto" w:sz="6" w:space="1"/>
      </w:pBdr>
      <w:tabs>
        <w:tab w:val="center" w:pos="4153"/>
        <w:tab w:val="right" w:pos="8306"/>
      </w:tabs>
      <w:snapToGrid w:val="0"/>
      <w:jc w:val="center"/>
    </w:pPr>
    <w:rPr>
      <w:rFonts w:ascii="Calibri" w:hAnsi="Calibri"/>
      <w:sz w:val="18"/>
    </w:rPr>
  </w:style>
  <w:style w:type="paragraph" w:styleId="32">
    <w:name w:val="toc 4"/>
    <w:basedOn w:val="1"/>
    <w:next w:val="1"/>
    <w:autoRedefine/>
    <w:qFormat/>
    <w:uiPriority w:val="39"/>
    <w:pPr>
      <w:ind w:left="630"/>
      <w:jc w:val="left"/>
    </w:pPr>
    <w:rPr>
      <w:rFonts w:ascii="Calibri" w:hAnsi="Calibri" w:cs="Calibri"/>
      <w:sz w:val="18"/>
      <w:szCs w:val="18"/>
    </w:rPr>
  </w:style>
  <w:style w:type="paragraph" w:styleId="33">
    <w:name w:val="Subtitle"/>
    <w:basedOn w:val="1"/>
    <w:next w:val="1"/>
    <w:link w:val="78"/>
    <w:autoRedefine/>
    <w:qFormat/>
    <w:uiPriority w:val="99"/>
    <w:pPr>
      <w:widowControl/>
      <w:spacing w:after="60"/>
      <w:jc w:val="center"/>
      <w:outlineLvl w:val="1"/>
    </w:pPr>
    <w:rPr>
      <w:rFonts w:ascii="Cambria" w:hAnsi="Cambria" w:cs="Arial"/>
      <w:kern w:val="0"/>
      <w:sz w:val="24"/>
      <w:szCs w:val="24"/>
      <w:lang w:eastAsia="en-US"/>
    </w:rPr>
  </w:style>
  <w:style w:type="paragraph" w:styleId="34">
    <w:name w:val="List Number 5"/>
    <w:basedOn w:val="1"/>
    <w:autoRedefine/>
    <w:semiHidden/>
    <w:unhideWhenUsed/>
    <w:qFormat/>
    <w:locked/>
    <w:uiPriority w:val="99"/>
    <w:pPr>
      <w:numPr>
        <w:ilvl w:val="0"/>
        <w:numId w:val="2"/>
      </w:numPr>
    </w:pPr>
  </w:style>
  <w:style w:type="paragraph" w:styleId="35">
    <w:name w:val="toc 6"/>
    <w:basedOn w:val="1"/>
    <w:next w:val="1"/>
    <w:autoRedefine/>
    <w:qFormat/>
    <w:uiPriority w:val="99"/>
    <w:pPr>
      <w:ind w:left="1050"/>
      <w:jc w:val="left"/>
    </w:pPr>
    <w:rPr>
      <w:rFonts w:ascii="Calibri" w:hAnsi="Calibri" w:cs="Calibri"/>
      <w:sz w:val="18"/>
      <w:szCs w:val="18"/>
    </w:rPr>
  </w:style>
  <w:style w:type="paragraph" w:styleId="36">
    <w:name w:val="Body Text Indent 3"/>
    <w:basedOn w:val="1"/>
    <w:link w:val="79"/>
    <w:autoRedefine/>
    <w:qFormat/>
    <w:uiPriority w:val="99"/>
    <w:pPr>
      <w:spacing w:after="120"/>
      <w:ind w:left="420" w:leftChars="200"/>
    </w:pPr>
    <w:rPr>
      <w:rFonts w:ascii="Calibri" w:hAnsi="Calibri"/>
      <w:sz w:val="16"/>
      <w:szCs w:val="16"/>
    </w:rPr>
  </w:style>
  <w:style w:type="paragraph" w:styleId="37">
    <w:name w:val="toc 2"/>
    <w:basedOn w:val="1"/>
    <w:next w:val="1"/>
    <w:autoRedefine/>
    <w:qFormat/>
    <w:uiPriority w:val="39"/>
    <w:pPr>
      <w:ind w:left="210"/>
      <w:jc w:val="left"/>
    </w:pPr>
    <w:rPr>
      <w:rFonts w:ascii="Calibri" w:hAnsi="Calibri" w:cs="Calibri"/>
      <w:smallCaps/>
      <w:sz w:val="20"/>
    </w:rPr>
  </w:style>
  <w:style w:type="paragraph" w:styleId="38">
    <w:name w:val="toc 9"/>
    <w:basedOn w:val="1"/>
    <w:next w:val="1"/>
    <w:autoRedefine/>
    <w:qFormat/>
    <w:uiPriority w:val="99"/>
    <w:pPr>
      <w:ind w:left="1680"/>
      <w:jc w:val="left"/>
    </w:pPr>
    <w:rPr>
      <w:rFonts w:ascii="Calibri" w:hAnsi="Calibri" w:cs="Calibri"/>
      <w:sz w:val="18"/>
      <w:szCs w:val="18"/>
    </w:rPr>
  </w:style>
  <w:style w:type="paragraph" w:styleId="39">
    <w:name w:val="Body Text 2"/>
    <w:basedOn w:val="1"/>
    <w:link w:val="80"/>
    <w:autoRedefine/>
    <w:qFormat/>
    <w:uiPriority w:val="99"/>
    <w:pPr>
      <w:spacing w:after="120" w:line="480" w:lineRule="auto"/>
    </w:pPr>
    <w:rPr>
      <w:rFonts w:ascii="Calibri" w:hAnsi="Calibri"/>
      <w:szCs w:val="21"/>
    </w:rPr>
  </w:style>
  <w:style w:type="paragraph" w:styleId="40">
    <w:name w:val="HTML Preformatted"/>
    <w:basedOn w:val="1"/>
    <w:link w:val="8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42">
    <w:name w:val="index 1"/>
    <w:basedOn w:val="1"/>
    <w:next w:val="1"/>
    <w:autoRedefine/>
    <w:semiHidden/>
    <w:qFormat/>
    <w:uiPriority w:val="99"/>
  </w:style>
  <w:style w:type="paragraph" w:styleId="43">
    <w:name w:val="Title"/>
    <w:basedOn w:val="1"/>
    <w:link w:val="82"/>
    <w:autoRedefine/>
    <w:qFormat/>
    <w:uiPriority w:val="99"/>
    <w:pPr>
      <w:spacing w:before="240" w:after="60"/>
      <w:jc w:val="center"/>
      <w:outlineLvl w:val="0"/>
    </w:pPr>
    <w:rPr>
      <w:rFonts w:ascii="Arial" w:hAnsi="Arial"/>
      <w:b/>
      <w:bCs/>
      <w:sz w:val="32"/>
      <w:szCs w:val="32"/>
    </w:rPr>
  </w:style>
  <w:style w:type="paragraph" w:styleId="44">
    <w:name w:val="annotation subject"/>
    <w:basedOn w:val="19"/>
    <w:next w:val="19"/>
    <w:link w:val="83"/>
    <w:autoRedefine/>
    <w:qFormat/>
    <w:uiPriority w:val="99"/>
    <w:rPr>
      <w:b/>
      <w:bCs/>
    </w:rPr>
  </w:style>
  <w:style w:type="paragraph" w:styleId="45">
    <w:name w:val="Body Text First Indent"/>
    <w:basedOn w:val="21"/>
    <w:autoRedefine/>
    <w:qFormat/>
    <w:uiPriority w:val="0"/>
    <w:pPr>
      <w:spacing w:after="120"/>
      <w:ind w:firstLine="420" w:firstLineChars="100"/>
      <w:jc w:val="both"/>
    </w:pPr>
    <w:rPr>
      <w:sz w:val="21"/>
    </w:rPr>
  </w:style>
  <w:style w:type="paragraph" w:styleId="46">
    <w:name w:val="Body Text First Indent 2"/>
    <w:basedOn w:val="22"/>
    <w:autoRedefine/>
    <w:qFormat/>
    <w:locked/>
    <w:uiPriority w:val="0"/>
    <w:pPr>
      <w:widowControl/>
      <w:spacing w:after="120" w:line="240" w:lineRule="auto"/>
      <w:ind w:left="420" w:firstLine="210"/>
      <w:jc w:val="left"/>
    </w:pPr>
    <w:rPr>
      <w:rFonts w:ascii="Times New Roman"/>
      <w:kern w:val="0"/>
      <w:sz w:val="20"/>
    </w:rPr>
  </w:style>
  <w:style w:type="table" w:styleId="48">
    <w:name w:val="Table Grid"/>
    <w:basedOn w:val="4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autoRedefine/>
    <w:qFormat/>
    <w:uiPriority w:val="22"/>
    <w:rPr>
      <w:rFonts w:cs="Times New Roman"/>
      <w:b/>
      <w:bCs/>
    </w:rPr>
  </w:style>
  <w:style w:type="character" w:styleId="51">
    <w:name w:val="page number"/>
    <w:basedOn w:val="49"/>
    <w:autoRedefine/>
    <w:qFormat/>
    <w:uiPriority w:val="99"/>
    <w:rPr>
      <w:rFonts w:cs="Times New Roman"/>
    </w:rPr>
  </w:style>
  <w:style w:type="character" w:styleId="52">
    <w:name w:val="FollowedHyperlink"/>
    <w:basedOn w:val="49"/>
    <w:autoRedefine/>
    <w:qFormat/>
    <w:uiPriority w:val="99"/>
    <w:rPr>
      <w:rFonts w:cs="Times New Roman"/>
      <w:color w:val="800080"/>
      <w:u w:val="single"/>
    </w:rPr>
  </w:style>
  <w:style w:type="character" w:styleId="53">
    <w:name w:val="line number"/>
    <w:basedOn w:val="49"/>
    <w:autoRedefine/>
    <w:qFormat/>
    <w:uiPriority w:val="99"/>
    <w:rPr>
      <w:rFonts w:cs="Times New Roman"/>
    </w:rPr>
  </w:style>
  <w:style w:type="character" w:styleId="54">
    <w:name w:val="Hyperlink"/>
    <w:basedOn w:val="49"/>
    <w:autoRedefine/>
    <w:qFormat/>
    <w:uiPriority w:val="99"/>
    <w:rPr>
      <w:rFonts w:cs="Times New Roman"/>
      <w:color w:val="0000FF"/>
      <w:u w:val="single"/>
    </w:rPr>
  </w:style>
  <w:style w:type="character" w:styleId="55">
    <w:name w:val="annotation reference"/>
    <w:basedOn w:val="49"/>
    <w:autoRedefine/>
    <w:qFormat/>
    <w:uiPriority w:val="99"/>
    <w:rPr>
      <w:rFonts w:cs="Times New Roman"/>
      <w:sz w:val="21"/>
    </w:rPr>
  </w:style>
  <w:style w:type="character" w:styleId="56">
    <w:name w:val="HTML Sample"/>
    <w:basedOn w:val="49"/>
    <w:autoRedefine/>
    <w:semiHidden/>
    <w:unhideWhenUsed/>
    <w:qFormat/>
    <w:locked/>
    <w:uiPriority w:val="99"/>
    <w:rPr>
      <w:rFonts w:ascii="宋体" w:hAnsi="宋体" w:eastAsia="宋体" w:cs="宋体"/>
    </w:rPr>
  </w:style>
  <w:style w:type="paragraph" w:customStyle="1" w:styleId="57">
    <w:name w:val="NormalIndent"/>
    <w:basedOn w:val="1"/>
    <w:autoRedefine/>
    <w:qFormat/>
    <w:uiPriority w:val="0"/>
    <w:pPr>
      <w:ind w:firstLine="420"/>
      <w:jc w:val="left"/>
    </w:pPr>
    <w:rPr>
      <w:rFonts w:ascii="宋体" w:hAnsi="Calibri"/>
      <w:kern w:val="0"/>
      <w:sz w:val="24"/>
      <w:szCs w:val="20"/>
    </w:rPr>
  </w:style>
  <w:style w:type="character" w:customStyle="1" w:styleId="58">
    <w:name w:val="标题 1 字符"/>
    <w:basedOn w:val="49"/>
    <w:link w:val="3"/>
    <w:autoRedefine/>
    <w:qFormat/>
    <w:locked/>
    <w:uiPriority w:val="99"/>
    <w:rPr>
      <w:rFonts w:eastAsia="宋体"/>
      <w:b/>
      <w:kern w:val="44"/>
      <w:sz w:val="44"/>
      <w:lang w:val="en-US" w:eastAsia="zh-CN"/>
    </w:rPr>
  </w:style>
  <w:style w:type="character" w:customStyle="1" w:styleId="59">
    <w:name w:val="标题 2 字符"/>
    <w:basedOn w:val="49"/>
    <w:link w:val="4"/>
    <w:autoRedefine/>
    <w:qFormat/>
    <w:locked/>
    <w:uiPriority w:val="99"/>
    <w:rPr>
      <w:rFonts w:ascii="Arial" w:hAnsi="Arial" w:eastAsia="黑体"/>
      <w:b/>
      <w:kern w:val="2"/>
      <w:sz w:val="32"/>
    </w:rPr>
  </w:style>
  <w:style w:type="character" w:customStyle="1" w:styleId="60">
    <w:name w:val="标题 3 字符"/>
    <w:basedOn w:val="49"/>
    <w:link w:val="6"/>
    <w:autoRedefine/>
    <w:qFormat/>
    <w:locked/>
    <w:uiPriority w:val="99"/>
    <w:rPr>
      <w:b/>
      <w:kern w:val="2"/>
      <w:sz w:val="32"/>
    </w:rPr>
  </w:style>
  <w:style w:type="character" w:customStyle="1" w:styleId="61">
    <w:name w:val="标题 4 字符"/>
    <w:basedOn w:val="49"/>
    <w:link w:val="7"/>
    <w:autoRedefine/>
    <w:qFormat/>
    <w:locked/>
    <w:uiPriority w:val="99"/>
    <w:rPr>
      <w:rFonts w:ascii="Calibri" w:hAnsi="Calibri"/>
      <w:b/>
      <w:sz w:val="28"/>
      <w:lang w:eastAsia="en-US"/>
    </w:rPr>
  </w:style>
  <w:style w:type="character" w:customStyle="1" w:styleId="62">
    <w:name w:val="标题 5 字符"/>
    <w:basedOn w:val="49"/>
    <w:link w:val="8"/>
    <w:autoRedefine/>
    <w:qFormat/>
    <w:locked/>
    <w:uiPriority w:val="99"/>
    <w:rPr>
      <w:rFonts w:ascii="Calibri" w:hAnsi="Calibri"/>
      <w:b/>
      <w:i/>
      <w:sz w:val="26"/>
      <w:lang w:eastAsia="en-US"/>
    </w:rPr>
  </w:style>
  <w:style w:type="character" w:customStyle="1" w:styleId="63">
    <w:name w:val="标题 6 字符"/>
    <w:basedOn w:val="49"/>
    <w:link w:val="9"/>
    <w:autoRedefine/>
    <w:qFormat/>
    <w:locked/>
    <w:uiPriority w:val="99"/>
    <w:rPr>
      <w:rFonts w:ascii="Calibri" w:hAnsi="Calibri"/>
      <w:b/>
      <w:sz w:val="22"/>
      <w:lang w:eastAsia="en-US"/>
    </w:rPr>
  </w:style>
  <w:style w:type="character" w:customStyle="1" w:styleId="64">
    <w:name w:val="标题 7 字符"/>
    <w:basedOn w:val="49"/>
    <w:link w:val="10"/>
    <w:autoRedefine/>
    <w:qFormat/>
    <w:locked/>
    <w:uiPriority w:val="99"/>
    <w:rPr>
      <w:rFonts w:ascii="Calibri" w:hAnsi="Calibri"/>
      <w:sz w:val="24"/>
      <w:lang w:eastAsia="en-US"/>
    </w:rPr>
  </w:style>
  <w:style w:type="character" w:customStyle="1" w:styleId="65">
    <w:name w:val="标题 8 字符"/>
    <w:basedOn w:val="49"/>
    <w:link w:val="11"/>
    <w:autoRedefine/>
    <w:qFormat/>
    <w:locked/>
    <w:uiPriority w:val="99"/>
    <w:rPr>
      <w:rFonts w:ascii="Calibri" w:hAnsi="Calibri"/>
      <w:i/>
      <w:sz w:val="24"/>
      <w:lang w:eastAsia="en-US"/>
    </w:rPr>
  </w:style>
  <w:style w:type="character" w:customStyle="1" w:styleId="66">
    <w:name w:val="标题 9 字符"/>
    <w:basedOn w:val="49"/>
    <w:link w:val="12"/>
    <w:autoRedefine/>
    <w:qFormat/>
    <w:locked/>
    <w:uiPriority w:val="99"/>
    <w:rPr>
      <w:rFonts w:ascii="Cambria" w:hAnsi="Cambria"/>
      <w:sz w:val="22"/>
      <w:lang w:eastAsia="en-US"/>
    </w:rPr>
  </w:style>
  <w:style w:type="character" w:customStyle="1" w:styleId="67">
    <w:name w:val="正文文本 字符"/>
    <w:basedOn w:val="49"/>
    <w:link w:val="21"/>
    <w:autoRedefine/>
    <w:qFormat/>
    <w:locked/>
    <w:uiPriority w:val="99"/>
    <w:rPr>
      <w:kern w:val="2"/>
      <w:sz w:val="24"/>
    </w:rPr>
  </w:style>
  <w:style w:type="character" w:customStyle="1" w:styleId="68">
    <w:name w:val="文档结构图 字符"/>
    <w:basedOn w:val="49"/>
    <w:link w:val="18"/>
    <w:autoRedefine/>
    <w:qFormat/>
    <w:locked/>
    <w:uiPriority w:val="99"/>
    <w:rPr>
      <w:kern w:val="2"/>
      <w:sz w:val="21"/>
      <w:shd w:val="clear" w:color="auto" w:fill="000080"/>
    </w:rPr>
  </w:style>
  <w:style w:type="character" w:customStyle="1" w:styleId="69">
    <w:name w:val="批注文字 字符"/>
    <w:basedOn w:val="49"/>
    <w:link w:val="19"/>
    <w:autoRedefine/>
    <w:qFormat/>
    <w:locked/>
    <w:uiPriority w:val="99"/>
    <w:rPr>
      <w:rFonts w:eastAsia="宋体"/>
      <w:kern w:val="2"/>
      <w:sz w:val="21"/>
      <w:lang w:val="en-US" w:eastAsia="zh-CN"/>
    </w:rPr>
  </w:style>
  <w:style w:type="character" w:customStyle="1" w:styleId="70">
    <w:name w:val="正文文本 3 字符"/>
    <w:basedOn w:val="49"/>
    <w:link w:val="20"/>
    <w:autoRedefine/>
    <w:semiHidden/>
    <w:qFormat/>
    <w:uiPriority w:val="99"/>
    <w:rPr>
      <w:rFonts w:ascii="Times New Roman" w:hAnsi="Times New Roman" w:cs="Times New Roman"/>
      <w:sz w:val="16"/>
      <w:szCs w:val="16"/>
    </w:rPr>
  </w:style>
  <w:style w:type="character" w:customStyle="1" w:styleId="71">
    <w:name w:val="正文文本缩进 字符"/>
    <w:basedOn w:val="49"/>
    <w:link w:val="22"/>
    <w:autoRedefine/>
    <w:qFormat/>
    <w:locked/>
    <w:uiPriority w:val="99"/>
    <w:rPr>
      <w:rFonts w:eastAsia="仿宋_GB2312"/>
      <w:kern w:val="2"/>
      <w:sz w:val="24"/>
    </w:rPr>
  </w:style>
  <w:style w:type="character" w:customStyle="1" w:styleId="72">
    <w:name w:val="纯文本 字符"/>
    <w:basedOn w:val="49"/>
    <w:link w:val="25"/>
    <w:autoRedefine/>
    <w:qFormat/>
    <w:locked/>
    <w:uiPriority w:val="0"/>
    <w:rPr>
      <w:rFonts w:ascii="宋体" w:hAnsi="Courier New" w:eastAsia="宋体"/>
      <w:kern w:val="2"/>
      <w:sz w:val="21"/>
      <w:lang w:val="en-US" w:eastAsia="zh-CN"/>
    </w:rPr>
  </w:style>
  <w:style w:type="character" w:customStyle="1" w:styleId="73">
    <w:name w:val="日期 字符"/>
    <w:basedOn w:val="49"/>
    <w:link w:val="27"/>
    <w:autoRedefine/>
    <w:qFormat/>
    <w:locked/>
    <w:uiPriority w:val="99"/>
    <w:rPr>
      <w:kern w:val="2"/>
      <w:sz w:val="21"/>
    </w:rPr>
  </w:style>
  <w:style w:type="character" w:customStyle="1" w:styleId="74">
    <w:name w:val="正文文本缩进 2 字符"/>
    <w:basedOn w:val="49"/>
    <w:link w:val="28"/>
    <w:autoRedefine/>
    <w:qFormat/>
    <w:locked/>
    <w:uiPriority w:val="99"/>
    <w:rPr>
      <w:kern w:val="2"/>
      <w:sz w:val="21"/>
    </w:rPr>
  </w:style>
  <w:style w:type="character" w:customStyle="1" w:styleId="75">
    <w:name w:val="批注框文本 字符"/>
    <w:basedOn w:val="49"/>
    <w:link w:val="29"/>
    <w:autoRedefine/>
    <w:qFormat/>
    <w:locked/>
    <w:uiPriority w:val="99"/>
    <w:rPr>
      <w:kern w:val="2"/>
      <w:sz w:val="18"/>
    </w:rPr>
  </w:style>
  <w:style w:type="character" w:customStyle="1" w:styleId="76">
    <w:name w:val="页脚 字符1"/>
    <w:basedOn w:val="49"/>
    <w:link w:val="30"/>
    <w:autoRedefine/>
    <w:qFormat/>
    <w:locked/>
    <w:uiPriority w:val="99"/>
    <w:rPr>
      <w:kern w:val="2"/>
      <w:sz w:val="18"/>
    </w:rPr>
  </w:style>
  <w:style w:type="character" w:customStyle="1" w:styleId="77">
    <w:name w:val="页眉 字符1"/>
    <w:basedOn w:val="49"/>
    <w:link w:val="31"/>
    <w:autoRedefine/>
    <w:qFormat/>
    <w:locked/>
    <w:uiPriority w:val="99"/>
    <w:rPr>
      <w:kern w:val="2"/>
      <w:sz w:val="18"/>
    </w:rPr>
  </w:style>
  <w:style w:type="character" w:customStyle="1" w:styleId="78">
    <w:name w:val="副标题 字符"/>
    <w:basedOn w:val="49"/>
    <w:link w:val="33"/>
    <w:autoRedefine/>
    <w:qFormat/>
    <w:locked/>
    <w:uiPriority w:val="99"/>
    <w:rPr>
      <w:rFonts w:ascii="Cambria" w:hAnsi="Cambria"/>
      <w:sz w:val="24"/>
      <w:lang w:eastAsia="en-US"/>
    </w:rPr>
  </w:style>
  <w:style w:type="character" w:customStyle="1" w:styleId="79">
    <w:name w:val="正文文本缩进 3 字符"/>
    <w:basedOn w:val="49"/>
    <w:link w:val="36"/>
    <w:autoRedefine/>
    <w:qFormat/>
    <w:locked/>
    <w:uiPriority w:val="99"/>
    <w:rPr>
      <w:kern w:val="2"/>
      <w:sz w:val="16"/>
    </w:rPr>
  </w:style>
  <w:style w:type="character" w:customStyle="1" w:styleId="80">
    <w:name w:val="正文文本 2 字符"/>
    <w:basedOn w:val="49"/>
    <w:link w:val="39"/>
    <w:autoRedefine/>
    <w:qFormat/>
    <w:locked/>
    <w:uiPriority w:val="99"/>
    <w:rPr>
      <w:kern w:val="2"/>
      <w:sz w:val="21"/>
    </w:rPr>
  </w:style>
  <w:style w:type="character" w:customStyle="1" w:styleId="81">
    <w:name w:val="HTML 预设格式 字符"/>
    <w:basedOn w:val="49"/>
    <w:link w:val="40"/>
    <w:autoRedefine/>
    <w:semiHidden/>
    <w:qFormat/>
    <w:uiPriority w:val="99"/>
    <w:rPr>
      <w:rFonts w:ascii="Courier New" w:hAnsi="Courier New" w:cs="Courier New"/>
      <w:sz w:val="20"/>
      <w:szCs w:val="20"/>
    </w:rPr>
  </w:style>
  <w:style w:type="character" w:customStyle="1" w:styleId="82">
    <w:name w:val="标题 字符"/>
    <w:basedOn w:val="49"/>
    <w:link w:val="43"/>
    <w:autoRedefine/>
    <w:qFormat/>
    <w:locked/>
    <w:uiPriority w:val="99"/>
    <w:rPr>
      <w:rFonts w:ascii="Arial" w:hAnsi="Arial"/>
      <w:b/>
      <w:kern w:val="2"/>
      <w:sz w:val="32"/>
    </w:rPr>
  </w:style>
  <w:style w:type="character" w:customStyle="1" w:styleId="83">
    <w:name w:val="批注主题 字符"/>
    <w:basedOn w:val="69"/>
    <w:link w:val="44"/>
    <w:autoRedefine/>
    <w:qFormat/>
    <w:locked/>
    <w:uiPriority w:val="99"/>
    <w:rPr>
      <w:rFonts w:eastAsia="宋体"/>
      <w:b/>
      <w:kern w:val="2"/>
      <w:sz w:val="21"/>
      <w:lang w:val="en-US" w:eastAsia="zh-CN"/>
    </w:rPr>
  </w:style>
  <w:style w:type="character" w:customStyle="1" w:styleId="84">
    <w:name w:val="正文缩进 字符"/>
    <w:link w:val="5"/>
    <w:autoRedefine/>
    <w:qFormat/>
    <w:locked/>
    <w:uiPriority w:val="99"/>
    <w:rPr>
      <w:kern w:val="2"/>
      <w:sz w:val="21"/>
    </w:rPr>
  </w:style>
  <w:style w:type="paragraph" w:customStyle="1" w:styleId="85">
    <w:name w:val="标题1"/>
    <w:basedOn w:val="43"/>
    <w:autoRedefine/>
    <w:qFormat/>
    <w:uiPriority w:val="99"/>
    <w:pPr>
      <w:spacing w:after="240"/>
    </w:pPr>
    <w:rPr>
      <w:spacing w:val="2"/>
      <w:sz w:val="44"/>
      <w:szCs w:val="44"/>
    </w:rPr>
  </w:style>
  <w:style w:type="paragraph" w:customStyle="1" w:styleId="86">
    <w:name w:val="font8"/>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87">
    <w:name w:val="Char Char Char Char Char Char1 Char Char Char Char Char Char1 Char Char Char Char Char Char Char"/>
    <w:basedOn w:val="1"/>
    <w:autoRedefine/>
    <w:qFormat/>
    <w:uiPriority w:val="99"/>
    <w:rPr>
      <w:rFonts w:ascii="Tahoma" w:hAnsi="Tahoma"/>
      <w:sz w:val="24"/>
    </w:rPr>
  </w:style>
  <w:style w:type="paragraph" w:customStyle="1" w:styleId="88">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89">
    <w:name w:val="xl8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90">
    <w:name w:val="xl68"/>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91">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xl3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93">
    <w:name w:val="font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Char"/>
    <w:basedOn w:val="1"/>
    <w:autoRedefine/>
    <w:qFormat/>
    <w:uiPriority w:val="99"/>
    <w:rPr>
      <w:szCs w:val="24"/>
    </w:rPr>
  </w:style>
  <w:style w:type="paragraph" w:customStyle="1" w:styleId="95">
    <w:name w:val="xl32"/>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96">
    <w:name w:val="font10"/>
    <w:basedOn w:val="1"/>
    <w:autoRedefine/>
    <w:qFormat/>
    <w:uiPriority w:val="99"/>
    <w:pPr>
      <w:widowControl/>
      <w:spacing w:before="100" w:beforeAutospacing="1" w:after="100" w:afterAutospacing="1"/>
      <w:jc w:val="left"/>
    </w:pPr>
    <w:rPr>
      <w:rFonts w:ascii="Arial" w:hAnsi="Arial" w:cs="Arial"/>
      <w:color w:val="000000"/>
      <w:kern w:val="0"/>
      <w:sz w:val="20"/>
    </w:rPr>
  </w:style>
  <w:style w:type="paragraph" w:customStyle="1" w:styleId="97">
    <w:name w:val="Char3 Char Char Char"/>
    <w:basedOn w:val="1"/>
    <w:autoRedefine/>
    <w:qFormat/>
    <w:uiPriority w:val="99"/>
    <w:rPr>
      <w:rFonts w:ascii="Tahoma" w:hAnsi="Tahoma"/>
      <w:sz w:val="24"/>
    </w:rPr>
  </w:style>
  <w:style w:type="paragraph" w:customStyle="1" w:styleId="98">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9">
    <w:name w:val="xl28"/>
    <w:basedOn w:val="1"/>
    <w:autoRedefine/>
    <w:qFormat/>
    <w:uiPriority w:val="99"/>
    <w:pPr>
      <w:widowControl/>
      <w:spacing w:before="100" w:beforeAutospacing="1" w:after="100" w:afterAutospacing="1"/>
      <w:textAlignment w:val="top"/>
    </w:pPr>
    <w:rPr>
      <w:rFonts w:ascii="宋体" w:hAnsi="宋体"/>
      <w:kern w:val="0"/>
      <w:sz w:val="22"/>
      <w:szCs w:val="22"/>
    </w:rPr>
  </w:style>
  <w:style w:type="paragraph" w:customStyle="1" w:styleId="100">
    <w:name w:val="正文加重首行缩进2字"/>
    <w:basedOn w:val="101"/>
    <w:link w:val="103"/>
    <w:autoRedefine/>
    <w:qFormat/>
    <w:uiPriority w:val="99"/>
    <w:rPr>
      <w:b/>
      <w:bCs/>
    </w:rPr>
  </w:style>
  <w:style w:type="paragraph" w:customStyle="1" w:styleId="101">
    <w:name w:val="正文首行缩进2字"/>
    <w:basedOn w:val="1"/>
    <w:link w:val="102"/>
    <w:autoRedefine/>
    <w:qFormat/>
    <w:uiPriority w:val="99"/>
    <w:pPr>
      <w:ind w:firstLine="560" w:firstLineChars="200"/>
    </w:pPr>
    <w:rPr>
      <w:rFonts w:ascii="Calibri" w:hAnsi="Calibri" w:eastAsia="楷体_GB2312" w:cs="Arial"/>
      <w:kern w:val="0"/>
      <w:sz w:val="28"/>
      <w:szCs w:val="24"/>
    </w:rPr>
  </w:style>
  <w:style w:type="character" w:customStyle="1" w:styleId="102">
    <w:name w:val="正文首行缩进2字 Char"/>
    <w:link w:val="101"/>
    <w:autoRedefine/>
    <w:qFormat/>
    <w:locked/>
    <w:uiPriority w:val="99"/>
    <w:rPr>
      <w:rFonts w:eastAsia="楷体_GB2312"/>
      <w:sz w:val="24"/>
      <w:lang w:val="en-US" w:eastAsia="zh-CN"/>
    </w:rPr>
  </w:style>
  <w:style w:type="character" w:customStyle="1" w:styleId="103">
    <w:name w:val="正文加重首行缩进2字 Char"/>
    <w:link w:val="100"/>
    <w:autoRedefine/>
    <w:qFormat/>
    <w:locked/>
    <w:uiPriority w:val="99"/>
    <w:rPr>
      <w:rFonts w:eastAsia="楷体_GB2312"/>
      <w:b/>
      <w:sz w:val="24"/>
      <w:lang w:val="en-US" w:eastAsia="zh-CN"/>
    </w:rPr>
  </w:style>
  <w:style w:type="paragraph" w:customStyle="1" w:styleId="104">
    <w:name w:val="xl31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5">
    <w:name w:val="xl36"/>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06">
    <w:name w:val="Char Char Char1 Char Char Char Char Char Char Char Char Char Char"/>
    <w:basedOn w:val="1"/>
    <w:autoRedefine/>
    <w:qFormat/>
    <w:uiPriority w:val="99"/>
    <w:rPr>
      <w:rFonts w:ascii="Tahoma" w:hAnsi="Tahoma"/>
      <w:sz w:val="24"/>
    </w:rPr>
  </w:style>
  <w:style w:type="paragraph" w:customStyle="1" w:styleId="107">
    <w:name w:val="xl314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8">
    <w:name w:val="xl81"/>
    <w:basedOn w:val="1"/>
    <w:autoRedefine/>
    <w:qFormat/>
    <w:uiPriority w:val="99"/>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109">
    <w:name w:val="Char Char Char Char Char Char1 Char Char Char Char Char Char1 Char Char Char Char"/>
    <w:basedOn w:val="1"/>
    <w:autoRedefine/>
    <w:qFormat/>
    <w:uiPriority w:val="99"/>
    <w:rPr>
      <w:rFonts w:ascii="Tahoma" w:hAnsi="Tahoma"/>
      <w:sz w:val="24"/>
    </w:rPr>
  </w:style>
  <w:style w:type="paragraph" w:customStyle="1" w:styleId="110">
    <w:name w:val="Char Char Char Char Char Char Char Char Char Char Char Char Char"/>
    <w:basedOn w:val="1"/>
    <w:autoRedefine/>
    <w:qFormat/>
    <w:uiPriority w:val="99"/>
    <w:pPr>
      <w:tabs>
        <w:tab w:val="left" w:pos="360"/>
      </w:tabs>
      <w:ind w:firstLine="420" w:firstLineChars="150"/>
    </w:pPr>
    <w:rPr>
      <w:rFonts w:ascii="Arial" w:hAnsi="Arial" w:cs="Arial"/>
      <w:sz w:val="20"/>
    </w:rPr>
  </w:style>
  <w:style w:type="paragraph" w:customStyle="1" w:styleId="111">
    <w:name w:val="Char Char Char"/>
    <w:basedOn w:val="1"/>
    <w:autoRedefine/>
    <w:qFormat/>
    <w:uiPriority w:val="99"/>
    <w:rPr>
      <w:rFonts w:ascii="Tahoma" w:hAnsi="Tahoma"/>
      <w:sz w:val="24"/>
    </w:rPr>
  </w:style>
  <w:style w:type="paragraph" w:styleId="112">
    <w:name w:val="List Paragraph"/>
    <w:basedOn w:val="1"/>
    <w:link w:val="113"/>
    <w:autoRedefine/>
    <w:qFormat/>
    <w:uiPriority w:val="99"/>
    <w:pPr>
      <w:ind w:firstLine="420" w:firstLineChars="200"/>
    </w:pPr>
    <w:rPr>
      <w:rFonts w:ascii="Calibri" w:hAnsi="Calibri"/>
    </w:rPr>
  </w:style>
  <w:style w:type="character" w:customStyle="1" w:styleId="113">
    <w:name w:val="列表段落 字符"/>
    <w:link w:val="112"/>
    <w:autoRedefine/>
    <w:qFormat/>
    <w:locked/>
    <w:uiPriority w:val="99"/>
    <w:rPr>
      <w:kern w:val="2"/>
      <w:sz w:val="21"/>
    </w:rPr>
  </w:style>
  <w:style w:type="paragraph" w:customStyle="1" w:styleId="114">
    <w:name w:val="xl315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kern w:val="0"/>
      <w:sz w:val="24"/>
      <w:szCs w:val="24"/>
    </w:rPr>
  </w:style>
  <w:style w:type="paragraph" w:customStyle="1" w:styleId="115">
    <w:name w:val="xl29"/>
    <w:basedOn w:val="1"/>
    <w:autoRedefine/>
    <w:qFormat/>
    <w:uiPriority w:val="99"/>
    <w:pPr>
      <w:widowControl/>
      <w:spacing w:before="100" w:beforeAutospacing="1" w:after="100" w:afterAutospacing="1"/>
      <w:textAlignment w:val="top"/>
    </w:pPr>
    <w:rPr>
      <w:rFonts w:ascii="宋体" w:hAnsi="宋体"/>
      <w:b/>
      <w:bCs/>
      <w:kern w:val="0"/>
      <w:sz w:val="22"/>
      <w:szCs w:val="22"/>
    </w:rPr>
  </w:style>
  <w:style w:type="paragraph" w:customStyle="1" w:styleId="116">
    <w:name w:val="节2"/>
    <w:basedOn w:val="1"/>
    <w:autoRedefine/>
    <w:qFormat/>
    <w:uiPriority w:val="99"/>
    <w:rPr>
      <w:rFonts w:eastAsia="黑体"/>
      <w:bCs/>
      <w:sz w:val="28"/>
      <w:szCs w:val="24"/>
    </w:rPr>
  </w:style>
  <w:style w:type="paragraph" w:customStyle="1" w:styleId="117">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rPr>
  </w:style>
  <w:style w:type="paragraph" w:customStyle="1" w:styleId="118">
    <w:name w:val="font7"/>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19">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20">
    <w:name w:val="xl3140"/>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21">
    <w:name w:val="正文样式"/>
    <w:basedOn w:val="122"/>
    <w:autoRedefine/>
    <w:qFormat/>
    <w:uiPriority w:val="99"/>
    <w:pPr>
      <w:ind w:firstLine="420"/>
    </w:pPr>
  </w:style>
  <w:style w:type="paragraph" w:customStyle="1" w:styleId="122">
    <w:name w:val="文"/>
    <w:basedOn w:val="1"/>
    <w:autoRedefine/>
    <w:qFormat/>
    <w:uiPriority w:val="99"/>
    <w:pPr>
      <w:adjustRightInd w:val="0"/>
      <w:ind w:firstLine="200" w:firstLineChars="200"/>
      <w:jc w:val="left"/>
    </w:pPr>
    <w:rPr>
      <w:szCs w:val="21"/>
    </w:rPr>
  </w:style>
  <w:style w:type="paragraph" w:customStyle="1" w:styleId="123">
    <w:name w:val="xl3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124">
    <w:name w:val="xl316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25">
    <w:name w:val="列出段落1"/>
    <w:basedOn w:val="1"/>
    <w:autoRedefine/>
    <w:qFormat/>
    <w:uiPriority w:val="99"/>
    <w:pPr>
      <w:spacing w:line="360" w:lineRule="auto"/>
      <w:ind w:firstLine="420" w:firstLineChars="200"/>
    </w:pPr>
    <w:rPr>
      <w:rFonts w:ascii="Calibri" w:hAnsi="Calibri"/>
    </w:rPr>
  </w:style>
  <w:style w:type="paragraph" w:customStyle="1" w:styleId="126">
    <w:name w:val="xl30"/>
    <w:basedOn w:val="1"/>
    <w:autoRedefine/>
    <w:qFormat/>
    <w:uiPriority w:val="99"/>
    <w:pPr>
      <w:widowControl/>
      <w:spacing w:before="100" w:beforeAutospacing="1" w:after="100" w:afterAutospacing="1"/>
      <w:jc w:val="left"/>
      <w:textAlignment w:val="top"/>
    </w:pPr>
    <w:rPr>
      <w:rFonts w:ascii="宋体" w:hAnsi="宋体"/>
      <w:kern w:val="0"/>
      <w:sz w:val="22"/>
      <w:szCs w:val="22"/>
    </w:rPr>
  </w:style>
  <w:style w:type="paragraph" w:customStyle="1" w:styleId="127">
    <w:name w:val="xl35"/>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128">
    <w:name w:val="xl31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9">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130">
    <w:name w:val="Char Char Char Char"/>
    <w:basedOn w:val="1"/>
    <w:autoRedefine/>
    <w:qFormat/>
    <w:uiPriority w:val="0"/>
    <w:pPr>
      <w:widowControl/>
      <w:spacing w:after="160" w:line="240" w:lineRule="exact"/>
      <w:jc w:val="left"/>
    </w:pPr>
    <w:rPr>
      <w:rFonts w:ascii="Verdana" w:hAnsi="Verdana"/>
      <w:kern w:val="0"/>
      <w:lang w:eastAsia="en-US"/>
    </w:rPr>
  </w:style>
  <w:style w:type="paragraph" w:customStyle="1" w:styleId="131">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32">
    <w:name w:val="xl316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3">
    <w:name w:val="font12"/>
    <w:basedOn w:val="1"/>
    <w:autoRedefine/>
    <w:qFormat/>
    <w:uiPriority w:val="99"/>
    <w:pPr>
      <w:widowControl/>
      <w:spacing w:before="100" w:beforeAutospacing="1" w:after="100" w:afterAutospacing="1"/>
      <w:jc w:val="left"/>
    </w:pPr>
    <w:rPr>
      <w:rFonts w:ascii="Arial" w:hAnsi="Arial" w:cs="Arial"/>
      <w:kern w:val="0"/>
      <w:sz w:val="20"/>
    </w:rPr>
  </w:style>
  <w:style w:type="paragraph" w:customStyle="1" w:styleId="134">
    <w:name w:val="xl316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cs="宋体"/>
      <w:kern w:val="0"/>
      <w:sz w:val="24"/>
      <w:szCs w:val="24"/>
    </w:rPr>
  </w:style>
  <w:style w:type="paragraph" w:customStyle="1" w:styleId="135">
    <w:name w:val="xl33"/>
    <w:basedOn w:val="1"/>
    <w:autoRedefine/>
    <w:qFormat/>
    <w:uiPriority w:val="99"/>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136">
    <w:name w:val="xl3147"/>
    <w:basedOn w:val="1"/>
    <w:autoRedefine/>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137">
    <w:name w:val="Char Char1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38">
    <w:name w:val="xl3165"/>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9">
    <w:name w:val="Balloon Text1"/>
    <w:basedOn w:val="1"/>
    <w:autoRedefine/>
    <w:qFormat/>
    <w:uiPriority w:val="99"/>
    <w:rPr>
      <w:sz w:val="18"/>
      <w:szCs w:val="18"/>
    </w:rPr>
  </w:style>
  <w:style w:type="paragraph" w:customStyle="1" w:styleId="140">
    <w:name w:val="xl31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41">
    <w:name w:val="引用1"/>
    <w:basedOn w:val="1"/>
    <w:next w:val="1"/>
    <w:link w:val="142"/>
    <w:autoRedefine/>
    <w:qFormat/>
    <w:uiPriority w:val="99"/>
    <w:pPr>
      <w:widowControl/>
      <w:jc w:val="left"/>
    </w:pPr>
    <w:rPr>
      <w:rFonts w:ascii="Calibri" w:hAnsi="Calibri" w:cs="Arial"/>
      <w:i/>
      <w:kern w:val="0"/>
      <w:sz w:val="24"/>
      <w:szCs w:val="24"/>
      <w:lang w:eastAsia="en-US"/>
    </w:rPr>
  </w:style>
  <w:style w:type="character" w:customStyle="1" w:styleId="142">
    <w:name w:val="引用 Char"/>
    <w:link w:val="141"/>
    <w:autoRedefine/>
    <w:qFormat/>
    <w:locked/>
    <w:uiPriority w:val="99"/>
    <w:rPr>
      <w:rFonts w:ascii="Calibri" w:hAnsi="Calibri"/>
      <w:i/>
      <w:sz w:val="24"/>
      <w:lang w:eastAsia="en-US"/>
    </w:rPr>
  </w:style>
  <w:style w:type="paragraph" w:customStyle="1" w:styleId="143">
    <w:name w:val="xl8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44">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45">
    <w:name w:val="无间隔1"/>
    <w:basedOn w:val="1"/>
    <w:link w:val="146"/>
    <w:autoRedefine/>
    <w:qFormat/>
    <w:uiPriority w:val="99"/>
    <w:pPr>
      <w:widowControl/>
      <w:jc w:val="left"/>
    </w:pPr>
    <w:rPr>
      <w:rFonts w:ascii="Calibri" w:hAnsi="Calibri" w:cs="Arial"/>
      <w:kern w:val="0"/>
      <w:sz w:val="24"/>
      <w:szCs w:val="32"/>
      <w:lang w:eastAsia="en-US"/>
    </w:rPr>
  </w:style>
  <w:style w:type="character" w:customStyle="1" w:styleId="146">
    <w:name w:val="无间隔 Char"/>
    <w:link w:val="145"/>
    <w:autoRedefine/>
    <w:qFormat/>
    <w:locked/>
    <w:uiPriority w:val="99"/>
    <w:rPr>
      <w:rFonts w:ascii="Calibri" w:hAnsi="Calibri"/>
      <w:sz w:val="32"/>
      <w:lang w:eastAsia="en-US"/>
    </w:rPr>
  </w:style>
  <w:style w:type="paragraph" w:customStyle="1" w:styleId="147">
    <w:name w:val="Char Char Char Char Char Char Char Char Char Char Char Char Char1"/>
    <w:basedOn w:val="1"/>
    <w:autoRedefine/>
    <w:qFormat/>
    <w:uiPriority w:val="99"/>
    <w:pPr>
      <w:tabs>
        <w:tab w:val="left" w:pos="360"/>
      </w:tabs>
      <w:ind w:firstLine="420" w:firstLineChars="150"/>
    </w:pPr>
    <w:rPr>
      <w:rFonts w:ascii="Arial" w:hAnsi="Arial" w:cs="Arial"/>
      <w:sz w:val="20"/>
    </w:rPr>
  </w:style>
  <w:style w:type="paragraph" w:customStyle="1" w:styleId="148">
    <w:name w:val="1 Char Char Char Char"/>
    <w:basedOn w:val="1"/>
    <w:autoRedefine/>
    <w:qFormat/>
    <w:uiPriority w:val="99"/>
    <w:rPr>
      <w:rFonts w:ascii="Tahoma" w:hAnsi="Tahoma"/>
      <w:sz w:val="24"/>
    </w:rPr>
  </w:style>
  <w:style w:type="paragraph" w:customStyle="1" w:styleId="149">
    <w:name w:val="font11"/>
    <w:basedOn w:val="1"/>
    <w:autoRedefine/>
    <w:qFormat/>
    <w:uiPriority w:val="99"/>
    <w:pPr>
      <w:widowControl/>
      <w:spacing w:before="100" w:beforeAutospacing="1" w:after="100" w:afterAutospacing="1"/>
      <w:jc w:val="left"/>
    </w:pPr>
    <w:rPr>
      <w:rFonts w:ascii="华文细黑" w:hAnsi="华文细黑" w:eastAsia="华文细黑" w:cs="宋体"/>
      <w:color w:val="000000"/>
      <w:kern w:val="0"/>
      <w:sz w:val="20"/>
    </w:rPr>
  </w:style>
  <w:style w:type="paragraph" w:customStyle="1" w:styleId="150">
    <w:name w:val="正文符号1"/>
    <w:basedOn w:val="101"/>
    <w:link w:val="151"/>
    <w:autoRedefine/>
    <w:qFormat/>
    <w:uiPriority w:val="99"/>
    <w:pPr>
      <w:numPr>
        <w:ilvl w:val="0"/>
        <w:numId w:val="3"/>
      </w:numPr>
      <w:tabs>
        <w:tab w:val="left" w:pos="960"/>
        <w:tab w:val="left" w:pos="1080"/>
        <w:tab w:val="clear" w:pos="1500"/>
      </w:tabs>
      <w:ind w:left="960" w:firstLine="0" w:firstLineChars="0"/>
    </w:pPr>
  </w:style>
  <w:style w:type="character" w:customStyle="1" w:styleId="151">
    <w:name w:val="正文符号1 Char"/>
    <w:link w:val="150"/>
    <w:autoRedefine/>
    <w:qFormat/>
    <w:locked/>
    <w:uiPriority w:val="99"/>
    <w:rPr>
      <w:rFonts w:eastAsia="楷体_GB2312"/>
      <w:kern w:val="0"/>
      <w:sz w:val="28"/>
      <w:szCs w:val="24"/>
    </w:rPr>
  </w:style>
  <w:style w:type="paragraph" w:customStyle="1" w:styleId="152">
    <w:name w:val="xl7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53">
    <w:name w:val="xl7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54">
    <w:name w:val="正文 首行缩进:  2 字符"/>
    <w:basedOn w:val="1"/>
    <w:link w:val="155"/>
    <w:autoRedefine/>
    <w:qFormat/>
    <w:uiPriority w:val="99"/>
    <w:pPr>
      <w:ind w:firstLine="560" w:firstLineChars="200"/>
    </w:pPr>
    <w:rPr>
      <w:rFonts w:ascii="Arial" w:hAnsi="Arial" w:eastAsia="楷体_GB2312" w:cs="Arial"/>
      <w:sz w:val="28"/>
    </w:rPr>
  </w:style>
  <w:style w:type="character" w:customStyle="1" w:styleId="155">
    <w:name w:val="正文 首行缩进:  2 字符 Char1"/>
    <w:link w:val="154"/>
    <w:autoRedefine/>
    <w:qFormat/>
    <w:locked/>
    <w:uiPriority w:val="99"/>
    <w:rPr>
      <w:rFonts w:ascii="Arial" w:hAnsi="Arial" w:eastAsia="楷体_GB2312"/>
      <w:kern w:val="2"/>
      <w:sz w:val="28"/>
      <w:lang w:val="en-US" w:eastAsia="zh-CN"/>
    </w:rPr>
  </w:style>
  <w:style w:type="paragraph" w:customStyle="1" w:styleId="156">
    <w:name w:val="xl316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57">
    <w:name w:val="style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8">
    <w:name w:val="xl31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59">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rPr>
  </w:style>
  <w:style w:type="paragraph" w:customStyle="1" w:styleId="160">
    <w:name w:val="font6"/>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61">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162">
    <w:name w:val="xl3155"/>
    <w:basedOn w:val="1"/>
    <w:autoRedefine/>
    <w:qFormat/>
    <w:uiPriority w:val="99"/>
    <w:pPr>
      <w:widowControl/>
      <w:pBdr>
        <w:top w:val="single" w:color="auto" w:sz="4" w:space="0"/>
        <w:left w:val="single" w:color="auto" w:sz="4" w:space="0"/>
        <w:right w:val="single" w:color="auto" w:sz="4" w:space="0"/>
      </w:pBdr>
      <w:shd w:val="clear" w:color="000000" w:fill="FFFF00"/>
      <w:spacing w:before="100" w:beforeAutospacing="1" w:after="100" w:afterAutospacing="1"/>
      <w:jc w:val="right"/>
      <w:textAlignment w:val="center"/>
    </w:pPr>
    <w:rPr>
      <w:rFonts w:ascii="宋体" w:hAnsi="宋体" w:cs="宋体"/>
      <w:color w:val="000000"/>
      <w:kern w:val="0"/>
      <w:sz w:val="24"/>
      <w:szCs w:val="24"/>
    </w:rPr>
  </w:style>
  <w:style w:type="paragraph" w:customStyle="1" w:styleId="163">
    <w:name w:val="contentlabel"/>
    <w:basedOn w:val="1"/>
    <w:autoRedefine/>
    <w:qFormat/>
    <w:uiPriority w:val="99"/>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64">
    <w:name w:val="xl25"/>
    <w:basedOn w:val="1"/>
    <w:autoRedefine/>
    <w:qFormat/>
    <w:uiPriority w:val="99"/>
    <w:pPr>
      <w:widowControl/>
      <w:spacing w:before="100" w:beforeAutospacing="1" w:after="100" w:afterAutospacing="1"/>
      <w:jc w:val="left"/>
      <w:textAlignment w:val="center"/>
    </w:pPr>
    <w:rPr>
      <w:rFonts w:ascii="宋体" w:hAnsi="宋体"/>
      <w:b/>
      <w:bCs/>
      <w:kern w:val="0"/>
      <w:sz w:val="22"/>
      <w:szCs w:val="22"/>
    </w:rPr>
  </w:style>
  <w:style w:type="paragraph" w:customStyle="1" w:styleId="165">
    <w:name w:val="p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66">
    <w:name w:val="xl3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167">
    <w:name w:val="xl31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68">
    <w:name w:val="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69">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0">
    <w:name w:val="font9"/>
    <w:basedOn w:val="1"/>
    <w:autoRedefine/>
    <w:qFormat/>
    <w:uiPriority w:val="99"/>
    <w:pPr>
      <w:widowControl/>
      <w:spacing w:before="100" w:beforeAutospacing="1" w:after="100" w:afterAutospacing="1"/>
      <w:jc w:val="left"/>
    </w:pPr>
    <w:rPr>
      <w:kern w:val="0"/>
      <w:sz w:val="20"/>
    </w:rPr>
  </w:style>
  <w:style w:type="paragraph" w:customStyle="1" w:styleId="171">
    <w:name w:val="xl83"/>
    <w:basedOn w:val="1"/>
    <w:autoRedefine/>
    <w:qFormat/>
    <w:uiPriority w:val="99"/>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172">
    <w:name w:val="xl31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173">
    <w:name w:val="_Style 132"/>
    <w:autoRedefine/>
    <w:semiHidden/>
    <w:qFormat/>
    <w:uiPriority w:val="99"/>
    <w:rPr>
      <w:rFonts w:ascii="Times New Roman" w:hAnsi="Times New Roman" w:eastAsia="宋体" w:cs="Times New Roman"/>
      <w:kern w:val="2"/>
      <w:sz w:val="21"/>
      <w:lang w:val="en-US" w:eastAsia="zh-CN" w:bidi="ar-SA"/>
    </w:rPr>
  </w:style>
  <w:style w:type="paragraph" w:customStyle="1" w:styleId="174">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5">
    <w:name w:val="xl3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176">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7">
    <w:name w:val="xl3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8">
    <w:name w:val="he"/>
    <w:basedOn w:val="1"/>
    <w:next w:val="5"/>
    <w:autoRedefine/>
    <w:qFormat/>
    <w:uiPriority w:val="99"/>
    <w:pPr>
      <w:keepNext/>
      <w:keepLines/>
      <w:autoSpaceDE w:val="0"/>
      <w:autoSpaceDN w:val="0"/>
      <w:adjustRightInd w:val="0"/>
      <w:spacing w:before="120" w:line="300" w:lineRule="auto"/>
      <w:jc w:val="center"/>
    </w:pPr>
    <w:rPr>
      <w:rFonts w:ascii="Arial" w:hAnsi="Arial" w:eastAsia="黑体"/>
      <w:b/>
      <w:bCs/>
      <w:kern w:val="0"/>
      <w:sz w:val="30"/>
      <w:szCs w:val="30"/>
    </w:rPr>
  </w:style>
  <w:style w:type="paragraph" w:customStyle="1" w:styleId="179">
    <w:name w:val="xl7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0">
    <w:name w:val="节"/>
    <w:basedOn w:val="1"/>
    <w:autoRedefine/>
    <w:qFormat/>
    <w:uiPriority w:val="99"/>
    <w:pPr>
      <w:adjustRightInd w:val="0"/>
      <w:spacing w:before="100" w:beforeAutospacing="1"/>
    </w:pPr>
    <w:rPr>
      <w:rFonts w:eastAsia="仿宋_GB2312"/>
      <w:b/>
      <w:sz w:val="32"/>
      <w:szCs w:val="32"/>
    </w:rPr>
  </w:style>
  <w:style w:type="paragraph" w:customStyle="1" w:styleId="181">
    <w:name w:val="xl24"/>
    <w:basedOn w:val="1"/>
    <w:autoRedefine/>
    <w:qFormat/>
    <w:uiPriority w:val="99"/>
    <w:pPr>
      <w:widowControl/>
      <w:spacing w:before="100" w:beforeAutospacing="1" w:after="100" w:afterAutospacing="1"/>
      <w:jc w:val="left"/>
      <w:textAlignment w:val="top"/>
    </w:pPr>
    <w:rPr>
      <w:rFonts w:ascii="宋体" w:hAnsi="宋体"/>
      <w:kern w:val="0"/>
      <w:sz w:val="22"/>
      <w:szCs w:val="22"/>
    </w:rPr>
  </w:style>
  <w:style w:type="paragraph" w:customStyle="1" w:styleId="182">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83">
    <w:name w:val="正文 A"/>
    <w:next w:val="184"/>
    <w:autoRedefine/>
    <w:qFormat/>
    <w:uiPriority w:val="99"/>
    <w:pPr>
      <w:widowControl w:val="0"/>
      <w:jc w:val="both"/>
    </w:pPr>
    <w:rPr>
      <w:rFonts w:ascii="Arial Unicode MS" w:hAnsi="Arial Unicode MS" w:eastAsia="宋体" w:cs="Arial Unicode MS"/>
      <w:color w:val="000000"/>
      <w:kern w:val="2"/>
      <w:sz w:val="21"/>
      <w:szCs w:val="21"/>
      <w:u w:color="000000"/>
      <w:lang w:val="en-US" w:eastAsia="zh-CN" w:bidi="ar-SA"/>
    </w:rPr>
  </w:style>
  <w:style w:type="paragraph" w:customStyle="1" w:styleId="184">
    <w:name w:val="段"/>
    <w:next w:val="183"/>
    <w:autoRedefine/>
    <w:qFormat/>
    <w:uiPriority w:val="99"/>
    <w:pPr>
      <w:widowControl w:val="0"/>
      <w:ind w:firstLine="200"/>
      <w:jc w:val="both"/>
    </w:pPr>
    <w:rPr>
      <w:rFonts w:ascii="宋体" w:hAnsi="宋体" w:eastAsia="宋体" w:cs="宋体"/>
      <w:color w:val="000000"/>
      <w:sz w:val="21"/>
      <w:szCs w:val="21"/>
      <w:lang w:val="en-US" w:eastAsia="zh-CN" w:bidi="ar-SA"/>
    </w:rPr>
  </w:style>
  <w:style w:type="paragraph" w:customStyle="1" w:styleId="185">
    <w:name w:val="font13"/>
    <w:basedOn w:val="1"/>
    <w:autoRedefine/>
    <w:qFormat/>
    <w:uiPriority w:val="99"/>
    <w:pPr>
      <w:widowControl/>
      <w:spacing w:before="100" w:beforeAutospacing="1" w:after="100" w:afterAutospacing="1"/>
      <w:jc w:val="left"/>
    </w:pPr>
    <w:rPr>
      <w:rFonts w:ascii="华文细黑" w:hAnsi="华文细黑" w:eastAsia="华文细黑" w:cs="宋体"/>
      <w:kern w:val="0"/>
      <w:sz w:val="20"/>
    </w:rPr>
  </w:style>
  <w:style w:type="paragraph" w:customStyle="1" w:styleId="186">
    <w:name w:val="xl3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87">
    <w:name w:val="Char Char Char Char Char Char1 Char Char Char Char Char Char1 Char Char Char Char1"/>
    <w:basedOn w:val="1"/>
    <w:autoRedefine/>
    <w:qFormat/>
    <w:uiPriority w:val="99"/>
    <w:rPr>
      <w:rFonts w:ascii="Tahoma" w:hAnsi="Tahoma"/>
      <w:sz w:val="24"/>
    </w:rPr>
  </w:style>
  <w:style w:type="paragraph" w:customStyle="1" w:styleId="188">
    <w:name w:val="xl31"/>
    <w:basedOn w:val="1"/>
    <w:autoRedefine/>
    <w:qFormat/>
    <w:uiPriority w:val="99"/>
    <w:pPr>
      <w:widowControl/>
      <w:spacing w:before="100" w:beforeAutospacing="1" w:after="100" w:afterAutospacing="1"/>
      <w:jc w:val="left"/>
      <w:textAlignment w:val="top"/>
    </w:pPr>
    <w:rPr>
      <w:rFonts w:ascii="宋体" w:hAnsi="宋体"/>
      <w:b/>
      <w:bCs/>
      <w:kern w:val="0"/>
      <w:sz w:val="22"/>
      <w:szCs w:val="22"/>
    </w:rPr>
  </w:style>
  <w:style w:type="paragraph" w:customStyle="1" w:styleId="189">
    <w:name w:val="Char Char Char Char Char Char1 Char Char Char Char Char Char1 Char Char Char Char Char Char Char1"/>
    <w:basedOn w:val="1"/>
    <w:autoRedefine/>
    <w:qFormat/>
    <w:uiPriority w:val="99"/>
    <w:rPr>
      <w:rFonts w:ascii="Tahoma" w:hAnsi="Tahoma"/>
      <w:sz w:val="24"/>
    </w:rPr>
  </w:style>
  <w:style w:type="paragraph" w:customStyle="1" w:styleId="190">
    <w:name w:val="图中文字"/>
    <w:basedOn w:val="1"/>
    <w:autoRedefine/>
    <w:qFormat/>
    <w:uiPriority w:val="99"/>
    <w:pPr>
      <w:adjustRightInd w:val="0"/>
      <w:snapToGrid w:val="0"/>
      <w:spacing w:line="240" w:lineRule="atLeast"/>
      <w:jc w:val="center"/>
    </w:pPr>
    <w:rPr>
      <w:sz w:val="24"/>
      <w:szCs w:val="24"/>
    </w:rPr>
  </w:style>
  <w:style w:type="paragraph" w:customStyle="1" w:styleId="191">
    <w:name w:val="font14"/>
    <w:basedOn w:val="1"/>
    <w:autoRedefine/>
    <w:qFormat/>
    <w:uiPriority w:val="99"/>
    <w:pPr>
      <w:widowControl/>
      <w:spacing w:before="100" w:beforeAutospacing="1" w:after="100" w:afterAutospacing="1"/>
      <w:jc w:val="left"/>
    </w:pPr>
    <w:rPr>
      <w:rFonts w:ascii="Calibri" w:hAnsi="Calibri" w:cs="宋体"/>
      <w:kern w:val="0"/>
      <w:sz w:val="20"/>
    </w:rPr>
  </w:style>
  <w:style w:type="paragraph" w:customStyle="1" w:styleId="192">
    <w:name w:val="xl27"/>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193">
    <w:name w:val="xl31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94">
    <w:name w:val="xl26"/>
    <w:basedOn w:val="1"/>
    <w:autoRedefine/>
    <w:qFormat/>
    <w:uiPriority w:val="99"/>
    <w:pPr>
      <w:widowControl/>
      <w:spacing w:before="100" w:beforeAutospacing="1" w:after="100" w:afterAutospacing="1"/>
      <w:jc w:val="left"/>
      <w:textAlignment w:val="top"/>
    </w:pPr>
    <w:rPr>
      <w:rFonts w:ascii="宋体" w:hAnsi="宋体"/>
      <w:kern w:val="0"/>
      <w:sz w:val="22"/>
      <w:szCs w:val="22"/>
    </w:rPr>
  </w:style>
  <w:style w:type="paragraph" w:customStyle="1" w:styleId="195">
    <w:name w:val="xl316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196">
    <w:name w:val="style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97">
    <w:name w:val="xl315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198">
    <w:name w:val="xl34"/>
    <w:basedOn w:val="1"/>
    <w:autoRedefine/>
    <w:qFormat/>
    <w:uiPriority w:val="99"/>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199">
    <w:name w:val="Char2"/>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200">
    <w:name w:val="明显引用1"/>
    <w:basedOn w:val="1"/>
    <w:next w:val="1"/>
    <w:link w:val="201"/>
    <w:autoRedefine/>
    <w:qFormat/>
    <w:uiPriority w:val="99"/>
    <w:pPr>
      <w:widowControl/>
      <w:ind w:left="720" w:right="720"/>
      <w:jc w:val="left"/>
    </w:pPr>
    <w:rPr>
      <w:rFonts w:ascii="Calibri" w:hAnsi="Calibri" w:cs="Arial"/>
      <w:b/>
      <w:i/>
      <w:kern w:val="0"/>
      <w:sz w:val="24"/>
      <w:szCs w:val="22"/>
      <w:lang w:eastAsia="en-US"/>
    </w:rPr>
  </w:style>
  <w:style w:type="character" w:customStyle="1" w:styleId="201">
    <w:name w:val="明显引用 Char"/>
    <w:link w:val="200"/>
    <w:autoRedefine/>
    <w:qFormat/>
    <w:locked/>
    <w:uiPriority w:val="99"/>
    <w:rPr>
      <w:rFonts w:ascii="Calibri" w:hAnsi="Calibri"/>
      <w:b/>
      <w:i/>
      <w:sz w:val="22"/>
      <w:lang w:eastAsia="en-US"/>
    </w:rPr>
  </w:style>
  <w:style w:type="paragraph" w:customStyle="1" w:styleId="202">
    <w:name w:val="style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315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204">
    <w:name w:val="xl3156"/>
    <w:basedOn w:val="1"/>
    <w:autoRedefine/>
    <w:qFormat/>
    <w:uiPriority w:val="99"/>
    <w:pPr>
      <w:widowControl/>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205">
    <w:name w:val="xl3141"/>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206">
    <w:name w:val="xl314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0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8">
    <w:name w:val="List Paragraph1"/>
    <w:basedOn w:val="1"/>
    <w:autoRedefine/>
    <w:qFormat/>
    <w:uiPriority w:val="99"/>
    <w:pPr>
      <w:ind w:firstLine="420" w:firstLineChars="200"/>
    </w:pPr>
    <w:rPr>
      <w:szCs w:val="24"/>
    </w:rPr>
  </w:style>
  <w:style w:type="paragraph" w:customStyle="1" w:styleId="209">
    <w:name w:val="*正文"/>
    <w:basedOn w:val="1"/>
    <w:autoRedefine/>
    <w:qFormat/>
    <w:uiPriority w:val="99"/>
    <w:pPr>
      <w:spacing w:line="360" w:lineRule="auto"/>
      <w:ind w:firstLine="480" w:firstLineChars="200"/>
    </w:pPr>
    <w:rPr>
      <w:rFonts w:ascii="宋体" w:hAnsi="宋体"/>
      <w:kern w:val="0"/>
      <w:sz w:val="24"/>
      <w:szCs w:val="24"/>
      <w:lang w:val="zh-CN"/>
    </w:rPr>
  </w:style>
  <w:style w:type="paragraph" w:customStyle="1" w:styleId="210">
    <w:name w:val="标准文本"/>
    <w:basedOn w:val="1"/>
    <w:link w:val="211"/>
    <w:autoRedefine/>
    <w:qFormat/>
    <w:uiPriority w:val="99"/>
    <w:pPr>
      <w:spacing w:line="360" w:lineRule="auto"/>
      <w:ind w:firstLine="480" w:firstLineChars="200"/>
    </w:pPr>
    <w:rPr>
      <w:rFonts w:ascii="Calibri" w:hAnsi="Calibri"/>
    </w:rPr>
  </w:style>
  <w:style w:type="character" w:customStyle="1" w:styleId="211">
    <w:name w:val="标准文本 Char"/>
    <w:link w:val="210"/>
    <w:autoRedefine/>
    <w:qFormat/>
    <w:locked/>
    <w:uiPriority w:val="99"/>
    <w:rPr>
      <w:kern w:val="2"/>
      <w:sz w:val="21"/>
    </w:rPr>
  </w:style>
  <w:style w:type="character" w:customStyle="1" w:styleId="212">
    <w:name w:val="locspan"/>
    <w:basedOn w:val="49"/>
    <w:autoRedefine/>
    <w:qFormat/>
    <w:uiPriority w:val="99"/>
    <w:rPr>
      <w:rFonts w:cs="Times New Roman"/>
    </w:rPr>
  </w:style>
  <w:style w:type="character" w:customStyle="1" w:styleId="213">
    <w:name w:val="font31"/>
    <w:autoRedefine/>
    <w:qFormat/>
    <w:uiPriority w:val="99"/>
    <w:rPr>
      <w:rFonts w:ascii="Arial" w:hAnsi="Arial"/>
      <w:color w:val="000000"/>
      <w:sz w:val="20"/>
      <w:u w:val="none"/>
    </w:rPr>
  </w:style>
  <w:style w:type="character" w:customStyle="1" w:styleId="214">
    <w:name w:val="apple-converted-space"/>
    <w:basedOn w:val="49"/>
    <w:autoRedefine/>
    <w:qFormat/>
    <w:uiPriority w:val="99"/>
    <w:rPr>
      <w:rFonts w:cs="Times New Roman"/>
    </w:rPr>
  </w:style>
  <w:style w:type="character" w:customStyle="1" w:styleId="215">
    <w:name w:val="style41"/>
    <w:autoRedefine/>
    <w:qFormat/>
    <w:uiPriority w:val="99"/>
    <w:rPr>
      <w:sz w:val="18"/>
    </w:rPr>
  </w:style>
  <w:style w:type="character" w:customStyle="1" w:styleId="216">
    <w:name w:val="标题 Char1"/>
    <w:autoRedefine/>
    <w:qFormat/>
    <w:uiPriority w:val="99"/>
    <w:rPr>
      <w:rFonts w:ascii="Cambria" w:hAnsi="Cambria"/>
      <w:b/>
      <w:kern w:val="2"/>
      <w:sz w:val="32"/>
    </w:rPr>
  </w:style>
  <w:style w:type="character" w:customStyle="1" w:styleId="217">
    <w:name w:val="text1"/>
    <w:autoRedefine/>
    <w:qFormat/>
    <w:uiPriority w:val="99"/>
    <w:rPr>
      <w:rFonts w:ascii="Arial" w:hAnsi="Arial"/>
      <w:color w:val="333333"/>
      <w:sz w:val="18"/>
    </w:rPr>
  </w:style>
  <w:style w:type="character" w:customStyle="1" w:styleId="218">
    <w:name w:val="Char Char2"/>
    <w:autoRedefine/>
    <w:qFormat/>
    <w:uiPriority w:val="99"/>
    <w:rPr>
      <w:kern w:val="2"/>
      <w:sz w:val="21"/>
    </w:rPr>
  </w:style>
  <w:style w:type="character" w:customStyle="1" w:styleId="219">
    <w:name w:val="副标题 Char1"/>
    <w:autoRedefine/>
    <w:qFormat/>
    <w:uiPriority w:val="99"/>
    <w:rPr>
      <w:rFonts w:ascii="Cambria" w:hAnsi="Cambria"/>
      <w:b/>
      <w:kern w:val="28"/>
      <w:sz w:val="32"/>
    </w:rPr>
  </w:style>
  <w:style w:type="character" w:customStyle="1" w:styleId="220">
    <w:name w:val="style11"/>
    <w:autoRedefine/>
    <w:qFormat/>
    <w:uiPriority w:val="99"/>
    <w:rPr>
      <w:color w:val="000000"/>
      <w:sz w:val="18"/>
    </w:rPr>
  </w:style>
  <w:style w:type="character" w:customStyle="1" w:styleId="221">
    <w:name w:val="Char Char1"/>
    <w:autoRedefine/>
    <w:qFormat/>
    <w:uiPriority w:val="99"/>
    <w:rPr>
      <w:kern w:val="2"/>
      <w:sz w:val="24"/>
    </w:rPr>
  </w:style>
  <w:style w:type="character" w:customStyle="1" w:styleId="222">
    <w:name w:val="powerlab_title_model1"/>
    <w:autoRedefine/>
    <w:qFormat/>
    <w:uiPriority w:val="99"/>
    <w:rPr>
      <w:b/>
      <w:sz w:val="21"/>
    </w:rPr>
  </w:style>
  <w:style w:type="character" w:customStyle="1" w:styleId="223">
    <w:name w:val="font71"/>
    <w:autoRedefine/>
    <w:qFormat/>
    <w:uiPriority w:val="99"/>
    <w:rPr>
      <w:rFonts w:ascii="宋体" w:hAnsi="宋体" w:eastAsia="宋体"/>
      <w:color w:val="000000"/>
      <w:sz w:val="20"/>
      <w:u w:val="none"/>
    </w:rPr>
  </w:style>
  <w:style w:type="character" w:customStyle="1" w:styleId="224">
    <w:name w:val="xdrichtextbox2"/>
    <w:autoRedefine/>
    <w:qFormat/>
    <w:uiPriority w:val="99"/>
    <w:rPr>
      <w:color w:val="0000FF"/>
      <w:sz w:val="18"/>
      <w:u w:val="none"/>
      <w:bdr w:val="single" w:color="DCDCDC" w:sz="8" w:space="0"/>
      <w:shd w:val="clear" w:color="auto" w:fill="9FFDDC"/>
    </w:rPr>
  </w:style>
  <w:style w:type="paragraph" w:customStyle="1" w:styleId="225">
    <w:name w:val="样式2"/>
    <w:basedOn w:val="1"/>
    <w:autoRedefine/>
    <w:qFormat/>
    <w:uiPriority w:val="99"/>
    <w:pPr>
      <w:spacing w:line="300" w:lineRule="auto"/>
      <w:jc w:val="center"/>
      <w:outlineLvl w:val="0"/>
    </w:pPr>
    <w:rPr>
      <w:rFonts w:ascii="宋体" w:hAnsi="宋体" w:cs="宋体"/>
      <w:b/>
      <w:bCs/>
      <w:sz w:val="24"/>
      <w:szCs w:val="24"/>
    </w:rPr>
  </w:style>
  <w:style w:type="character" w:customStyle="1" w:styleId="226">
    <w:name w:val="Table Text Char"/>
    <w:link w:val="227"/>
    <w:autoRedefine/>
    <w:qFormat/>
    <w:locked/>
    <w:uiPriority w:val="99"/>
    <w:rPr>
      <w:rFonts w:ascii="Arial" w:hAnsi="Arial" w:eastAsia="宋体"/>
      <w:sz w:val="18"/>
      <w:lang w:val="en-US" w:eastAsia="zh-CN"/>
    </w:rPr>
  </w:style>
  <w:style w:type="paragraph" w:customStyle="1" w:styleId="227">
    <w:name w:val="Table Text"/>
    <w:link w:val="226"/>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228">
    <w:name w:val="Table Heading Char"/>
    <w:link w:val="229"/>
    <w:autoRedefine/>
    <w:qFormat/>
    <w:locked/>
    <w:uiPriority w:val="99"/>
    <w:rPr>
      <w:rFonts w:ascii="Arial" w:hAnsi="Arial" w:eastAsia="黑体"/>
      <w:sz w:val="18"/>
      <w:lang w:val="en-US" w:eastAsia="zh-CN"/>
    </w:rPr>
  </w:style>
  <w:style w:type="paragraph" w:customStyle="1" w:styleId="229">
    <w:name w:val="Table Heading"/>
    <w:link w:val="228"/>
    <w:autoRedefine/>
    <w:qFormat/>
    <w:uiPriority w:val="99"/>
    <w:pPr>
      <w:keepNext/>
      <w:snapToGrid w:val="0"/>
      <w:spacing w:before="80" w:after="80"/>
      <w:jc w:val="center"/>
    </w:pPr>
    <w:rPr>
      <w:rFonts w:ascii="Arial" w:hAnsi="Arial" w:eastAsia="黑体" w:cs="Times New Roman"/>
      <w:sz w:val="18"/>
      <w:szCs w:val="18"/>
      <w:lang w:val="en-US" w:eastAsia="zh-CN" w:bidi="ar-SA"/>
    </w:rPr>
  </w:style>
  <w:style w:type="character" w:customStyle="1" w:styleId="230">
    <w:name w:val="Item List Char"/>
    <w:link w:val="231"/>
    <w:autoRedefine/>
    <w:qFormat/>
    <w:locked/>
    <w:uiPriority w:val="99"/>
    <w:rPr>
      <w:rFonts w:ascii="Arial" w:hAnsi="Arial" w:cs="Times New Roman"/>
      <w:kern w:val="0"/>
      <w:sz w:val="20"/>
      <w:szCs w:val="21"/>
    </w:rPr>
  </w:style>
  <w:style w:type="paragraph" w:customStyle="1" w:styleId="231">
    <w:name w:val="Item List"/>
    <w:link w:val="230"/>
    <w:autoRedefine/>
    <w:qFormat/>
    <w:uiPriority w:val="99"/>
    <w:pPr>
      <w:numPr>
        <w:ilvl w:val="0"/>
        <w:numId w:val="4"/>
      </w:numPr>
      <w:tabs>
        <w:tab w:val="left" w:pos="992"/>
      </w:tabs>
      <w:spacing w:line="300" w:lineRule="auto"/>
      <w:jc w:val="both"/>
    </w:pPr>
    <w:rPr>
      <w:rFonts w:ascii="Arial" w:hAnsi="Arial" w:eastAsia="宋体" w:cs="Times New Roman"/>
      <w:szCs w:val="21"/>
      <w:lang w:val="en-US" w:eastAsia="zh-CN" w:bidi="ar-SA"/>
    </w:rPr>
  </w:style>
  <w:style w:type="character" w:customStyle="1" w:styleId="232">
    <w:name w:val="表格文本 Char"/>
    <w:link w:val="233"/>
    <w:autoRedefine/>
    <w:qFormat/>
    <w:locked/>
    <w:uiPriority w:val="99"/>
    <w:rPr>
      <w:rFonts w:ascii="Arial" w:hAnsi="Arial" w:eastAsia="宋体"/>
      <w:sz w:val="21"/>
      <w:lang w:val="en-US" w:eastAsia="zh-CN"/>
    </w:rPr>
  </w:style>
  <w:style w:type="paragraph" w:customStyle="1" w:styleId="233">
    <w:name w:val="表格文本"/>
    <w:link w:val="232"/>
    <w:autoRedefine/>
    <w:qFormat/>
    <w:uiPriority w:val="99"/>
    <w:pPr>
      <w:tabs>
        <w:tab w:val="decimal" w:pos="0"/>
      </w:tabs>
    </w:pPr>
    <w:rPr>
      <w:rFonts w:ascii="Arial" w:hAnsi="Arial" w:eastAsia="宋体" w:cs="Times New Roman"/>
      <w:szCs w:val="21"/>
      <w:lang w:val="en-US" w:eastAsia="zh-CN" w:bidi="ar-SA"/>
    </w:rPr>
  </w:style>
  <w:style w:type="character" w:customStyle="1" w:styleId="234">
    <w:name w:val="Sub Item List Char"/>
    <w:link w:val="235"/>
    <w:autoRedefine/>
    <w:qFormat/>
    <w:locked/>
    <w:uiPriority w:val="99"/>
    <w:rPr>
      <w:rFonts w:ascii="Arial" w:hAnsi="Arial" w:cs="Times New Roman"/>
      <w:kern w:val="0"/>
      <w:sz w:val="20"/>
      <w:szCs w:val="21"/>
    </w:rPr>
  </w:style>
  <w:style w:type="paragraph" w:customStyle="1" w:styleId="235">
    <w:name w:val="Sub Item List"/>
    <w:basedOn w:val="1"/>
    <w:link w:val="234"/>
    <w:autoRedefine/>
    <w:qFormat/>
    <w:uiPriority w:val="99"/>
    <w:pPr>
      <w:widowControl/>
      <w:numPr>
        <w:ilvl w:val="0"/>
        <w:numId w:val="5"/>
      </w:numPr>
      <w:topLinePunct/>
      <w:adjustRightInd w:val="0"/>
      <w:snapToGrid w:val="0"/>
      <w:spacing w:before="80" w:after="80" w:line="240" w:lineRule="atLeast"/>
      <w:jc w:val="left"/>
    </w:pPr>
    <w:rPr>
      <w:rFonts w:ascii="Arial" w:hAnsi="Arial"/>
      <w:kern w:val="0"/>
      <w:sz w:val="20"/>
      <w:szCs w:val="21"/>
    </w:rPr>
  </w:style>
  <w:style w:type="paragraph" w:customStyle="1" w:styleId="236">
    <w:name w:val="Item List in Table"/>
    <w:basedOn w:val="1"/>
    <w:autoRedefine/>
    <w:qFormat/>
    <w:uiPriority w:val="99"/>
    <w:pPr>
      <w:widowControl/>
      <w:tabs>
        <w:tab w:val="left" w:pos="1500"/>
      </w:tabs>
      <w:topLinePunct/>
      <w:adjustRightInd w:val="0"/>
      <w:snapToGrid w:val="0"/>
      <w:spacing w:before="80" w:after="80" w:line="240" w:lineRule="atLeast"/>
      <w:ind w:left="1500" w:hanging="420"/>
      <w:jc w:val="left"/>
    </w:pPr>
    <w:rPr>
      <w:rFonts w:cs="Arial"/>
      <w:kern w:val="0"/>
      <w:szCs w:val="21"/>
    </w:rPr>
  </w:style>
  <w:style w:type="paragraph" w:customStyle="1" w:styleId="237">
    <w:name w:val="二级条标题"/>
    <w:basedOn w:val="1"/>
    <w:next w:val="1"/>
    <w:autoRedefine/>
    <w:qFormat/>
    <w:uiPriority w:val="99"/>
    <w:pPr>
      <w:widowControl/>
      <w:numPr>
        <w:ilvl w:val="3"/>
        <w:numId w:val="6"/>
      </w:numPr>
      <w:tabs>
        <w:tab w:val="left" w:pos="2100"/>
      </w:tabs>
      <w:outlineLvl w:val="3"/>
    </w:pPr>
    <w:rPr>
      <w:rFonts w:ascii="黑体" w:eastAsia="黑体"/>
      <w:kern w:val="0"/>
    </w:rPr>
  </w:style>
  <w:style w:type="paragraph" w:customStyle="1" w:styleId="238">
    <w:name w:val="样式3"/>
    <w:basedOn w:val="1"/>
    <w:autoRedefine/>
    <w:qFormat/>
    <w:uiPriority w:val="99"/>
    <w:pPr>
      <w:widowControl/>
      <w:spacing w:line="520" w:lineRule="exact"/>
      <w:ind w:firstLine="567"/>
      <w:jc w:val="left"/>
    </w:pPr>
    <w:rPr>
      <w:rFonts w:ascii="Calibri" w:hAnsi="Calibri" w:eastAsia="仿宋_GB2312"/>
      <w:kern w:val="0"/>
      <w:sz w:val="28"/>
      <w:szCs w:val="24"/>
      <w:lang w:eastAsia="en-US"/>
    </w:rPr>
  </w:style>
  <w:style w:type="paragraph" w:customStyle="1" w:styleId="239">
    <w:name w:val="表头文本"/>
    <w:autoRedefine/>
    <w:qFormat/>
    <w:uiPriority w:val="99"/>
    <w:pPr>
      <w:jc w:val="center"/>
    </w:pPr>
    <w:rPr>
      <w:rFonts w:ascii="Arial" w:hAnsi="Arial" w:eastAsia="宋体" w:cs="Times New Roman"/>
      <w:b/>
      <w:sz w:val="21"/>
      <w:szCs w:val="21"/>
      <w:lang w:val="en-US" w:eastAsia="zh-CN" w:bidi="ar-SA"/>
    </w:rPr>
  </w:style>
  <w:style w:type="character" w:customStyle="1" w:styleId="240">
    <w:name w:val="正文缩进 Char1"/>
    <w:autoRedefine/>
    <w:qFormat/>
    <w:uiPriority w:val="99"/>
    <w:rPr>
      <w:rFonts w:eastAsia="宋体"/>
      <w:kern w:val="2"/>
      <w:sz w:val="21"/>
      <w:lang w:val="en-US" w:eastAsia="zh-CN"/>
    </w:rPr>
  </w:style>
  <w:style w:type="paragraph" w:customStyle="1" w:styleId="241">
    <w:name w:val="TOC 标题1"/>
    <w:basedOn w:val="3"/>
    <w:next w:val="1"/>
    <w:autoRedefine/>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42">
    <w:name w:val="4"/>
    <w:basedOn w:val="1"/>
    <w:next w:val="1"/>
    <w:autoRedefine/>
    <w:qFormat/>
    <w:uiPriority w:val="99"/>
    <w:pPr>
      <w:ind w:left="420" w:leftChars="200"/>
    </w:pPr>
    <w:rPr>
      <w:rFonts w:ascii="Calibri" w:hAnsi="Calibri"/>
      <w:szCs w:val="22"/>
    </w:rPr>
  </w:style>
  <w:style w:type="character" w:customStyle="1" w:styleId="243">
    <w:name w:val="页眉 字符"/>
    <w:autoRedefine/>
    <w:qFormat/>
    <w:uiPriority w:val="99"/>
  </w:style>
  <w:style w:type="character" w:customStyle="1" w:styleId="244">
    <w:name w:val="页脚 字符"/>
    <w:autoRedefine/>
    <w:qFormat/>
    <w:uiPriority w:val="99"/>
  </w:style>
  <w:style w:type="paragraph" w:customStyle="1" w:styleId="245">
    <w:name w:val="倪芳"/>
    <w:basedOn w:val="1"/>
    <w:autoRedefine/>
    <w:qFormat/>
    <w:uiPriority w:val="99"/>
    <w:pPr>
      <w:spacing w:beforeLines="25" w:line="400" w:lineRule="exact"/>
    </w:pPr>
    <w:rPr>
      <w:rFonts w:ascii="宋体" w:hAnsi="Courier New" w:cs="Courier New"/>
      <w:szCs w:val="21"/>
    </w:rPr>
  </w:style>
  <w:style w:type="character" w:customStyle="1" w:styleId="246">
    <w:name w:val="正文文本缩进 2 Char1"/>
    <w:basedOn w:val="49"/>
    <w:autoRedefine/>
    <w:semiHidden/>
    <w:qFormat/>
    <w:uiPriority w:val="99"/>
    <w:rPr>
      <w:rFonts w:ascii="Calibri" w:hAnsi="Calibri" w:eastAsia="宋体" w:cs="Times New Roman"/>
      <w:sz w:val="24"/>
    </w:rPr>
  </w:style>
  <w:style w:type="paragraph" w:customStyle="1" w:styleId="247">
    <w:name w:val="TOC 标题2"/>
    <w:basedOn w:val="3"/>
    <w:next w:val="1"/>
    <w:autoRedefine/>
    <w:qFormat/>
    <w:uiPriority w:val="99"/>
    <w:pPr>
      <w:widowControl/>
      <w:spacing w:before="240" w:after="0" w:line="259" w:lineRule="auto"/>
      <w:jc w:val="left"/>
      <w:outlineLvl w:val="9"/>
    </w:pPr>
    <w:rPr>
      <w:rFonts w:ascii="Cambria" w:hAnsi="Cambria" w:cs="Times New Roman"/>
      <w:b w:val="0"/>
      <w:bCs w:val="0"/>
      <w:color w:val="365F91"/>
      <w:kern w:val="0"/>
      <w:sz w:val="32"/>
      <w:szCs w:val="32"/>
    </w:rPr>
  </w:style>
  <w:style w:type="character" w:customStyle="1" w:styleId="248">
    <w:name w:val="redfilefwwh"/>
    <w:basedOn w:val="49"/>
    <w:autoRedefine/>
    <w:qFormat/>
    <w:uiPriority w:val="99"/>
    <w:rPr>
      <w:rFonts w:cs="Times New Roman"/>
      <w:color w:val="BA2636"/>
      <w:sz w:val="18"/>
      <w:szCs w:val="18"/>
    </w:rPr>
  </w:style>
  <w:style w:type="character" w:customStyle="1" w:styleId="249">
    <w:name w:val="gjfg"/>
    <w:basedOn w:val="49"/>
    <w:autoRedefine/>
    <w:qFormat/>
    <w:uiPriority w:val="99"/>
    <w:rPr>
      <w:rFonts w:cs="Times New Roman"/>
    </w:rPr>
  </w:style>
  <w:style w:type="character" w:customStyle="1" w:styleId="250">
    <w:name w:val="displayarti"/>
    <w:basedOn w:val="49"/>
    <w:autoRedefine/>
    <w:qFormat/>
    <w:uiPriority w:val="99"/>
    <w:rPr>
      <w:rFonts w:cs="Times New Roman"/>
      <w:color w:val="FFFFFF"/>
      <w:shd w:val="clear" w:color="auto" w:fill="A00000"/>
    </w:rPr>
  </w:style>
  <w:style w:type="character" w:customStyle="1" w:styleId="251">
    <w:name w:val="qxdate"/>
    <w:basedOn w:val="49"/>
    <w:autoRedefine/>
    <w:qFormat/>
    <w:uiPriority w:val="99"/>
    <w:rPr>
      <w:rFonts w:cs="Times New Roman"/>
      <w:color w:val="333333"/>
      <w:sz w:val="18"/>
      <w:szCs w:val="18"/>
    </w:rPr>
  </w:style>
  <w:style w:type="character" w:customStyle="1" w:styleId="252">
    <w:name w:val="cfdate"/>
    <w:basedOn w:val="49"/>
    <w:autoRedefine/>
    <w:qFormat/>
    <w:uiPriority w:val="99"/>
    <w:rPr>
      <w:rFonts w:cs="Times New Roman"/>
      <w:color w:val="333333"/>
      <w:sz w:val="18"/>
      <w:szCs w:val="18"/>
    </w:rPr>
  </w:style>
  <w:style w:type="character" w:customStyle="1" w:styleId="253">
    <w:name w:val="redfilenumber"/>
    <w:basedOn w:val="49"/>
    <w:autoRedefine/>
    <w:qFormat/>
    <w:uiPriority w:val="99"/>
    <w:rPr>
      <w:rFonts w:cs="Times New Roman"/>
      <w:color w:val="BA2636"/>
      <w:sz w:val="18"/>
      <w:szCs w:val="18"/>
    </w:rPr>
  </w:style>
  <w:style w:type="paragraph" w:customStyle="1" w:styleId="254">
    <w:name w:val="TOC 标题3"/>
    <w:basedOn w:val="3"/>
    <w:next w:val="1"/>
    <w:autoRedefine/>
    <w:qFormat/>
    <w:uiPriority w:val="99"/>
    <w:pPr>
      <w:widowControl/>
      <w:spacing w:before="480" w:after="0" w:line="276" w:lineRule="auto"/>
      <w:jc w:val="left"/>
      <w:outlineLvl w:val="9"/>
    </w:pPr>
    <w:rPr>
      <w:rFonts w:ascii="Cambria" w:hAnsi="Cambria" w:cs="Times New Roman"/>
      <w:color w:val="365F91"/>
      <w:kern w:val="0"/>
      <w:sz w:val="28"/>
      <w:szCs w:val="28"/>
    </w:rPr>
  </w:style>
  <w:style w:type="paragraph" w:customStyle="1" w:styleId="255">
    <w:name w:val="1"/>
    <w:basedOn w:val="1"/>
    <w:next w:val="256"/>
    <w:autoRedefine/>
    <w:qFormat/>
    <w:uiPriority w:val="0"/>
    <w:pPr>
      <w:tabs>
        <w:tab w:val="left" w:pos="0"/>
      </w:tabs>
      <w:spacing w:line="360" w:lineRule="auto"/>
    </w:pPr>
    <w:rPr>
      <w:rFonts w:ascii="宋体" w:hAnsi="宋体"/>
      <w:bCs/>
      <w:sz w:val="24"/>
    </w:rPr>
  </w:style>
  <w:style w:type="paragraph" w:customStyle="1" w:styleId="256">
    <w:name w:val="1.1"/>
    <w:basedOn w:val="1"/>
    <w:autoRedefine/>
    <w:qFormat/>
    <w:uiPriority w:val="0"/>
    <w:pPr>
      <w:spacing w:line="360" w:lineRule="auto"/>
      <w:ind w:left="1" w:hanging="1"/>
    </w:pPr>
    <w:rPr>
      <w:rFonts w:ascii="宋体" w:hAnsi="宋体"/>
      <w:b/>
      <w:bCs/>
      <w:color w:val="000000"/>
      <w:sz w:val="24"/>
      <w:szCs w:val="24"/>
      <w:u w:color="FF0000"/>
    </w:rPr>
  </w:style>
  <w:style w:type="table" w:customStyle="1" w:styleId="257">
    <w:name w:val="网格型1"/>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8">
    <w:name w:val="方案正文"/>
    <w:basedOn w:val="1"/>
    <w:autoRedefine/>
    <w:qFormat/>
    <w:uiPriority w:val="0"/>
    <w:pPr>
      <w:adjustRightInd w:val="0"/>
      <w:spacing w:before="120" w:line="360" w:lineRule="auto"/>
      <w:ind w:firstLine="425" w:firstLineChars="177"/>
      <w:textAlignment w:val="baseline"/>
    </w:pPr>
    <w:rPr>
      <w:rFonts w:ascii="华文细黑" w:hAnsi="华文细黑" w:eastAsia="华文细黑"/>
      <w:kern w:val="0"/>
      <w:sz w:val="24"/>
    </w:rPr>
  </w:style>
  <w:style w:type="paragraph" w:customStyle="1" w:styleId="259">
    <w:name w:val="Paragraph2"/>
    <w:basedOn w:val="1"/>
    <w:autoRedefine/>
    <w:qFormat/>
    <w:uiPriority w:val="0"/>
    <w:pPr>
      <w:overflowPunct w:val="0"/>
      <w:autoSpaceDE w:val="0"/>
      <w:autoSpaceDN w:val="0"/>
      <w:spacing w:before="20" w:after="120"/>
    </w:pPr>
    <w:rPr>
      <w:rFonts w:ascii="Arial" w:hAnsi="Arial" w:eastAsia="楷体_GB2312"/>
      <w:kern w:val="0"/>
    </w:rPr>
  </w:style>
  <w:style w:type="character" w:customStyle="1" w:styleId="260">
    <w:name w:val="font41"/>
    <w:autoRedefine/>
    <w:qFormat/>
    <w:uiPriority w:val="0"/>
    <w:rPr>
      <w:rFonts w:hint="eastAsia" w:ascii="宋体" w:hAnsi="宋体" w:eastAsia="宋体" w:cs="宋体"/>
      <w:b/>
      <w:bCs/>
      <w:color w:val="000000"/>
      <w:sz w:val="21"/>
      <w:szCs w:val="21"/>
      <w:u w:val="none"/>
    </w:rPr>
  </w:style>
  <w:style w:type="paragraph" w:customStyle="1" w:styleId="261">
    <w:name w:val="首行缩进"/>
    <w:basedOn w:val="1"/>
    <w:autoRedefine/>
    <w:qFormat/>
    <w:uiPriority w:val="0"/>
    <w:pPr>
      <w:spacing w:after="156" w:afterLines="50" w:line="360" w:lineRule="auto"/>
      <w:ind w:firstLine="200" w:firstLineChars="200"/>
    </w:pPr>
    <w:rPr>
      <w:rFonts w:ascii="宋体" w:hAnsi="宋体"/>
      <w:sz w:val="24"/>
      <w:szCs w:val="24"/>
    </w:rPr>
  </w:style>
  <w:style w:type="paragraph" w:customStyle="1" w:styleId="262">
    <w:name w:val="Table Paragraph"/>
    <w:basedOn w:val="1"/>
    <w:autoRedefine/>
    <w:qFormat/>
    <w:uiPriority w:val="1"/>
    <w:pPr>
      <w:jc w:val="left"/>
    </w:pPr>
    <w:rPr>
      <w:rFonts w:ascii="宋体" w:hAnsi="宋体" w:cs="宋体"/>
      <w:kern w:val="0"/>
      <w:sz w:val="22"/>
      <w:szCs w:val="22"/>
      <w:lang w:eastAsia="en-US"/>
    </w:rPr>
  </w:style>
  <w:style w:type="character" w:customStyle="1" w:styleId="263">
    <w:name w:val="bookmark-item"/>
    <w:basedOn w:val="49"/>
    <w:autoRedefine/>
    <w:qFormat/>
    <w:uiPriority w:val="0"/>
  </w:style>
  <w:style w:type="paragraph" w:customStyle="1" w:styleId="264">
    <w:name w:val="su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5">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6">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267">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CC57-68C1-4B42-9284-2B68E611431D}">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84</Pages>
  <Words>35022</Words>
  <Characters>37116</Characters>
  <Lines>324</Lines>
  <Paragraphs>91</Paragraphs>
  <TotalTime>27</TotalTime>
  <ScaleCrop>false</ScaleCrop>
  <LinksUpToDate>false</LinksUpToDate>
  <CharactersWithSpaces>38349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2022-07-27T04:06:00Z</dcterms:created>
  <dc:creator>dufangyu</dc:creator>
  <cp:lastModifiedBy>借我</cp:lastModifiedBy>
  <cp:lastPrinted>2025-01-22T09:55:00Z</cp:lastPrinted>
  <dcterms:modified xsi:type="dcterms:W3CDTF">2025-02-19T04:25:59Z</dcterms:modified>
  <dc:title>招标文件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E1E807E76551447580C11668964E7D0B_13</vt:lpwstr>
  </property>
</Properties>
</file>