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cs="宋体"/>
        </w:rPr>
      </w:pPr>
      <w:r>
        <w:rPr>
          <w:rFonts w:hint="eastAsia" w:ascii="宋体" w:cs="宋体"/>
        </w:rPr>
        <w:t xml:space="preserve"> </w:t>
      </w:r>
      <w:r>
        <w:rPr>
          <w:rFonts w:ascii="宋体" w:cs="宋体"/>
        </w:rPr>
        <w:t xml:space="preserve"> </w:t>
      </w:r>
    </w:p>
    <w:p>
      <w:pPr>
        <w:pStyle w:val="21"/>
      </w:pPr>
    </w:p>
    <w:p>
      <w:pPr>
        <w:spacing w:line="360" w:lineRule="auto"/>
        <w:jc w:val="center"/>
        <w:rPr>
          <w:rFonts w:ascii="宋体" w:cs="宋体"/>
          <w:b/>
          <w:bCs/>
          <w:sz w:val="72"/>
          <w:szCs w:val="52"/>
        </w:rPr>
      </w:pPr>
      <w:r>
        <w:rPr>
          <w:rFonts w:hint="eastAsia" w:ascii="宋体" w:hAnsi="宋体" w:cs="宋体"/>
          <w:b/>
          <w:bCs/>
          <w:sz w:val="72"/>
          <w:szCs w:val="52"/>
        </w:rPr>
        <w:t>招</w:t>
      </w:r>
      <w:r>
        <w:rPr>
          <w:rFonts w:ascii="宋体" w:hAnsi="宋体" w:cs="宋体"/>
          <w:b/>
          <w:bCs/>
          <w:sz w:val="72"/>
          <w:szCs w:val="52"/>
        </w:rPr>
        <w:t xml:space="preserve"> </w:t>
      </w:r>
      <w:r>
        <w:rPr>
          <w:rFonts w:hint="eastAsia" w:ascii="宋体" w:hAnsi="宋体" w:cs="宋体"/>
          <w:b/>
          <w:bCs/>
          <w:sz w:val="72"/>
          <w:szCs w:val="52"/>
        </w:rPr>
        <w:t>标</w:t>
      </w:r>
      <w:r>
        <w:rPr>
          <w:rFonts w:ascii="宋体" w:hAnsi="宋体" w:cs="宋体"/>
          <w:b/>
          <w:bCs/>
          <w:sz w:val="72"/>
          <w:szCs w:val="52"/>
        </w:rPr>
        <w:t xml:space="preserve"> </w:t>
      </w:r>
      <w:r>
        <w:rPr>
          <w:rFonts w:hint="eastAsia" w:ascii="宋体" w:hAnsi="宋体" w:cs="宋体"/>
          <w:b/>
          <w:bCs/>
          <w:sz w:val="72"/>
          <w:szCs w:val="52"/>
        </w:rPr>
        <w:t>文</w:t>
      </w:r>
      <w:r>
        <w:rPr>
          <w:rFonts w:ascii="宋体" w:hAnsi="宋体" w:cs="宋体"/>
          <w:b/>
          <w:bCs/>
          <w:sz w:val="72"/>
          <w:szCs w:val="52"/>
        </w:rPr>
        <w:t xml:space="preserve"> </w:t>
      </w:r>
      <w:r>
        <w:rPr>
          <w:rFonts w:hint="eastAsia" w:ascii="宋体" w:hAnsi="宋体" w:cs="宋体"/>
          <w:b/>
          <w:bCs/>
          <w:sz w:val="72"/>
          <w:szCs w:val="52"/>
        </w:rPr>
        <w:t>件</w:t>
      </w:r>
    </w:p>
    <w:p>
      <w:pPr>
        <w:tabs>
          <w:tab w:val="left" w:pos="2700"/>
          <w:tab w:val="left" w:pos="3584"/>
        </w:tabs>
        <w:spacing w:line="360" w:lineRule="auto"/>
        <w:rPr>
          <w:rFonts w:ascii="宋体" w:cs="宋体"/>
          <w:b/>
          <w:bCs/>
          <w:sz w:val="44"/>
        </w:rPr>
      </w:pPr>
    </w:p>
    <w:p>
      <w:pPr>
        <w:tabs>
          <w:tab w:val="left" w:pos="2700"/>
          <w:tab w:val="left" w:pos="3584"/>
        </w:tabs>
        <w:spacing w:line="360" w:lineRule="auto"/>
        <w:rPr>
          <w:rFonts w:ascii="宋体" w:cs="宋体"/>
          <w:b/>
          <w:bCs/>
          <w:sz w:val="44"/>
        </w:rPr>
      </w:pPr>
    </w:p>
    <w:p>
      <w:pPr>
        <w:spacing w:line="360" w:lineRule="auto"/>
        <w:jc w:val="center"/>
        <w:rPr>
          <w:rFonts w:hint="eastAsia" w:ascii="宋体" w:eastAsia="宋体" w:cs="宋体"/>
          <w:b/>
          <w:sz w:val="72"/>
          <w:highlight w:val="none"/>
          <w:lang w:eastAsia="zh-CN"/>
        </w:rPr>
      </w:pPr>
      <w:r>
        <w:rPr>
          <w:rFonts w:hint="eastAsia" w:ascii="宋体" w:eastAsia="宋体" w:cs="宋体"/>
          <w:b/>
          <w:sz w:val="72"/>
          <w:highlight w:val="none"/>
          <w:lang w:eastAsia="zh-CN"/>
        </w:rPr>
        <w:drawing>
          <wp:inline distT="0" distB="0" distL="114300" distR="114300">
            <wp:extent cx="2843530" cy="2416810"/>
            <wp:effectExtent l="0" t="0" r="13970" b="2540"/>
            <wp:docPr id="2" name="图片 2" descr="公司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1"/>
                    <pic:cNvPicPr>
                      <a:picLocks noChangeAspect="1"/>
                    </pic:cNvPicPr>
                  </pic:nvPicPr>
                  <pic:blipFill>
                    <a:blip r:embed="rId12"/>
                    <a:stretch>
                      <a:fillRect/>
                    </a:stretch>
                  </pic:blipFill>
                  <pic:spPr>
                    <a:xfrm>
                      <a:off x="0" y="0"/>
                      <a:ext cx="2843530" cy="2416810"/>
                    </a:xfrm>
                    <a:prstGeom prst="rect">
                      <a:avLst/>
                    </a:prstGeom>
                  </pic:spPr>
                </pic:pic>
              </a:graphicData>
            </a:graphic>
          </wp:inline>
        </w:drawing>
      </w:r>
    </w:p>
    <w:p>
      <w:pPr>
        <w:pStyle w:val="21"/>
      </w:pPr>
    </w:p>
    <w:p>
      <w:pPr>
        <w:tabs>
          <w:tab w:val="left" w:pos="3240"/>
          <w:tab w:val="left" w:pos="3420"/>
        </w:tabs>
        <w:spacing w:line="360" w:lineRule="auto"/>
        <w:jc w:val="left"/>
        <w:rPr>
          <w:rFonts w:hint="eastAsia" w:ascii="宋体" w:eastAsia="宋体" w:cs="宋体"/>
          <w:bCs/>
          <w:sz w:val="32"/>
          <w:szCs w:val="30"/>
          <w:lang w:eastAsia="zh-CN"/>
        </w:rPr>
      </w:pPr>
      <w:r>
        <w:rPr>
          <w:rFonts w:hint="eastAsia" w:ascii="宋体" w:hAnsi="宋体" w:cs="宋体"/>
          <w:bCs/>
          <w:spacing w:val="106"/>
          <w:kern w:val="0"/>
          <w:sz w:val="32"/>
          <w:szCs w:val="30"/>
          <w:fitText w:val="1920" w:id="-2026047488"/>
        </w:rPr>
        <w:t>项目名</w:t>
      </w:r>
      <w:r>
        <w:rPr>
          <w:rFonts w:hint="eastAsia" w:ascii="宋体" w:hAnsi="宋体" w:cs="宋体"/>
          <w:bCs/>
          <w:spacing w:val="2"/>
          <w:kern w:val="0"/>
          <w:sz w:val="32"/>
          <w:szCs w:val="30"/>
          <w:fitText w:val="1920" w:id="-2026047488"/>
        </w:rPr>
        <w:t>称</w:t>
      </w:r>
      <w:r>
        <w:rPr>
          <w:rFonts w:hint="eastAsia" w:ascii="宋体" w:hAnsi="宋体" w:cs="宋体"/>
          <w:bCs/>
          <w:sz w:val="32"/>
          <w:szCs w:val="30"/>
        </w:rPr>
        <w:t>：</w:t>
      </w:r>
      <w:r>
        <w:rPr>
          <w:rFonts w:hint="eastAsia" w:ascii="宋体" w:hAnsi="宋体" w:cs="宋体"/>
          <w:bCs/>
          <w:sz w:val="32"/>
          <w:szCs w:val="30"/>
          <w:u w:val="single"/>
          <w:lang w:eastAsia="zh-CN"/>
        </w:rPr>
        <w:t>高新区（新市区）卫生健康委员会体检医院服务商采购项目</w:t>
      </w:r>
    </w:p>
    <w:p>
      <w:pPr>
        <w:tabs>
          <w:tab w:val="left" w:pos="3240"/>
          <w:tab w:val="left" w:pos="3420"/>
        </w:tabs>
        <w:spacing w:line="360" w:lineRule="auto"/>
        <w:jc w:val="left"/>
        <w:rPr>
          <w:rFonts w:hint="eastAsia" w:ascii="宋体" w:hAnsi="宋体" w:eastAsia="宋体" w:cs="宋体"/>
          <w:bCs/>
          <w:sz w:val="32"/>
          <w:szCs w:val="30"/>
          <w:lang w:eastAsia="zh-CN"/>
        </w:rPr>
      </w:pPr>
      <w:r>
        <w:rPr>
          <w:rFonts w:hint="eastAsia" w:ascii="宋体" w:hAnsi="宋体" w:cs="宋体"/>
          <w:bCs/>
          <w:spacing w:val="106"/>
          <w:kern w:val="0"/>
          <w:sz w:val="32"/>
          <w:szCs w:val="30"/>
          <w:fitText w:val="1920" w:id="-2026047487"/>
        </w:rPr>
        <w:t>招标编</w:t>
      </w:r>
      <w:r>
        <w:rPr>
          <w:rFonts w:hint="eastAsia" w:ascii="宋体" w:hAnsi="宋体" w:cs="宋体"/>
          <w:bCs/>
          <w:spacing w:val="2"/>
          <w:kern w:val="0"/>
          <w:sz w:val="32"/>
          <w:szCs w:val="30"/>
          <w:fitText w:val="1920" w:id="-2026047487"/>
        </w:rPr>
        <w:t>号</w:t>
      </w:r>
      <w:r>
        <w:rPr>
          <w:rFonts w:hint="eastAsia" w:ascii="宋体" w:hAnsi="宋体" w:cs="宋体"/>
          <w:bCs/>
          <w:sz w:val="32"/>
          <w:szCs w:val="30"/>
        </w:rPr>
        <w:t>：</w:t>
      </w:r>
      <w:r>
        <w:rPr>
          <w:rFonts w:hint="eastAsia" w:ascii="宋体" w:hAnsi="宋体" w:cs="宋体"/>
          <w:bCs/>
          <w:sz w:val="32"/>
          <w:szCs w:val="30"/>
          <w:u w:val="single"/>
          <w:lang w:eastAsia="zh-CN"/>
        </w:rPr>
        <w:t>GXXG-2025-ZFCG001</w:t>
      </w:r>
    </w:p>
    <w:p>
      <w:pPr>
        <w:tabs>
          <w:tab w:val="left" w:pos="3240"/>
          <w:tab w:val="left" w:pos="3420"/>
        </w:tabs>
        <w:spacing w:line="360" w:lineRule="auto"/>
        <w:jc w:val="left"/>
        <w:rPr>
          <w:rFonts w:hint="eastAsia" w:ascii="宋体" w:eastAsia="宋体" w:cs="宋体"/>
          <w:bCs/>
          <w:sz w:val="32"/>
          <w:szCs w:val="30"/>
          <w:lang w:eastAsia="zh-CN"/>
        </w:rPr>
      </w:pPr>
      <w:r>
        <w:rPr>
          <w:rFonts w:hint="eastAsia" w:ascii="宋体" w:hAnsi="宋体" w:cs="宋体"/>
          <w:bCs/>
          <w:spacing w:val="80"/>
          <w:kern w:val="0"/>
          <w:sz w:val="32"/>
          <w:szCs w:val="30"/>
          <w:fitText w:val="1920" w:id="-2026047486"/>
        </w:rPr>
        <w:t>采</w:t>
      </w:r>
      <w:r>
        <w:rPr>
          <w:rFonts w:ascii="宋体" w:hAnsi="宋体" w:cs="宋体"/>
          <w:bCs/>
          <w:spacing w:val="80"/>
          <w:kern w:val="0"/>
          <w:sz w:val="32"/>
          <w:szCs w:val="30"/>
          <w:fitText w:val="1920" w:id="-2026047486"/>
        </w:rPr>
        <w:t xml:space="preserve"> </w:t>
      </w:r>
      <w:r>
        <w:rPr>
          <w:rFonts w:hint="eastAsia" w:ascii="宋体" w:hAnsi="宋体" w:cs="宋体"/>
          <w:bCs/>
          <w:spacing w:val="80"/>
          <w:kern w:val="0"/>
          <w:sz w:val="32"/>
          <w:szCs w:val="30"/>
          <w:fitText w:val="1920" w:id="-2026047486"/>
        </w:rPr>
        <w:t>购</w:t>
      </w:r>
      <w:r>
        <w:rPr>
          <w:rFonts w:ascii="宋体" w:hAnsi="宋体" w:cs="宋体"/>
          <w:bCs/>
          <w:spacing w:val="80"/>
          <w:kern w:val="0"/>
          <w:sz w:val="32"/>
          <w:szCs w:val="30"/>
          <w:fitText w:val="1920" w:id="-2026047486"/>
        </w:rPr>
        <w:t xml:space="preserve"> </w:t>
      </w:r>
      <w:r>
        <w:rPr>
          <w:rFonts w:hint="eastAsia" w:ascii="宋体" w:hAnsi="宋体" w:cs="宋体"/>
          <w:bCs/>
          <w:spacing w:val="0"/>
          <w:kern w:val="0"/>
          <w:sz w:val="32"/>
          <w:szCs w:val="30"/>
          <w:fitText w:val="1920" w:id="-2026047486"/>
        </w:rPr>
        <w:t>人</w:t>
      </w:r>
      <w:r>
        <w:rPr>
          <w:rFonts w:hint="eastAsia" w:ascii="宋体" w:hAnsi="宋体" w:cs="宋体"/>
          <w:bCs/>
          <w:sz w:val="32"/>
          <w:szCs w:val="30"/>
        </w:rPr>
        <w:t>：</w:t>
      </w:r>
      <w:r>
        <w:rPr>
          <w:rFonts w:hint="eastAsia" w:ascii="宋体" w:hAnsi="宋体" w:cs="宋体"/>
          <w:bCs/>
          <w:sz w:val="32"/>
          <w:szCs w:val="30"/>
          <w:highlight w:val="none"/>
          <w:u w:val="single"/>
          <w:lang w:eastAsia="zh-CN"/>
        </w:rPr>
        <w:t>乌鲁木齐高新技术产业开发区（新市区）卫生健康委员会（</w:t>
      </w:r>
      <w:r>
        <w:rPr>
          <w:rFonts w:hint="eastAsia" w:ascii="宋体" w:hAnsi="宋体" w:cs="宋体"/>
          <w:bCs/>
          <w:sz w:val="32"/>
          <w:szCs w:val="30"/>
          <w:highlight w:val="none"/>
          <w:u w:val="single"/>
          <w:lang w:val="en-US" w:eastAsia="zh-CN"/>
        </w:rPr>
        <w:t>盖章</w:t>
      </w:r>
      <w:r>
        <w:rPr>
          <w:rFonts w:hint="eastAsia" w:ascii="宋体" w:hAnsi="宋体" w:cs="宋体"/>
          <w:bCs/>
          <w:sz w:val="32"/>
          <w:szCs w:val="30"/>
          <w:highlight w:val="none"/>
          <w:u w:val="single"/>
          <w:lang w:eastAsia="zh-CN"/>
        </w:rPr>
        <w:t>）</w:t>
      </w:r>
    </w:p>
    <w:p>
      <w:pPr>
        <w:tabs>
          <w:tab w:val="left" w:pos="3240"/>
          <w:tab w:val="left" w:pos="3420"/>
        </w:tabs>
        <w:spacing w:line="360" w:lineRule="auto"/>
        <w:jc w:val="left"/>
        <w:rPr>
          <w:rFonts w:hint="eastAsia" w:ascii="宋体" w:eastAsia="宋体" w:cs="宋体"/>
          <w:bCs/>
          <w:sz w:val="32"/>
          <w:szCs w:val="30"/>
          <w:u w:val="single"/>
          <w:lang w:eastAsia="zh-CN"/>
        </w:rPr>
      </w:pPr>
      <w:r>
        <w:rPr>
          <w:rFonts w:hint="eastAsia" w:ascii="宋体" w:hAnsi="宋体" w:cs="宋体"/>
          <w:bCs/>
          <w:sz w:val="32"/>
          <w:szCs w:val="30"/>
        </w:rPr>
        <w:t>采购代理机构：</w:t>
      </w:r>
      <w:r>
        <w:rPr>
          <w:rFonts w:hint="eastAsia" w:ascii="宋体" w:hAnsi="宋体" w:cs="宋体"/>
          <w:bCs/>
          <w:sz w:val="32"/>
          <w:szCs w:val="30"/>
          <w:u w:val="single"/>
          <w:lang w:eastAsia="zh-CN"/>
        </w:rPr>
        <w:t>乌鲁木齐高新建设工程项目管理咨询有限公司（盖章）</w:t>
      </w:r>
    </w:p>
    <w:p>
      <w:pPr>
        <w:tabs>
          <w:tab w:val="left" w:pos="3240"/>
          <w:tab w:val="left" w:pos="3420"/>
        </w:tabs>
        <w:spacing w:line="360" w:lineRule="auto"/>
        <w:jc w:val="left"/>
        <w:rPr>
          <w:rFonts w:ascii="宋体" w:cs="宋体"/>
          <w:bCs/>
          <w:sz w:val="32"/>
          <w:szCs w:val="36"/>
          <w:u w:val="single"/>
        </w:rPr>
      </w:pPr>
      <w:r>
        <w:rPr>
          <w:rFonts w:hint="eastAsia" w:ascii="宋体" w:hAnsi="宋体" w:cs="宋体"/>
          <w:bCs/>
          <w:spacing w:val="640"/>
          <w:kern w:val="0"/>
          <w:sz w:val="32"/>
          <w:szCs w:val="36"/>
          <w:fitText w:val="1920" w:id="-2026047485"/>
        </w:rPr>
        <w:t>日</w:t>
      </w:r>
      <w:r>
        <w:rPr>
          <w:rFonts w:hint="eastAsia" w:ascii="宋体" w:hAnsi="宋体" w:cs="宋体"/>
          <w:bCs/>
          <w:spacing w:val="0"/>
          <w:kern w:val="0"/>
          <w:sz w:val="32"/>
          <w:szCs w:val="36"/>
          <w:fitText w:val="1920" w:id="-2026047485"/>
        </w:rPr>
        <w:t>期</w:t>
      </w:r>
      <w:r>
        <w:rPr>
          <w:rFonts w:hint="eastAsia" w:ascii="宋体" w:hAnsi="宋体" w:cs="宋体"/>
          <w:bCs/>
          <w:sz w:val="32"/>
          <w:szCs w:val="36"/>
        </w:rPr>
        <w:t>：</w:t>
      </w:r>
      <w:r>
        <w:rPr>
          <w:rFonts w:ascii="宋体" w:hAnsi="宋体" w:cs="宋体"/>
          <w:bCs/>
          <w:sz w:val="32"/>
          <w:szCs w:val="36"/>
          <w:u w:val="single"/>
        </w:rPr>
        <w:t>20</w:t>
      </w:r>
      <w:r>
        <w:rPr>
          <w:rFonts w:hint="eastAsia" w:ascii="宋体" w:hAnsi="宋体" w:cs="宋体"/>
          <w:bCs/>
          <w:sz w:val="32"/>
          <w:szCs w:val="36"/>
          <w:u w:val="single"/>
        </w:rPr>
        <w:t>2</w:t>
      </w:r>
      <w:r>
        <w:rPr>
          <w:rFonts w:hint="eastAsia" w:ascii="宋体" w:hAnsi="宋体" w:cs="宋体"/>
          <w:bCs/>
          <w:sz w:val="32"/>
          <w:szCs w:val="36"/>
          <w:u w:val="single"/>
          <w:lang w:val="en-US" w:eastAsia="zh-CN"/>
        </w:rPr>
        <w:t>5</w:t>
      </w:r>
      <w:r>
        <w:rPr>
          <w:rFonts w:hint="eastAsia" w:ascii="宋体" w:hAnsi="宋体" w:cs="宋体"/>
          <w:bCs/>
          <w:sz w:val="32"/>
          <w:szCs w:val="36"/>
          <w:u w:val="single"/>
        </w:rPr>
        <w:t>年</w:t>
      </w:r>
      <w:r>
        <w:rPr>
          <w:rFonts w:hint="eastAsia" w:ascii="宋体" w:hAnsi="宋体" w:cs="宋体"/>
          <w:bCs/>
          <w:sz w:val="32"/>
          <w:szCs w:val="36"/>
          <w:u w:val="single"/>
          <w:lang w:val="en-US" w:eastAsia="zh-CN"/>
        </w:rPr>
        <w:t>1</w:t>
      </w:r>
      <w:r>
        <w:rPr>
          <w:rFonts w:hint="eastAsia" w:ascii="宋体" w:hAnsi="宋体" w:cs="宋体"/>
          <w:bCs/>
          <w:sz w:val="32"/>
          <w:szCs w:val="36"/>
          <w:u w:val="single"/>
        </w:rPr>
        <w:t>月</w:t>
      </w:r>
    </w:p>
    <w:p>
      <w:pPr>
        <w:widowControl/>
        <w:jc w:val="center"/>
        <w:rPr>
          <w:rFonts w:cs="宋体"/>
          <w:sz w:val="44"/>
          <w:szCs w:val="48"/>
        </w:rPr>
      </w:pPr>
      <w:r>
        <w:rPr>
          <w:rFonts w:cs="宋体"/>
          <w:bCs/>
          <w:sz w:val="32"/>
          <w:szCs w:val="36"/>
        </w:rPr>
        <w:br w:type="page"/>
      </w:r>
      <w:r>
        <w:rPr>
          <w:rFonts w:hint="eastAsia" w:cs="宋体"/>
          <w:sz w:val="44"/>
          <w:szCs w:val="48"/>
        </w:rPr>
        <w:t>目</w:t>
      </w:r>
      <w:r>
        <w:rPr>
          <w:rFonts w:cs="宋体"/>
          <w:sz w:val="44"/>
          <w:szCs w:val="48"/>
        </w:rPr>
        <w:t xml:space="preserve">  </w:t>
      </w:r>
      <w:r>
        <w:rPr>
          <w:rFonts w:hint="eastAsia" w:cs="宋体"/>
          <w:sz w:val="44"/>
          <w:szCs w:val="48"/>
        </w:rPr>
        <w:t>录</w:t>
      </w:r>
    </w:p>
    <w:p>
      <w:pPr>
        <w:widowControl/>
        <w:jc w:val="center"/>
        <w:rPr>
          <w:rFonts w:ascii="黑体" w:hAnsi="黑体" w:eastAsia="黑体"/>
          <w:sz w:val="22"/>
          <w:szCs w:val="24"/>
        </w:rPr>
      </w:pPr>
      <w:r>
        <w:rPr>
          <w:rFonts w:ascii="黑体" w:hAnsi="黑体" w:eastAsia="黑体" w:cs="宋体"/>
          <w:bCs/>
          <w:sz w:val="22"/>
          <w:szCs w:val="28"/>
        </w:rPr>
        <w:fldChar w:fldCharType="begin"/>
      </w:r>
      <w:r>
        <w:rPr>
          <w:rFonts w:ascii="黑体" w:hAnsi="黑体" w:eastAsia="黑体" w:cs="宋体"/>
          <w:sz w:val="22"/>
          <w:szCs w:val="28"/>
        </w:rPr>
        <w:instrText xml:space="preserve"> TOC \o "1-4" \h \z \u </w:instrText>
      </w:r>
      <w:r>
        <w:rPr>
          <w:rFonts w:ascii="黑体" w:hAnsi="黑体" w:eastAsia="黑体" w:cs="宋体"/>
          <w:bCs/>
          <w:sz w:val="22"/>
          <w:szCs w:val="28"/>
        </w:rPr>
        <w:fldChar w:fldCharType="separate"/>
      </w:r>
    </w:p>
    <w:p>
      <w:pPr>
        <w:pStyle w:val="2"/>
        <w:tabs>
          <w:tab w:val="right" w:leader="dot" w:pos="8296"/>
        </w:tabs>
        <w:spacing w:line="1000" w:lineRule="exact"/>
        <w:rPr>
          <w:rFonts w:ascii="宋体" w:hAnsi="宋体" w:cs="宋体"/>
          <w:b w:val="0"/>
          <w:bCs w:val="0"/>
          <w:caps w:val="0"/>
          <w:sz w:val="32"/>
          <w:szCs w:val="32"/>
        </w:rPr>
      </w:pPr>
      <w:r>
        <w:fldChar w:fldCharType="begin"/>
      </w:r>
      <w:r>
        <w:instrText xml:space="preserve"> HYPERLINK \l "_Toc44705269" </w:instrText>
      </w:r>
      <w:r>
        <w:fldChar w:fldCharType="separate"/>
      </w:r>
      <w:r>
        <w:rPr>
          <w:rStyle w:val="54"/>
          <w:rFonts w:hint="eastAsia" w:ascii="宋体" w:hAnsi="宋体" w:cs="宋体"/>
          <w:b w:val="0"/>
          <w:w w:val="90"/>
          <w:sz w:val="32"/>
          <w:szCs w:val="32"/>
          <w:u w:val="none"/>
        </w:rPr>
        <w:t>第一章 投标邀请（招标公告）</w:t>
      </w:r>
      <w:r>
        <w:rPr>
          <w:rStyle w:val="54"/>
          <w:rFonts w:hint="eastAsia" w:ascii="宋体" w:hAnsi="宋体" w:cs="宋体"/>
          <w:b w:val="0"/>
          <w:w w:val="90"/>
          <w:sz w:val="32"/>
          <w:szCs w:val="32"/>
          <w:u w:val="none"/>
        </w:rPr>
        <w:tab/>
      </w:r>
      <w:r>
        <w:rPr>
          <w:rFonts w:hint="eastAsia" w:ascii="宋体" w:hAnsi="宋体" w:cs="宋体"/>
          <w:b w:val="0"/>
          <w:sz w:val="32"/>
          <w:szCs w:val="32"/>
        </w:rPr>
        <w:fldChar w:fldCharType="begin"/>
      </w:r>
      <w:r>
        <w:rPr>
          <w:rFonts w:hint="eastAsia" w:ascii="宋体" w:hAnsi="宋体" w:cs="宋体"/>
          <w:b w:val="0"/>
          <w:sz w:val="32"/>
          <w:szCs w:val="32"/>
        </w:rPr>
        <w:instrText xml:space="preserve"> PAGEREF _Toc44705269 \h </w:instrText>
      </w:r>
      <w:r>
        <w:rPr>
          <w:rFonts w:hint="eastAsia" w:ascii="宋体" w:hAnsi="宋体" w:cs="宋体"/>
          <w:b w:val="0"/>
          <w:sz w:val="32"/>
          <w:szCs w:val="32"/>
        </w:rPr>
        <w:fldChar w:fldCharType="separate"/>
      </w:r>
      <w:r>
        <w:rPr>
          <w:rFonts w:hint="eastAsia" w:ascii="宋体" w:hAnsi="宋体" w:cs="宋体"/>
          <w:b w:val="0"/>
          <w:sz w:val="32"/>
          <w:szCs w:val="32"/>
        </w:rPr>
        <w:t>3</w:t>
      </w:r>
      <w:r>
        <w:rPr>
          <w:rFonts w:hint="eastAsia" w:ascii="宋体" w:hAnsi="宋体" w:cs="宋体"/>
          <w:b w:val="0"/>
          <w:sz w:val="32"/>
          <w:szCs w:val="32"/>
        </w:rPr>
        <w:fldChar w:fldCharType="end"/>
      </w:r>
      <w:r>
        <w:rPr>
          <w:rFonts w:hint="eastAsia" w:ascii="宋体" w:hAnsi="宋体" w:cs="宋体"/>
          <w:b w:val="0"/>
          <w:sz w:val="32"/>
          <w:szCs w:val="32"/>
        </w:rPr>
        <w:fldChar w:fldCharType="end"/>
      </w:r>
    </w:p>
    <w:p>
      <w:pPr>
        <w:pStyle w:val="2"/>
        <w:tabs>
          <w:tab w:val="right" w:leader="dot" w:pos="8296"/>
        </w:tabs>
        <w:spacing w:line="1000" w:lineRule="exact"/>
        <w:rPr>
          <w:rFonts w:ascii="宋体" w:hAnsi="宋体" w:cs="宋体"/>
          <w:b w:val="0"/>
          <w:bCs w:val="0"/>
          <w:caps w:val="0"/>
          <w:sz w:val="32"/>
          <w:szCs w:val="32"/>
        </w:rPr>
      </w:pPr>
      <w:r>
        <w:fldChar w:fldCharType="begin"/>
      </w:r>
      <w:r>
        <w:instrText xml:space="preserve"> HYPERLINK \l "_Toc44705270" </w:instrText>
      </w:r>
      <w:r>
        <w:fldChar w:fldCharType="separate"/>
      </w:r>
      <w:r>
        <w:rPr>
          <w:rStyle w:val="54"/>
          <w:rFonts w:hint="eastAsia" w:ascii="宋体" w:hAnsi="宋体" w:cs="宋体"/>
          <w:b w:val="0"/>
          <w:w w:val="90"/>
          <w:sz w:val="32"/>
          <w:szCs w:val="32"/>
          <w:u w:val="none"/>
        </w:rPr>
        <w:t>第二章 投标人须知前附表</w:t>
      </w:r>
      <w:r>
        <w:rPr>
          <w:rFonts w:hint="eastAsia" w:ascii="宋体" w:hAnsi="宋体" w:cs="宋体"/>
          <w:b w:val="0"/>
          <w:sz w:val="32"/>
          <w:szCs w:val="32"/>
        </w:rPr>
        <w:tab/>
      </w:r>
      <w:r>
        <w:rPr>
          <w:rFonts w:hint="eastAsia" w:ascii="宋体" w:hAnsi="宋体" w:cs="宋体"/>
          <w:b w:val="0"/>
          <w:sz w:val="32"/>
          <w:szCs w:val="32"/>
        </w:rPr>
        <w:fldChar w:fldCharType="begin"/>
      </w:r>
      <w:r>
        <w:rPr>
          <w:rFonts w:hint="eastAsia" w:ascii="宋体" w:hAnsi="宋体" w:cs="宋体"/>
          <w:b w:val="0"/>
          <w:sz w:val="32"/>
          <w:szCs w:val="32"/>
        </w:rPr>
        <w:instrText xml:space="preserve"> PAGEREF _Toc44705270 \h </w:instrText>
      </w:r>
      <w:r>
        <w:rPr>
          <w:rFonts w:hint="eastAsia" w:ascii="宋体" w:hAnsi="宋体" w:cs="宋体"/>
          <w:b w:val="0"/>
          <w:sz w:val="32"/>
          <w:szCs w:val="32"/>
        </w:rPr>
        <w:fldChar w:fldCharType="separate"/>
      </w:r>
      <w:r>
        <w:rPr>
          <w:rFonts w:hint="eastAsia" w:ascii="宋体" w:hAnsi="宋体" w:cs="宋体"/>
          <w:b w:val="0"/>
          <w:sz w:val="32"/>
          <w:szCs w:val="32"/>
        </w:rPr>
        <w:t>9</w:t>
      </w:r>
      <w:r>
        <w:rPr>
          <w:rFonts w:hint="eastAsia" w:ascii="宋体" w:hAnsi="宋体" w:cs="宋体"/>
          <w:b w:val="0"/>
          <w:sz w:val="32"/>
          <w:szCs w:val="32"/>
        </w:rPr>
        <w:fldChar w:fldCharType="end"/>
      </w:r>
      <w:r>
        <w:rPr>
          <w:rFonts w:hint="eastAsia" w:ascii="宋体" w:hAnsi="宋体" w:cs="宋体"/>
          <w:b w:val="0"/>
          <w:sz w:val="32"/>
          <w:szCs w:val="32"/>
        </w:rPr>
        <w:fldChar w:fldCharType="end"/>
      </w:r>
    </w:p>
    <w:p>
      <w:pPr>
        <w:pStyle w:val="2"/>
        <w:tabs>
          <w:tab w:val="right" w:leader="dot" w:pos="8296"/>
        </w:tabs>
        <w:spacing w:line="1000" w:lineRule="exact"/>
        <w:rPr>
          <w:rFonts w:ascii="宋体" w:hAnsi="宋体" w:cs="宋体"/>
          <w:b w:val="0"/>
          <w:bCs w:val="0"/>
          <w:caps w:val="0"/>
          <w:sz w:val="32"/>
          <w:szCs w:val="32"/>
        </w:rPr>
      </w:pPr>
      <w:r>
        <w:fldChar w:fldCharType="begin"/>
      </w:r>
      <w:r>
        <w:instrText xml:space="preserve"> HYPERLINK \l "_Toc44705271" </w:instrText>
      </w:r>
      <w:r>
        <w:fldChar w:fldCharType="separate"/>
      </w:r>
      <w:r>
        <w:rPr>
          <w:rStyle w:val="54"/>
          <w:rFonts w:hint="eastAsia" w:ascii="宋体" w:hAnsi="宋体" w:cs="宋体"/>
          <w:b w:val="0"/>
          <w:w w:val="90"/>
          <w:sz w:val="32"/>
          <w:szCs w:val="32"/>
          <w:u w:val="none"/>
        </w:rPr>
        <w:t>第三章 投标人须知</w:t>
      </w:r>
      <w:r>
        <w:rPr>
          <w:rFonts w:hint="eastAsia" w:ascii="宋体" w:hAnsi="宋体" w:cs="宋体"/>
          <w:b w:val="0"/>
          <w:sz w:val="32"/>
          <w:szCs w:val="32"/>
        </w:rPr>
        <w:tab/>
      </w:r>
      <w:r>
        <w:rPr>
          <w:rFonts w:hint="eastAsia" w:ascii="宋体" w:hAnsi="宋体" w:cs="宋体"/>
          <w:b w:val="0"/>
          <w:sz w:val="32"/>
          <w:szCs w:val="32"/>
        </w:rPr>
        <w:fldChar w:fldCharType="begin"/>
      </w:r>
      <w:r>
        <w:rPr>
          <w:rFonts w:hint="eastAsia" w:ascii="宋体" w:hAnsi="宋体" w:cs="宋体"/>
          <w:b w:val="0"/>
          <w:sz w:val="32"/>
          <w:szCs w:val="32"/>
        </w:rPr>
        <w:instrText xml:space="preserve"> PAGEREF _Toc44705271 \h </w:instrText>
      </w:r>
      <w:r>
        <w:rPr>
          <w:rFonts w:hint="eastAsia" w:ascii="宋体" w:hAnsi="宋体" w:cs="宋体"/>
          <w:b w:val="0"/>
          <w:sz w:val="32"/>
          <w:szCs w:val="32"/>
        </w:rPr>
        <w:fldChar w:fldCharType="separate"/>
      </w:r>
      <w:r>
        <w:rPr>
          <w:rFonts w:hint="eastAsia" w:ascii="宋体" w:hAnsi="宋体" w:cs="宋体"/>
          <w:b w:val="0"/>
          <w:sz w:val="32"/>
          <w:szCs w:val="32"/>
        </w:rPr>
        <w:t>15</w:t>
      </w:r>
      <w:r>
        <w:rPr>
          <w:rFonts w:hint="eastAsia" w:ascii="宋体" w:hAnsi="宋体" w:cs="宋体"/>
          <w:b w:val="0"/>
          <w:sz w:val="32"/>
          <w:szCs w:val="32"/>
        </w:rPr>
        <w:fldChar w:fldCharType="end"/>
      </w:r>
      <w:r>
        <w:rPr>
          <w:rFonts w:hint="eastAsia" w:ascii="宋体" w:hAnsi="宋体" w:cs="宋体"/>
          <w:b w:val="0"/>
          <w:sz w:val="32"/>
          <w:szCs w:val="32"/>
        </w:rPr>
        <w:fldChar w:fldCharType="end"/>
      </w:r>
    </w:p>
    <w:p>
      <w:pPr>
        <w:pStyle w:val="2"/>
        <w:tabs>
          <w:tab w:val="right" w:leader="dot" w:pos="8296"/>
        </w:tabs>
        <w:spacing w:line="1000" w:lineRule="exact"/>
        <w:rPr>
          <w:rFonts w:ascii="宋体" w:hAnsi="宋体" w:cs="宋体"/>
          <w:b w:val="0"/>
          <w:bCs w:val="0"/>
          <w:caps w:val="0"/>
          <w:sz w:val="32"/>
          <w:szCs w:val="32"/>
        </w:rPr>
      </w:pPr>
      <w:r>
        <w:fldChar w:fldCharType="begin"/>
      </w:r>
      <w:r>
        <w:instrText xml:space="preserve"> HYPERLINK \l "_Toc44705272" </w:instrText>
      </w:r>
      <w:r>
        <w:fldChar w:fldCharType="separate"/>
      </w:r>
      <w:r>
        <w:rPr>
          <w:rStyle w:val="54"/>
          <w:rFonts w:hint="eastAsia" w:ascii="宋体" w:hAnsi="宋体" w:cs="宋体"/>
          <w:b w:val="0"/>
          <w:w w:val="90"/>
          <w:sz w:val="32"/>
          <w:szCs w:val="32"/>
          <w:u w:val="none"/>
        </w:rPr>
        <w:t>第四章 合同文本格式</w:t>
      </w:r>
      <w:r>
        <w:rPr>
          <w:rFonts w:hint="eastAsia" w:ascii="宋体" w:hAnsi="宋体" w:cs="宋体"/>
          <w:b w:val="0"/>
          <w:sz w:val="32"/>
          <w:szCs w:val="32"/>
        </w:rPr>
        <w:tab/>
      </w:r>
      <w:r>
        <w:rPr>
          <w:rFonts w:hint="eastAsia" w:ascii="宋体" w:hAnsi="宋体" w:cs="宋体"/>
          <w:b w:val="0"/>
          <w:sz w:val="32"/>
          <w:szCs w:val="32"/>
        </w:rPr>
        <w:fldChar w:fldCharType="begin"/>
      </w:r>
      <w:r>
        <w:rPr>
          <w:rFonts w:hint="eastAsia" w:ascii="宋体" w:hAnsi="宋体" w:cs="宋体"/>
          <w:b w:val="0"/>
          <w:sz w:val="32"/>
          <w:szCs w:val="32"/>
        </w:rPr>
        <w:instrText xml:space="preserve"> PAGEREF _Toc44705272 \h </w:instrText>
      </w:r>
      <w:r>
        <w:rPr>
          <w:rFonts w:hint="eastAsia" w:ascii="宋体" w:hAnsi="宋体" w:cs="宋体"/>
          <w:b w:val="0"/>
          <w:sz w:val="32"/>
          <w:szCs w:val="32"/>
        </w:rPr>
        <w:fldChar w:fldCharType="separate"/>
      </w:r>
      <w:r>
        <w:rPr>
          <w:rFonts w:hint="eastAsia" w:ascii="宋体" w:hAnsi="宋体" w:cs="宋体"/>
          <w:b w:val="0"/>
          <w:sz w:val="32"/>
          <w:szCs w:val="32"/>
        </w:rPr>
        <w:t>29</w:t>
      </w:r>
      <w:r>
        <w:rPr>
          <w:rFonts w:hint="eastAsia" w:ascii="宋体" w:hAnsi="宋体" w:cs="宋体"/>
          <w:b w:val="0"/>
          <w:sz w:val="32"/>
          <w:szCs w:val="32"/>
        </w:rPr>
        <w:fldChar w:fldCharType="end"/>
      </w:r>
      <w:r>
        <w:rPr>
          <w:rFonts w:hint="eastAsia" w:ascii="宋体" w:hAnsi="宋体" w:cs="宋体"/>
          <w:b w:val="0"/>
          <w:sz w:val="32"/>
          <w:szCs w:val="32"/>
        </w:rPr>
        <w:fldChar w:fldCharType="end"/>
      </w:r>
    </w:p>
    <w:p>
      <w:pPr>
        <w:pStyle w:val="2"/>
        <w:tabs>
          <w:tab w:val="right" w:leader="dot" w:pos="8296"/>
        </w:tabs>
        <w:spacing w:line="1000" w:lineRule="exact"/>
        <w:rPr>
          <w:rFonts w:ascii="宋体" w:hAnsi="宋体" w:cs="宋体"/>
          <w:b w:val="0"/>
          <w:bCs w:val="0"/>
          <w:caps w:val="0"/>
          <w:sz w:val="32"/>
          <w:szCs w:val="32"/>
        </w:rPr>
      </w:pPr>
      <w:r>
        <w:fldChar w:fldCharType="begin"/>
      </w:r>
      <w:r>
        <w:instrText xml:space="preserve"> HYPERLINK \l "_Toc44705273" </w:instrText>
      </w:r>
      <w:r>
        <w:fldChar w:fldCharType="separate"/>
      </w:r>
      <w:r>
        <w:rPr>
          <w:rStyle w:val="54"/>
          <w:rFonts w:hint="eastAsia" w:ascii="宋体" w:hAnsi="宋体" w:cs="宋体"/>
          <w:b w:val="0"/>
          <w:w w:val="90"/>
          <w:sz w:val="32"/>
          <w:szCs w:val="32"/>
          <w:u w:val="none"/>
        </w:rPr>
        <w:t>第五章 采购需求</w:t>
      </w:r>
      <w:r>
        <w:rPr>
          <w:rFonts w:hint="eastAsia" w:ascii="宋体" w:hAnsi="宋体" w:cs="宋体"/>
          <w:b w:val="0"/>
          <w:sz w:val="32"/>
          <w:szCs w:val="32"/>
        </w:rPr>
        <w:tab/>
      </w:r>
      <w:r>
        <w:rPr>
          <w:rFonts w:hint="eastAsia" w:ascii="宋体" w:hAnsi="宋体" w:cs="宋体"/>
          <w:b w:val="0"/>
          <w:sz w:val="32"/>
          <w:szCs w:val="32"/>
        </w:rPr>
        <w:fldChar w:fldCharType="begin"/>
      </w:r>
      <w:r>
        <w:rPr>
          <w:rFonts w:hint="eastAsia" w:ascii="宋体" w:hAnsi="宋体" w:cs="宋体"/>
          <w:b w:val="0"/>
          <w:sz w:val="32"/>
          <w:szCs w:val="32"/>
        </w:rPr>
        <w:instrText xml:space="preserve"> PAGEREF _Toc44705273 \h </w:instrText>
      </w:r>
      <w:r>
        <w:rPr>
          <w:rFonts w:hint="eastAsia" w:ascii="宋体" w:hAnsi="宋体" w:cs="宋体"/>
          <w:b w:val="0"/>
          <w:sz w:val="32"/>
          <w:szCs w:val="32"/>
        </w:rPr>
        <w:fldChar w:fldCharType="separate"/>
      </w:r>
      <w:r>
        <w:rPr>
          <w:rFonts w:hint="eastAsia" w:ascii="宋体" w:hAnsi="宋体" w:cs="宋体"/>
          <w:b w:val="0"/>
          <w:sz w:val="32"/>
          <w:szCs w:val="32"/>
        </w:rPr>
        <w:t>30</w:t>
      </w:r>
      <w:r>
        <w:rPr>
          <w:rFonts w:hint="eastAsia" w:ascii="宋体" w:hAnsi="宋体" w:cs="宋体"/>
          <w:b w:val="0"/>
          <w:sz w:val="32"/>
          <w:szCs w:val="32"/>
        </w:rPr>
        <w:fldChar w:fldCharType="end"/>
      </w:r>
      <w:r>
        <w:rPr>
          <w:rFonts w:hint="eastAsia" w:ascii="宋体" w:hAnsi="宋体" w:cs="宋体"/>
          <w:b w:val="0"/>
          <w:sz w:val="32"/>
          <w:szCs w:val="32"/>
        </w:rPr>
        <w:fldChar w:fldCharType="end"/>
      </w:r>
    </w:p>
    <w:p>
      <w:pPr>
        <w:pStyle w:val="2"/>
        <w:tabs>
          <w:tab w:val="right" w:leader="dot" w:pos="8296"/>
        </w:tabs>
        <w:spacing w:line="1000" w:lineRule="exact"/>
        <w:rPr>
          <w:rFonts w:ascii="宋体" w:hAnsi="宋体" w:cs="宋体"/>
          <w:b w:val="0"/>
          <w:bCs w:val="0"/>
          <w:caps w:val="0"/>
          <w:sz w:val="32"/>
          <w:szCs w:val="32"/>
        </w:rPr>
      </w:pPr>
      <w:r>
        <w:fldChar w:fldCharType="begin"/>
      </w:r>
      <w:r>
        <w:instrText xml:space="preserve"> HYPERLINK \l "_Toc44705274" </w:instrText>
      </w:r>
      <w:r>
        <w:fldChar w:fldCharType="separate"/>
      </w:r>
      <w:r>
        <w:rPr>
          <w:rStyle w:val="54"/>
          <w:rFonts w:hint="eastAsia" w:ascii="宋体" w:hAnsi="宋体" w:cs="宋体"/>
          <w:b w:val="0"/>
          <w:w w:val="90"/>
          <w:sz w:val="32"/>
          <w:szCs w:val="32"/>
          <w:u w:val="none"/>
        </w:rPr>
        <w:t>第六章 评标方法及评标标准</w:t>
      </w:r>
      <w:r>
        <w:rPr>
          <w:rFonts w:hint="eastAsia" w:ascii="宋体" w:hAnsi="宋体" w:cs="宋体"/>
          <w:b w:val="0"/>
          <w:sz w:val="32"/>
          <w:szCs w:val="32"/>
        </w:rPr>
        <w:tab/>
      </w:r>
      <w:r>
        <w:rPr>
          <w:rFonts w:hint="eastAsia" w:ascii="宋体" w:hAnsi="宋体" w:cs="宋体"/>
          <w:b w:val="0"/>
          <w:sz w:val="32"/>
          <w:szCs w:val="32"/>
        </w:rPr>
        <w:fldChar w:fldCharType="begin"/>
      </w:r>
      <w:r>
        <w:rPr>
          <w:rFonts w:hint="eastAsia" w:ascii="宋体" w:hAnsi="宋体" w:cs="宋体"/>
          <w:b w:val="0"/>
          <w:sz w:val="32"/>
          <w:szCs w:val="32"/>
        </w:rPr>
        <w:instrText xml:space="preserve"> PAGEREF _Toc44705274 \h </w:instrText>
      </w:r>
      <w:r>
        <w:rPr>
          <w:rFonts w:hint="eastAsia" w:ascii="宋体" w:hAnsi="宋体" w:cs="宋体"/>
          <w:b w:val="0"/>
          <w:sz w:val="32"/>
          <w:szCs w:val="32"/>
        </w:rPr>
        <w:fldChar w:fldCharType="separate"/>
      </w:r>
      <w:r>
        <w:rPr>
          <w:rFonts w:hint="eastAsia" w:ascii="宋体" w:hAnsi="宋体" w:cs="宋体"/>
          <w:b w:val="0"/>
          <w:sz w:val="32"/>
          <w:szCs w:val="32"/>
        </w:rPr>
        <w:t>46</w:t>
      </w:r>
      <w:r>
        <w:rPr>
          <w:rFonts w:hint="eastAsia" w:ascii="宋体" w:hAnsi="宋体" w:cs="宋体"/>
          <w:b w:val="0"/>
          <w:sz w:val="32"/>
          <w:szCs w:val="32"/>
        </w:rPr>
        <w:fldChar w:fldCharType="end"/>
      </w:r>
      <w:r>
        <w:rPr>
          <w:rFonts w:hint="eastAsia" w:ascii="宋体" w:hAnsi="宋体" w:cs="宋体"/>
          <w:b w:val="0"/>
          <w:sz w:val="32"/>
          <w:szCs w:val="32"/>
        </w:rPr>
        <w:fldChar w:fldCharType="end"/>
      </w:r>
    </w:p>
    <w:p>
      <w:pPr>
        <w:pStyle w:val="2"/>
        <w:tabs>
          <w:tab w:val="right" w:leader="dot" w:pos="8296"/>
        </w:tabs>
        <w:spacing w:line="1000" w:lineRule="exact"/>
        <w:rPr>
          <w:rFonts w:ascii="黑体" w:hAnsi="黑体" w:eastAsia="黑体" w:cs="Arial"/>
          <w:b w:val="0"/>
          <w:bCs w:val="0"/>
          <w:caps w:val="0"/>
          <w:sz w:val="32"/>
          <w:szCs w:val="32"/>
        </w:rPr>
      </w:pPr>
      <w:r>
        <w:fldChar w:fldCharType="begin"/>
      </w:r>
      <w:r>
        <w:instrText xml:space="preserve"> HYPERLINK \l "_Toc44705277" </w:instrText>
      </w:r>
      <w:r>
        <w:fldChar w:fldCharType="separate"/>
      </w:r>
      <w:r>
        <w:rPr>
          <w:rStyle w:val="54"/>
          <w:rFonts w:hint="eastAsia" w:ascii="宋体" w:hAnsi="宋体" w:cs="宋体"/>
          <w:b w:val="0"/>
          <w:w w:val="90"/>
          <w:sz w:val="32"/>
          <w:szCs w:val="32"/>
          <w:u w:val="none"/>
        </w:rPr>
        <w:t>第七章 投标文件格式</w:t>
      </w:r>
      <w:r>
        <w:rPr>
          <w:rFonts w:hint="eastAsia" w:ascii="宋体" w:hAnsi="宋体" w:cs="宋体"/>
          <w:b w:val="0"/>
          <w:sz w:val="32"/>
          <w:szCs w:val="32"/>
        </w:rPr>
        <w:tab/>
      </w:r>
      <w:r>
        <w:rPr>
          <w:rFonts w:hint="eastAsia" w:ascii="宋体" w:hAnsi="宋体" w:cs="宋体"/>
          <w:b w:val="0"/>
          <w:sz w:val="32"/>
          <w:szCs w:val="32"/>
        </w:rPr>
        <w:fldChar w:fldCharType="begin"/>
      </w:r>
      <w:r>
        <w:rPr>
          <w:rFonts w:hint="eastAsia" w:ascii="宋体" w:hAnsi="宋体" w:cs="宋体"/>
          <w:b w:val="0"/>
          <w:sz w:val="32"/>
          <w:szCs w:val="32"/>
        </w:rPr>
        <w:instrText xml:space="preserve"> PAGEREF _Toc44705277 \h </w:instrText>
      </w:r>
      <w:r>
        <w:rPr>
          <w:rFonts w:hint="eastAsia" w:ascii="宋体" w:hAnsi="宋体" w:cs="宋体"/>
          <w:b w:val="0"/>
          <w:sz w:val="32"/>
          <w:szCs w:val="32"/>
        </w:rPr>
        <w:fldChar w:fldCharType="separate"/>
      </w:r>
      <w:r>
        <w:rPr>
          <w:rFonts w:hint="eastAsia" w:ascii="宋体" w:hAnsi="宋体" w:cs="宋体"/>
          <w:b w:val="0"/>
          <w:sz w:val="32"/>
          <w:szCs w:val="32"/>
        </w:rPr>
        <w:t>52</w:t>
      </w:r>
      <w:r>
        <w:rPr>
          <w:rFonts w:hint="eastAsia" w:ascii="宋体" w:hAnsi="宋体" w:cs="宋体"/>
          <w:b w:val="0"/>
          <w:sz w:val="32"/>
          <w:szCs w:val="32"/>
        </w:rPr>
        <w:fldChar w:fldCharType="end"/>
      </w:r>
      <w:r>
        <w:rPr>
          <w:rFonts w:hint="eastAsia" w:ascii="宋体" w:hAnsi="宋体" w:cs="宋体"/>
          <w:b w:val="0"/>
          <w:sz w:val="32"/>
          <w:szCs w:val="32"/>
        </w:rPr>
        <w:fldChar w:fldCharType="end"/>
      </w:r>
    </w:p>
    <w:p>
      <w:pPr>
        <w:pStyle w:val="32"/>
        <w:tabs>
          <w:tab w:val="right" w:leader="dot" w:pos="8296"/>
        </w:tabs>
        <w:spacing w:line="1000" w:lineRule="exact"/>
        <w:rPr>
          <w:rFonts w:cs="Arial"/>
          <w:sz w:val="24"/>
          <w:szCs w:val="28"/>
        </w:rPr>
        <w:sectPr>
          <w:headerReference r:id="rId4" w:type="first"/>
          <w:headerReference r:id="rId3" w:type="default"/>
          <w:footerReference r:id="rId5" w:type="default"/>
          <w:pgSz w:w="11906" w:h="16838"/>
          <w:pgMar w:top="1440" w:right="1800" w:bottom="1440" w:left="1800" w:header="850" w:footer="992" w:gutter="0"/>
          <w:pgBorders>
            <w:top w:val="none" w:sz="0" w:space="0"/>
            <w:left w:val="none" w:sz="0" w:space="0"/>
            <w:bottom w:val="none" w:sz="0" w:space="0"/>
            <w:right w:val="none" w:sz="0" w:space="0"/>
          </w:pgBorders>
          <w:cols w:space="720" w:num="1"/>
          <w:titlePg/>
          <w:rtlGutter w:val="1"/>
          <w:docGrid w:type="lines" w:linePitch="312" w:charSpace="0"/>
        </w:sectPr>
      </w:pPr>
    </w:p>
    <w:p>
      <w:pPr>
        <w:pStyle w:val="2"/>
        <w:jc w:val="center"/>
        <w:rPr>
          <w:rFonts w:ascii="宋体" w:cs="宋体"/>
          <w:b w:val="0"/>
          <w:sz w:val="32"/>
        </w:rPr>
      </w:pPr>
      <w:r>
        <w:rPr>
          <w:rFonts w:ascii="黑体" w:hAnsi="黑体" w:eastAsia="黑体" w:cs="宋体"/>
          <w:bCs w:val="0"/>
          <w:sz w:val="22"/>
          <w:szCs w:val="28"/>
        </w:rPr>
        <w:fldChar w:fldCharType="end"/>
      </w:r>
      <w:bookmarkStart w:id="0" w:name="_Toc44705269"/>
      <w:bookmarkStart w:id="1" w:name="_Toc44705048"/>
      <w:bookmarkStart w:id="2" w:name="_Toc44704901"/>
      <w:r>
        <w:rPr>
          <w:rFonts w:hint="eastAsia" w:ascii="宋体" w:hAnsi="宋体" w:cs="宋体"/>
          <w:b w:val="0"/>
          <w:sz w:val="44"/>
        </w:rPr>
        <w:t>第一章</w:t>
      </w:r>
      <w:r>
        <w:rPr>
          <w:rFonts w:ascii="宋体" w:hAnsi="宋体" w:cs="宋体"/>
          <w:b w:val="0"/>
          <w:sz w:val="32"/>
        </w:rPr>
        <w:t xml:space="preserve"> </w:t>
      </w:r>
      <w:r>
        <w:rPr>
          <w:rFonts w:hint="eastAsia" w:ascii="宋体" w:hAnsi="宋体" w:cs="宋体"/>
          <w:b w:val="0"/>
          <w:bCs w:val="0"/>
          <w:sz w:val="44"/>
        </w:rPr>
        <w:t>投标邀请（招标公告）</w:t>
      </w:r>
      <w:bookmarkEnd w:id="0"/>
      <w:bookmarkEnd w:id="1"/>
      <w:bookmarkEnd w:id="2"/>
    </w:p>
    <w:p>
      <w:pPr>
        <w:pBdr>
          <w:top w:val="single" w:color="auto" w:sz="4" w:space="1"/>
          <w:left w:val="single" w:color="auto" w:sz="4" w:space="4"/>
          <w:bottom w:val="single" w:color="auto" w:sz="4" w:space="1"/>
          <w:right w:val="single" w:color="auto" w:sz="4" w:space="4"/>
        </w:pBdr>
        <w:shd w:val="clear"/>
        <w:spacing w:line="360" w:lineRule="auto"/>
        <w:ind w:firstLine="560" w:firstLineChars="200"/>
        <w:jc w:val="center"/>
        <w:rPr>
          <w:rFonts w:ascii="宋体"/>
          <w:sz w:val="28"/>
          <w:szCs w:val="28"/>
          <w:highlight w:val="none"/>
        </w:rPr>
      </w:pPr>
      <w:bookmarkStart w:id="3" w:name="_Toc35393621"/>
      <w:bookmarkStart w:id="4" w:name="_Toc28359002"/>
      <w:bookmarkStart w:id="5" w:name="_Toc28359079"/>
      <w:bookmarkStart w:id="6" w:name="_Toc35393790"/>
      <w:bookmarkStart w:id="7" w:name="_Hlk24379207"/>
      <w:r>
        <w:rPr>
          <w:rFonts w:hint="eastAsia" w:ascii="宋体" w:hAnsi="宋体"/>
          <w:sz w:val="28"/>
          <w:szCs w:val="28"/>
          <w:highlight w:val="none"/>
        </w:rPr>
        <w:t>项目概况</w:t>
      </w:r>
    </w:p>
    <w:p>
      <w:pPr>
        <w:pBdr>
          <w:top w:val="single" w:color="auto" w:sz="4" w:space="1"/>
          <w:left w:val="single" w:color="auto" w:sz="4" w:space="4"/>
          <w:bottom w:val="single" w:color="auto" w:sz="4" w:space="1"/>
          <w:right w:val="single" w:color="auto" w:sz="4" w:space="4"/>
        </w:pBdr>
        <w:shd w:val="clear"/>
        <w:spacing w:line="360" w:lineRule="auto"/>
        <w:ind w:firstLine="560" w:firstLineChars="200"/>
        <w:rPr>
          <w:rFonts w:ascii="宋体"/>
          <w:sz w:val="28"/>
          <w:szCs w:val="28"/>
          <w:highlight w:val="none"/>
        </w:rPr>
      </w:pPr>
      <w:r>
        <w:rPr>
          <w:rFonts w:hint="eastAsia" w:ascii="宋体" w:hAnsi="宋体"/>
          <w:sz w:val="28"/>
          <w:szCs w:val="28"/>
          <w:highlight w:val="none"/>
          <w:u w:val="single"/>
          <w:lang w:eastAsia="zh-CN"/>
        </w:rPr>
        <w:t>高新区（新市区）卫生健康委员会体检医院服务商采购项目</w:t>
      </w:r>
      <w:r>
        <w:rPr>
          <w:rFonts w:hint="eastAsia" w:ascii="宋体" w:hAnsi="宋体"/>
          <w:sz w:val="28"/>
          <w:szCs w:val="28"/>
          <w:highlight w:val="none"/>
          <w:u w:val="single"/>
        </w:rPr>
        <w:t xml:space="preserve"> </w:t>
      </w:r>
      <w:r>
        <w:rPr>
          <w:rFonts w:hint="eastAsia" w:ascii="宋体" w:hAnsi="宋体"/>
          <w:sz w:val="28"/>
          <w:szCs w:val="28"/>
          <w:highlight w:val="none"/>
        </w:rPr>
        <w:t>招标项目的潜在投标人应在潜在</w:t>
      </w:r>
      <w:r>
        <w:rPr>
          <w:rFonts w:hint="eastAsia" w:ascii="宋体" w:hAnsi="宋体"/>
          <w:sz w:val="28"/>
          <w:szCs w:val="28"/>
          <w:highlight w:val="none"/>
          <w:lang w:eastAsia="zh-CN"/>
        </w:rPr>
        <w:t>投标人</w:t>
      </w:r>
      <w:r>
        <w:rPr>
          <w:rFonts w:hint="eastAsia" w:ascii="宋体" w:hAnsi="宋体"/>
          <w:sz w:val="28"/>
          <w:szCs w:val="28"/>
          <w:highlight w:val="none"/>
        </w:rPr>
        <w:t>应在</w:t>
      </w:r>
      <w:r>
        <w:rPr>
          <w:rFonts w:hint="eastAsia" w:ascii="宋体" w:hAnsi="宋体"/>
          <w:sz w:val="28"/>
          <w:szCs w:val="28"/>
          <w:highlight w:val="none"/>
          <w:u w:val="single"/>
        </w:rPr>
        <w:t>政采云平台（https://www.zcygov.cn/）</w:t>
      </w:r>
      <w:r>
        <w:rPr>
          <w:rFonts w:hint="eastAsia" w:ascii="宋体" w:hAnsi="宋体"/>
          <w:sz w:val="28"/>
          <w:szCs w:val="28"/>
          <w:highlight w:val="none"/>
        </w:rPr>
        <w:t>获取采购文件，并于</w:t>
      </w:r>
      <w:r>
        <w:rPr>
          <w:rFonts w:ascii="宋体" w:hAnsi="宋体"/>
          <w:sz w:val="28"/>
          <w:szCs w:val="28"/>
          <w:highlight w:val="none"/>
          <w:u w:val="single"/>
        </w:rPr>
        <w:t>202</w:t>
      </w:r>
      <w:r>
        <w:rPr>
          <w:rFonts w:hint="eastAsia" w:ascii="宋体" w:hAnsi="宋体"/>
          <w:sz w:val="28"/>
          <w:szCs w:val="28"/>
          <w:highlight w:val="none"/>
          <w:u w:val="single"/>
          <w:lang w:val="en-US" w:eastAsia="zh-CN"/>
        </w:rPr>
        <w:t>5</w:t>
      </w:r>
      <w:r>
        <w:rPr>
          <w:rFonts w:hint="eastAsia" w:ascii="宋体" w:hAnsi="宋体"/>
          <w:bCs/>
          <w:sz w:val="28"/>
          <w:szCs w:val="28"/>
          <w:highlight w:val="none"/>
          <w:u w:val="single"/>
        </w:rPr>
        <w:t>年</w:t>
      </w:r>
      <w:r>
        <w:rPr>
          <w:rFonts w:hint="eastAsia" w:ascii="宋体" w:hAnsi="宋体"/>
          <w:bCs/>
          <w:sz w:val="28"/>
          <w:szCs w:val="28"/>
          <w:highlight w:val="none"/>
          <w:u w:val="single"/>
          <w:lang w:val="en-US" w:eastAsia="zh-CN"/>
        </w:rPr>
        <w:t>2</w:t>
      </w:r>
      <w:r>
        <w:rPr>
          <w:rFonts w:hint="eastAsia" w:ascii="宋体" w:hAnsi="宋体"/>
          <w:bCs/>
          <w:sz w:val="28"/>
          <w:szCs w:val="28"/>
          <w:highlight w:val="none"/>
          <w:u w:val="single"/>
        </w:rPr>
        <w:t>月</w:t>
      </w:r>
      <w:r>
        <w:rPr>
          <w:rFonts w:hint="eastAsia" w:ascii="宋体" w:hAnsi="宋体"/>
          <w:bCs/>
          <w:sz w:val="28"/>
          <w:szCs w:val="28"/>
          <w:highlight w:val="none"/>
          <w:u w:val="single"/>
          <w:lang w:val="en-US" w:eastAsia="zh-CN"/>
        </w:rPr>
        <w:t>13</w:t>
      </w:r>
      <w:r>
        <w:rPr>
          <w:rFonts w:hint="eastAsia" w:ascii="宋体" w:hAnsi="宋体"/>
          <w:bCs/>
          <w:sz w:val="28"/>
          <w:szCs w:val="28"/>
          <w:highlight w:val="none"/>
          <w:u w:val="single"/>
          <w:lang w:eastAsia="zh-CN"/>
        </w:rPr>
        <w:t>日1</w:t>
      </w:r>
      <w:r>
        <w:rPr>
          <w:rFonts w:hint="eastAsia" w:ascii="宋体" w:hAnsi="宋体"/>
          <w:bCs/>
          <w:sz w:val="28"/>
          <w:szCs w:val="28"/>
          <w:highlight w:val="none"/>
          <w:u w:val="single"/>
          <w:lang w:val="en-US" w:eastAsia="zh-CN"/>
        </w:rPr>
        <w:t>1</w:t>
      </w:r>
      <w:r>
        <w:rPr>
          <w:rFonts w:hint="eastAsia" w:ascii="宋体" w:hAnsi="宋体"/>
          <w:bCs/>
          <w:sz w:val="28"/>
          <w:szCs w:val="28"/>
          <w:highlight w:val="none"/>
          <w:u w:val="single"/>
          <w:lang w:eastAsia="zh-CN"/>
        </w:rPr>
        <w:t>点</w:t>
      </w:r>
      <w:r>
        <w:rPr>
          <w:rFonts w:hint="eastAsia" w:ascii="宋体" w:hAnsi="宋体"/>
          <w:bCs/>
          <w:sz w:val="28"/>
          <w:szCs w:val="28"/>
          <w:highlight w:val="none"/>
          <w:u w:val="single"/>
          <w:lang w:val="en-US" w:eastAsia="zh-CN"/>
        </w:rPr>
        <w:t>00</w:t>
      </w:r>
      <w:r>
        <w:rPr>
          <w:rFonts w:hint="eastAsia" w:ascii="宋体" w:hAnsi="宋体"/>
          <w:bCs/>
          <w:sz w:val="28"/>
          <w:szCs w:val="28"/>
          <w:highlight w:val="none"/>
          <w:u w:val="single"/>
        </w:rPr>
        <w:t>分</w:t>
      </w:r>
      <w:r>
        <w:rPr>
          <w:rFonts w:hint="eastAsia" w:ascii="宋体" w:hAnsi="宋体"/>
          <w:bCs/>
          <w:sz w:val="28"/>
          <w:szCs w:val="28"/>
          <w:highlight w:val="none"/>
        </w:rPr>
        <w:t>（北京时间）前递交投标文件</w:t>
      </w:r>
      <w:r>
        <w:rPr>
          <w:rFonts w:hint="eastAsia" w:ascii="宋体" w:hAnsi="宋体"/>
          <w:sz w:val="28"/>
          <w:szCs w:val="28"/>
          <w:highlight w:val="none"/>
        </w:rPr>
        <w:t>。</w:t>
      </w:r>
    </w:p>
    <w:p>
      <w:pPr>
        <w:rPr>
          <w:rFonts w:ascii="宋体" w:cs="宋体"/>
          <w:sz w:val="28"/>
          <w:szCs w:val="28"/>
        </w:rPr>
      </w:pPr>
      <w:r>
        <w:rPr>
          <w:rFonts w:hint="eastAsia" w:ascii="宋体" w:hAnsi="宋体" w:cs="宋体"/>
          <w:sz w:val="28"/>
          <w:szCs w:val="28"/>
        </w:rPr>
        <w:t>一、项目基本情况</w:t>
      </w:r>
      <w:bookmarkEnd w:id="3"/>
      <w:bookmarkEnd w:id="4"/>
      <w:bookmarkEnd w:id="5"/>
      <w:bookmarkEnd w:id="6"/>
    </w:p>
    <w:p>
      <w:pPr>
        <w:spacing w:line="360" w:lineRule="auto"/>
        <w:ind w:firstLine="560" w:firstLineChars="200"/>
        <w:rPr>
          <w:rFonts w:hint="eastAsia" w:ascii="宋体" w:eastAsia="宋体"/>
          <w:sz w:val="28"/>
          <w:szCs w:val="28"/>
          <w:lang w:eastAsia="zh-CN"/>
        </w:rPr>
      </w:pPr>
      <w:r>
        <w:rPr>
          <w:rFonts w:hint="eastAsia" w:ascii="宋体" w:hAnsi="宋体"/>
          <w:sz w:val="28"/>
          <w:szCs w:val="28"/>
        </w:rPr>
        <w:t>项目编号：</w:t>
      </w:r>
      <w:r>
        <w:rPr>
          <w:rFonts w:hint="eastAsia" w:ascii="宋体" w:hAnsi="宋体"/>
          <w:sz w:val="28"/>
          <w:szCs w:val="28"/>
          <w:lang w:eastAsia="zh-CN"/>
        </w:rPr>
        <w:t>GXXG-2025-ZFCG001</w:t>
      </w:r>
    </w:p>
    <w:p>
      <w:pPr>
        <w:spacing w:line="360" w:lineRule="auto"/>
        <w:ind w:firstLine="560" w:firstLineChars="200"/>
        <w:rPr>
          <w:rFonts w:hint="eastAsia" w:ascii="宋体" w:hAnsi="宋体" w:eastAsia="宋体"/>
          <w:sz w:val="28"/>
          <w:szCs w:val="28"/>
          <w:lang w:eastAsia="zh-CN"/>
        </w:rPr>
      </w:pPr>
      <w:r>
        <w:rPr>
          <w:rFonts w:hint="eastAsia" w:ascii="宋体" w:hAnsi="宋体"/>
          <w:sz w:val="28"/>
          <w:szCs w:val="28"/>
        </w:rPr>
        <w:t>项目名称：</w:t>
      </w:r>
      <w:r>
        <w:rPr>
          <w:rFonts w:hint="eastAsia" w:ascii="宋体" w:hAnsi="宋体"/>
          <w:sz w:val="28"/>
          <w:szCs w:val="28"/>
          <w:lang w:eastAsia="zh-CN"/>
        </w:rPr>
        <w:t>高新区（新市区）卫生健康委员会体检医院服务商采购项目</w:t>
      </w:r>
    </w:p>
    <w:p>
      <w:pPr>
        <w:pStyle w:val="21"/>
        <w:ind w:firstLine="560" w:firstLineChars="200"/>
      </w:pPr>
      <w:r>
        <w:rPr>
          <w:rFonts w:hint="eastAsia" w:ascii="宋体" w:hAnsi="宋体"/>
          <w:sz w:val="28"/>
          <w:szCs w:val="28"/>
        </w:rPr>
        <w:t>采购方式：公开招标</w:t>
      </w:r>
    </w:p>
    <w:bookmarkEnd w:id="7"/>
    <w:p>
      <w:pPr>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预算金额：</w:t>
      </w:r>
      <w:r>
        <w:rPr>
          <w:rFonts w:hint="eastAsia" w:ascii="宋体" w:hAnsi="宋体"/>
          <w:sz w:val="28"/>
          <w:szCs w:val="28"/>
          <w:highlight w:val="none"/>
          <w:lang w:val="en-US" w:eastAsia="zh-CN"/>
        </w:rPr>
        <w:t>12700000.00</w:t>
      </w:r>
      <w:r>
        <w:rPr>
          <w:rFonts w:hint="eastAsia" w:ascii="宋体" w:hAnsi="宋体"/>
          <w:sz w:val="28"/>
          <w:szCs w:val="28"/>
          <w:highlight w:val="none"/>
        </w:rPr>
        <w:t>元</w:t>
      </w:r>
    </w:p>
    <w:p>
      <w:pPr>
        <w:spacing w:line="360" w:lineRule="auto"/>
        <w:ind w:firstLine="560" w:firstLineChars="200"/>
        <w:rPr>
          <w:rFonts w:hint="eastAsia" w:ascii="宋体" w:eastAsia="宋体"/>
          <w:sz w:val="28"/>
          <w:szCs w:val="28"/>
          <w:highlight w:val="none"/>
          <w:lang w:eastAsia="zh-CN"/>
        </w:rPr>
      </w:pPr>
      <w:r>
        <w:rPr>
          <w:rFonts w:hint="eastAsia" w:ascii="宋体" w:hAnsi="宋体"/>
          <w:sz w:val="28"/>
          <w:szCs w:val="28"/>
          <w:highlight w:val="none"/>
        </w:rPr>
        <w:t>最高限价（如有）：</w:t>
      </w:r>
      <w:r>
        <w:rPr>
          <w:rFonts w:hint="eastAsia" w:ascii="宋体" w:hAnsi="宋体"/>
          <w:sz w:val="28"/>
          <w:szCs w:val="28"/>
          <w:highlight w:val="none"/>
          <w:lang w:val="en-US" w:eastAsia="zh-CN"/>
        </w:rPr>
        <w:t>/</w:t>
      </w:r>
    </w:p>
    <w:p>
      <w:pPr>
        <w:pStyle w:val="21"/>
        <w:ind w:firstLine="562" w:firstLineChars="200"/>
        <w:rPr>
          <w:rFonts w:hint="eastAsia" w:ascii="宋体" w:hAnsi="宋体" w:eastAsia="宋体"/>
          <w:b/>
          <w:bCs/>
          <w:sz w:val="28"/>
          <w:szCs w:val="28"/>
          <w:lang w:eastAsia="zh-CN"/>
        </w:rPr>
      </w:pPr>
      <w:r>
        <w:rPr>
          <w:rFonts w:hint="eastAsia" w:ascii="宋体" w:hAnsi="宋体"/>
          <w:b/>
          <w:bCs/>
          <w:sz w:val="28"/>
          <w:szCs w:val="28"/>
        </w:rPr>
        <w:t>标项一:</w:t>
      </w:r>
    </w:p>
    <w:p>
      <w:pPr>
        <w:pStyle w:val="21"/>
        <w:ind w:firstLine="562" w:firstLineChars="200"/>
        <w:rPr>
          <w:rFonts w:hint="default" w:ascii="宋体" w:hAnsi="宋体" w:eastAsia="宋体"/>
          <w:sz w:val="28"/>
          <w:szCs w:val="28"/>
          <w:lang w:val="en-US" w:eastAsia="zh-CN"/>
        </w:rPr>
      </w:pPr>
      <w:r>
        <w:rPr>
          <w:rFonts w:hint="eastAsia" w:ascii="宋体" w:hAnsi="宋体"/>
          <w:b/>
          <w:bCs/>
          <w:sz w:val="28"/>
          <w:szCs w:val="28"/>
        </w:rPr>
        <w:t xml:space="preserve">标项名称: </w:t>
      </w:r>
      <w:r>
        <w:rPr>
          <w:rFonts w:hint="eastAsia" w:ascii="宋体" w:hAnsi="宋体" w:cs="宋体"/>
          <w:kern w:val="0"/>
          <w:sz w:val="24"/>
          <w:szCs w:val="24"/>
          <w:lang w:eastAsia="zh-CN"/>
        </w:rPr>
        <w:t>高新区（新市区）卫生健康委员会体检医院服务商采购项目</w:t>
      </w:r>
      <w:r>
        <w:rPr>
          <w:rFonts w:hint="eastAsia" w:ascii="宋体" w:hAnsi="宋体" w:cs="宋体"/>
          <w:kern w:val="0"/>
          <w:sz w:val="24"/>
          <w:szCs w:val="24"/>
          <w:lang w:val="en-US" w:eastAsia="zh-CN"/>
        </w:rPr>
        <w:t xml:space="preserve"> 标项一</w:t>
      </w:r>
    </w:p>
    <w:p>
      <w:pPr>
        <w:pStyle w:val="21"/>
        <w:ind w:firstLine="560" w:firstLineChars="200"/>
        <w:rPr>
          <w:rFonts w:hint="eastAsia" w:ascii="宋体" w:hAnsi="宋体"/>
          <w:sz w:val="28"/>
          <w:szCs w:val="28"/>
        </w:rPr>
      </w:pPr>
      <w:r>
        <w:rPr>
          <w:rFonts w:hint="eastAsia" w:ascii="宋体" w:hAnsi="宋体"/>
          <w:sz w:val="28"/>
          <w:szCs w:val="28"/>
        </w:rPr>
        <w:t>数量:1</w:t>
      </w:r>
    </w:p>
    <w:p>
      <w:pPr>
        <w:ind w:firstLine="560" w:firstLineChars="200"/>
        <w:rPr>
          <w:rFonts w:hint="eastAsia" w:eastAsia="宋体"/>
          <w:lang w:val="en-US" w:eastAsia="zh-CN"/>
        </w:rPr>
      </w:pPr>
      <w:r>
        <w:rPr>
          <w:rFonts w:hint="eastAsia" w:ascii="宋体" w:hAnsi="宋体"/>
          <w:sz w:val="28"/>
          <w:szCs w:val="28"/>
          <w:lang w:val="en-US" w:eastAsia="zh-CN"/>
        </w:rPr>
        <w:t>采购内容：选取1家体检医院服务商为我区干部职工提供体检服务，体检人数约2843人（最终以实际体检人数为准）。</w:t>
      </w:r>
    </w:p>
    <w:p>
      <w:pPr>
        <w:pStyle w:val="21"/>
        <w:ind w:firstLine="560" w:firstLineChars="200"/>
        <w:rPr>
          <w:rFonts w:hint="default" w:ascii="宋体" w:hAnsi="宋体" w:eastAsia="宋体"/>
          <w:sz w:val="28"/>
          <w:szCs w:val="28"/>
          <w:lang w:val="en-US" w:eastAsia="zh-CN"/>
        </w:rPr>
      </w:pPr>
      <w:r>
        <w:rPr>
          <w:rFonts w:hint="eastAsia" w:ascii="宋体" w:hAnsi="宋体"/>
          <w:sz w:val="28"/>
          <w:szCs w:val="28"/>
        </w:rPr>
        <w:t>预算金额（元）:</w:t>
      </w:r>
      <w:bookmarkStart w:id="8" w:name="OLE_LINK2"/>
      <w:r>
        <w:rPr>
          <w:rFonts w:hint="eastAsia" w:ascii="宋体" w:hAnsi="宋体"/>
          <w:sz w:val="28"/>
          <w:szCs w:val="28"/>
          <w:lang w:val="en-US" w:eastAsia="zh-CN"/>
        </w:rPr>
        <w:t>2721900</w:t>
      </w:r>
      <w:bookmarkEnd w:id="8"/>
      <w:r>
        <w:rPr>
          <w:rFonts w:hint="eastAsia" w:ascii="宋体" w:hAnsi="宋体"/>
          <w:sz w:val="28"/>
          <w:szCs w:val="28"/>
          <w:lang w:val="en-US" w:eastAsia="zh-CN"/>
        </w:rPr>
        <w:t>.00元</w:t>
      </w:r>
    </w:p>
    <w:p>
      <w:pPr>
        <w:pStyle w:val="21"/>
        <w:ind w:firstLine="560" w:firstLineChars="200"/>
        <w:rPr>
          <w:rFonts w:hint="eastAsia" w:ascii="宋体" w:hAnsi="宋体"/>
          <w:sz w:val="28"/>
          <w:szCs w:val="28"/>
        </w:rPr>
      </w:pPr>
      <w:r>
        <w:rPr>
          <w:rFonts w:hint="eastAsia" w:ascii="宋体" w:hAnsi="宋体"/>
          <w:sz w:val="28"/>
          <w:szCs w:val="28"/>
        </w:rPr>
        <w:t>简要规格描述或项目基本概况介绍、用途：具体采购要求详见招标文件</w:t>
      </w:r>
    </w:p>
    <w:p>
      <w:pPr>
        <w:pStyle w:val="21"/>
        <w:ind w:firstLine="562" w:firstLineChars="200"/>
        <w:rPr>
          <w:rFonts w:hint="eastAsia" w:ascii="宋体" w:hAnsi="宋体" w:eastAsia="宋体"/>
          <w:b/>
          <w:bCs/>
          <w:sz w:val="28"/>
          <w:szCs w:val="28"/>
          <w:lang w:eastAsia="zh-CN"/>
        </w:rPr>
      </w:pPr>
      <w:r>
        <w:rPr>
          <w:rFonts w:hint="eastAsia" w:ascii="宋体" w:hAnsi="宋体"/>
          <w:b/>
          <w:bCs/>
          <w:sz w:val="28"/>
          <w:szCs w:val="28"/>
        </w:rPr>
        <w:t>标项</w:t>
      </w:r>
      <w:r>
        <w:rPr>
          <w:rFonts w:hint="eastAsia" w:ascii="宋体" w:hAnsi="宋体"/>
          <w:b/>
          <w:bCs/>
          <w:sz w:val="28"/>
          <w:szCs w:val="28"/>
          <w:lang w:val="en-US" w:eastAsia="zh-CN"/>
        </w:rPr>
        <w:t>二</w:t>
      </w:r>
      <w:r>
        <w:rPr>
          <w:rFonts w:hint="eastAsia" w:ascii="宋体" w:hAnsi="宋体"/>
          <w:b/>
          <w:bCs/>
          <w:sz w:val="28"/>
          <w:szCs w:val="28"/>
        </w:rPr>
        <w:t>:</w:t>
      </w:r>
    </w:p>
    <w:p>
      <w:pPr>
        <w:pStyle w:val="21"/>
        <w:ind w:firstLine="562" w:firstLineChars="200"/>
        <w:rPr>
          <w:rFonts w:hint="default" w:ascii="宋体" w:hAnsi="宋体" w:eastAsia="宋体"/>
          <w:sz w:val="28"/>
          <w:szCs w:val="28"/>
          <w:lang w:val="en-US" w:eastAsia="zh-CN"/>
        </w:rPr>
      </w:pPr>
      <w:r>
        <w:rPr>
          <w:rFonts w:hint="eastAsia" w:ascii="宋体" w:hAnsi="宋体"/>
          <w:b/>
          <w:bCs/>
          <w:sz w:val="28"/>
          <w:szCs w:val="28"/>
        </w:rPr>
        <w:t xml:space="preserve">标项名称: </w:t>
      </w:r>
      <w:r>
        <w:rPr>
          <w:rFonts w:hint="eastAsia" w:ascii="宋体" w:hAnsi="宋体" w:cs="宋体"/>
          <w:kern w:val="0"/>
          <w:sz w:val="24"/>
          <w:szCs w:val="24"/>
          <w:lang w:eastAsia="zh-CN"/>
        </w:rPr>
        <w:t>高新区（新市区）卫生健康委员会体检医院服务商采购项目</w:t>
      </w:r>
      <w:r>
        <w:rPr>
          <w:rFonts w:hint="eastAsia" w:ascii="宋体" w:hAnsi="宋体" w:cs="宋体"/>
          <w:kern w:val="0"/>
          <w:sz w:val="24"/>
          <w:szCs w:val="24"/>
          <w:lang w:val="en-US" w:eastAsia="zh-CN"/>
        </w:rPr>
        <w:t xml:space="preserve"> 标项二</w:t>
      </w:r>
    </w:p>
    <w:p>
      <w:pPr>
        <w:pStyle w:val="21"/>
        <w:ind w:firstLine="560" w:firstLineChars="200"/>
        <w:rPr>
          <w:rFonts w:hint="eastAsia" w:ascii="宋体" w:hAnsi="宋体"/>
          <w:sz w:val="28"/>
          <w:szCs w:val="28"/>
        </w:rPr>
      </w:pPr>
      <w:r>
        <w:rPr>
          <w:rFonts w:hint="eastAsia" w:ascii="宋体" w:hAnsi="宋体"/>
          <w:sz w:val="28"/>
          <w:szCs w:val="28"/>
        </w:rPr>
        <w:t>数量:1</w:t>
      </w:r>
    </w:p>
    <w:p>
      <w:pPr>
        <w:ind w:firstLine="560" w:firstLineChars="200"/>
        <w:rPr>
          <w:rFonts w:hint="eastAsia"/>
        </w:rPr>
      </w:pPr>
      <w:bookmarkStart w:id="9" w:name="OLE_LINK1"/>
      <w:r>
        <w:rPr>
          <w:rFonts w:hint="eastAsia" w:ascii="宋体" w:hAnsi="宋体"/>
          <w:sz w:val="28"/>
          <w:szCs w:val="28"/>
          <w:lang w:val="en-US" w:eastAsia="zh-CN"/>
        </w:rPr>
        <w:t>采购内容：选取1家体检医院服务商为我区干部职工提供体检服务，体检人数约2768人（最终以实际体检人数为准）。</w:t>
      </w:r>
    </w:p>
    <w:bookmarkEnd w:id="9"/>
    <w:p>
      <w:pPr>
        <w:pStyle w:val="21"/>
        <w:ind w:firstLine="560" w:firstLineChars="200"/>
        <w:rPr>
          <w:rFonts w:hint="default" w:ascii="宋体" w:hAnsi="宋体"/>
          <w:sz w:val="28"/>
          <w:szCs w:val="28"/>
          <w:lang w:val="en-US" w:eastAsia="zh-CN"/>
        </w:rPr>
      </w:pPr>
      <w:r>
        <w:rPr>
          <w:rFonts w:hint="eastAsia" w:ascii="宋体" w:hAnsi="宋体"/>
          <w:sz w:val="28"/>
          <w:szCs w:val="28"/>
          <w:lang w:val="en-US" w:eastAsia="zh-CN"/>
        </w:rPr>
        <w:t>预算金额（元）:2580200.00元</w:t>
      </w:r>
    </w:p>
    <w:p>
      <w:pPr>
        <w:pStyle w:val="21"/>
        <w:ind w:firstLine="562" w:firstLineChars="200"/>
        <w:rPr>
          <w:rFonts w:hint="eastAsia" w:ascii="宋体" w:hAnsi="宋体" w:eastAsia="宋体"/>
          <w:b/>
          <w:bCs/>
          <w:sz w:val="28"/>
          <w:szCs w:val="28"/>
          <w:lang w:eastAsia="zh-CN"/>
        </w:rPr>
      </w:pPr>
      <w:r>
        <w:rPr>
          <w:rFonts w:hint="eastAsia" w:ascii="宋体" w:hAnsi="宋体"/>
          <w:b/>
          <w:bCs/>
          <w:sz w:val="28"/>
          <w:szCs w:val="28"/>
        </w:rPr>
        <w:t>标项</w:t>
      </w:r>
      <w:r>
        <w:rPr>
          <w:rFonts w:hint="eastAsia" w:ascii="宋体" w:hAnsi="宋体"/>
          <w:b/>
          <w:bCs/>
          <w:sz w:val="28"/>
          <w:szCs w:val="28"/>
          <w:lang w:val="en-US" w:eastAsia="zh-CN"/>
        </w:rPr>
        <w:t>三</w:t>
      </w:r>
      <w:r>
        <w:rPr>
          <w:rFonts w:hint="eastAsia" w:ascii="宋体" w:hAnsi="宋体"/>
          <w:b/>
          <w:bCs/>
          <w:sz w:val="28"/>
          <w:szCs w:val="28"/>
        </w:rPr>
        <w:t>:</w:t>
      </w:r>
    </w:p>
    <w:p>
      <w:pPr>
        <w:pStyle w:val="21"/>
        <w:ind w:firstLine="562" w:firstLineChars="200"/>
        <w:rPr>
          <w:rFonts w:hint="default" w:ascii="宋体" w:hAnsi="宋体"/>
          <w:sz w:val="28"/>
          <w:szCs w:val="28"/>
          <w:lang w:val="en-US" w:eastAsia="zh-CN"/>
        </w:rPr>
      </w:pPr>
      <w:r>
        <w:rPr>
          <w:rFonts w:hint="eastAsia" w:ascii="宋体" w:hAnsi="宋体"/>
          <w:b/>
          <w:bCs/>
          <w:sz w:val="28"/>
          <w:szCs w:val="28"/>
        </w:rPr>
        <w:t>标项名称:</w:t>
      </w:r>
      <w:r>
        <w:rPr>
          <w:rFonts w:hint="eastAsia" w:ascii="宋体" w:hAnsi="宋体" w:cs="宋体"/>
          <w:kern w:val="0"/>
          <w:sz w:val="24"/>
          <w:szCs w:val="24"/>
          <w:lang w:eastAsia="zh-CN"/>
        </w:rPr>
        <w:t>高新区（新市区）卫生健康委员会体检医院服务商采购项目</w:t>
      </w:r>
      <w:r>
        <w:rPr>
          <w:rFonts w:hint="eastAsia" w:ascii="宋体" w:hAnsi="宋体" w:cs="宋体"/>
          <w:kern w:val="0"/>
          <w:sz w:val="24"/>
          <w:szCs w:val="24"/>
          <w:lang w:val="en-US" w:eastAsia="zh-CN"/>
        </w:rPr>
        <w:t xml:space="preserve"> 标项三</w:t>
      </w:r>
    </w:p>
    <w:p>
      <w:pPr>
        <w:pStyle w:val="21"/>
        <w:ind w:firstLine="560" w:firstLineChars="200"/>
        <w:rPr>
          <w:rFonts w:hint="eastAsia" w:ascii="宋体" w:hAnsi="宋体"/>
          <w:sz w:val="28"/>
          <w:szCs w:val="28"/>
        </w:rPr>
      </w:pPr>
      <w:r>
        <w:rPr>
          <w:rFonts w:hint="eastAsia" w:ascii="宋体" w:hAnsi="宋体"/>
          <w:sz w:val="28"/>
          <w:szCs w:val="28"/>
        </w:rPr>
        <w:t>数量:1</w:t>
      </w:r>
    </w:p>
    <w:p>
      <w:pPr>
        <w:ind w:firstLine="560" w:firstLineChars="200"/>
        <w:rPr>
          <w:rFonts w:hint="eastAsia" w:ascii="宋体" w:hAnsi="宋体" w:cs="Times New Roman"/>
          <w:sz w:val="28"/>
          <w:szCs w:val="28"/>
          <w:lang w:val="en-US" w:eastAsia="zh-CN"/>
        </w:rPr>
      </w:pPr>
      <w:bookmarkStart w:id="10" w:name="OLE_LINK10"/>
      <w:r>
        <w:rPr>
          <w:rFonts w:hint="eastAsia" w:ascii="宋体" w:hAnsi="宋体" w:cs="Times New Roman"/>
          <w:sz w:val="28"/>
          <w:szCs w:val="28"/>
          <w:lang w:val="en-US" w:eastAsia="zh-CN"/>
        </w:rPr>
        <w:t>采购内容：选取1家体检医院服务商为我区干部职工提供体检服务，体检人数约2099人（最终以实际体检人数为准）。</w:t>
      </w:r>
    </w:p>
    <w:bookmarkEnd w:id="10"/>
    <w:p>
      <w:pPr>
        <w:pStyle w:val="21"/>
        <w:ind w:firstLine="560" w:firstLineChars="200"/>
        <w:rPr>
          <w:rFonts w:hint="default" w:ascii="宋体" w:hAnsi="宋体"/>
          <w:sz w:val="28"/>
          <w:szCs w:val="28"/>
          <w:lang w:val="en-US" w:eastAsia="zh-CN"/>
        </w:rPr>
      </w:pPr>
      <w:r>
        <w:rPr>
          <w:rFonts w:hint="eastAsia" w:ascii="宋体" w:hAnsi="宋体"/>
          <w:sz w:val="28"/>
          <w:szCs w:val="28"/>
        </w:rPr>
        <w:t>预算金额（元）:</w:t>
      </w:r>
      <w:r>
        <w:rPr>
          <w:rFonts w:hint="eastAsia" w:ascii="宋体" w:hAnsi="宋体"/>
          <w:sz w:val="28"/>
          <w:szCs w:val="28"/>
          <w:lang w:val="en-US" w:eastAsia="zh-CN"/>
        </w:rPr>
        <w:t>1995800.00元</w:t>
      </w:r>
    </w:p>
    <w:p>
      <w:pPr>
        <w:pStyle w:val="21"/>
        <w:ind w:firstLine="560" w:firstLineChars="200"/>
        <w:rPr>
          <w:rFonts w:hint="eastAsia" w:ascii="宋体" w:hAnsi="宋体" w:eastAsia="宋体"/>
          <w:sz w:val="28"/>
          <w:szCs w:val="28"/>
          <w:lang w:eastAsia="zh-CN"/>
        </w:rPr>
      </w:pPr>
      <w:r>
        <w:rPr>
          <w:rFonts w:hint="eastAsia" w:ascii="宋体" w:hAnsi="宋体"/>
          <w:sz w:val="28"/>
          <w:szCs w:val="28"/>
        </w:rPr>
        <w:t>简要规格描述或项目基本概况介绍、用途：具体采购要求详见招标文件</w:t>
      </w:r>
    </w:p>
    <w:p>
      <w:pPr>
        <w:pStyle w:val="21"/>
        <w:ind w:firstLine="562" w:firstLineChars="200"/>
        <w:rPr>
          <w:rFonts w:hint="eastAsia" w:ascii="宋体" w:hAnsi="宋体" w:eastAsia="宋体"/>
          <w:b/>
          <w:bCs/>
          <w:sz w:val="28"/>
          <w:szCs w:val="28"/>
          <w:lang w:eastAsia="zh-CN"/>
        </w:rPr>
      </w:pPr>
      <w:r>
        <w:rPr>
          <w:rFonts w:hint="eastAsia" w:ascii="宋体" w:hAnsi="宋体"/>
          <w:b/>
          <w:bCs/>
          <w:sz w:val="28"/>
          <w:szCs w:val="28"/>
        </w:rPr>
        <w:t>标项</w:t>
      </w:r>
      <w:r>
        <w:rPr>
          <w:rFonts w:hint="eastAsia" w:ascii="宋体" w:hAnsi="宋体"/>
          <w:b/>
          <w:bCs/>
          <w:sz w:val="28"/>
          <w:szCs w:val="28"/>
          <w:lang w:val="en-US" w:eastAsia="zh-CN"/>
        </w:rPr>
        <w:t>四</w:t>
      </w:r>
      <w:r>
        <w:rPr>
          <w:rFonts w:hint="eastAsia" w:ascii="宋体" w:hAnsi="宋体"/>
          <w:b/>
          <w:bCs/>
          <w:sz w:val="28"/>
          <w:szCs w:val="28"/>
        </w:rPr>
        <w:t>:</w:t>
      </w:r>
    </w:p>
    <w:p>
      <w:pPr>
        <w:pStyle w:val="21"/>
        <w:ind w:firstLine="562" w:firstLineChars="200"/>
        <w:rPr>
          <w:rFonts w:hint="eastAsia" w:ascii="宋体" w:hAnsi="宋体" w:eastAsia="宋体"/>
          <w:sz w:val="28"/>
          <w:szCs w:val="28"/>
          <w:lang w:val="en-US" w:eastAsia="zh-CN"/>
        </w:rPr>
      </w:pPr>
      <w:r>
        <w:rPr>
          <w:rFonts w:hint="eastAsia" w:ascii="宋体" w:hAnsi="宋体"/>
          <w:b/>
          <w:bCs/>
          <w:sz w:val="28"/>
          <w:szCs w:val="28"/>
        </w:rPr>
        <w:t>标项名称:</w:t>
      </w:r>
      <w:r>
        <w:rPr>
          <w:rFonts w:hint="eastAsia" w:ascii="宋体" w:hAnsi="宋体" w:cs="宋体"/>
          <w:kern w:val="0"/>
          <w:sz w:val="24"/>
          <w:szCs w:val="24"/>
          <w:lang w:eastAsia="zh-CN"/>
        </w:rPr>
        <w:t>高新区（新市区）卫生健康委员会体检医院服务商采购项目</w:t>
      </w:r>
      <w:r>
        <w:rPr>
          <w:rFonts w:hint="eastAsia" w:ascii="宋体" w:hAnsi="宋体" w:cs="宋体"/>
          <w:kern w:val="0"/>
          <w:sz w:val="24"/>
          <w:szCs w:val="24"/>
          <w:lang w:val="en-US" w:eastAsia="zh-CN"/>
        </w:rPr>
        <w:t xml:space="preserve"> 标项四</w:t>
      </w:r>
    </w:p>
    <w:p>
      <w:pPr>
        <w:pStyle w:val="21"/>
        <w:ind w:left="559" w:leftChars="266" w:firstLine="0" w:firstLineChars="0"/>
        <w:rPr>
          <w:rFonts w:hint="eastAsia" w:ascii="宋体" w:hAnsi="宋体"/>
          <w:sz w:val="28"/>
          <w:szCs w:val="28"/>
        </w:rPr>
      </w:pPr>
      <w:r>
        <w:rPr>
          <w:rFonts w:hint="eastAsia" w:ascii="宋体" w:hAnsi="宋体"/>
          <w:sz w:val="28"/>
          <w:szCs w:val="28"/>
        </w:rPr>
        <w:t>数量:1</w:t>
      </w:r>
    </w:p>
    <w:p>
      <w:pPr>
        <w:ind w:firstLine="560" w:firstLineChars="200"/>
        <w:rPr>
          <w:rFonts w:hint="eastAsia" w:ascii="宋体" w:hAnsi="宋体" w:cs="Times New Roman"/>
          <w:sz w:val="28"/>
          <w:szCs w:val="28"/>
          <w:lang w:val="en-US" w:eastAsia="zh-CN"/>
        </w:rPr>
      </w:pPr>
      <w:r>
        <w:rPr>
          <w:rFonts w:hint="eastAsia" w:ascii="宋体" w:hAnsi="宋体" w:cs="Times New Roman"/>
          <w:sz w:val="28"/>
          <w:szCs w:val="28"/>
          <w:lang w:val="en-US" w:eastAsia="zh-CN"/>
        </w:rPr>
        <w:t>采购内容：选取1家体检医院服务商为我区干部职工提供体检服务，体检人数约1901人（最终以实际体检人数为准）。</w:t>
      </w:r>
    </w:p>
    <w:p>
      <w:pPr>
        <w:rPr>
          <w:rFonts w:hint="eastAsia"/>
          <w:lang w:eastAsia="zh-CN"/>
        </w:rPr>
      </w:pPr>
    </w:p>
    <w:p>
      <w:pPr>
        <w:pStyle w:val="21"/>
        <w:ind w:left="559" w:leftChars="266" w:firstLine="0" w:firstLineChars="0"/>
        <w:rPr>
          <w:rFonts w:hint="default" w:ascii="宋体" w:hAnsi="宋体"/>
          <w:sz w:val="28"/>
          <w:szCs w:val="28"/>
          <w:lang w:val="en-US" w:eastAsia="zh-CN"/>
        </w:rPr>
      </w:pPr>
      <w:r>
        <w:rPr>
          <w:rFonts w:hint="eastAsia" w:ascii="宋体" w:hAnsi="宋体"/>
          <w:sz w:val="28"/>
          <w:szCs w:val="28"/>
        </w:rPr>
        <w:t>预算金额（元）:</w:t>
      </w:r>
      <w:r>
        <w:rPr>
          <w:rFonts w:hint="eastAsia" w:ascii="宋体" w:hAnsi="宋体"/>
          <w:sz w:val="28"/>
          <w:szCs w:val="28"/>
          <w:lang w:val="en-US" w:eastAsia="zh-CN"/>
        </w:rPr>
        <w:t>1853750.00元</w:t>
      </w:r>
    </w:p>
    <w:p>
      <w:pPr>
        <w:pStyle w:val="21"/>
        <w:ind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sz w:val="28"/>
          <w:szCs w:val="28"/>
          <w:lang w:val="en-US" w:eastAsia="zh-CN"/>
        </w:rPr>
        <w:t>简要规格描述或项目基本概况介绍、用途</w:t>
      </w:r>
      <w:r>
        <w:rPr>
          <w:rFonts w:hint="eastAsia" w:ascii="宋体" w:hAnsi="宋体" w:eastAsia="宋体" w:cs="Times New Roman"/>
          <w:b w:val="0"/>
          <w:bCs w:val="0"/>
          <w:kern w:val="2"/>
          <w:sz w:val="28"/>
          <w:szCs w:val="28"/>
          <w:lang w:val="en-US" w:eastAsia="zh-CN" w:bidi="ar-SA"/>
        </w:rPr>
        <w:t>：具体采购要求详见招标文件</w:t>
      </w:r>
    </w:p>
    <w:p>
      <w:pPr>
        <w:pStyle w:val="21"/>
        <w:ind w:firstLine="562" w:firstLineChars="200"/>
        <w:rPr>
          <w:rFonts w:hint="eastAsia" w:ascii="宋体" w:hAnsi="宋体" w:eastAsia="宋体"/>
          <w:b/>
          <w:bCs/>
          <w:sz w:val="28"/>
          <w:szCs w:val="28"/>
          <w:lang w:eastAsia="zh-CN"/>
        </w:rPr>
      </w:pPr>
      <w:r>
        <w:rPr>
          <w:rFonts w:hint="eastAsia" w:ascii="宋体" w:hAnsi="宋体"/>
          <w:b/>
          <w:bCs/>
          <w:sz w:val="28"/>
          <w:szCs w:val="28"/>
        </w:rPr>
        <w:t>标项</w:t>
      </w:r>
      <w:r>
        <w:rPr>
          <w:rFonts w:hint="eastAsia" w:ascii="宋体" w:hAnsi="宋体"/>
          <w:b/>
          <w:bCs/>
          <w:sz w:val="28"/>
          <w:szCs w:val="28"/>
          <w:lang w:val="en-US" w:eastAsia="zh-CN"/>
        </w:rPr>
        <w:t>五</w:t>
      </w:r>
      <w:r>
        <w:rPr>
          <w:rFonts w:hint="eastAsia" w:ascii="宋体" w:hAnsi="宋体"/>
          <w:b/>
          <w:bCs/>
          <w:sz w:val="28"/>
          <w:szCs w:val="28"/>
        </w:rPr>
        <w:t>:</w:t>
      </w:r>
    </w:p>
    <w:p>
      <w:pPr>
        <w:pStyle w:val="21"/>
        <w:ind w:firstLine="562" w:firstLineChars="200"/>
        <w:rPr>
          <w:rFonts w:hint="default" w:ascii="宋体" w:hAnsi="宋体"/>
          <w:sz w:val="28"/>
          <w:szCs w:val="28"/>
          <w:lang w:val="en-US" w:eastAsia="zh-CN"/>
        </w:rPr>
      </w:pPr>
      <w:r>
        <w:rPr>
          <w:rFonts w:hint="eastAsia" w:ascii="宋体" w:hAnsi="宋体"/>
          <w:b/>
          <w:bCs/>
          <w:sz w:val="28"/>
          <w:szCs w:val="28"/>
        </w:rPr>
        <w:t xml:space="preserve">标项名称: </w:t>
      </w:r>
      <w:r>
        <w:rPr>
          <w:rFonts w:hint="eastAsia" w:ascii="宋体" w:hAnsi="宋体" w:cs="宋体"/>
          <w:kern w:val="0"/>
          <w:sz w:val="24"/>
          <w:szCs w:val="24"/>
          <w:lang w:eastAsia="zh-CN"/>
        </w:rPr>
        <w:t>高新区（新市区）卫生健康委员会体检医院服务商采购项目</w:t>
      </w:r>
      <w:r>
        <w:rPr>
          <w:rFonts w:hint="eastAsia" w:ascii="宋体" w:hAnsi="宋体" w:cs="宋体"/>
          <w:kern w:val="0"/>
          <w:sz w:val="24"/>
          <w:szCs w:val="24"/>
          <w:lang w:val="en-US" w:eastAsia="zh-CN"/>
        </w:rPr>
        <w:t xml:space="preserve"> 标项五</w:t>
      </w:r>
    </w:p>
    <w:p>
      <w:pPr>
        <w:pStyle w:val="21"/>
        <w:ind w:firstLine="560" w:firstLineChars="200"/>
        <w:rPr>
          <w:rFonts w:hint="eastAsia" w:ascii="宋体" w:hAnsi="宋体"/>
          <w:sz w:val="28"/>
          <w:szCs w:val="28"/>
        </w:rPr>
      </w:pPr>
      <w:r>
        <w:rPr>
          <w:rFonts w:hint="eastAsia" w:ascii="宋体" w:hAnsi="宋体"/>
          <w:sz w:val="28"/>
          <w:szCs w:val="28"/>
        </w:rPr>
        <w:t>数量:1</w:t>
      </w:r>
    </w:p>
    <w:p>
      <w:pPr>
        <w:ind w:firstLine="560" w:firstLineChars="200"/>
        <w:rPr>
          <w:rFonts w:hint="eastAsia" w:ascii="宋体" w:hAnsi="宋体" w:cs="Times New Roman"/>
          <w:sz w:val="28"/>
          <w:szCs w:val="28"/>
          <w:lang w:val="en-US" w:eastAsia="zh-CN"/>
        </w:rPr>
      </w:pPr>
      <w:r>
        <w:rPr>
          <w:rFonts w:hint="eastAsia" w:ascii="宋体" w:hAnsi="宋体" w:cs="Times New Roman"/>
          <w:sz w:val="28"/>
          <w:szCs w:val="28"/>
          <w:lang w:val="en-US" w:eastAsia="zh-CN"/>
        </w:rPr>
        <w:t>采购内容：选取1家体检医院服务商为我区干部职工提供体检服务，体检人数约1775人（最终以实际体检人数为准）。</w:t>
      </w:r>
    </w:p>
    <w:p>
      <w:pPr>
        <w:rPr>
          <w:rFonts w:hint="eastAsia"/>
          <w:lang w:eastAsia="zh-CN"/>
        </w:rPr>
      </w:pPr>
    </w:p>
    <w:p>
      <w:pPr>
        <w:pStyle w:val="21"/>
        <w:ind w:firstLine="560" w:firstLineChars="200"/>
        <w:rPr>
          <w:rFonts w:hint="default" w:ascii="宋体" w:hAnsi="宋体"/>
          <w:sz w:val="28"/>
          <w:szCs w:val="28"/>
          <w:lang w:val="en-US" w:eastAsia="zh-CN"/>
        </w:rPr>
      </w:pPr>
      <w:r>
        <w:rPr>
          <w:rFonts w:hint="eastAsia" w:ascii="宋体" w:hAnsi="宋体"/>
          <w:sz w:val="28"/>
          <w:szCs w:val="28"/>
        </w:rPr>
        <w:t>预算金额（元）:</w:t>
      </w:r>
      <w:r>
        <w:rPr>
          <w:rFonts w:hint="eastAsia" w:ascii="宋体" w:hAnsi="宋体"/>
          <w:sz w:val="28"/>
          <w:szCs w:val="28"/>
          <w:lang w:val="en-US" w:eastAsia="zh-CN"/>
        </w:rPr>
        <w:t>1727000.00元</w:t>
      </w:r>
    </w:p>
    <w:p>
      <w:pPr>
        <w:spacing w:line="360" w:lineRule="auto"/>
        <w:ind w:firstLine="560" w:firstLineChars="200"/>
        <w:rPr>
          <w:rFonts w:hint="eastAsia" w:ascii="宋体" w:hAnsi="宋体"/>
          <w:sz w:val="28"/>
          <w:szCs w:val="28"/>
        </w:rPr>
      </w:pPr>
      <w:r>
        <w:rPr>
          <w:rFonts w:hint="eastAsia" w:ascii="宋体" w:hAnsi="宋体"/>
          <w:sz w:val="28"/>
          <w:szCs w:val="28"/>
        </w:rPr>
        <w:t>简要规格描述或项目基本概况介绍、用途：具体采购要求详见招标文件</w:t>
      </w:r>
    </w:p>
    <w:p>
      <w:pPr>
        <w:pStyle w:val="21"/>
        <w:ind w:firstLine="562" w:firstLineChars="200"/>
        <w:rPr>
          <w:rFonts w:hint="eastAsia" w:ascii="宋体" w:hAnsi="宋体" w:eastAsia="宋体"/>
          <w:b/>
          <w:bCs/>
          <w:sz w:val="28"/>
          <w:szCs w:val="28"/>
          <w:lang w:eastAsia="zh-CN"/>
        </w:rPr>
      </w:pPr>
      <w:r>
        <w:rPr>
          <w:rFonts w:hint="eastAsia" w:ascii="宋体" w:hAnsi="宋体"/>
          <w:b/>
          <w:bCs/>
          <w:sz w:val="28"/>
          <w:szCs w:val="28"/>
        </w:rPr>
        <w:t>标项</w:t>
      </w:r>
      <w:r>
        <w:rPr>
          <w:rFonts w:hint="eastAsia" w:ascii="宋体" w:hAnsi="宋体"/>
          <w:b/>
          <w:bCs/>
          <w:sz w:val="28"/>
          <w:szCs w:val="28"/>
          <w:lang w:val="en-US" w:eastAsia="zh-CN"/>
        </w:rPr>
        <w:t>六</w:t>
      </w:r>
      <w:r>
        <w:rPr>
          <w:rFonts w:hint="eastAsia" w:ascii="宋体" w:hAnsi="宋体"/>
          <w:b/>
          <w:bCs/>
          <w:sz w:val="28"/>
          <w:szCs w:val="28"/>
        </w:rPr>
        <w:t>:</w:t>
      </w:r>
    </w:p>
    <w:p>
      <w:pPr>
        <w:pStyle w:val="21"/>
        <w:ind w:firstLine="562" w:firstLineChars="200"/>
        <w:rPr>
          <w:rFonts w:hint="default" w:ascii="宋体" w:hAnsi="宋体"/>
          <w:sz w:val="28"/>
          <w:szCs w:val="28"/>
          <w:lang w:val="en-US" w:eastAsia="zh-CN"/>
        </w:rPr>
      </w:pPr>
      <w:r>
        <w:rPr>
          <w:rFonts w:hint="eastAsia" w:ascii="宋体" w:hAnsi="宋体"/>
          <w:b/>
          <w:bCs/>
          <w:sz w:val="28"/>
          <w:szCs w:val="28"/>
        </w:rPr>
        <w:t xml:space="preserve">标项名称: </w:t>
      </w:r>
      <w:r>
        <w:rPr>
          <w:rFonts w:hint="eastAsia" w:ascii="宋体" w:hAnsi="宋体" w:cs="宋体"/>
          <w:kern w:val="0"/>
          <w:sz w:val="24"/>
          <w:szCs w:val="24"/>
          <w:lang w:eastAsia="zh-CN"/>
        </w:rPr>
        <w:t>高新区（新市区）卫生健康委员会体检医院服务商采购项目</w:t>
      </w:r>
      <w:r>
        <w:rPr>
          <w:rFonts w:hint="eastAsia" w:ascii="宋体" w:hAnsi="宋体" w:cs="宋体"/>
          <w:kern w:val="0"/>
          <w:sz w:val="24"/>
          <w:szCs w:val="24"/>
          <w:lang w:val="en-US" w:eastAsia="zh-CN"/>
        </w:rPr>
        <w:t xml:space="preserve"> 标项六</w:t>
      </w:r>
    </w:p>
    <w:p>
      <w:pPr>
        <w:pStyle w:val="21"/>
        <w:ind w:firstLine="560" w:firstLineChars="200"/>
        <w:rPr>
          <w:rFonts w:hint="eastAsia" w:ascii="宋体" w:hAnsi="宋体"/>
          <w:sz w:val="28"/>
          <w:szCs w:val="28"/>
        </w:rPr>
      </w:pPr>
      <w:r>
        <w:rPr>
          <w:rFonts w:hint="eastAsia" w:ascii="宋体" w:hAnsi="宋体"/>
          <w:sz w:val="28"/>
          <w:szCs w:val="28"/>
        </w:rPr>
        <w:t>数量:1</w:t>
      </w:r>
    </w:p>
    <w:p>
      <w:pPr>
        <w:ind w:firstLine="560" w:firstLineChars="200"/>
        <w:rPr>
          <w:rFonts w:hint="eastAsia" w:ascii="宋体" w:hAnsi="宋体" w:cs="Times New Roman"/>
          <w:sz w:val="28"/>
          <w:szCs w:val="28"/>
          <w:lang w:val="en-US" w:eastAsia="zh-CN"/>
        </w:rPr>
      </w:pPr>
      <w:r>
        <w:rPr>
          <w:rFonts w:hint="eastAsia" w:ascii="宋体" w:hAnsi="宋体" w:cs="Times New Roman"/>
          <w:sz w:val="28"/>
          <w:szCs w:val="28"/>
          <w:lang w:val="en-US" w:eastAsia="zh-CN"/>
        </w:rPr>
        <w:t>采购内容：选取1家体检医院服务商为我区干部职工提供体检服务，体检人数约1868人（最终以实际体检人数为准）。</w:t>
      </w:r>
    </w:p>
    <w:p>
      <w:pPr>
        <w:rPr>
          <w:rFonts w:hint="eastAsia"/>
          <w:lang w:eastAsia="zh-CN"/>
        </w:rPr>
      </w:pPr>
    </w:p>
    <w:p>
      <w:pPr>
        <w:pStyle w:val="21"/>
        <w:ind w:firstLine="560" w:firstLineChars="200"/>
        <w:rPr>
          <w:rFonts w:hint="default" w:ascii="宋体" w:hAnsi="宋体"/>
          <w:sz w:val="28"/>
          <w:szCs w:val="28"/>
          <w:lang w:val="en-US" w:eastAsia="zh-CN"/>
        </w:rPr>
      </w:pPr>
      <w:r>
        <w:rPr>
          <w:rFonts w:hint="eastAsia" w:ascii="宋体" w:hAnsi="宋体"/>
          <w:sz w:val="28"/>
          <w:szCs w:val="28"/>
        </w:rPr>
        <w:t>预算金额（元）:</w:t>
      </w:r>
      <w:r>
        <w:rPr>
          <w:rFonts w:hint="eastAsia" w:ascii="宋体" w:hAnsi="宋体"/>
          <w:sz w:val="28"/>
          <w:szCs w:val="28"/>
          <w:lang w:val="en-US" w:eastAsia="zh-CN"/>
        </w:rPr>
        <w:t>1821350.00元</w:t>
      </w:r>
    </w:p>
    <w:p>
      <w:pPr>
        <w:spacing w:line="360" w:lineRule="auto"/>
        <w:ind w:firstLine="560" w:firstLineChars="200"/>
        <w:rPr>
          <w:rFonts w:hint="eastAsia" w:ascii="宋体" w:hAnsi="宋体"/>
          <w:sz w:val="28"/>
          <w:szCs w:val="28"/>
        </w:rPr>
      </w:pPr>
      <w:r>
        <w:rPr>
          <w:rFonts w:hint="eastAsia" w:ascii="宋体" w:hAnsi="宋体"/>
          <w:sz w:val="28"/>
          <w:szCs w:val="28"/>
        </w:rPr>
        <w:t>简要规格描述或项目基本概况介绍、用途：具体采购要求详见招标文件</w:t>
      </w:r>
    </w:p>
    <w:p>
      <w:pPr>
        <w:pStyle w:val="2"/>
        <w:rPr>
          <w:rFonts w:hint="eastAsia"/>
        </w:rPr>
      </w:pPr>
    </w:p>
    <w:p>
      <w:pPr>
        <w:spacing w:line="360" w:lineRule="auto"/>
        <w:ind w:firstLine="560" w:firstLineChars="200"/>
        <w:rPr>
          <w:rFonts w:hint="eastAsia" w:ascii="宋体" w:eastAsia="宋体"/>
          <w:sz w:val="28"/>
          <w:szCs w:val="28"/>
          <w:u w:val="single"/>
          <w:lang w:eastAsia="zh-CN"/>
        </w:rPr>
      </w:pPr>
      <w:r>
        <w:rPr>
          <w:rFonts w:hint="eastAsia" w:ascii="宋体" w:hAnsi="宋体"/>
          <w:sz w:val="28"/>
          <w:szCs w:val="28"/>
        </w:rPr>
        <w:t>合同履行期限（服务期）：</w:t>
      </w:r>
      <w:r>
        <w:rPr>
          <w:rFonts w:hint="eastAsia" w:ascii="宋体" w:hAnsi="宋体" w:cs="宋体"/>
          <w:kern w:val="0"/>
          <w:sz w:val="28"/>
          <w:szCs w:val="28"/>
          <w:lang w:eastAsia="zh-CN" w:bidi="ar"/>
        </w:rPr>
        <w:t>一年</w:t>
      </w:r>
    </w:p>
    <w:p>
      <w:pPr>
        <w:spacing w:line="360" w:lineRule="auto"/>
        <w:ind w:firstLine="560" w:firstLineChars="200"/>
        <w:rPr>
          <w:rFonts w:ascii="宋体"/>
          <w:sz w:val="28"/>
          <w:szCs w:val="28"/>
        </w:rPr>
      </w:pPr>
      <w:r>
        <w:rPr>
          <w:rFonts w:hint="eastAsia" w:ascii="宋体" w:hAnsi="宋体"/>
          <w:sz w:val="28"/>
          <w:szCs w:val="28"/>
        </w:rPr>
        <w:t>本项目</w:t>
      </w:r>
      <w:r>
        <w:rPr>
          <w:rFonts w:hint="eastAsia" w:ascii="宋体" w:hAnsi="宋体"/>
          <w:b/>
          <w:sz w:val="28"/>
          <w:szCs w:val="28"/>
        </w:rPr>
        <w:t>（否）</w:t>
      </w:r>
      <w:r>
        <w:rPr>
          <w:rFonts w:hint="eastAsia" w:ascii="宋体" w:hAnsi="宋体"/>
          <w:sz w:val="28"/>
          <w:szCs w:val="28"/>
        </w:rPr>
        <w:t>联合体投标。</w:t>
      </w:r>
    </w:p>
    <w:p>
      <w:pPr>
        <w:rPr>
          <w:rFonts w:ascii="宋体" w:cs="宋体"/>
          <w:sz w:val="28"/>
          <w:szCs w:val="28"/>
        </w:rPr>
      </w:pPr>
      <w:bookmarkStart w:id="11" w:name="_Toc35393622"/>
      <w:bookmarkStart w:id="12" w:name="_Toc28359003"/>
      <w:bookmarkStart w:id="13" w:name="_Toc35393791"/>
      <w:bookmarkStart w:id="14" w:name="_Toc28359080"/>
      <w:r>
        <w:rPr>
          <w:rFonts w:hint="eastAsia" w:ascii="宋体" w:hAnsi="宋体" w:cs="宋体"/>
          <w:sz w:val="28"/>
          <w:szCs w:val="28"/>
        </w:rPr>
        <w:t>二、申请人的资格要求：</w:t>
      </w:r>
      <w:bookmarkEnd w:id="11"/>
      <w:bookmarkEnd w:id="12"/>
      <w:bookmarkEnd w:id="13"/>
      <w:bookmarkEnd w:id="14"/>
    </w:p>
    <w:p>
      <w:pPr>
        <w:shd w:val="clear"/>
        <w:spacing w:line="360" w:lineRule="auto"/>
        <w:ind w:firstLine="560" w:firstLineChars="200"/>
        <w:rPr>
          <w:highlight w:val="none"/>
        </w:rPr>
      </w:pPr>
      <w:bookmarkStart w:id="15" w:name="_Toc28359004"/>
      <w:bookmarkStart w:id="16" w:name="_Toc28359081"/>
      <w:bookmarkStart w:id="17" w:name="_Toc35393792"/>
      <w:bookmarkStart w:id="18" w:name="_Toc35393623"/>
      <w:r>
        <w:rPr>
          <w:rFonts w:ascii="宋体" w:hAnsi="宋体"/>
          <w:sz w:val="28"/>
          <w:szCs w:val="28"/>
          <w:highlight w:val="none"/>
        </w:rPr>
        <w:t>1.</w:t>
      </w:r>
      <w:r>
        <w:rPr>
          <w:rFonts w:hint="eastAsia" w:ascii="宋体" w:hAnsi="宋体"/>
          <w:sz w:val="28"/>
          <w:szCs w:val="28"/>
          <w:highlight w:val="none"/>
        </w:rPr>
        <w:t>满足《中华人民共和国政府采购法》第二十二条规定；</w:t>
      </w:r>
    </w:p>
    <w:p>
      <w:pPr>
        <w:shd w:val="clear"/>
        <w:spacing w:line="360" w:lineRule="auto"/>
        <w:ind w:firstLine="560" w:firstLineChars="200"/>
        <w:rPr>
          <w:rFonts w:ascii="宋体" w:hAnsi="宋体"/>
          <w:sz w:val="28"/>
          <w:szCs w:val="28"/>
          <w:highlight w:val="none"/>
        </w:rPr>
      </w:pPr>
      <w:r>
        <w:rPr>
          <w:rFonts w:ascii="宋体" w:hAnsi="宋体"/>
          <w:sz w:val="28"/>
          <w:szCs w:val="28"/>
          <w:highlight w:val="none"/>
        </w:rPr>
        <w:t>2.</w:t>
      </w:r>
      <w:r>
        <w:rPr>
          <w:rFonts w:hint="eastAsia" w:ascii="宋体" w:hAnsi="宋体"/>
          <w:sz w:val="28"/>
          <w:szCs w:val="28"/>
          <w:highlight w:val="none"/>
        </w:rPr>
        <w:t>落实政府采购政策需满足的资格要求：</w:t>
      </w:r>
    </w:p>
    <w:p>
      <w:pPr>
        <w:shd w:val="clear"/>
        <w:spacing w:line="360" w:lineRule="auto"/>
        <w:ind w:firstLine="560" w:firstLineChars="200"/>
        <w:rPr>
          <w:rFonts w:ascii="宋体" w:hAnsi="宋体"/>
          <w:sz w:val="28"/>
          <w:szCs w:val="28"/>
          <w:highlight w:val="none"/>
          <w:u w:val="single"/>
        </w:rPr>
      </w:pPr>
      <w:r>
        <w:rPr>
          <w:rFonts w:ascii="宋体" w:hAnsi="宋体"/>
          <w:sz w:val="28"/>
          <w:szCs w:val="28"/>
          <w:highlight w:val="none"/>
          <w:u w:val="single"/>
        </w:rPr>
        <w:t>1</w:t>
      </w:r>
      <w:r>
        <w:rPr>
          <w:rFonts w:hint="eastAsia" w:ascii="宋体" w:hAnsi="宋体"/>
          <w:sz w:val="28"/>
          <w:szCs w:val="28"/>
          <w:highlight w:val="none"/>
          <w:u w:val="single"/>
        </w:rPr>
        <w:t>）单位负责人为同一人或者存在直接控股、管理关系的不同</w:t>
      </w:r>
      <w:r>
        <w:rPr>
          <w:rFonts w:hint="eastAsia" w:ascii="宋体" w:hAnsi="宋体"/>
          <w:sz w:val="28"/>
          <w:szCs w:val="28"/>
          <w:highlight w:val="none"/>
          <w:u w:val="single"/>
          <w:lang w:eastAsia="zh-CN"/>
        </w:rPr>
        <w:t>投标人</w:t>
      </w:r>
      <w:r>
        <w:rPr>
          <w:rFonts w:hint="eastAsia" w:ascii="宋体" w:hAnsi="宋体"/>
          <w:sz w:val="28"/>
          <w:szCs w:val="28"/>
          <w:highlight w:val="none"/>
          <w:u w:val="single"/>
        </w:rPr>
        <w:t>，不得同时参加本项目同一</w:t>
      </w:r>
      <w:r>
        <w:rPr>
          <w:rFonts w:hint="eastAsia" w:ascii="宋体" w:hAnsi="宋体"/>
          <w:sz w:val="28"/>
          <w:szCs w:val="28"/>
          <w:highlight w:val="none"/>
          <w:u w:val="single"/>
          <w:lang w:val="en-US" w:eastAsia="zh-CN"/>
        </w:rPr>
        <w:t>标项</w:t>
      </w:r>
      <w:r>
        <w:rPr>
          <w:rFonts w:hint="eastAsia" w:ascii="宋体" w:hAnsi="宋体"/>
          <w:sz w:val="28"/>
          <w:szCs w:val="28"/>
          <w:highlight w:val="none"/>
          <w:u w:val="single"/>
        </w:rPr>
        <w:t>的投标；</w:t>
      </w:r>
    </w:p>
    <w:p>
      <w:pPr>
        <w:shd w:val="clear"/>
        <w:spacing w:line="360" w:lineRule="auto"/>
        <w:ind w:firstLine="560" w:firstLineChars="200"/>
        <w:rPr>
          <w:rFonts w:ascii="宋体" w:hAnsi="宋体"/>
          <w:sz w:val="28"/>
          <w:szCs w:val="28"/>
          <w:highlight w:val="none"/>
          <w:u w:val="single"/>
        </w:rPr>
      </w:pPr>
      <w:r>
        <w:rPr>
          <w:rFonts w:ascii="宋体" w:hAnsi="宋体"/>
          <w:sz w:val="28"/>
          <w:szCs w:val="28"/>
          <w:highlight w:val="none"/>
          <w:u w:val="single"/>
        </w:rPr>
        <w:t>2</w:t>
      </w:r>
      <w:r>
        <w:rPr>
          <w:rFonts w:hint="eastAsia" w:ascii="宋体" w:hAnsi="宋体"/>
          <w:sz w:val="28"/>
          <w:szCs w:val="28"/>
          <w:highlight w:val="none"/>
          <w:u w:val="single"/>
        </w:rPr>
        <w:t>）为本项目某</w:t>
      </w:r>
      <w:r>
        <w:rPr>
          <w:rFonts w:hint="eastAsia" w:ascii="宋体" w:hAnsi="宋体"/>
          <w:sz w:val="28"/>
          <w:szCs w:val="28"/>
          <w:highlight w:val="none"/>
          <w:u w:val="single"/>
          <w:lang w:val="en-US" w:eastAsia="zh-CN"/>
        </w:rPr>
        <w:t>标项</w:t>
      </w:r>
      <w:r>
        <w:rPr>
          <w:rFonts w:hint="eastAsia" w:ascii="宋体" w:hAnsi="宋体"/>
          <w:sz w:val="28"/>
          <w:szCs w:val="28"/>
          <w:highlight w:val="none"/>
          <w:u w:val="single"/>
        </w:rPr>
        <w:t>提供整体设计、规范编制或者项目管理、监理、检测等服务的</w:t>
      </w:r>
      <w:r>
        <w:rPr>
          <w:rFonts w:hint="eastAsia" w:ascii="宋体" w:hAnsi="宋体"/>
          <w:sz w:val="28"/>
          <w:szCs w:val="28"/>
          <w:highlight w:val="none"/>
          <w:u w:val="single"/>
          <w:lang w:eastAsia="zh-CN"/>
        </w:rPr>
        <w:t>投标人</w:t>
      </w:r>
      <w:r>
        <w:rPr>
          <w:rFonts w:hint="eastAsia" w:ascii="宋体" w:hAnsi="宋体"/>
          <w:sz w:val="28"/>
          <w:szCs w:val="28"/>
          <w:highlight w:val="none"/>
          <w:u w:val="single"/>
        </w:rPr>
        <w:t>，不得参加该</w:t>
      </w:r>
      <w:r>
        <w:rPr>
          <w:rFonts w:hint="eastAsia" w:ascii="宋体" w:hAnsi="宋体"/>
          <w:sz w:val="28"/>
          <w:szCs w:val="28"/>
          <w:highlight w:val="none"/>
          <w:u w:val="single"/>
          <w:lang w:val="en-US" w:eastAsia="zh-CN"/>
        </w:rPr>
        <w:t>标项</w:t>
      </w:r>
      <w:r>
        <w:rPr>
          <w:rFonts w:hint="eastAsia" w:ascii="宋体" w:hAnsi="宋体"/>
          <w:sz w:val="28"/>
          <w:szCs w:val="28"/>
          <w:highlight w:val="none"/>
          <w:u w:val="single"/>
        </w:rPr>
        <w:t>的投标；</w:t>
      </w:r>
    </w:p>
    <w:p>
      <w:pPr>
        <w:shd w:val="clear"/>
        <w:spacing w:line="360" w:lineRule="auto"/>
        <w:ind w:firstLine="560" w:firstLineChars="200"/>
        <w:rPr>
          <w:rFonts w:ascii="宋体" w:hAnsi="宋体"/>
          <w:sz w:val="28"/>
          <w:szCs w:val="28"/>
          <w:highlight w:val="none"/>
          <w:u w:val="single"/>
        </w:rPr>
      </w:pPr>
      <w:r>
        <w:rPr>
          <w:rFonts w:ascii="宋体" w:hAnsi="宋体"/>
          <w:sz w:val="28"/>
          <w:szCs w:val="28"/>
          <w:highlight w:val="none"/>
          <w:u w:val="single"/>
        </w:rPr>
        <w:t>3</w:t>
      </w:r>
      <w:r>
        <w:rPr>
          <w:rFonts w:hint="eastAsia" w:ascii="宋体" w:hAnsi="宋体"/>
          <w:sz w:val="28"/>
          <w:szCs w:val="28"/>
          <w:highlight w:val="none"/>
          <w:u w:val="single"/>
        </w:rPr>
        <w:t>）通过“信用中国”网站（</w:t>
      </w:r>
      <w:r>
        <w:rPr>
          <w:rFonts w:ascii="宋体" w:hAnsi="宋体"/>
          <w:sz w:val="28"/>
          <w:szCs w:val="28"/>
          <w:highlight w:val="none"/>
          <w:u w:val="single"/>
        </w:rPr>
        <w:t>www.creditchina.gov.cn</w:t>
      </w:r>
      <w:r>
        <w:rPr>
          <w:rFonts w:hint="eastAsia" w:ascii="宋体" w:hAnsi="宋体"/>
          <w:sz w:val="28"/>
          <w:szCs w:val="28"/>
          <w:highlight w:val="none"/>
          <w:u w:val="single"/>
        </w:rPr>
        <w:t>）和中国政府采购网（</w:t>
      </w:r>
      <w:r>
        <w:rPr>
          <w:rFonts w:ascii="宋体" w:hAnsi="宋体"/>
          <w:sz w:val="28"/>
          <w:szCs w:val="28"/>
          <w:highlight w:val="none"/>
          <w:u w:val="single"/>
        </w:rPr>
        <w:t>www.ccgp.gov.cn</w:t>
      </w:r>
      <w:r>
        <w:rPr>
          <w:rFonts w:hint="eastAsia" w:ascii="宋体" w:hAnsi="宋体"/>
          <w:sz w:val="28"/>
          <w:szCs w:val="28"/>
          <w:highlight w:val="none"/>
          <w:u w:val="single"/>
        </w:rPr>
        <w:t>）查询信用记录（截止时间点为投标截止时间），被列入失信被执行人、重大税收违法案件当事人名单或政府采购严重违法失信行为记录名单的</w:t>
      </w:r>
      <w:r>
        <w:rPr>
          <w:rFonts w:hint="eastAsia" w:ascii="宋体" w:hAnsi="宋体"/>
          <w:sz w:val="28"/>
          <w:szCs w:val="28"/>
          <w:highlight w:val="none"/>
          <w:u w:val="single"/>
          <w:lang w:eastAsia="zh-CN"/>
        </w:rPr>
        <w:t>投标人</w:t>
      </w:r>
      <w:r>
        <w:rPr>
          <w:rFonts w:hint="eastAsia" w:ascii="宋体" w:hAnsi="宋体"/>
          <w:sz w:val="28"/>
          <w:szCs w:val="28"/>
          <w:highlight w:val="none"/>
          <w:u w:val="single"/>
        </w:rPr>
        <w:t>，没有资格参加本项目的采购活动；</w:t>
      </w:r>
    </w:p>
    <w:p>
      <w:pPr>
        <w:shd w:val="clear"/>
        <w:spacing w:line="360" w:lineRule="auto"/>
        <w:ind w:firstLine="560" w:firstLineChars="200"/>
        <w:rPr>
          <w:rFonts w:ascii="宋体"/>
          <w:sz w:val="28"/>
          <w:szCs w:val="28"/>
          <w:highlight w:val="none"/>
          <w:u w:val="single"/>
        </w:rPr>
      </w:pPr>
      <w:r>
        <w:rPr>
          <w:rFonts w:ascii="宋体" w:hAnsi="宋体"/>
          <w:sz w:val="28"/>
          <w:szCs w:val="28"/>
          <w:highlight w:val="none"/>
          <w:u w:val="single"/>
        </w:rPr>
        <w:t>4</w:t>
      </w:r>
      <w:r>
        <w:rPr>
          <w:rFonts w:hint="eastAsia" w:ascii="宋体" w:hAnsi="宋体"/>
          <w:sz w:val="28"/>
          <w:szCs w:val="28"/>
          <w:highlight w:val="none"/>
          <w:u w:val="single"/>
        </w:rPr>
        <w:t>）</w:t>
      </w:r>
      <w:r>
        <w:rPr>
          <w:rFonts w:hint="eastAsia" w:ascii="宋体" w:hAnsi="宋体"/>
          <w:sz w:val="28"/>
          <w:szCs w:val="28"/>
          <w:highlight w:val="none"/>
          <w:u w:val="single"/>
          <w:lang w:eastAsia="zh-CN"/>
        </w:rPr>
        <w:t>本项目非专门面向中小企业采购</w:t>
      </w:r>
      <w:r>
        <w:rPr>
          <w:rFonts w:hint="eastAsia" w:ascii="宋体" w:hAnsi="宋体"/>
          <w:sz w:val="28"/>
          <w:szCs w:val="28"/>
          <w:highlight w:val="none"/>
          <w:u w:val="single"/>
        </w:rPr>
        <w:t>；</w:t>
      </w:r>
    </w:p>
    <w:p>
      <w:pPr>
        <w:shd w:val="clear"/>
        <w:ind w:firstLine="560" w:firstLineChars="200"/>
        <w:rPr>
          <w:rFonts w:hint="eastAsia" w:ascii="宋体" w:hAnsi="宋体" w:cs="Times New Roman"/>
          <w:sz w:val="28"/>
          <w:szCs w:val="28"/>
          <w:highlight w:val="none"/>
        </w:rPr>
      </w:pPr>
      <w:r>
        <w:rPr>
          <w:rFonts w:ascii="宋体" w:hAnsi="宋体"/>
          <w:sz w:val="28"/>
          <w:szCs w:val="28"/>
          <w:highlight w:val="none"/>
        </w:rPr>
        <w:t>3.</w:t>
      </w:r>
      <w:r>
        <w:rPr>
          <w:rFonts w:hint="eastAsia" w:ascii="宋体" w:hAnsi="宋体"/>
          <w:sz w:val="28"/>
          <w:szCs w:val="28"/>
          <w:highlight w:val="none"/>
        </w:rPr>
        <w:t>本项目的特定资格要求</w:t>
      </w:r>
      <w:r>
        <w:rPr>
          <w:rFonts w:hint="eastAsia" w:ascii="宋体" w:hAnsi="宋体" w:cs="Times New Roman"/>
          <w:sz w:val="28"/>
          <w:szCs w:val="28"/>
          <w:highlight w:val="none"/>
        </w:rPr>
        <w:t>：</w:t>
      </w:r>
    </w:p>
    <w:p>
      <w:pPr>
        <w:shd w:val="clear"/>
        <w:ind w:firstLine="560" w:firstLineChars="200"/>
        <w:rPr>
          <w:rFonts w:hint="eastAsia" w:ascii="宋体" w:hAnsi="宋体" w:eastAsia="宋体" w:cs="宋体"/>
          <w:sz w:val="28"/>
          <w:szCs w:val="28"/>
          <w:highlight w:val="none"/>
          <w:u w:val="single"/>
          <w:lang w:eastAsia="zh-CN"/>
        </w:rPr>
      </w:pPr>
      <w:r>
        <w:rPr>
          <w:rFonts w:hint="eastAsia" w:ascii="宋体" w:hAnsi="宋体" w:cs="宋体"/>
          <w:sz w:val="28"/>
          <w:szCs w:val="28"/>
          <w:highlight w:val="none"/>
          <w:u w:val="single"/>
          <w:lang w:eastAsia="zh-CN"/>
        </w:rPr>
        <w:t>具有有效的三级甲等综合医院资质</w:t>
      </w:r>
    </w:p>
    <w:p>
      <w:pPr>
        <w:rPr>
          <w:rFonts w:ascii="宋体" w:cs="宋体"/>
          <w:sz w:val="28"/>
          <w:szCs w:val="28"/>
        </w:rPr>
      </w:pPr>
      <w:r>
        <w:rPr>
          <w:rFonts w:hint="eastAsia" w:ascii="宋体" w:hAnsi="宋体" w:cs="宋体"/>
          <w:sz w:val="28"/>
          <w:szCs w:val="28"/>
        </w:rPr>
        <w:t>三、获取招标文件</w:t>
      </w:r>
      <w:bookmarkEnd w:id="15"/>
      <w:bookmarkEnd w:id="16"/>
      <w:bookmarkEnd w:id="17"/>
      <w:bookmarkEnd w:id="18"/>
    </w:p>
    <w:p>
      <w:pPr>
        <w:spacing w:line="360" w:lineRule="auto"/>
        <w:ind w:firstLine="560" w:firstLineChars="200"/>
        <w:rPr>
          <w:rFonts w:hint="eastAsia" w:ascii="宋体" w:hAnsi="宋体" w:cs="宋体"/>
          <w:sz w:val="28"/>
          <w:szCs w:val="28"/>
        </w:rPr>
      </w:pPr>
      <w:r>
        <w:rPr>
          <w:rFonts w:hint="eastAsia" w:ascii="宋体" w:hAnsi="宋体" w:cs="宋体"/>
          <w:sz w:val="28"/>
          <w:szCs w:val="28"/>
        </w:rPr>
        <w:t>时间：</w:t>
      </w:r>
      <w:r>
        <w:rPr>
          <w:rFonts w:hint="eastAsia" w:ascii="宋体" w:hAnsi="宋体" w:cs="宋体"/>
          <w:sz w:val="28"/>
          <w:szCs w:val="28"/>
          <w:u w:val="single"/>
          <w:lang w:eastAsia="zh-CN"/>
        </w:rPr>
        <w:t>2025</w:t>
      </w:r>
      <w:r>
        <w:rPr>
          <w:rFonts w:hint="eastAsia" w:ascii="宋体" w:hAnsi="宋体" w:cs="宋体"/>
          <w:sz w:val="28"/>
          <w:szCs w:val="28"/>
          <w:u w:val="single"/>
        </w:rPr>
        <w:t xml:space="preserve"> 年</w:t>
      </w:r>
      <w:r>
        <w:rPr>
          <w:rFonts w:hint="eastAsia" w:ascii="宋体" w:hAnsi="宋体" w:cs="宋体"/>
          <w:sz w:val="28"/>
          <w:szCs w:val="28"/>
          <w:u w:val="single"/>
          <w:lang w:val="en-US" w:eastAsia="zh-CN"/>
        </w:rPr>
        <w:t>01</w:t>
      </w:r>
      <w:r>
        <w:rPr>
          <w:rFonts w:hint="eastAsia" w:ascii="宋体" w:hAnsi="宋体" w:cs="宋体"/>
          <w:sz w:val="28"/>
          <w:szCs w:val="28"/>
          <w:u w:val="single"/>
        </w:rPr>
        <w:t>月</w:t>
      </w:r>
      <w:r>
        <w:rPr>
          <w:rFonts w:hint="eastAsia" w:ascii="宋体" w:hAnsi="宋体" w:cs="宋体"/>
          <w:sz w:val="28"/>
          <w:szCs w:val="28"/>
          <w:u w:val="single"/>
          <w:lang w:val="en-US" w:eastAsia="zh-CN"/>
        </w:rPr>
        <w:t xml:space="preserve">23 </w:t>
      </w:r>
      <w:r>
        <w:rPr>
          <w:rFonts w:hint="eastAsia" w:ascii="宋体" w:hAnsi="宋体" w:cs="宋体"/>
          <w:sz w:val="28"/>
          <w:szCs w:val="28"/>
          <w:u w:val="single"/>
        </w:rPr>
        <w:t>日</w:t>
      </w:r>
      <w:r>
        <w:rPr>
          <w:rFonts w:hint="eastAsia" w:ascii="宋体" w:hAnsi="宋体" w:cs="宋体"/>
          <w:sz w:val="28"/>
          <w:szCs w:val="28"/>
        </w:rPr>
        <w:t>至</w:t>
      </w:r>
      <w:r>
        <w:rPr>
          <w:rFonts w:hint="eastAsia" w:ascii="宋体" w:hAnsi="宋体" w:cs="宋体"/>
          <w:sz w:val="28"/>
          <w:szCs w:val="28"/>
          <w:u w:val="single"/>
          <w:lang w:eastAsia="zh-CN"/>
        </w:rPr>
        <w:t>2025</w:t>
      </w:r>
      <w:r>
        <w:rPr>
          <w:rFonts w:hint="eastAsia" w:ascii="宋体" w:hAnsi="宋体" w:cs="宋体"/>
          <w:sz w:val="28"/>
          <w:szCs w:val="28"/>
          <w:u w:val="single"/>
        </w:rPr>
        <w:t xml:space="preserve"> 年</w:t>
      </w:r>
      <w:r>
        <w:rPr>
          <w:rFonts w:hint="eastAsia" w:ascii="宋体" w:hAnsi="宋体" w:cs="宋体"/>
          <w:sz w:val="28"/>
          <w:szCs w:val="28"/>
          <w:u w:val="single"/>
          <w:lang w:val="en-US" w:eastAsia="zh-CN"/>
        </w:rPr>
        <w:t>02</w:t>
      </w:r>
      <w:r>
        <w:rPr>
          <w:rFonts w:hint="eastAsia" w:ascii="宋体" w:hAnsi="宋体" w:cs="宋体"/>
          <w:sz w:val="28"/>
          <w:szCs w:val="28"/>
          <w:u w:val="single"/>
        </w:rPr>
        <w:t>月</w:t>
      </w:r>
      <w:r>
        <w:rPr>
          <w:rFonts w:hint="eastAsia" w:ascii="宋体" w:hAnsi="宋体" w:cs="宋体"/>
          <w:sz w:val="28"/>
          <w:szCs w:val="28"/>
          <w:u w:val="single"/>
          <w:lang w:val="en-US" w:eastAsia="zh-CN"/>
        </w:rPr>
        <w:t xml:space="preserve">07 </w:t>
      </w:r>
      <w:r>
        <w:rPr>
          <w:rFonts w:hint="eastAsia" w:ascii="宋体" w:hAnsi="宋体" w:cs="宋体"/>
          <w:sz w:val="28"/>
          <w:szCs w:val="28"/>
          <w:u w:val="single"/>
        </w:rPr>
        <w:t>日</w:t>
      </w:r>
      <w:r>
        <w:rPr>
          <w:rFonts w:hint="eastAsia" w:ascii="宋体" w:hAnsi="宋体" w:cs="宋体"/>
          <w:sz w:val="28"/>
          <w:szCs w:val="28"/>
        </w:rPr>
        <w:t>，每天上午</w:t>
      </w:r>
      <w:r>
        <w:rPr>
          <w:rFonts w:hint="eastAsia" w:ascii="宋体" w:hAnsi="宋体" w:cs="宋体"/>
          <w:sz w:val="28"/>
          <w:szCs w:val="28"/>
          <w:u w:val="single"/>
          <w:lang w:val="en-US" w:eastAsia="zh-CN"/>
        </w:rPr>
        <w:t>0</w:t>
      </w:r>
      <w:r>
        <w:rPr>
          <w:rFonts w:hint="eastAsia" w:ascii="宋体" w:hAnsi="宋体" w:cs="宋体"/>
          <w:sz w:val="28"/>
          <w:szCs w:val="28"/>
          <w:u w:val="single"/>
        </w:rPr>
        <w:t>0:</w:t>
      </w:r>
      <w:r>
        <w:rPr>
          <w:rFonts w:hint="eastAsia" w:ascii="宋体" w:hAnsi="宋体" w:cs="宋体"/>
          <w:sz w:val="28"/>
          <w:szCs w:val="28"/>
          <w:u w:val="single"/>
          <w:lang w:val="en-US" w:eastAsia="zh-CN"/>
        </w:rPr>
        <w:t>0</w:t>
      </w:r>
      <w:r>
        <w:rPr>
          <w:rFonts w:hint="eastAsia" w:ascii="宋体" w:hAnsi="宋体" w:cs="宋体"/>
          <w:sz w:val="28"/>
          <w:szCs w:val="28"/>
          <w:u w:val="single"/>
        </w:rPr>
        <w:t>0</w:t>
      </w:r>
      <w:r>
        <w:rPr>
          <w:rFonts w:hint="eastAsia" w:ascii="宋体" w:hAnsi="宋体" w:cs="宋体"/>
          <w:sz w:val="28"/>
          <w:szCs w:val="28"/>
        </w:rPr>
        <w:t>至</w:t>
      </w:r>
      <w:r>
        <w:rPr>
          <w:rFonts w:hint="eastAsia" w:ascii="宋体" w:hAnsi="宋体" w:cs="宋体"/>
          <w:sz w:val="28"/>
          <w:szCs w:val="28"/>
          <w:u w:val="single"/>
        </w:rPr>
        <w:t>1</w:t>
      </w:r>
      <w:r>
        <w:rPr>
          <w:rFonts w:hint="eastAsia" w:ascii="宋体" w:hAnsi="宋体" w:cs="宋体"/>
          <w:sz w:val="28"/>
          <w:szCs w:val="28"/>
          <w:u w:val="single"/>
          <w:lang w:val="en-US" w:eastAsia="zh-CN"/>
        </w:rPr>
        <w:t>2</w:t>
      </w:r>
      <w:r>
        <w:rPr>
          <w:rFonts w:hint="eastAsia" w:ascii="宋体" w:hAnsi="宋体" w:cs="宋体"/>
          <w:sz w:val="28"/>
          <w:szCs w:val="28"/>
          <w:u w:val="single"/>
        </w:rPr>
        <w:t>:</w:t>
      </w:r>
      <w:r>
        <w:rPr>
          <w:rFonts w:hint="eastAsia" w:ascii="宋体" w:hAnsi="宋体" w:cs="宋体"/>
          <w:sz w:val="28"/>
          <w:szCs w:val="28"/>
          <w:u w:val="single"/>
          <w:lang w:val="en-US" w:eastAsia="zh-CN"/>
        </w:rPr>
        <w:t>0</w:t>
      </w:r>
      <w:r>
        <w:rPr>
          <w:rFonts w:hint="eastAsia" w:ascii="宋体" w:hAnsi="宋体" w:cs="宋体"/>
          <w:sz w:val="28"/>
          <w:szCs w:val="28"/>
          <w:u w:val="single"/>
        </w:rPr>
        <w:t>0</w:t>
      </w:r>
      <w:r>
        <w:rPr>
          <w:rFonts w:hint="eastAsia" w:ascii="宋体" w:hAnsi="宋体" w:cs="宋体"/>
          <w:sz w:val="28"/>
          <w:szCs w:val="28"/>
        </w:rPr>
        <w:t>，下午</w:t>
      </w:r>
      <w:r>
        <w:rPr>
          <w:rFonts w:hint="eastAsia" w:ascii="宋体" w:hAnsi="宋体" w:cs="宋体"/>
          <w:sz w:val="28"/>
          <w:szCs w:val="28"/>
          <w:u w:val="single"/>
        </w:rPr>
        <w:t>1</w:t>
      </w:r>
      <w:r>
        <w:rPr>
          <w:rFonts w:hint="eastAsia" w:ascii="宋体" w:hAnsi="宋体" w:cs="宋体"/>
          <w:sz w:val="28"/>
          <w:szCs w:val="28"/>
          <w:u w:val="single"/>
          <w:lang w:val="en-US" w:eastAsia="zh-CN"/>
        </w:rPr>
        <w:t>2</w:t>
      </w:r>
      <w:r>
        <w:rPr>
          <w:rFonts w:hint="eastAsia" w:ascii="宋体" w:hAnsi="宋体" w:cs="宋体"/>
          <w:sz w:val="28"/>
          <w:szCs w:val="28"/>
          <w:u w:val="single"/>
        </w:rPr>
        <w:t>:</w:t>
      </w:r>
      <w:r>
        <w:rPr>
          <w:rFonts w:hint="eastAsia" w:ascii="宋体" w:hAnsi="宋体" w:cs="宋体"/>
          <w:sz w:val="28"/>
          <w:szCs w:val="28"/>
          <w:u w:val="single"/>
          <w:lang w:val="en-US" w:eastAsia="zh-CN"/>
        </w:rPr>
        <w:t>0</w:t>
      </w:r>
      <w:r>
        <w:rPr>
          <w:rFonts w:hint="eastAsia" w:ascii="宋体" w:hAnsi="宋体" w:cs="宋体"/>
          <w:sz w:val="28"/>
          <w:szCs w:val="28"/>
          <w:u w:val="single"/>
        </w:rPr>
        <w:t>0</w:t>
      </w:r>
      <w:r>
        <w:rPr>
          <w:rFonts w:hint="eastAsia" w:ascii="宋体" w:hAnsi="宋体" w:cs="宋体"/>
          <w:sz w:val="28"/>
          <w:szCs w:val="28"/>
        </w:rPr>
        <w:t>至</w:t>
      </w:r>
      <w:r>
        <w:rPr>
          <w:rFonts w:hint="eastAsia" w:ascii="宋体" w:hAnsi="宋体" w:cs="宋体"/>
          <w:sz w:val="28"/>
          <w:szCs w:val="28"/>
          <w:u w:val="single"/>
        </w:rPr>
        <w:t>1</w:t>
      </w:r>
      <w:r>
        <w:rPr>
          <w:rFonts w:hint="eastAsia" w:ascii="宋体" w:hAnsi="宋体" w:cs="宋体"/>
          <w:sz w:val="28"/>
          <w:szCs w:val="28"/>
          <w:u w:val="single"/>
          <w:lang w:val="en-US" w:eastAsia="zh-CN"/>
        </w:rPr>
        <w:t>9</w:t>
      </w:r>
      <w:r>
        <w:rPr>
          <w:rFonts w:hint="eastAsia" w:ascii="宋体" w:hAnsi="宋体" w:cs="宋体"/>
          <w:sz w:val="28"/>
          <w:szCs w:val="28"/>
          <w:u w:val="single"/>
        </w:rPr>
        <w:t>:</w:t>
      </w:r>
      <w:r>
        <w:rPr>
          <w:rFonts w:hint="eastAsia" w:ascii="宋体" w:hAnsi="宋体" w:cs="宋体"/>
          <w:sz w:val="28"/>
          <w:szCs w:val="28"/>
          <w:u w:val="single"/>
          <w:lang w:val="en-US" w:eastAsia="zh-CN"/>
        </w:rPr>
        <w:t>0</w:t>
      </w:r>
      <w:r>
        <w:rPr>
          <w:rFonts w:hint="eastAsia" w:ascii="宋体" w:hAnsi="宋体" w:cs="宋体"/>
          <w:sz w:val="28"/>
          <w:szCs w:val="28"/>
          <w:u w:val="single"/>
        </w:rPr>
        <w:t>0</w:t>
      </w:r>
      <w:r>
        <w:rPr>
          <w:rFonts w:hint="eastAsia" w:ascii="宋体" w:hAnsi="宋体" w:cs="宋体"/>
          <w:sz w:val="28"/>
          <w:szCs w:val="28"/>
        </w:rPr>
        <w:t>（北京时间，法定节假日除外）</w:t>
      </w:r>
    </w:p>
    <w:p>
      <w:pPr>
        <w:spacing w:line="360" w:lineRule="auto"/>
        <w:ind w:firstLine="560" w:firstLineChars="200"/>
        <w:rPr>
          <w:rFonts w:ascii="宋体" w:cs="宋体"/>
          <w:sz w:val="28"/>
          <w:szCs w:val="28"/>
          <w:u w:val="single"/>
        </w:rPr>
      </w:pPr>
      <w:r>
        <w:rPr>
          <w:rFonts w:hint="eastAsia" w:ascii="宋体" w:hAnsi="宋体" w:cs="宋体"/>
          <w:sz w:val="28"/>
          <w:szCs w:val="28"/>
        </w:rPr>
        <w:t>地点：政采云平台https://www.zcygov.cn/。</w:t>
      </w:r>
    </w:p>
    <w:p>
      <w:pPr>
        <w:spacing w:line="360" w:lineRule="auto"/>
        <w:ind w:firstLine="560" w:firstLineChars="200"/>
        <w:rPr>
          <w:rFonts w:ascii="宋体" w:hAnsi="宋体" w:cs="宋体"/>
          <w:sz w:val="28"/>
          <w:szCs w:val="28"/>
        </w:rPr>
      </w:pPr>
      <w:r>
        <w:rPr>
          <w:rFonts w:hint="eastAsia" w:ascii="宋体" w:hAnsi="宋体" w:cs="宋体"/>
          <w:sz w:val="28"/>
          <w:szCs w:val="28"/>
        </w:rPr>
        <w:t>方式：供应商登录政采云平台https://www.zcygov.cn/在线申请获取采购文件（进入“项目采购”应用，在获取采购文件菜单中选择项目，申请获取采购文件）</w:t>
      </w:r>
    </w:p>
    <w:p>
      <w:pPr>
        <w:spacing w:line="360" w:lineRule="auto"/>
        <w:ind w:firstLine="560" w:firstLineChars="200"/>
        <w:rPr>
          <w:rFonts w:ascii="宋体" w:cs="宋体"/>
          <w:sz w:val="28"/>
          <w:szCs w:val="28"/>
        </w:rPr>
      </w:pPr>
      <w:r>
        <w:rPr>
          <w:rFonts w:hint="eastAsia" w:ascii="宋体" w:hAnsi="宋体" w:cs="宋体"/>
          <w:sz w:val="28"/>
          <w:szCs w:val="28"/>
        </w:rPr>
        <w:t>售价：</w:t>
      </w:r>
      <w:r>
        <w:rPr>
          <w:rFonts w:hint="eastAsia" w:ascii="宋体" w:hAnsi="宋体" w:cs="宋体"/>
          <w:sz w:val="28"/>
          <w:szCs w:val="28"/>
          <w:u w:val="none"/>
          <w:lang w:val="en-US" w:eastAsia="zh-CN"/>
        </w:rPr>
        <w:t>0</w:t>
      </w:r>
      <w:r>
        <w:rPr>
          <w:rFonts w:hint="eastAsia" w:ascii="宋体" w:hAnsi="宋体" w:cs="宋体"/>
          <w:sz w:val="28"/>
          <w:szCs w:val="28"/>
          <w:u w:val="none"/>
        </w:rPr>
        <w:t>元</w:t>
      </w:r>
      <w:r>
        <w:rPr>
          <w:rFonts w:ascii="宋体" w:hAnsi="宋体" w:cs="宋体"/>
          <w:sz w:val="28"/>
          <w:szCs w:val="28"/>
          <w:u w:val="none"/>
        </w:rPr>
        <w:t>/</w:t>
      </w:r>
      <w:r>
        <w:rPr>
          <w:rFonts w:hint="eastAsia" w:ascii="宋体" w:hAnsi="宋体" w:cs="宋体"/>
          <w:sz w:val="28"/>
          <w:szCs w:val="28"/>
          <w:u w:val="none"/>
        </w:rPr>
        <w:t>份</w:t>
      </w:r>
    </w:p>
    <w:p>
      <w:pPr>
        <w:rPr>
          <w:rFonts w:ascii="宋体" w:cs="宋体"/>
          <w:sz w:val="28"/>
          <w:szCs w:val="28"/>
        </w:rPr>
      </w:pPr>
      <w:bookmarkStart w:id="19" w:name="_Toc28359005"/>
      <w:bookmarkStart w:id="20" w:name="_Toc28359082"/>
      <w:bookmarkStart w:id="21" w:name="_Toc35393624"/>
      <w:bookmarkStart w:id="22" w:name="_Toc35393793"/>
      <w:r>
        <w:rPr>
          <w:rFonts w:hint="eastAsia" w:ascii="宋体" w:hAnsi="宋体" w:cs="宋体"/>
          <w:sz w:val="28"/>
          <w:szCs w:val="28"/>
        </w:rPr>
        <w:t>四、提交投标文件</w:t>
      </w:r>
      <w:bookmarkEnd w:id="19"/>
      <w:bookmarkEnd w:id="20"/>
      <w:r>
        <w:rPr>
          <w:rFonts w:hint="eastAsia" w:ascii="宋体" w:hAnsi="宋体" w:cs="宋体"/>
          <w:sz w:val="28"/>
          <w:szCs w:val="28"/>
        </w:rPr>
        <w:t>截止时间、开标时间和地点</w:t>
      </w:r>
      <w:bookmarkEnd w:id="21"/>
      <w:bookmarkEnd w:id="22"/>
    </w:p>
    <w:p>
      <w:pPr>
        <w:spacing w:line="360" w:lineRule="auto"/>
        <w:ind w:firstLine="560" w:firstLineChars="200"/>
        <w:rPr>
          <w:rFonts w:ascii="宋体"/>
          <w:bCs/>
          <w:sz w:val="28"/>
          <w:szCs w:val="28"/>
          <w:u w:val="single"/>
        </w:rPr>
      </w:pPr>
      <w:r>
        <w:rPr>
          <w:rFonts w:hint="eastAsia" w:ascii="宋体" w:hAnsi="宋体"/>
          <w:bCs/>
          <w:sz w:val="28"/>
          <w:szCs w:val="28"/>
        </w:rPr>
        <w:t>时间：</w:t>
      </w:r>
      <w:r>
        <w:rPr>
          <w:rFonts w:hint="eastAsia" w:ascii="宋体" w:hAnsi="宋体"/>
          <w:bCs/>
          <w:sz w:val="28"/>
          <w:szCs w:val="28"/>
          <w:highlight w:val="none"/>
          <w:u w:val="single"/>
          <w:lang w:val="en-US" w:eastAsia="zh-CN"/>
        </w:rPr>
        <w:t xml:space="preserve"> 2025</w:t>
      </w:r>
      <w:r>
        <w:rPr>
          <w:rFonts w:hint="eastAsia" w:ascii="宋体" w:hAnsi="宋体"/>
          <w:bCs/>
          <w:sz w:val="28"/>
          <w:szCs w:val="28"/>
          <w:highlight w:val="none"/>
          <w:u w:val="single"/>
        </w:rPr>
        <w:t>年</w:t>
      </w:r>
      <w:r>
        <w:rPr>
          <w:rFonts w:hint="eastAsia" w:ascii="宋体" w:hAnsi="宋体"/>
          <w:bCs/>
          <w:sz w:val="28"/>
          <w:szCs w:val="28"/>
          <w:highlight w:val="none"/>
          <w:u w:val="single"/>
          <w:lang w:val="en-US" w:eastAsia="zh-CN"/>
        </w:rPr>
        <w:t xml:space="preserve"> 02</w:t>
      </w:r>
      <w:r>
        <w:rPr>
          <w:rFonts w:hint="eastAsia" w:ascii="宋体" w:hAnsi="宋体"/>
          <w:bCs/>
          <w:sz w:val="28"/>
          <w:szCs w:val="28"/>
          <w:highlight w:val="none"/>
          <w:u w:val="single"/>
        </w:rPr>
        <w:t>月</w:t>
      </w:r>
      <w:r>
        <w:rPr>
          <w:rFonts w:hint="eastAsia" w:ascii="宋体" w:hAnsi="宋体"/>
          <w:bCs/>
          <w:sz w:val="28"/>
          <w:szCs w:val="28"/>
          <w:highlight w:val="none"/>
          <w:u w:val="single"/>
          <w:lang w:val="en-US" w:eastAsia="zh-CN"/>
        </w:rPr>
        <w:t xml:space="preserve"> 13</w:t>
      </w:r>
      <w:r>
        <w:rPr>
          <w:rFonts w:hint="eastAsia" w:ascii="宋体" w:hAnsi="宋体"/>
          <w:bCs/>
          <w:sz w:val="28"/>
          <w:szCs w:val="28"/>
          <w:highlight w:val="none"/>
          <w:u w:val="single"/>
          <w:lang w:eastAsia="zh-CN"/>
        </w:rPr>
        <w:t>日1</w:t>
      </w:r>
      <w:r>
        <w:rPr>
          <w:rFonts w:hint="eastAsia" w:ascii="宋体" w:hAnsi="宋体"/>
          <w:bCs/>
          <w:sz w:val="28"/>
          <w:szCs w:val="28"/>
          <w:highlight w:val="none"/>
          <w:u w:val="single"/>
          <w:lang w:val="en-US" w:eastAsia="zh-CN"/>
        </w:rPr>
        <w:t>1</w:t>
      </w:r>
      <w:r>
        <w:rPr>
          <w:rFonts w:hint="eastAsia" w:ascii="宋体" w:hAnsi="宋体"/>
          <w:bCs/>
          <w:sz w:val="28"/>
          <w:szCs w:val="28"/>
          <w:highlight w:val="none"/>
          <w:u w:val="single"/>
          <w:lang w:eastAsia="zh-CN"/>
        </w:rPr>
        <w:t>点</w:t>
      </w:r>
      <w:r>
        <w:rPr>
          <w:rFonts w:hint="eastAsia" w:ascii="宋体" w:hAnsi="宋体"/>
          <w:bCs/>
          <w:sz w:val="28"/>
          <w:szCs w:val="28"/>
          <w:highlight w:val="none"/>
          <w:u w:val="single"/>
          <w:lang w:val="en-US" w:eastAsia="zh-CN"/>
        </w:rPr>
        <w:t>00</w:t>
      </w:r>
      <w:r>
        <w:rPr>
          <w:rFonts w:hint="eastAsia" w:ascii="宋体" w:hAnsi="宋体"/>
          <w:bCs/>
          <w:sz w:val="28"/>
          <w:szCs w:val="28"/>
          <w:highlight w:val="none"/>
          <w:u w:val="single"/>
        </w:rPr>
        <w:t>分</w:t>
      </w:r>
      <w:r>
        <w:rPr>
          <w:rFonts w:hint="eastAsia" w:ascii="宋体" w:hAnsi="宋体"/>
          <w:bCs/>
          <w:sz w:val="28"/>
          <w:szCs w:val="28"/>
        </w:rPr>
        <w:t>（北京时间）</w:t>
      </w:r>
    </w:p>
    <w:p>
      <w:pPr>
        <w:spacing w:line="360" w:lineRule="auto"/>
        <w:ind w:firstLine="560" w:firstLineChars="200"/>
        <w:rPr>
          <w:rFonts w:ascii="宋体"/>
          <w:bCs/>
          <w:sz w:val="28"/>
          <w:szCs w:val="28"/>
          <w:u w:val="single"/>
        </w:rPr>
      </w:pPr>
      <w:r>
        <w:rPr>
          <w:rFonts w:hint="eastAsia" w:ascii="宋体" w:hAnsi="宋体"/>
          <w:sz w:val="28"/>
          <w:szCs w:val="28"/>
        </w:rPr>
        <w:t>地点：新疆政府采购云平台（https://www.zcygov.cn/）</w:t>
      </w:r>
    </w:p>
    <w:p>
      <w:pPr>
        <w:rPr>
          <w:rFonts w:ascii="宋体" w:cs="宋体"/>
          <w:sz w:val="28"/>
          <w:szCs w:val="28"/>
        </w:rPr>
      </w:pPr>
      <w:bookmarkStart w:id="23" w:name="_Toc28359007"/>
      <w:bookmarkStart w:id="24" w:name="_Toc28359084"/>
      <w:bookmarkStart w:id="25" w:name="_Toc35393794"/>
      <w:bookmarkStart w:id="26" w:name="_Toc35393625"/>
      <w:r>
        <w:rPr>
          <w:rFonts w:hint="eastAsia" w:ascii="宋体" w:hAnsi="宋体" w:cs="宋体"/>
          <w:sz w:val="28"/>
          <w:szCs w:val="28"/>
        </w:rPr>
        <w:t>五、公告期限</w:t>
      </w:r>
      <w:bookmarkEnd w:id="23"/>
      <w:bookmarkEnd w:id="24"/>
      <w:bookmarkEnd w:id="25"/>
      <w:bookmarkEnd w:id="26"/>
    </w:p>
    <w:p>
      <w:pPr>
        <w:spacing w:line="360" w:lineRule="auto"/>
        <w:ind w:firstLine="560" w:firstLineChars="200"/>
        <w:rPr>
          <w:rFonts w:ascii="宋体" w:cs="宋体"/>
          <w:kern w:val="0"/>
          <w:sz w:val="28"/>
          <w:szCs w:val="28"/>
        </w:rPr>
      </w:pPr>
      <w:r>
        <w:rPr>
          <w:rFonts w:hint="eastAsia" w:ascii="宋体" w:hAnsi="宋体" w:cs="宋体"/>
          <w:kern w:val="0"/>
          <w:sz w:val="28"/>
          <w:szCs w:val="28"/>
        </w:rPr>
        <w:t>自本公告发布之日起</w:t>
      </w:r>
      <w:r>
        <w:rPr>
          <w:rFonts w:ascii="宋体" w:hAnsi="宋体" w:cs="宋体"/>
          <w:kern w:val="0"/>
          <w:sz w:val="28"/>
          <w:szCs w:val="28"/>
        </w:rPr>
        <w:t>5</w:t>
      </w:r>
      <w:r>
        <w:rPr>
          <w:rFonts w:hint="eastAsia" w:ascii="宋体" w:hAnsi="宋体" w:cs="宋体"/>
          <w:kern w:val="0"/>
          <w:sz w:val="28"/>
          <w:szCs w:val="28"/>
        </w:rPr>
        <w:t>个工作日。</w:t>
      </w:r>
    </w:p>
    <w:p>
      <w:pPr>
        <w:rPr>
          <w:rFonts w:ascii="宋体" w:cs="宋体"/>
          <w:sz w:val="28"/>
          <w:szCs w:val="28"/>
        </w:rPr>
      </w:pPr>
      <w:bookmarkStart w:id="27" w:name="_Toc35393626"/>
      <w:bookmarkStart w:id="28" w:name="_Toc35393795"/>
      <w:r>
        <w:rPr>
          <w:rFonts w:hint="eastAsia" w:ascii="宋体" w:hAnsi="宋体" w:cs="宋体"/>
          <w:sz w:val="28"/>
          <w:szCs w:val="28"/>
        </w:rPr>
        <w:t>六、其他补充事宜</w:t>
      </w:r>
      <w:bookmarkEnd w:id="27"/>
      <w:bookmarkEnd w:id="28"/>
      <w:bookmarkStart w:id="29" w:name="_Toc28359008"/>
      <w:bookmarkStart w:id="30" w:name="_Toc28359085"/>
      <w:bookmarkStart w:id="31" w:name="_Toc35393627"/>
      <w:bookmarkStart w:id="32" w:name="_Toc35393796"/>
    </w:p>
    <w:p>
      <w:pPr>
        <w:spacing w:line="360" w:lineRule="auto"/>
        <w:ind w:firstLine="560" w:firstLineChars="200"/>
        <w:rPr>
          <w:rFonts w:hint="eastAsia" w:ascii="宋体" w:cs="宋体"/>
          <w:sz w:val="28"/>
          <w:szCs w:val="28"/>
          <w:u w:val="single"/>
        </w:rPr>
      </w:pPr>
      <w:r>
        <w:rPr>
          <w:rFonts w:hint="eastAsia" w:ascii="宋体" w:cs="宋体"/>
          <w:sz w:val="28"/>
          <w:szCs w:val="28"/>
          <w:u w:val="single"/>
        </w:rPr>
        <w:t>1.本项目实行网上投标，采用电子投标文件；</w:t>
      </w:r>
    </w:p>
    <w:p>
      <w:pPr>
        <w:spacing w:line="360" w:lineRule="auto"/>
        <w:ind w:firstLine="560" w:firstLineChars="200"/>
        <w:rPr>
          <w:rFonts w:hint="eastAsia" w:ascii="宋体" w:cs="宋体"/>
          <w:sz w:val="28"/>
          <w:szCs w:val="28"/>
          <w:u w:val="single"/>
        </w:rPr>
      </w:pPr>
      <w:r>
        <w:rPr>
          <w:rFonts w:hint="eastAsia" w:ascii="宋体" w:cs="宋体"/>
          <w:sz w:val="28"/>
          <w:szCs w:val="28"/>
          <w:u w:val="singl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pPr>
        <w:spacing w:line="360" w:lineRule="auto"/>
        <w:ind w:firstLine="560" w:firstLineChars="200"/>
        <w:rPr>
          <w:rFonts w:hint="eastAsia" w:ascii="宋体" w:cs="宋体"/>
          <w:sz w:val="28"/>
          <w:szCs w:val="28"/>
          <w:u w:val="single"/>
        </w:rPr>
      </w:pPr>
      <w:r>
        <w:rPr>
          <w:rFonts w:hint="eastAsia" w:ascii="宋体" w:cs="宋体"/>
          <w:sz w:val="28"/>
          <w:szCs w:val="28"/>
          <w:u w:val="singl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pPr>
        <w:spacing w:line="360" w:lineRule="auto"/>
        <w:ind w:firstLine="560" w:firstLineChars="200"/>
        <w:rPr>
          <w:rFonts w:hint="eastAsia" w:ascii="宋体" w:cs="宋体"/>
          <w:sz w:val="28"/>
          <w:szCs w:val="28"/>
          <w:u w:val="single"/>
        </w:rPr>
      </w:pPr>
      <w:r>
        <w:rPr>
          <w:rFonts w:hint="eastAsia" w:ascii="宋体" w:cs="宋体"/>
          <w:sz w:val="28"/>
          <w:szCs w:val="28"/>
          <w:u w:val="single"/>
        </w:rPr>
        <w:t>4.供应商应当在投标截止时间前,将生成的“电子加密投标文件”上传递交至“政府采购云平台”,投标截止时间以后上传递交的投标文件将被“政府采购云平台”拒收；</w:t>
      </w:r>
    </w:p>
    <w:p>
      <w:pPr>
        <w:spacing w:line="360" w:lineRule="auto"/>
        <w:ind w:firstLine="560" w:firstLineChars="200"/>
        <w:rPr>
          <w:rFonts w:hint="eastAsia" w:ascii="宋体" w:cs="宋体"/>
          <w:sz w:val="28"/>
          <w:szCs w:val="28"/>
          <w:u w:val="single"/>
        </w:rPr>
      </w:pPr>
      <w:r>
        <w:rPr>
          <w:rFonts w:hint="eastAsia" w:ascii="宋体" w:cs="宋体"/>
          <w:sz w:val="28"/>
          <w:szCs w:val="28"/>
          <w:u w:val="single"/>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pPr>
        <w:spacing w:line="360" w:lineRule="auto"/>
        <w:ind w:firstLine="560" w:firstLineChars="200"/>
        <w:rPr>
          <w:rFonts w:hint="eastAsia" w:ascii="宋体" w:cs="宋体"/>
          <w:sz w:val="28"/>
          <w:szCs w:val="28"/>
          <w:u w:val="single"/>
        </w:rPr>
      </w:pPr>
      <w:r>
        <w:rPr>
          <w:rFonts w:hint="eastAsia" w:ascii="宋体" w:cs="宋体"/>
          <w:sz w:val="28"/>
          <w:szCs w:val="28"/>
          <w:u w:val="single"/>
        </w:rPr>
        <w:t>6、供应商登录政采云平台，在开标时间后30分钟内用“项目采购-开标评标”功能进行解密投标文件。若供应商在规定时间内未按时解密的，视为无效投标。解密与加密投标文件须使用同一个 CA。</w:t>
      </w:r>
    </w:p>
    <w:p>
      <w:pPr>
        <w:pStyle w:val="21"/>
        <w:ind w:left="0" w:leftChars="0" w:firstLine="562" w:firstLineChars="200"/>
        <w:rPr>
          <w:rFonts w:hint="eastAsia"/>
          <w:lang w:val="en-US" w:eastAsia="zh-CN"/>
        </w:rPr>
      </w:pPr>
      <w:r>
        <w:rPr>
          <w:rFonts w:hint="eastAsia" w:ascii="宋体" w:hAnsi="Times New Roman" w:cs="宋体"/>
          <w:b/>
          <w:bCs/>
          <w:kern w:val="2"/>
          <w:sz w:val="28"/>
          <w:szCs w:val="28"/>
          <w:u w:val="single"/>
          <w:lang w:val="en-US" w:eastAsia="zh-CN" w:bidi="ar-SA"/>
        </w:rPr>
        <w:t>7、</w:t>
      </w:r>
      <w:r>
        <w:rPr>
          <w:rFonts w:hint="eastAsia" w:ascii="宋体" w:hAnsi="宋体" w:eastAsia="宋体" w:cs="宋体"/>
          <w:b/>
          <w:bCs/>
          <w:kern w:val="2"/>
          <w:sz w:val="28"/>
          <w:szCs w:val="28"/>
          <w:highlight w:val="none"/>
          <w:u w:val="single"/>
          <w:lang w:val="en-US" w:eastAsia="zh-CN" w:bidi="ar-SA"/>
        </w:rPr>
        <w:t>采购项目需要落实的政府采购政策</w:t>
      </w:r>
      <w:r>
        <w:rPr>
          <w:rFonts w:hint="eastAsia" w:ascii="宋体" w:hAnsi="宋体" w:cs="宋体"/>
          <w:b/>
          <w:bCs/>
          <w:sz w:val="28"/>
          <w:szCs w:val="28"/>
          <w:highlight w:val="none"/>
          <w:u w:val="single"/>
        </w:rPr>
        <w:t>：</w:t>
      </w:r>
      <w:r>
        <w:rPr>
          <w:rFonts w:hint="eastAsia" w:ascii="宋体" w:hAnsi="宋体" w:cs="宋体"/>
          <w:sz w:val="28"/>
          <w:szCs w:val="28"/>
          <w:highlight w:val="none"/>
          <w:u w:val="single"/>
        </w:rPr>
        <w:t>节约能源、保护环境、扶持不发达地区和少数民族地区、促进中小企业发展、促进残疾人就业、政府采购信用担保等</w:t>
      </w:r>
      <w:r>
        <w:rPr>
          <w:rFonts w:hint="eastAsia" w:ascii="宋体" w:hAnsi="宋体" w:cs="宋体"/>
          <w:sz w:val="28"/>
          <w:szCs w:val="28"/>
          <w:highlight w:val="none"/>
          <w:u w:val="none"/>
          <w:lang w:eastAsia="zh-CN"/>
        </w:rPr>
        <w:t>。</w:t>
      </w:r>
    </w:p>
    <w:p>
      <w:pPr>
        <w:rPr>
          <w:rFonts w:ascii="宋体" w:cs="宋体"/>
          <w:sz w:val="28"/>
          <w:szCs w:val="28"/>
        </w:rPr>
      </w:pPr>
      <w:r>
        <w:rPr>
          <w:rFonts w:hint="eastAsia" w:ascii="宋体" w:hAnsi="宋体" w:cs="宋体"/>
          <w:sz w:val="28"/>
          <w:szCs w:val="28"/>
        </w:rPr>
        <w:t>七、对本次招标提出询问，请按以下方式联系。</w:t>
      </w:r>
      <w:bookmarkEnd w:id="29"/>
      <w:bookmarkEnd w:id="30"/>
      <w:bookmarkEnd w:id="31"/>
      <w:bookmarkEnd w:id="32"/>
    </w:p>
    <w:p>
      <w:pPr>
        <w:widowControl/>
        <w:spacing w:line="360" w:lineRule="auto"/>
        <w:ind w:firstLine="560" w:firstLineChars="200"/>
        <w:jc w:val="left"/>
        <w:rPr>
          <w:rFonts w:ascii="宋体"/>
          <w:sz w:val="28"/>
          <w:szCs w:val="28"/>
        </w:rPr>
      </w:pPr>
      <w:r>
        <w:rPr>
          <w:rFonts w:ascii="宋体" w:hAnsi="宋体" w:cs="宋体"/>
          <w:sz w:val="28"/>
          <w:szCs w:val="28"/>
        </w:rPr>
        <w:t>1.</w:t>
      </w:r>
      <w:r>
        <w:rPr>
          <w:rFonts w:hint="eastAsia" w:ascii="宋体" w:hAnsi="宋体" w:cs="宋体"/>
          <w:sz w:val="28"/>
          <w:szCs w:val="28"/>
        </w:rPr>
        <w:t>采购人信息</w:t>
      </w:r>
    </w:p>
    <w:p>
      <w:pPr>
        <w:shd w:val="clear"/>
        <w:spacing w:line="360" w:lineRule="auto"/>
        <w:ind w:firstLine="560" w:firstLineChars="200"/>
        <w:jc w:val="left"/>
        <w:rPr>
          <w:rFonts w:hint="eastAsia" w:ascii="宋体" w:eastAsia="宋体"/>
          <w:sz w:val="28"/>
          <w:szCs w:val="28"/>
          <w:highlight w:val="none"/>
          <w:lang w:eastAsia="zh-CN"/>
        </w:rPr>
      </w:pPr>
      <w:bookmarkStart w:id="33" w:name="_Toc28359086"/>
      <w:bookmarkStart w:id="34" w:name="_Toc28359009"/>
      <w:r>
        <w:rPr>
          <w:rFonts w:hint="eastAsia" w:ascii="宋体" w:hAnsi="宋体"/>
          <w:sz w:val="28"/>
          <w:szCs w:val="28"/>
          <w:highlight w:val="none"/>
        </w:rPr>
        <w:t>名</w:t>
      </w:r>
      <w:r>
        <w:rPr>
          <w:rFonts w:ascii="宋体" w:hAnsi="宋体"/>
          <w:sz w:val="28"/>
          <w:szCs w:val="28"/>
          <w:highlight w:val="none"/>
        </w:rPr>
        <w:t xml:space="preserve"> </w:t>
      </w:r>
      <w:r>
        <w:rPr>
          <w:rFonts w:hint="eastAsia" w:ascii="宋体" w:hAnsi="宋体"/>
          <w:sz w:val="28"/>
          <w:szCs w:val="28"/>
          <w:highlight w:val="none"/>
        </w:rPr>
        <w:t>称：</w:t>
      </w:r>
      <w:r>
        <w:rPr>
          <w:rFonts w:hint="eastAsia" w:ascii="宋体" w:hAnsi="宋体"/>
          <w:sz w:val="28"/>
          <w:szCs w:val="28"/>
          <w:highlight w:val="none"/>
          <w:u w:val="single"/>
          <w:lang w:eastAsia="zh-CN"/>
        </w:rPr>
        <w:t>乌鲁木齐高新技术产业开发区（新市区）卫生健康委员会</w:t>
      </w:r>
    </w:p>
    <w:p>
      <w:pPr>
        <w:shd w:val="clear"/>
        <w:spacing w:line="360" w:lineRule="auto"/>
        <w:ind w:firstLine="560" w:firstLineChars="200"/>
        <w:jc w:val="left"/>
        <w:rPr>
          <w:rFonts w:hint="eastAsia" w:ascii="宋体" w:eastAsia="宋体"/>
          <w:b w:val="0"/>
          <w:bCs w:val="0"/>
          <w:sz w:val="28"/>
          <w:szCs w:val="28"/>
          <w:highlight w:val="none"/>
          <w:u w:val="single"/>
          <w:lang w:eastAsia="zh-CN"/>
        </w:rPr>
      </w:pPr>
      <w:r>
        <w:rPr>
          <w:rFonts w:hint="eastAsia" w:ascii="宋体" w:hAnsi="宋体"/>
          <w:sz w:val="28"/>
          <w:szCs w:val="28"/>
          <w:highlight w:val="none"/>
        </w:rPr>
        <w:t>地址：</w:t>
      </w:r>
      <w:r>
        <w:rPr>
          <w:rFonts w:hint="eastAsia" w:ascii="宋体" w:hAnsi="宋体"/>
          <w:b w:val="0"/>
          <w:bCs w:val="0"/>
          <w:sz w:val="28"/>
          <w:szCs w:val="28"/>
          <w:highlight w:val="none"/>
          <w:u w:val="single"/>
          <w:lang w:eastAsia="zh-CN"/>
        </w:rPr>
        <w:t>新疆乌鲁木齐高新区（新市区)四平路2288号创新广场B座</w:t>
      </w:r>
    </w:p>
    <w:p>
      <w:pPr>
        <w:shd w:val="clear"/>
        <w:spacing w:line="360" w:lineRule="auto"/>
        <w:ind w:firstLine="560" w:firstLineChars="200"/>
        <w:jc w:val="left"/>
        <w:rPr>
          <w:rFonts w:hint="default" w:ascii="宋体" w:eastAsia="宋体"/>
          <w:sz w:val="28"/>
          <w:szCs w:val="28"/>
          <w:highlight w:val="none"/>
          <w:u w:val="single"/>
          <w:lang w:val="en-US" w:eastAsia="zh-CN"/>
        </w:rPr>
      </w:pPr>
      <w:r>
        <w:rPr>
          <w:rFonts w:hint="eastAsia" w:ascii="宋体" w:hAnsi="宋体"/>
          <w:sz w:val="28"/>
          <w:szCs w:val="28"/>
          <w:highlight w:val="none"/>
        </w:rPr>
        <w:t>联系方式：</w:t>
      </w:r>
      <w:r>
        <w:rPr>
          <w:rFonts w:hint="eastAsia" w:ascii="宋体" w:hAnsi="宋体"/>
          <w:sz w:val="28"/>
          <w:szCs w:val="28"/>
          <w:highlight w:val="none"/>
          <w:u w:val="single"/>
          <w:lang w:val="en-US" w:eastAsia="zh-CN"/>
        </w:rPr>
        <w:t xml:space="preserve"> 0991-6623652</w:t>
      </w:r>
    </w:p>
    <w:p>
      <w:pPr>
        <w:spacing w:line="360" w:lineRule="auto"/>
        <w:ind w:firstLine="560" w:firstLineChars="200"/>
        <w:jc w:val="left"/>
        <w:rPr>
          <w:rFonts w:ascii="宋体"/>
          <w:sz w:val="28"/>
          <w:szCs w:val="28"/>
        </w:rPr>
      </w:pPr>
      <w:r>
        <w:rPr>
          <w:rFonts w:ascii="宋体" w:hAnsi="宋体" w:cs="宋体"/>
          <w:sz w:val="28"/>
          <w:szCs w:val="28"/>
        </w:rPr>
        <w:t>2.</w:t>
      </w:r>
      <w:r>
        <w:rPr>
          <w:rFonts w:hint="eastAsia" w:ascii="宋体" w:hAnsi="宋体" w:cs="宋体"/>
          <w:sz w:val="28"/>
          <w:szCs w:val="28"/>
        </w:rPr>
        <w:t>采购代理机构信息</w:t>
      </w:r>
      <w:bookmarkEnd w:id="33"/>
      <w:bookmarkEnd w:id="34"/>
    </w:p>
    <w:p>
      <w:pPr>
        <w:shd w:val="clear"/>
        <w:spacing w:line="360" w:lineRule="auto"/>
        <w:ind w:firstLine="560" w:firstLineChars="200"/>
        <w:rPr>
          <w:rFonts w:hint="eastAsia" w:ascii="宋体" w:eastAsia="宋体"/>
          <w:sz w:val="28"/>
          <w:szCs w:val="28"/>
          <w:highlight w:val="none"/>
          <w:lang w:eastAsia="zh-CN"/>
        </w:rPr>
      </w:pPr>
      <w:bookmarkStart w:id="35" w:name="_Toc44705270"/>
      <w:bookmarkStart w:id="36" w:name="_Toc44704902"/>
      <w:bookmarkStart w:id="37" w:name="_Toc44705049"/>
      <w:r>
        <w:rPr>
          <w:rFonts w:hint="eastAsia" w:ascii="宋体" w:hAnsi="宋体"/>
          <w:sz w:val="28"/>
          <w:szCs w:val="28"/>
          <w:highlight w:val="none"/>
        </w:rPr>
        <w:t>名</w:t>
      </w:r>
      <w:r>
        <w:rPr>
          <w:rFonts w:ascii="宋体" w:hAnsi="宋体"/>
          <w:sz w:val="28"/>
          <w:szCs w:val="28"/>
          <w:highlight w:val="none"/>
        </w:rPr>
        <w:t xml:space="preserve"> </w:t>
      </w:r>
      <w:r>
        <w:rPr>
          <w:rFonts w:hint="eastAsia" w:ascii="宋体" w:hAnsi="宋体"/>
          <w:sz w:val="28"/>
          <w:szCs w:val="28"/>
          <w:highlight w:val="none"/>
        </w:rPr>
        <w:t>称：</w:t>
      </w:r>
      <w:r>
        <w:rPr>
          <w:rFonts w:hint="eastAsia" w:ascii="宋体" w:hAnsi="宋体"/>
          <w:sz w:val="28"/>
          <w:szCs w:val="28"/>
          <w:highlight w:val="none"/>
          <w:u w:val="single"/>
          <w:lang w:eastAsia="zh-CN"/>
        </w:rPr>
        <w:t>乌鲁木齐高新建设工程项目管理咨询有限公司</w:t>
      </w:r>
    </w:p>
    <w:p>
      <w:pPr>
        <w:shd w:val="clear"/>
        <w:spacing w:line="360" w:lineRule="auto"/>
        <w:ind w:firstLine="560" w:firstLineChars="200"/>
        <w:rPr>
          <w:rFonts w:hint="eastAsia" w:ascii="宋体" w:eastAsia="宋体"/>
          <w:sz w:val="28"/>
          <w:szCs w:val="28"/>
          <w:highlight w:val="none"/>
          <w:lang w:eastAsia="zh-CN"/>
        </w:rPr>
      </w:pPr>
      <w:r>
        <w:rPr>
          <w:rFonts w:hint="eastAsia" w:ascii="宋体" w:hAnsi="宋体"/>
          <w:sz w:val="28"/>
          <w:szCs w:val="28"/>
          <w:highlight w:val="none"/>
        </w:rPr>
        <w:t>地 址：</w:t>
      </w:r>
      <w:r>
        <w:rPr>
          <w:rFonts w:hint="eastAsia" w:ascii="宋体" w:hAnsi="宋体"/>
          <w:sz w:val="28"/>
          <w:szCs w:val="28"/>
          <w:highlight w:val="none"/>
          <w:u w:val="single"/>
          <w:lang w:eastAsia="zh-CN"/>
        </w:rPr>
        <w:t>新疆乌鲁木齐高新区（新市区)四平路2288号创新广场(二期)G座20层</w:t>
      </w:r>
    </w:p>
    <w:p>
      <w:pPr>
        <w:shd w:val="clear"/>
        <w:spacing w:line="360" w:lineRule="auto"/>
        <w:ind w:firstLine="560" w:firstLineChars="200"/>
        <w:rPr>
          <w:rFonts w:hint="eastAsia" w:ascii="宋体" w:eastAsia="宋体"/>
          <w:sz w:val="28"/>
          <w:szCs w:val="28"/>
          <w:highlight w:val="none"/>
          <w:u w:val="single"/>
          <w:lang w:val="en-US" w:eastAsia="zh-CN"/>
        </w:rPr>
      </w:pPr>
      <w:r>
        <w:rPr>
          <w:rFonts w:hint="eastAsia" w:ascii="宋体" w:hAnsi="宋体"/>
          <w:sz w:val="28"/>
          <w:szCs w:val="28"/>
          <w:highlight w:val="none"/>
        </w:rPr>
        <w:t>联系方式：</w:t>
      </w:r>
      <w:bookmarkStart w:id="38" w:name="_Toc28359010"/>
      <w:bookmarkStart w:id="39" w:name="_Toc28359087"/>
      <w:r>
        <w:rPr>
          <w:rFonts w:hint="eastAsia" w:ascii="宋体" w:hAnsi="宋体"/>
          <w:sz w:val="28"/>
          <w:szCs w:val="28"/>
          <w:highlight w:val="none"/>
          <w:u w:val="single"/>
          <w:lang w:eastAsia="zh-CN"/>
        </w:rPr>
        <w:t>王嵩、丁晓娅</w:t>
      </w:r>
      <w:r>
        <w:rPr>
          <w:rFonts w:hint="eastAsia" w:ascii="宋体" w:hAnsi="宋体"/>
          <w:sz w:val="28"/>
          <w:szCs w:val="28"/>
          <w:highlight w:val="none"/>
          <w:u w:val="single"/>
        </w:rPr>
        <w:t xml:space="preserve"> </w:t>
      </w:r>
      <w:r>
        <w:rPr>
          <w:rFonts w:hint="eastAsia" w:ascii="宋体" w:hAnsi="宋体"/>
          <w:sz w:val="28"/>
          <w:szCs w:val="28"/>
          <w:highlight w:val="none"/>
          <w:u w:val="single"/>
          <w:lang w:eastAsia="zh-CN"/>
        </w:rPr>
        <w:t>0991-6600851</w:t>
      </w:r>
    </w:p>
    <w:p>
      <w:pPr>
        <w:shd w:val="clear"/>
        <w:spacing w:line="360" w:lineRule="auto"/>
        <w:ind w:firstLine="560" w:firstLineChars="200"/>
        <w:rPr>
          <w:rFonts w:ascii="宋体"/>
          <w:sz w:val="28"/>
          <w:szCs w:val="28"/>
          <w:highlight w:val="none"/>
          <w:u w:val="single"/>
        </w:rPr>
      </w:pPr>
      <w:r>
        <w:rPr>
          <w:rFonts w:ascii="宋体" w:hAnsi="宋体" w:cs="宋体"/>
          <w:sz w:val="28"/>
          <w:szCs w:val="28"/>
          <w:highlight w:val="none"/>
        </w:rPr>
        <w:t>3.</w:t>
      </w:r>
      <w:r>
        <w:rPr>
          <w:rFonts w:hint="eastAsia" w:ascii="宋体" w:hAnsi="宋体" w:cs="宋体"/>
          <w:sz w:val="28"/>
          <w:szCs w:val="28"/>
          <w:highlight w:val="none"/>
        </w:rPr>
        <w:t>项目联系方式</w:t>
      </w:r>
      <w:bookmarkEnd w:id="38"/>
      <w:bookmarkEnd w:id="39"/>
    </w:p>
    <w:p>
      <w:pPr>
        <w:pStyle w:val="25"/>
        <w:shd w:val="clear"/>
        <w:spacing w:line="360" w:lineRule="auto"/>
        <w:ind w:firstLine="560" w:firstLineChars="200"/>
        <w:rPr>
          <w:rFonts w:hint="eastAsia" w:hAnsi="宋体"/>
          <w:sz w:val="28"/>
          <w:szCs w:val="28"/>
          <w:highlight w:val="none"/>
          <w:u w:val="single"/>
          <w:lang w:eastAsia="zh-CN"/>
        </w:rPr>
      </w:pPr>
      <w:r>
        <w:rPr>
          <w:rFonts w:hint="eastAsia" w:hAnsi="宋体"/>
          <w:sz w:val="28"/>
          <w:szCs w:val="28"/>
          <w:highlight w:val="none"/>
        </w:rPr>
        <w:t>项目联系人：</w:t>
      </w:r>
      <w:r>
        <w:rPr>
          <w:rFonts w:hint="eastAsia" w:hAnsi="宋体"/>
          <w:sz w:val="28"/>
          <w:szCs w:val="28"/>
          <w:highlight w:val="none"/>
          <w:u w:val="single"/>
          <w:lang w:eastAsia="zh-CN"/>
        </w:rPr>
        <w:t>王嵩、丁晓娅</w:t>
      </w:r>
    </w:p>
    <w:p>
      <w:pPr>
        <w:pStyle w:val="25"/>
        <w:shd w:val="clear"/>
        <w:spacing w:line="360" w:lineRule="auto"/>
        <w:ind w:firstLine="560" w:firstLineChars="200"/>
        <w:rPr>
          <w:rFonts w:ascii="宋体" w:hAnsi="宋体" w:cs="宋体"/>
          <w:sz w:val="28"/>
          <w:szCs w:val="28"/>
        </w:rPr>
      </w:pPr>
      <w:r>
        <w:rPr>
          <w:rFonts w:hint="eastAsia" w:ascii="宋体" w:hAnsi="宋体" w:eastAsia="宋体" w:cs="Arial"/>
          <w:kern w:val="2"/>
          <w:sz w:val="28"/>
          <w:szCs w:val="28"/>
          <w:highlight w:val="none"/>
          <w:lang w:val="en-US" w:eastAsia="zh-CN" w:bidi="ar-SA"/>
        </w:rPr>
        <w:t>电 话：</w:t>
      </w:r>
      <w:r>
        <w:rPr>
          <w:rFonts w:hint="eastAsia" w:ascii="宋体" w:hAnsi="宋体" w:eastAsia="宋体" w:cs="Arial"/>
          <w:kern w:val="2"/>
          <w:sz w:val="28"/>
          <w:szCs w:val="28"/>
          <w:highlight w:val="none"/>
          <w:u w:val="single"/>
          <w:lang w:val="en-US" w:eastAsia="zh-CN" w:bidi="ar-SA"/>
        </w:rPr>
        <w:t>0991-6600851</w:t>
      </w:r>
      <w:r>
        <w:rPr>
          <w:rFonts w:hint="eastAsia" w:ascii="宋体" w:hAnsi="宋体" w:eastAsia="宋体" w:cs="Arial"/>
          <w:kern w:val="2"/>
          <w:sz w:val="28"/>
          <w:szCs w:val="28"/>
          <w:highlight w:val="none"/>
          <w:lang w:val="en-US" w:eastAsia="zh-CN" w:bidi="ar-SA"/>
        </w:rPr>
        <w:br w:type="page"/>
      </w:r>
    </w:p>
    <w:p>
      <w:pPr>
        <w:pStyle w:val="3"/>
        <w:spacing w:line="360" w:lineRule="auto"/>
        <w:jc w:val="center"/>
        <w:rPr>
          <w:rFonts w:ascii="宋体" w:cs="宋体"/>
          <w:w w:val="90"/>
          <w:sz w:val="56"/>
        </w:rPr>
      </w:pPr>
      <w:r>
        <w:rPr>
          <w:rFonts w:hint="eastAsia" w:ascii="宋体" w:hAnsi="宋体" w:cs="宋体"/>
          <w:w w:val="90"/>
        </w:rPr>
        <w:t>第二章</w:t>
      </w:r>
      <w:r>
        <w:rPr>
          <w:rFonts w:ascii="宋体" w:hAnsi="宋体" w:cs="宋体"/>
          <w:w w:val="90"/>
        </w:rPr>
        <w:t xml:space="preserve"> </w:t>
      </w:r>
      <w:r>
        <w:rPr>
          <w:rFonts w:hint="eastAsia" w:ascii="宋体" w:hAnsi="宋体" w:cs="宋体"/>
          <w:w w:val="90"/>
        </w:rPr>
        <w:t>投标人须知前附表</w:t>
      </w:r>
      <w:bookmarkEnd w:id="35"/>
      <w:bookmarkEnd w:id="36"/>
      <w:bookmarkEnd w:id="37"/>
    </w:p>
    <w:p>
      <w:pPr>
        <w:spacing w:line="360" w:lineRule="auto"/>
        <w:ind w:firstLine="480" w:firstLineChars="200"/>
        <w:rPr>
          <w:rFonts w:ascii="宋体" w:cs="宋体"/>
          <w:sz w:val="24"/>
          <w:szCs w:val="24"/>
        </w:rPr>
      </w:pPr>
      <w:r>
        <w:rPr>
          <w:rFonts w:hint="eastAsia" w:ascii="宋体" w:hAnsi="宋体" w:cs="宋体"/>
          <w:sz w:val="24"/>
          <w:szCs w:val="24"/>
        </w:rPr>
        <w:t>本表是对投标人须知的具体补充和修改，如有矛盾，应以本表为准。</w:t>
      </w:r>
    </w:p>
    <w:tbl>
      <w:tblPr>
        <w:tblStyle w:val="47"/>
        <w:tblW w:w="9215" w:type="dxa"/>
        <w:tblInd w:w="-25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7"/>
        <w:gridCol w:w="80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7" w:hRule="atLeast"/>
        </w:trPr>
        <w:tc>
          <w:tcPr>
            <w:tcW w:w="1177" w:type="dxa"/>
            <w:tcBorders>
              <w:top w:val="single" w:color="auto" w:sz="12" w:space="0"/>
              <w:right w:val="single" w:color="auto" w:sz="4" w:space="0"/>
            </w:tcBorders>
            <w:vAlign w:val="center"/>
          </w:tcPr>
          <w:p>
            <w:pPr>
              <w:spacing w:line="360" w:lineRule="auto"/>
              <w:jc w:val="center"/>
              <w:rPr>
                <w:rFonts w:ascii="宋体" w:cs="宋体"/>
                <w:sz w:val="24"/>
                <w:szCs w:val="24"/>
              </w:rPr>
            </w:pPr>
            <w:r>
              <w:rPr>
                <w:rFonts w:hint="eastAsia" w:ascii="宋体" w:hAnsi="宋体" w:cs="宋体"/>
                <w:sz w:val="24"/>
                <w:szCs w:val="24"/>
              </w:rPr>
              <w:t>条款号</w:t>
            </w:r>
          </w:p>
        </w:tc>
        <w:tc>
          <w:tcPr>
            <w:tcW w:w="8038" w:type="dxa"/>
            <w:tcBorders>
              <w:top w:val="single" w:color="auto" w:sz="12" w:space="0"/>
              <w:left w:val="single" w:color="auto" w:sz="4" w:space="0"/>
            </w:tcBorders>
            <w:vAlign w:val="center"/>
          </w:tcPr>
          <w:p>
            <w:pPr>
              <w:spacing w:line="360" w:lineRule="auto"/>
              <w:jc w:val="center"/>
              <w:rPr>
                <w:rFonts w:ascii="宋体" w:cs="宋体"/>
                <w:b/>
                <w:sz w:val="24"/>
                <w:szCs w:val="24"/>
              </w:rPr>
            </w:pPr>
            <w:r>
              <w:rPr>
                <w:rFonts w:hint="eastAsia" w:ascii="宋体" w:hAnsi="宋体" w:cs="宋体"/>
                <w:b/>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27" w:hRule="atLeast"/>
        </w:trPr>
        <w:tc>
          <w:tcPr>
            <w:tcW w:w="9215" w:type="dxa"/>
            <w:gridSpan w:val="2"/>
            <w:vAlign w:val="center"/>
          </w:tcPr>
          <w:p>
            <w:pPr>
              <w:spacing w:line="360" w:lineRule="auto"/>
              <w:jc w:val="center"/>
              <w:rPr>
                <w:rFonts w:ascii="宋体" w:cs="宋体"/>
                <w:sz w:val="24"/>
                <w:szCs w:val="24"/>
                <w:lang w:val="zh-CN"/>
              </w:rPr>
            </w:pPr>
            <w:r>
              <w:rPr>
                <w:rFonts w:hint="eastAsia" w:ascii="宋体" w:hAnsi="宋体" w:cs="宋体"/>
                <w:sz w:val="24"/>
                <w:szCs w:val="24"/>
                <w:lang w:val="zh-CN"/>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autoSpaceDE w:val="0"/>
              <w:autoSpaceDN w:val="0"/>
              <w:adjustRightInd w:val="0"/>
              <w:spacing w:line="360" w:lineRule="auto"/>
              <w:jc w:val="center"/>
              <w:rPr>
                <w:rFonts w:ascii="宋体" w:cs="宋体"/>
                <w:kern w:val="0"/>
                <w:sz w:val="24"/>
                <w:szCs w:val="24"/>
                <w:highlight w:val="yellow"/>
              </w:rPr>
            </w:pPr>
            <w:r>
              <w:rPr>
                <w:rFonts w:ascii="宋体" w:hAnsi="宋体" w:cs="宋体"/>
                <w:sz w:val="24"/>
                <w:szCs w:val="24"/>
              </w:rPr>
              <w:t>1.1</w:t>
            </w:r>
          </w:p>
        </w:tc>
        <w:tc>
          <w:tcPr>
            <w:tcW w:w="8038" w:type="dxa"/>
            <w:tcBorders>
              <w:left w:val="single" w:color="auto" w:sz="4" w:space="0"/>
            </w:tcBorders>
            <w:vAlign w:val="center"/>
          </w:tcPr>
          <w:p>
            <w:pPr>
              <w:autoSpaceDE w:val="0"/>
              <w:autoSpaceDN w:val="0"/>
              <w:adjustRightInd w:val="0"/>
              <w:spacing w:line="360" w:lineRule="auto"/>
              <w:rPr>
                <w:rFonts w:hint="eastAsia" w:ascii="宋体" w:eastAsia="宋体" w:cs="宋体"/>
                <w:kern w:val="0"/>
                <w:sz w:val="24"/>
                <w:szCs w:val="24"/>
                <w:lang w:eastAsia="zh-CN"/>
              </w:rPr>
            </w:pPr>
            <w:r>
              <w:rPr>
                <w:rFonts w:hint="eastAsia" w:ascii="宋体" w:hAnsi="宋体" w:cs="宋体"/>
                <w:kern w:val="0"/>
                <w:sz w:val="24"/>
                <w:szCs w:val="24"/>
              </w:rPr>
              <w:t>项目名称：</w:t>
            </w:r>
            <w:r>
              <w:rPr>
                <w:rFonts w:hint="eastAsia" w:ascii="宋体" w:hAnsi="宋体" w:cs="宋体"/>
                <w:kern w:val="0"/>
                <w:sz w:val="24"/>
                <w:szCs w:val="24"/>
                <w:lang w:eastAsia="zh-CN"/>
              </w:rPr>
              <w:t>高新区（新市区）卫生健康委员会体检医院服务商采购项目</w:t>
            </w:r>
          </w:p>
          <w:p>
            <w:pPr>
              <w:pStyle w:val="21"/>
              <w:rPr>
                <w:rFonts w:hint="eastAsia" w:ascii="Times New Roman" w:hAnsi="Times New Roman" w:eastAsia="宋体"/>
                <w:lang w:eastAsia="zh-CN"/>
              </w:rPr>
            </w:pPr>
            <w:r>
              <w:rPr>
                <w:rFonts w:hint="eastAsia" w:ascii="Times New Roman" w:hAnsi="Times New Roman"/>
              </w:rPr>
              <w:t>项目编号：</w:t>
            </w:r>
            <w:bookmarkStart w:id="274" w:name="_GoBack"/>
            <w:r>
              <w:rPr>
                <w:rFonts w:hint="eastAsia" w:ascii="宋体" w:hAnsi="宋体" w:cs="宋体"/>
                <w:kern w:val="0"/>
                <w:szCs w:val="24"/>
                <w:lang w:eastAsia="zh-CN"/>
              </w:rPr>
              <w:t>GXXG-2025-ZFCG001</w:t>
            </w:r>
            <w:bookmarkEnd w:id="27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autoSpaceDE w:val="0"/>
              <w:autoSpaceDN w:val="0"/>
              <w:adjustRightInd w:val="0"/>
              <w:spacing w:line="360" w:lineRule="auto"/>
              <w:jc w:val="center"/>
              <w:rPr>
                <w:rFonts w:ascii="宋体" w:cs="宋体"/>
                <w:sz w:val="24"/>
                <w:szCs w:val="24"/>
                <w:highlight w:val="yellow"/>
              </w:rPr>
            </w:pPr>
            <w:r>
              <w:rPr>
                <w:rFonts w:ascii="宋体" w:hAnsi="宋体" w:cs="宋体"/>
                <w:sz w:val="24"/>
                <w:szCs w:val="24"/>
              </w:rPr>
              <w:t>1.2</w:t>
            </w:r>
          </w:p>
        </w:tc>
        <w:tc>
          <w:tcPr>
            <w:tcW w:w="8038" w:type="dxa"/>
            <w:tcBorders>
              <w:left w:val="single" w:color="auto" w:sz="4" w:space="0"/>
            </w:tcBorders>
            <w:vAlign w:val="center"/>
          </w:tcPr>
          <w:p>
            <w:pPr>
              <w:autoSpaceDE w:val="0"/>
              <w:autoSpaceDN w:val="0"/>
              <w:adjustRightInd w:val="0"/>
              <w:spacing w:line="360" w:lineRule="auto"/>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标项一: 高新区（新市区）卫生健康委员会体检医院服务商采购项目 标项一</w:t>
            </w:r>
          </w:p>
          <w:p>
            <w:pPr>
              <w:autoSpaceDE w:val="0"/>
              <w:autoSpaceDN w:val="0"/>
              <w:adjustRightInd w:val="0"/>
              <w:spacing w:line="360" w:lineRule="auto"/>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预算金额（元）:</w:t>
            </w:r>
            <w:r>
              <w:rPr>
                <w:rFonts w:hint="eastAsia" w:ascii="宋体" w:hAnsi="宋体" w:cs="宋体"/>
                <w:kern w:val="0"/>
                <w:sz w:val="24"/>
                <w:szCs w:val="24"/>
                <w:highlight w:val="none"/>
                <w:lang w:val="en-US" w:eastAsia="zh-CN"/>
              </w:rPr>
              <w:t xml:space="preserve"> 2721900.00元</w:t>
            </w:r>
          </w:p>
          <w:p>
            <w:pPr>
              <w:autoSpaceDE w:val="0"/>
              <w:autoSpaceDN w:val="0"/>
              <w:adjustRightInd w:val="0"/>
              <w:spacing w:line="360" w:lineRule="auto"/>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标项二:</w:t>
            </w:r>
            <w:r>
              <w:rPr>
                <w:rFonts w:hint="eastAsia" w:ascii="宋体" w:hAnsi="宋体" w:cs="宋体"/>
                <w:kern w:val="0"/>
                <w:sz w:val="24"/>
                <w:szCs w:val="24"/>
                <w:lang w:eastAsia="zh-CN"/>
              </w:rPr>
              <w:t>高新区（新市区）卫生健康委员会体检医院服务商采购项目</w:t>
            </w:r>
            <w:r>
              <w:rPr>
                <w:rFonts w:hint="eastAsia" w:ascii="宋体" w:hAnsi="宋体" w:cs="宋体"/>
                <w:kern w:val="0"/>
                <w:sz w:val="24"/>
                <w:szCs w:val="24"/>
                <w:lang w:val="en-US" w:eastAsia="zh-CN"/>
              </w:rPr>
              <w:t xml:space="preserve"> 标项二</w:t>
            </w:r>
          </w:p>
          <w:p>
            <w:pPr>
              <w:autoSpaceDE w:val="0"/>
              <w:autoSpaceDN w:val="0"/>
              <w:adjustRightInd w:val="0"/>
              <w:spacing w:line="360" w:lineRule="auto"/>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预算金额（元）:</w:t>
            </w:r>
            <w:r>
              <w:rPr>
                <w:rFonts w:hint="eastAsia" w:ascii="宋体" w:hAnsi="宋体" w:cs="宋体"/>
                <w:kern w:val="0"/>
                <w:sz w:val="24"/>
                <w:szCs w:val="24"/>
                <w:highlight w:val="none"/>
                <w:lang w:val="en-US" w:eastAsia="zh-CN"/>
              </w:rPr>
              <w:t>2580200</w:t>
            </w:r>
            <w:r>
              <w:rPr>
                <w:rFonts w:hint="eastAsia" w:ascii="宋体" w:hAnsi="宋体" w:cs="宋体"/>
                <w:kern w:val="0"/>
                <w:sz w:val="24"/>
                <w:szCs w:val="24"/>
                <w:highlight w:val="none"/>
                <w:lang w:eastAsia="zh-CN"/>
              </w:rPr>
              <w:t>.00元</w:t>
            </w:r>
            <w:r>
              <w:rPr>
                <w:rFonts w:hint="eastAsia" w:ascii="宋体" w:hAnsi="宋体" w:cs="宋体"/>
                <w:kern w:val="0"/>
                <w:sz w:val="24"/>
                <w:szCs w:val="24"/>
                <w:highlight w:val="none"/>
                <w:lang w:val="en-US" w:eastAsia="zh-CN"/>
              </w:rPr>
              <w:t xml:space="preserve"> </w:t>
            </w:r>
          </w:p>
          <w:p>
            <w:pPr>
              <w:autoSpaceDE w:val="0"/>
              <w:autoSpaceDN w:val="0"/>
              <w:adjustRightInd w:val="0"/>
              <w:spacing w:line="360" w:lineRule="auto"/>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标项三:高新区（新市区）卫生健康委员会体检医院服务商采购项目 标项</w:t>
            </w:r>
            <w:r>
              <w:rPr>
                <w:rFonts w:hint="eastAsia" w:ascii="宋体" w:hAnsi="宋体" w:cs="宋体"/>
                <w:kern w:val="0"/>
                <w:sz w:val="24"/>
                <w:szCs w:val="24"/>
                <w:highlight w:val="none"/>
                <w:lang w:val="en-US" w:eastAsia="zh-CN"/>
              </w:rPr>
              <w:t>三</w:t>
            </w:r>
          </w:p>
          <w:p>
            <w:pPr>
              <w:autoSpaceDE w:val="0"/>
              <w:autoSpaceDN w:val="0"/>
              <w:adjustRightInd w:val="0"/>
              <w:spacing w:line="360" w:lineRule="auto"/>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预算金额（元）:</w:t>
            </w:r>
            <w:r>
              <w:rPr>
                <w:rFonts w:hint="eastAsia" w:ascii="宋体" w:hAnsi="宋体" w:cs="宋体"/>
                <w:kern w:val="0"/>
                <w:sz w:val="24"/>
                <w:szCs w:val="24"/>
                <w:highlight w:val="none"/>
                <w:lang w:val="en-US" w:eastAsia="zh-CN"/>
              </w:rPr>
              <w:t xml:space="preserve"> 1995800.00元</w:t>
            </w:r>
          </w:p>
          <w:p>
            <w:pPr>
              <w:autoSpaceDE w:val="0"/>
              <w:autoSpaceDN w:val="0"/>
              <w:adjustRightInd w:val="0"/>
              <w:spacing w:line="360" w:lineRule="auto"/>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标项四:</w:t>
            </w:r>
            <w:r>
              <w:rPr>
                <w:rFonts w:hint="eastAsia" w:ascii="宋体" w:hAnsi="宋体" w:cs="宋体"/>
                <w:kern w:val="0"/>
                <w:sz w:val="24"/>
                <w:szCs w:val="24"/>
                <w:lang w:eastAsia="zh-CN"/>
              </w:rPr>
              <w:t>高新区（新市区）卫生健康委员会体检医院服务商采购项目</w:t>
            </w:r>
            <w:r>
              <w:rPr>
                <w:rFonts w:hint="eastAsia" w:ascii="宋体" w:hAnsi="宋体" w:cs="宋体"/>
                <w:kern w:val="0"/>
                <w:sz w:val="24"/>
                <w:szCs w:val="24"/>
                <w:lang w:val="en-US" w:eastAsia="zh-CN"/>
              </w:rPr>
              <w:t xml:space="preserve"> 标项四</w:t>
            </w:r>
          </w:p>
          <w:p>
            <w:pPr>
              <w:autoSpaceDE w:val="0"/>
              <w:autoSpaceDN w:val="0"/>
              <w:adjustRightInd w:val="0"/>
              <w:spacing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eastAsia="zh-CN"/>
              </w:rPr>
              <w:t>预算金额（元）:</w:t>
            </w:r>
            <w:r>
              <w:rPr>
                <w:rFonts w:hint="eastAsia" w:ascii="宋体" w:hAnsi="宋体" w:cs="宋体"/>
                <w:kern w:val="0"/>
                <w:sz w:val="24"/>
                <w:szCs w:val="24"/>
                <w:highlight w:val="none"/>
                <w:lang w:val="en-US" w:eastAsia="zh-CN"/>
              </w:rPr>
              <w:t xml:space="preserve"> 1853750.00元</w:t>
            </w:r>
          </w:p>
          <w:p>
            <w:pPr>
              <w:autoSpaceDE w:val="0"/>
              <w:autoSpaceDN w:val="0"/>
              <w:adjustRightInd w:val="0"/>
              <w:spacing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 xml:space="preserve">标项五: </w:t>
            </w:r>
            <w:r>
              <w:rPr>
                <w:rFonts w:hint="eastAsia" w:ascii="宋体" w:hAnsi="宋体" w:cs="宋体"/>
                <w:kern w:val="0"/>
                <w:sz w:val="24"/>
                <w:szCs w:val="24"/>
                <w:lang w:eastAsia="zh-CN"/>
              </w:rPr>
              <w:t>高新区（新市区）卫生健康委员会体检医院服务商采购项目</w:t>
            </w:r>
            <w:r>
              <w:rPr>
                <w:rFonts w:hint="eastAsia" w:ascii="宋体" w:hAnsi="宋体" w:cs="宋体"/>
                <w:kern w:val="0"/>
                <w:sz w:val="24"/>
                <w:szCs w:val="24"/>
                <w:lang w:val="en-US" w:eastAsia="zh-CN"/>
              </w:rPr>
              <w:t xml:space="preserve"> 标项五</w:t>
            </w:r>
          </w:p>
          <w:p>
            <w:pPr>
              <w:autoSpaceDE w:val="0"/>
              <w:autoSpaceDN w:val="0"/>
              <w:adjustRightInd w:val="0"/>
              <w:spacing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预算金额（元）:1727000.00元</w:t>
            </w:r>
          </w:p>
          <w:p>
            <w:pPr>
              <w:pStyle w:val="2"/>
              <w:rPr>
                <w:rFonts w:hint="default" w:ascii="宋体" w:hAnsi="宋体" w:eastAsia="宋体" w:cs="宋体"/>
                <w:b w:val="0"/>
                <w:bCs w:val="0"/>
                <w:caps w:val="0"/>
                <w:kern w:val="0"/>
                <w:sz w:val="24"/>
                <w:szCs w:val="24"/>
                <w:highlight w:val="none"/>
                <w:lang w:val="en-US" w:eastAsia="zh-CN" w:bidi="ar-SA"/>
              </w:rPr>
            </w:pPr>
            <w:r>
              <w:rPr>
                <w:rFonts w:hint="default" w:ascii="宋体" w:hAnsi="宋体" w:eastAsia="宋体" w:cs="宋体"/>
                <w:b w:val="0"/>
                <w:bCs w:val="0"/>
                <w:caps w:val="0"/>
                <w:kern w:val="0"/>
                <w:sz w:val="24"/>
                <w:szCs w:val="24"/>
                <w:highlight w:val="none"/>
                <w:lang w:val="en-US" w:eastAsia="zh-CN" w:bidi="ar-SA"/>
              </w:rPr>
              <w:t>标项</w:t>
            </w:r>
            <w:r>
              <w:rPr>
                <w:rFonts w:hint="eastAsia" w:ascii="宋体" w:hAnsi="宋体" w:cs="宋体"/>
                <w:b w:val="0"/>
                <w:bCs w:val="0"/>
                <w:caps w:val="0"/>
                <w:kern w:val="0"/>
                <w:sz w:val="24"/>
                <w:szCs w:val="24"/>
                <w:highlight w:val="none"/>
                <w:lang w:val="en-US" w:eastAsia="zh-CN" w:bidi="ar-SA"/>
              </w:rPr>
              <w:t>六</w:t>
            </w:r>
            <w:r>
              <w:rPr>
                <w:rFonts w:hint="default" w:ascii="宋体" w:hAnsi="宋体" w:eastAsia="宋体" w:cs="宋体"/>
                <w:b w:val="0"/>
                <w:bCs w:val="0"/>
                <w:caps w:val="0"/>
                <w:kern w:val="0"/>
                <w:sz w:val="24"/>
                <w:szCs w:val="24"/>
                <w:highlight w:val="none"/>
                <w:lang w:val="en-US" w:eastAsia="zh-CN" w:bidi="ar-SA"/>
              </w:rPr>
              <w:t>: 高新区（新市区）卫生健康委员会体检医院服务商采购项目 标项</w:t>
            </w:r>
            <w:r>
              <w:rPr>
                <w:rFonts w:hint="eastAsia" w:ascii="宋体" w:hAnsi="宋体" w:cs="宋体"/>
                <w:b w:val="0"/>
                <w:bCs w:val="0"/>
                <w:caps w:val="0"/>
                <w:kern w:val="0"/>
                <w:sz w:val="24"/>
                <w:szCs w:val="24"/>
                <w:highlight w:val="none"/>
                <w:lang w:val="en-US" w:eastAsia="zh-CN" w:bidi="ar-SA"/>
              </w:rPr>
              <w:t>六</w:t>
            </w:r>
          </w:p>
          <w:p>
            <w:pPr>
              <w:pStyle w:val="2"/>
              <w:rPr>
                <w:rFonts w:hint="default"/>
                <w:lang w:val="en-US"/>
              </w:rPr>
            </w:pPr>
            <w:r>
              <w:rPr>
                <w:rFonts w:hint="default" w:ascii="宋体" w:hAnsi="宋体" w:eastAsia="宋体" w:cs="宋体"/>
                <w:b w:val="0"/>
                <w:bCs w:val="0"/>
                <w:caps w:val="0"/>
                <w:kern w:val="0"/>
                <w:sz w:val="24"/>
                <w:szCs w:val="24"/>
                <w:highlight w:val="none"/>
                <w:lang w:val="en-US" w:eastAsia="zh-CN" w:bidi="ar-SA"/>
              </w:rPr>
              <w:t>预算金额（元）:</w:t>
            </w:r>
            <w:r>
              <w:rPr>
                <w:rFonts w:hint="eastAsia" w:ascii="宋体" w:hAnsi="宋体" w:cs="宋体"/>
                <w:b w:val="0"/>
                <w:bCs w:val="0"/>
                <w:caps w:val="0"/>
                <w:kern w:val="0"/>
                <w:sz w:val="24"/>
                <w:szCs w:val="24"/>
                <w:highlight w:val="none"/>
                <w:lang w:val="en-US" w:eastAsia="zh-CN" w:bidi="ar-SA"/>
              </w:rPr>
              <w:t>1821350</w:t>
            </w:r>
            <w:r>
              <w:rPr>
                <w:rFonts w:hint="default" w:ascii="宋体" w:hAnsi="宋体" w:eastAsia="宋体" w:cs="宋体"/>
                <w:b w:val="0"/>
                <w:bCs w:val="0"/>
                <w:caps w:val="0"/>
                <w:kern w:val="0"/>
                <w:sz w:val="24"/>
                <w:szCs w:val="24"/>
                <w:highlight w:val="none"/>
                <w:lang w:val="en-US" w:eastAsia="zh-CN" w:bidi="ar-SA"/>
              </w:rPr>
              <w:t>.00元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autoSpaceDE w:val="0"/>
              <w:autoSpaceDN w:val="0"/>
              <w:adjustRightIn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8038" w:type="dxa"/>
            <w:tcBorders>
              <w:left w:val="single" w:color="auto" w:sz="4" w:space="0"/>
            </w:tcBorders>
            <w:vAlign w:val="center"/>
          </w:tcPr>
          <w:p>
            <w:pPr>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合同履行期限：一年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autoSpaceDE w:val="0"/>
              <w:autoSpaceDN w:val="0"/>
              <w:adjustRightInd w:val="0"/>
              <w:spacing w:line="360" w:lineRule="auto"/>
              <w:jc w:val="center"/>
              <w:rPr>
                <w:rFonts w:ascii="宋体" w:cs="宋体"/>
                <w:sz w:val="24"/>
                <w:szCs w:val="24"/>
                <w:lang w:val="zh-CN"/>
              </w:rPr>
            </w:pPr>
            <w:r>
              <w:rPr>
                <w:rFonts w:ascii="宋体" w:hAnsi="宋体" w:cs="宋体"/>
                <w:sz w:val="24"/>
                <w:szCs w:val="24"/>
                <w:lang w:val="zh-CN"/>
              </w:rPr>
              <w:t>2.1</w:t>
            </w:r>
          </w:p>
        </w:tc>
        <w:tc>
          <w:tcPr>
            <w:tcW w:w="8038" w:type="dxa"/>
            <w:tcBorders>
              <w:left w:val="single" w:color="auto" w:sz="4" w:space="0"/>
            </w:tcBorders>
            <w:vAlign w:val="center"/>
          </w:tcPr>
          <w:p>
            <w:pPr>
              <w:shd w:val="clear"/>
              <w:autoSpaceDE w:val="0"/>
              <w:autoSpaceDN w:val="0"/>
              <w:adjustRightInd w:val="0"/>
              <w:spacing w:line="360" w:lineRule="auto"/>
              <w:rPr>
                <w:rFonts w:hint="eastAsia" w:ascii="宋体" w:eastAsia="宋体" w:cs="宋体"/>
                <w:kern w:val="0"/>
                <w:sz w:val="24"/>
                <w:szCs w:val="24"/>
                <w:highlight w:val="none"/>
                <w:lang w:eastAsia="zh-CN"/>
              </w:rPr>
            </w:pPr>
            <w:r>
              <w:rPr>
                <w:rFonts w:hint="eastAsia" w:ascii="宋体" w:hAnsi="宋体" w:cs="宋体"/>
                <w:kern w:val="0"/>
                <w:sz w:val="24"/>
                <w:szCs w:val="24"/>
                <w:highlight w:val="none"/>
              </w:rPr>
              <w:t>采购人名称：</w:t>
            </w:r>
            <w:r>
              <w:rPr>
                <w:rFonts w:hint="eastAsia" w:ascii="宋体" w:hAnsi="宋体" w:cs="宋体"/>
                <w:kern w:val="0"/>
                <w:sz w:val="24"/>
                <w:szCs w:val="24"/>
                <w:highlight w:val="none"/>
                <w:lang w:eastAsia="zh-CN"/>
              </w:rPr>
              <w:t xml:space="preserve">乌鲁木齐高新技术产业开发区（新市区）卫生健康委员会  </w:t>
            </w:r>
          </w:p>
          <w:p>
            <w:pPr>
              <w:shd w:val="clear"/>
              <w:autoSpaceDE w:val="0"/>
              <w:autoSpaceDN w:val="0"/>
              <w:adjustRightInd w:val="0"/>
              <w:spacing w:line="360" w:lineRule="auto"/>
              <w:rPr>
                <w:rFonts w:hint="default" w:ascii="宋体" w:eastAsia="宋体" w:cs="宋体"/>
                <w:sz w:val="24"/>
                <w:szCs w:val="24"/>
                <w:highlight w:val="none"/>
                <w:lang w:val="en-US" w:eastAsia="zh-CN"/>
              </w:rPr>
            </w:pPr>
            <w:r>
              <w:rPr>
                <w:rFonts w:hint="eastAsia" w:ascii="宋体" w:hAnsi="宋体" w:cs="宋体"/>
                <w:sz w:val="24"/>
                <w:szCs w:val="24"/>
                <w:highlight w:val="none"/>
                <w:lang w:val="zh-CN"/>
              </w:rPr>
              <w:t>联系人：</w:t>
            </w:r>
            <w:r>
              <w:rPr>
                <w:rFonts w:hint="eastAsia" w:ascii="宋体" w:hAnsi="宋体" w:cs="宋体"/>
                <w:sz w:val="24"/>
                <w:szCs w:val="24"/>
                <w:highlight w:val="none"/>
                <w:lang w:val="en-US" w:eastAsia="zh-CN"/>
              </w:rPr>
              <w:t>郭静静</w:t>
            </w:r>
          </w:p>
          <w:p>
            <w:pPr>
              <w:shd w:val="clear"/>
              <w:autoSpaceDE w:val="0"/>
              <w:autoSpaceDN w:val="0"/>
              <w:adjustRightInd w:val="0"/>
              <w:spacing w:line="360" w:lineRule="auto"/>
              <w:rPr>
                <w:rFonts w:ascii="宋体" w:cs="宋体"/>
                <w:sz w:val="24"/>
                <w:szCs w:val="24"/>
                <w:highlight w:val="none"/>
                <w:lang w:val="zh-CN"/>
              </w:rPr>
            </w:pPr>
            <w:r>
              <w:rPr>
                <w:rFonts w:hint="eastAsia" w:ascii="宋体" w:hAnsi="宋体" w:cs="宋体"/>
                <w:sz w:val="24"/>
                <w:szCs w:val="24"/>
                <w:highlight w:val="none"/>
                <w:lang w:val="zh-CN"/>
              </w:rPr>
              <w:t xml:space="preserve">联系电话：0991-6623652 </w:t>
            </w:r>
          </w:p>
          <w:p>
            <w:pPr>
              <w:autoSpaceDE w:val="0"/>
              <w:autoSpaceDN w:val="0"/>
              <w:adjustRightInd w:val="0"/>
              <w:spacing w:line="360" w:lineRule="auto"/>
              <w:rPr>
                <w:rFonts w:ascii="宋体" w:cs="宋体"/>
                <w:sz w:val="24"/>
                <w:szCs w:val="24"/>
                <w:lang w:val="zh-CN"/>
              </w:rPr>
            </w:pPr>
            <w:r>
              <w:rPr>
                <w:rFonts w:hint="eastAsia" w:ascii="宋体" w:hAnsi="宋体" w:cs="宋体"/>
                <w:sz w:val="24"/>
                <w:szCs w:val="24"/>
                <w:highlight w:val="none"/>
                <w:lang w:val="zh-CN"/>
              </w:rPr>
              <w:t>地址：新疆乌鲁木齐高新区（新市区)四平路2288号创新广场B座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2.2</w:t>
            </w:r>
          </w:p>
        </w:tc>
        <w:tc>
          <w:tcPr>
            <w:tcW w:w="8038" w:type="dxa"/>
            <w:tcBorders>
              <w:left w:val="single" w:color="auto" w:sz="4" w:space="0"/>
            </w:tcBorders>
            <w:vAlign w:val="center"/>
          </w:tcPr>
          <w:p>
            <w:pPr>
              <w:shd w:val="clear"/>
              <w:spacing w:line="360" w:lineRule="auto"/>
              <w:rPr>
                <w:rFonts w:hint="eastAsia" w:ascii="宋体" w:eastAsia="宋体" w:cs="宋体"/>
                <w:sz w:val="24"/>
                <w:szCs w:val="24"/>
                <w:highlight w:val="none"/>
                <w:lang w:eastAsia="zh-CN"/>
              </w:rPr>
            </w:pPr>
            <w:r>
              <w:rPr>
                <w:rFonts w:hint="eastAsia" w:ascii="宋体" w:hAnsi="宋体" w:cs="宋体"/>
                <w:sz w:val="24"/>
                <w:szCs w:val="24"/>
                <w:highlight w:val="none"/>
              </w:rPr>
              <w:t>采购代理机构名称：</w:t>
            </w:r>
            <w:r>
              <w:rPr>
                <w:rFonts w:hint="eastAsia" w:ascii="宋体" w:hAnsi="宋体" w:cs="宋体"/>
                <w:sz w:val="24"/>
                <w:szCs w:val="24"/>
                <w:highlight w:val="none"/>
                <w:lang w:eastAsia="zh-CN"/>
              </w:rPr>
              <w:t>乌鲁木齐高新建设工程项目管理咨询有限公司</w:t>
            </w:r>
          </w:p>
          <w:p>
            <w:pPr>
              <w:shd w:val="clear"/>
              <w:spacing w:line="360" w:lineRule="auto"/>
              <w:rPr>
                <w:rFonts w:hint="eastAsia" w:ascii="宋体" w:eastAsia="宋体" w:cs="宋体"/>
                <w:sz w:val="24"/>
                <w:szCs w:val="24"/>
                <w:highlight w:val="none"/>
                <w:lang w:eastAsia="zh-CN"/>
              </w:rPr>
            </w:pPr>
            <w:r>
              <w:rPr>
                <w:rFonts w:hint="eastAsia" w:ascii="宋体" w:hAnsi="宋体" w:cs="宋体"/>
                <w:sz w:val="24"/>
                <w:szCs w:val="24"/>
                <w:highlight w:val="none"/>
              </w:rPr>
              <w:t>地址：</w:t>
            </w:r>
            <w:r>
              <w:rPr>
                <w:rFonts w:hint="eastAsia" w:ascii="宋体" w:hAnsi="宋体" w:cs="宋体"/>
                <w:sz w:val="24"/>
                <w:szCs w:val="24"/>
                <w:highlight w:val="none"/>
                <w:lang w:eastAsia="zh-CN"/>
              </w:rPr>
              <w:t>乌鲁木齐高新区（新市区)四平路2288号创新广场(二期)G座20层</w:t>
            </w:r>
          </w:p>
          <w:p>
            <w:pPr>
              <w:shd w:val="clear"/>
              <w:spacing w:line="360" w:lineRule="auto"/>
              <w:jc w:val="left"/>
              <w:rPr>
                <w:rFonts w:hint="eastAsia" w:ascii="宋体" w:eastAsia="宋体" w:cs="宋体"/>
                <w:sz w:val="24"/>
                <w:szCs w:val="24"/>
                <w:highlight w:val="none"/>
                <w:lang w:eastAsia="zh-CN"/>
              </w:rPr>
            </w:pPr>
            <w:r>
              <w:rPr>
                <w:rFonts w:hint="eastAsia" w:ascii="宋体" w:hAnsi="宋体" w:cs="宋体"/>
                <w:sz w:val="24"/>
                <w:szCs w:val="24"/>
                <w:highlight w:val="none"/>
              </w:rPr>
              <w:t>电话：</w:t>
            </w:r>
            <w:r>
              <w:rPr>
                <w:rFonts w:hint="eastAsia" w:ascii="宋体" w:hAnsi="宋体" w:cs="宋体"/>
                <w:sz w:val="24"/>
                <w:szCs w:val="24"/>
                <w:highlight w:val="none"/>
                <w:lang w:eastAsia="zh-CN"/>
              </w:rPr>
              <w:t>0991-6600851</w:t>
            </w:r>
          </w:p>
          <w:p>
            <w:pPr>
              <w:autoSpaceDE w:val="0"/>
              <w:autoSpaceDN w:val="0"/>
              <w:adjustRightInd w:val="0"/>
              <w:spacing w:line="360" w:lineRule="auto"/>
              <w:rPr>
                <w:rFonts w:ascii="宋体" w:cs="宋体"/>
                <w:sz w:val="24"/>
                <w:szCs w:val="24"/>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王嵩、丁晓娅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2.5</w:t>
            </w:r>
          </w:p>
        </w:tc>
        <w:tc>
          <w:tcPr>
            <w:tcW w:w="8038" w:type="dxa"/>
            <w:tcBorders>
              <w:left w:val="single" w:color="auto" w:sz="4" w:space="0"/>
            </w:tcBorders>
            <w:vAlign w:val="center"/>
          </w:tcPr>
          <w:p>
            <w:pPr>
              <w:spacing w:line="360" w:lineRule="auto"/>
              <w:rPr>
                <w:rFonts w:ascii="宋体" w:cs="宋体"/>
                <w:kern w:val="0"/>
                <w:sz w:val="24"/>
                <w:szCs w:val="24"/>
              </w:rPr>
            </w:pPr>
            <w:r>
              <w:rPr>
                <w:rFonts w:hint="eastAsia" w:ascii="宋体" w:hAnsi="宋体" w:cs="宋体"/>
                <w:kern w:val="0"/>
                <w:sz w:val="24"/>
                <w:szCs w:val="24"/>
              </w:rPr>
              <w:t>本项目（否）接受联合体投标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4</w:t>
            </w:r>
            <w:r>
              <w:rPr>
                <w:rFonts w:ascii="宋体" w:hAnsi="宋体" w:cs="宋体"/>
                <w:sz w:val="24"/>
                <w:szCs w:val="24"/>
              </w:rPr>
              <w:t>.3</w:t>
            </w:r>
          </w:p>
        </w:tc>
        <w:tc>
          <w:tcPr>
            <w:tcW w:w="8038" w:type="dxa"/>
            <w:tcBorders>
              <w:lef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付款方式：</w:t>
            </w:r>
            <w:r>
              <w:rPr>
                <w:rFonts w:hint="eastAsia" w:ascii="宋体" w:hAnsi="宋体" w:cs="宋体"/>
                <w:sz w:val="24"/>
                <w:szCs w:val="24"/>
                <w:highlight w:val="none"/>
                <w:lang w:val="en-US" w:eastAsia="zh-CN"/>
              </w:rPr>
              <w:t>详见合同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4.4</w:t>
            </w:r>
          </w:p>
        </w:tc>
        <w:tc>
          <w:tcPr>
            <w:tcW w:w="8038" w:type="dxa"/>
            <w:tcBorders>
              <w:lef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质保期：/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5" w:hRule="atLeast"/>
        </w:trPr>
        <w:tc>
          <w:tcPr>
            <w:tcW w:w="1177" w:type="dxa"/>
            <w:tcBorders>
              <w:bottom w:val="single" w:color="auto" w:sz="4" w:space="0"/>
              <w:right w:val="single" w:color="auto" w:sz="4" w:space="0"/>
            </w:tcBorders>
            <w:vAlign w:val="center"/>
          </w:tcPr>
          <w:p>
            <w:pPr>
              <w:spacing w:line="360" w:lineRule="auto"/>
              <w:jc w:val="center"/>
              <w:rPr>
                <w:rFonts w:ascii="宋体" w:cs="宋体"/>
                <w:i/>
                <w:sz w:val="24"/>
                <w:szCs w:val="24"/>
              </w:rPr>
            </w:pPr>
            <w:r>
              <w:rPr>
                <w:rFonts w:ascii="宋体" w:hAnsi="宋体" w:cs="宋体"/>
                <w:sz w:val="24"/>
                <w:szCs w:val="24"/>
                <w:lang w:val="zh-CN"/>
              </w:rPr>
              <w:t>13.1</w:t>
            </w:r>
          </w:p>
        </w:tc>
        <w:tc>
          <w:tcPr>
            <w:tcW w:w="8038" w:type="dxa"/>
            <w:tcBorders>
              <w:left w:val="single" w:color="auto" w:sz="4" w:space="0"/>
              <w:bottom w:val="single" w:color="auto" w:sz="4" w:space="0"/>
            </w:tcBorders>
            <w:vAlign w:val="center"/>
          </w:tcPr>
          <w:p>
            <w:pPr>
              <w:spacing w:line="360" w:lineRule="auto"/>
              <w:rPr>
                <w:rFonts w:ascii="宋体" w:cs="宋体"/>
                <w:i/>
                <w:sz w:val="24"/>
                <w:szCs w:val="24"/>
              </w:rPr>
            </w:pPr>
            <w:r>
              <w:rPr>
                <w:rFonts w:hint="eastAsia" w:ascii="宋体" w:hAnsi="宋体" w:cs="宋体"/>
                <w:sz w:val="24"/>
                <w:szCs w:val="24"/>
                <w:lang w:val="zh-CN"/>
              </w:rPr>
              <w:t>投标报价：超预算金额（最高限价）的，其报价无效，不进入评标阶段。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1177" w:type="dxa"/>
            <w:tcBorders>
              <w:top w:val="single" w:color="auto" w:sz="4" w:space="0"/>
              <w:right w:val="single" w:color="auto" w:sz="4" w:space="0"/>
            </w:tcBorders>
            <w:vAlign w:val="center"/>
          </w:tcPr>
          <w:p>
            <w:pPr>
              <w:spacing w:line="360" w:lineRule="auto"/>
              <w:jc w:val="center"/>
              <w:rPr>
                <w:rFonts w:ascii="宋体" w:cs="宋体"/>
                <w:sz w:val="24"/>
                <w:szCs w:val="24"/>
                <w:lang w:val="zh-CN"/>
              </w:rPr>
            </w:pPr>
            <w:r>
              <w:rPr>
                <w:rFonts w:ascii="宋体" w:hAnsi="宋体" w:cs="宋体"/>
                <w:sz w:val="24"/>
                <w:szCs w:val="24"/>
                <w:lang w:val="zh-CN"/>
              </w:rPr>
              <w:t>14.1</w:t>
            </w:r>
          </w:p>
        </w:tc>
        <w:tc>
          <w:tcPr>
            <w:tcW w:w="8038" w:type="dxa"/>
            <w:tcBorders>
              <w:top w:val="single" w:color="auto" w:sz="4" w:space="0"/>
              <w:left w:val="single" w:color="auto" w:sz="4" w:space="0"/>
            </w:tcBorders>
            <w:vAlign w:val="center"/>
          </w:tcPr>
          <w:p>
            <w:pPr>
              <w:spacing w:line="360" w:lineRule="auto"/>
              <w:jc w:val="left"/>
              <w:rPr>
                <w:rFonts w:ascii="宋体" w:cs="宋体"/>
                <w:sz w:val="24"/>
                <w:szCs w:val="24"/>
                <w:lang w:val="zh-CN"/>
              </w:rPr>
            </w:pPr>
            <w:r>
              <w:rPr>
                <w:rFonts w:hint="eastAsia" w:ascii="宋体" w:hAnsi="宋体" w:cs="宋体"/>
                <w:sz w:val="24"/>
                <w:szCs w:val="24"/>
              </w:rPr>
              <w:t>投标货币：人民币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1177" w:type="dxa"/>
            <w:tcBorders>
              <w:right w:val="single" w:color="auto" w:sz="4" w:space="0"/>
            </w:tcBorders>
            <w:vAlign w:val="center"/>
          </w:tcPr>
          <w:p>
            <w:pPr>
              <w:tabs>
                <w:tab w:val="left" w:pos="720"/>
              </w:tabs>
              <w:autoSpaceDE w:val="0"/>
              <w:autoSpaceDN w:val="0"/>
              <w:adjustRightInd w:val="0"/>
              <w:spacing w:line="360" w:lineRule="auto"/>
              <w:ind w:left="278" w:right="17"/>
              <w:jc w:val="center"/>
              <w:rPr>
                <w:rFonts w:ascii="宋体" w:cs="宋体"/>
                <w:kern w:val="0"/>
                <w:sz w:val="24"/>
                <w:szCs w:val="24"/>
                <w:lang w:val="zh-CN"/>
              </w:rPr>
            </w:pPr>
            <w:r>
              <w:rPr>
                <w:rFonts w:ascii="宋体" w:hAnsi="宋体" w:cs="宋体"/>
                <w:sz w:val="24"/>
                <w:szCs w:val="24"/>
              </w:rPr>
              <w:t>15.1</w:t>
            </w:r>
          </w:p>
        </w:tc>
        <w:tc>
          <w:tcPr>
            <w:tcW w:w="8038" w:type="dxa"/>
            <w:tcBorders>
              <w:left w:val="single" w:color="auto" w:sz="4" w:space="0"/>
            </w:tcBorders>
            <w:vAlign w:val="center"/>
          </w:tcPr>
          <w:p>
            <w:pPr>
              <w:pStyle w:val="231"/>
              <w:numPr>
                <w:ilvl w:val="0"/>
                <w:numId w:val="0"/>
              </w:numPr>
              <w:shd w:val="clear"/>
              <w:spacing w:line="360" w:lineRule="auto"/>
              <w:rPr>
                <w:rFonts w:ascii="宋体" w:hAnsi="宋体" w:cs="宋体"/>
                <w:bCs/>
                <w:sz w:val="24"/>
                <w:szCs w:val="24"/>
                <w:highlight w:val="none"/>
              </w:rPr>
            </w:pPr>
            <w:r>
              <w:rPr>
                <w:rFonts w:hint="eastAsia" w:ascii="宋体" w:hAnsi="宋体" w:cs="宋体"/>
                <w:bCs/>
                <w:sz w:val="24"/>
                <w:szCs w:val="24"/>
                <w:highlight w:val="none"/>
              </w:rPr>
              <w:t>1.满足《中华人民共和国政府采购法》第二十二条规定；</w:t>
            </w:r>
          </w:p>
          <w:p>
            <w:pPr>
              <w:pStyle w:val="231"/>
              <w:numPr>
                <w:ilvl w:val="0"/>
                <w:numId w:val="0"/>
              </w:numPr>
              <w:shd w:val="clear"/>
              <w:spacing w:line="360" w:lineRule="auto"/>
              <w:rPr>
                <w:rFonts w:ascii="宋体" w:hAns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.落实政府采购政策需满足的资格要求：</w:t>
            </w:r>
          </w:p>
          <w:p>
            <w:pPr>
              <w:pStyle w:val="231"/>
              <w:numPr>
                <w:ilvl w:val="0"/>
                <w:numId w:val="0"/>
              </w:numPr>
              <w:shd w:val="clear"/>
              <w:spacing w:line="360" w:lineRule="auto"/>
              <w:ind w:firstLine="240" w:firstLineChars="100"/>
              <w:rPr>
                <w:rFonts w:ascii="宋体" w:hAnsi="宋体" w:cs="宋体"/>
                <w:bCs/>
                <w:sz w:val="24"/>
                <w:szCs w:val="24"/>
                <w:highlight w:val="none"/>
              </w:rPr>
            </w:pPr>
            <w:r>
              <w:rPr>
                <w:rFonts w:hint="eastAsia" w:ascii="宋体" w:hAnsi="宋体" w:cs="宋体"/>
                <w:bCs/>
                <w:sz w:val="24"/>
                <w:szCs w:val="24"/>
                <w:highlight w:val="none"/>
              </w:rPr>
              <w:t>1）单位负责人为同一人或者存在直接控股、管理关系的不同</w:t>
            </w:r>
            <w:r>
              <w:rPr>
                <w:rFonts w:hint="eastAsia" w:ascii="宋体" w:hAnsi="宋体" w:cs="宋体"/>
                <w:bCs/>
                <w:sz w:val="24"/>
                <w:szCs w:val="24"/>
                <w:highlight w:val="none"/>
                <w:lang w:eastAsia="zh-CN"/>
              </w:rPr>
              <w:t>投标人</w:t>
            </w:r>
            <w:r>
              <w:rPr>
                <w:rFonts w:hint="eastAsia" w:ascii="宋体" w:hAnsi="宋体" w:cs="宋体"/>
                <w:bCs/>
                <w:sz w:val="24"/>
                <w:szCs w:val="24"/>
                <w:highlight w:val="none"/>
              </w:rPr>
              <w:t>，不得同时参加本项目同一标项的投标；</w:t>
            </w:r>
          </w:p>
          <w:p>
            <w:pPr>
              <w:pStyle w:val="231"/>
              <w:numPr>
                <w:ilvl w:val="0"/>
                <w:numId w:val="0"/>
              </w:numPr>
              <w:shd w:val="clear"/>
              <w:spacing w:line="360" w:lineRule="auto"/>
              <w:ind w:firstLine="240" w:firstLineChars="100"/>
              <w:rPr>
                <w:rFonts w:ascii="宋体" w:hAnsi="宋体" w:cs="宋体"/>
                <w:bCs/>
                <w:sz w:val="24"/>
                <w:szCs w:val="24"/>
                <w:highlight w:val="none"/>
              </w:rPr>
            </w:pPr>
            <w:r>
              <w:rPr>
                <w:rFonts w:hint="eastAsia" w:ascii="宋体" w:hAnsi="宋体" w:cs="宋体"/>
                <w:bCs/>
                <w:sz w:val="24"/>
                <w:szCs w:val="24"/>
                <w:highlight w:val="none"/>
              </w:rPr>
              <w:t>2）为本项目某标项提供整体设计、规范编制或者项目管理、监理、检测等服务的</w:t>
            </w:r>
            <w:r>
              <w:rPr>
                <w:rFonts w:hint="eastAsia" w:ascii="宋体" w:hAnsi="宋体" w:cs="宋体"/>
                <w:bCs/>
                <w:sz w:val="24"/>
                <w:szCs w:val="24"/>
                <w:highlight w:val="none"/>
                <w:lang w:eastAsia="zh-CN"/>
              </w:rPr>
              <w:t>投标人</w:t>
            </w:r>
            <w:r>
              <w:rPr>
                <w:rFonts w:hint="eastAsia" w:ascii="宋体" w:hAnsi="宋体" w:cs="宋体"/>
                <w:bCs/>
                <w:sz w:val="24"/>
                <w:szCs w:val="24"/>
                <w:highlight w:val="none"/>
              </w:rPr>
              <w:t>，不得参加该标项的投标；</w:t>
            </w:r>
          </w:p>
          <w:p>
            <w:pPr>
              <w:pStyle w:val="231"/>
              <w:numPr>
                <w:ilvl w:val="0"/>
                <w:numId w:val="0"/>
              </w:numPr>
              <w:shd w:val="clear"/>
              <w:spacing w:line="360" w:lineRule="auto"/>
              <w:ind w:firstLine="240" w:firstLineChars="100"/>
              <w:rPr>
                <w:rFonts w:ascii="宋体" w:hAnsi="宋体" w:cs="宋体"/>
                <w:bCs/>
                <w:sz w:val="24"/>
                <w:szCs w:val="24"/>
                <w:highlight w:val="none"/>
              </w:rPr>
            </w:pPr>
            <w:r>
              <w:rPr>
                <w:rFonts w:hint="eastAsia" w:ascii="宋体" w:hAnsi="宋体" w:cs="宋体"/>
                <w:bCs/>
                <w:sz w:val="24"/>
                <w:szCs w:val="24"/>
                <w:highlight w:val="none"/>
              </w:rPr>
              <w:t>3）通过“信用中国”网站（www.creditchina.gov.cn）和中国政府采购网（www.ccgp.gov.cn）查询信用记录（截止时间点为投标截止时间），被列入失信被执行人、重大税收违法案件当事人名单或政府采购严重违法失信行为记录名单的</w:t>
            </w:r>
            <w:r>
              <w:rPr>
                <w:rFonts w:hint="eastAsia" w:ascii="宋体" w:hAnsi="宋体" w:cs="宋体"/>
                <w:bCs/>
                <w:sz w:val="24"/>
                <w:szCs w:val="24"/>
                <w:highlight w:val="none"/>
                <w:lang w:eastAsia="zh-CN"/>
              </w:rPr>
              <w:t>投标人</w:t>
            </w:r>
            <w:r>
              <w:rPr>
                <w:rFonts w:hint="eastAsia" w:ascii="宋体" w:hAnsi="宋体" w:cs="宋体"/>
                <w:bCs/>
                <w:sz w:val="24"/>
                <w:szCs w:val="24"/>
                <w:highlight w:val="none"/>
              </w:rPr>
              <w:t>，没有资格参加本项目的采购活动；</w:t>
            </w:r>
          </w:p>
          <w:p>
            <w:pPr>
              <w:pStyle w:val="231"/>
              <w:numPr>
                <w:ilvl w:val="0"/>
                <w:numId w:val="0"/>
              </w:numPr>
              <w:shd w:val="clear"/>
              <w:spacing w:line="360" w:lineRule="auto"/>
              <w:ind w:firstLine="240" w:firstLineChars="100"/>
              <w:rPr>
                <w:rFonts w:ascii="宋体" w:hAnsi="宋体" w:cs="宋体"/>
                <w:bCs/>
                <w:sz w:val="24"/>
                <w:szCs w:val="24"/>
                <w:highlight w:val="none"/>
              </w:rPr>
            </w:pPr>
            <w:r>
              <w:rPr>
                <w:rFonts w:hint="eastAsia" w:ascii="宋体" w:hAnsi="宋体" w:cs="宋体"/>
                <w:bCs/>
                <w:sz w:val="24"/>
                <w:szCs w:val="24"/>
                <w:highlight w:val="none"/>
              </w:rPr>
              <w:t>4）</w:t>
            </w:r>
            <w:r>
              <w:rPr>
                <w:rFonts w:hint="eastAsia" w:ascii="宋体" w:hAnsi="宋体" w:cs="宋体"/>
                <w:bCs/>
                <w:sz w:val="24"/>
                <w:szCs w:val="24"/>
                <w:highlight w:val="none"/>
                <w:lang w:eastAsia="zh-CN"/>
              </w:rPr>
              <w:t>本项目非专门面向中小企业采购</w:t>
            </w:r>
            <w:r>
              <w:rPr>
                <w:rFonts w:hint="eastAsia" w:ascii="宋体" w:hAnsi="宋体" w:cs="宋体"/>
                <w:bCs/>
                <w:sz w:val="24"/>
                <w:szCs w:val="24"/>
                <w:highlight w:val="none"/>
              </w:rPr>
              <w:t>；</w:t>
            </w:r>
          </w:p>
          <w:p>
            <w:pPr>
              <w:pStyle w:val="231"/>
              <w:numPr>
                <w:ilvl w:val="0"/>
                <w:numId w:val="0"/>
              </w:numPr>
              <w:shd w:val="clear"/>
              <w:spacing w:line="360" w:lineRule="auto"/>
              <w:rPr>
                <w:rFonts w:hint="eastAsia" w:ascii="宋体" w:hAnsi="宋体" w:cs="宋体"/>
                <w:bCs/>
                <w:sz w:val="24"/>
                <w:szCs w:val="24"/>
                <w:highlight w:val="none"/>
              </w:rPr>
            </w:pPr>
            <w:r>
              <w:rPr>
                <w:rFonts w:ascii="宋体" w:hAnsi="宋体" w:cs="宋体"/>
                <w:bCs/>
                <w:sz w:val="24"/>
                <w:szCs w:val="24"/>
                <w:highlight w:val="none"/>
              </w:rPr>
              <w:t>3</w:t>
            </w:r>
            <w:r>
              <w:rPr>
                <w:rFonts w:hint="eastAsia" w:ascii="宋体" w:hAnsi="宋体" w:cs="宋体"/>
                <w:bCs/>
                <w:sz w:val="24"/>
                <w:szCs w:val="24"/>
                <w:highlight w:val="none"/>
              </w:rPr>
              <w:t>.本项目的特定资格要求：</w:t>
            </w:r>
          </w:p>
          <w:p>
            <w:pPr>
              <w:pStyle w:val="231"/>
              <w:numPr>
                <w:ilvl w:val="0"/>
                <w:numId w:val="0"/>
              </w:numPr>
              <w:spacing w:line="360" w:lineRule="auto"/>
              <w:rPr>
                <w:rFonts w:ascii="宋体" w:hAnsi="宋体" w:cs="宋体"/>
                <w:bCs/>
                <w:sz w:val="24"/>
                <w:szCs w:val="24"/>
              </w:rPr>
            </w:pPr>
            <w:r>
              <w:rPr>
                <w:rFonts w:hint="eastAsia" w:ascii="宋体" w:hAnsi="宋体" w:eastAsia="宋体" w:cs="宋体"/>
                <w:bCs/>
                <w:sz w:val="24"/>
                <w:szCs w:val="24"/>
                <w:highlight w:val="none"/>
                <w:lang w:eastAsia="zh-CN"/>
              </w:rPr>
              <w:t>具有</w:t>
            </w:r>
            <w:r>
              <w:rPr>
                <w:rFonts w:hint="eastAsia" w:ascii="宋体" w:hAnsi="宋体" w:cs="宋体"/>
                <w:bCs/>
                <w:sz w:val="24"/>
                <w:szCs w:val="24"/>
                <w:highlight w:val="none"/>
                <w:lang w:eastAsia="zh-CN"/>
              </w:rPr>
              <w:t>有效三级甲等综合医院资质</w:t>
            </w:r>
            <w:r>
              <w:rPr>
                <w:rFonts w:hint="eastAsia" w:ascii="宋体" w:hAnsi="宋体" w:eastAsia="宋体" w:cs="宋体"/>
                <w:bCs/>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6" w:hRule="atLeast"/>
        </w:trPr>
        <w:tc>
          <w:tcPr>
            <w:tcW w:w="1177" w:type="dxa"/>
            <w:tcBorders>
              <w:top w:val="single" w:color="auto" w:sz="12" w:space="0"/>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17.1</w:t>
            </w:r>
          </w:p>
        </w:tc>
        <w:tc>
          <w:tcPr>
            <w:tcW w:w="8038" w:type="dxa"/>
            <w:tcBorders>
              <w:top w:val="single" w:color="auto" w:sz="12" w:space="0"/>
              <w:left w:val="single" w:color="auto" w:sz="4" w:space="0"/>
            </w:tcBorders>
            <w:vAlign w:val="center"/>
          </w:tcPr>
          <w:p>
            <w:pPr>
              <w:shd w:val="clear"/>
              <w:spacing w:line="360" w:lineRule="auto"/>
              <w:rPr>
                <w:rFonts w:hint="eastAsia" w:ascii="宋体" w:cs="宋体"/>
                <w:sz w:val="24"/>
                <w:szCs w:val="24"/>
                <w:highlight w:val="none"/>
              </w:rPr>
            </w:pPr>
            <w:r>
              <w:rPr>
                <w:rFonts w:hint="eastAsia" w:ascii="宋体" w:cs="宋体"/>
                <w:sz w:val="24"/>
                <w:szCs w:val="24"/>
                <w:highlight w:val="none"/>
              </w:rPr>
              <w:t>投标保证金：</w:t>
            </w:r>
          </w:p>
          <w:p>
            <w:pPr>
              <w:shd w:val="clear"/>
              <w:spacing w:line="360" w:lineRule="auto"/>
              <w:rPr>
                <w:rFonts w:hint="eastAsia" w:ascii="宋体" w:cs="宋体"/>
                <w:sz w:val="24"/>
                <w:szCs w:val="24"/>
                <w:highlight w:val="none"/>
              </w:rPr>
            </w:pPr>
            <w:r>
              <w:rPr>
                <w:rFonts w:hint="eastAsia" w:ascii="宋体" w:cs="宋体"/>
                <w:sz w:val="24"/>
                <w:szCs w:val="24"/>
                <w:highlight w:val="none"/>
              </w:rPr>
              <w:t>缴纳形式：转账、汇款或保函等非现金形式</w:t>
            </w:r>
          </w:p>
          <w:p>
            <w:pPr>
              <w:shd w:val="clear"/>
              <w:spacing w:line="360" w:lineRule="auto"/>
              <w:rPr>
                <w:rFonts w:hint="eastAsia" w:ascii="宋体" w:cs="宋体"/>
                <w:sz w:val="24"/>
                <w:szCs w:val="24"/>
                <w:highlight w:val="none"/>
              </w:rPr>
            </w:pPr>
            <w:r>
              <w:rPr>
                <w:rFonts w:hint="eastAsia" w:ascii="宋体" w:cs="宋体"/>
                <w:sz w:val="24"/>
                <w:szCs w:val="24"/>
                <w:highlight w:val="none"/>
              </w:rPr>
              <w:t>缴纳金额：</w:t>
            </w:r>
          </w:p>
          <w:p>
            <w:pPr>
              <w:pStyle w:val="2"/>
              <w:rPr>
                <w:rFonts w:hint="eastAsia" w:ascii="宋体" w:hAnsi="Times New Roman" w:eastAsia="宋体" w:cs="宋体"/>
                <w:b w:val="0"/>
                <w:bCs w:val="0"/>
                <w:caps w:val="0"/>
                <w:kern w:val="2"/>
                <w:sz w:val="24"/>
                <w:szCs w:val="24"/>
                <w:highlight w:val="none"/>
                <w:lang w:val="en-US" w:eastAsia="zh-CN" w:bidi="ar-SA"/>
              </w:rPr>
            </w:pPr>
            <w:r>
              <w:rPr>
                <w:rFonts w:hint="eastAsia" w:ascii="宋体" w:hAnsi="Times New Roman" w:eastAsia="宋体" w:cs="宋体"/>
                <w:b w:val="0"/>
                <w:bCs w:val="0"/>
                <w:caps w:val="0"/>
                <w:kern w:val="2"/>
                <w:sz w:val="24"/>
                <w:szCs w:val="24"/>
                <w:highlight w:val="none"/>
                <w:lang w:val="en-US" w:eastAsia="zh-CN" w:bidi="ar-SA"/>
              </w:rPr>
              <w:t>标项一：</w:t>
            </w:r>
            <w:r>
              <w:rPr>
                <w:rFonts w:hint="eastAsia" w:ascii="宋体" w:hAnsi="Times New Roman" w:cs="宋体"/>
                <w:b w:val="0"/>
                <w:bCs w:val="0"/>
                <w:caps w:val="0"/>
                <w:kern w:val="2"/>
                <w:sz w:val="24"/>
                <w:szCs w:val="24"/>
                <w:highlight w:val="none"/>
                <w:lang w:val="en-US" w:eastAsia="zh-CN" w:bidi="ar-SA"/>
              </w:rPr>
              <w:t>20000</w:t>
            </w:r>
            <w:r>
              <w:rPr>
                <w:rFonts w:hint="eastAsia" w:ascii="宋体" w:hAnsi="Times New Roman" w:eastAsia="宋体" w:cs="宋体"/>
                <w:b w:val="0"/>
                <w:bCs w:val="0"/>
                <w:caps w:val="0"/>
                <w:kern w:val="2"/>
                <w:sz w:val="24"/>
                <w:szCs w:val="24"/>
                <w:highlight w:val="none"/>
                <w:lang w:val="en-US" w:eastAsia="zh-CN" w:bidi="ar-SA"/>
              </w:rPr>
              <w:t xml:space="preserve">.00元 </w:t>
            </w:r>
          </w:p>
          <w:p>
            <w:pPr>
              <w:pStyle w:val="2"/>
              <w:rPr>
                <w:rFonts w:hint="eastAsia" w:ascii="宋体" w:hAnsi="Times New Roman" w:eastAsia="宋体" w:cs="宋体"/>
                <w:b w:val="0"/>
                <w:bCs w:val="0"/>
                <w:caps w:val="0"/>
                <w:kern w:val="2"/>
                <w:sz w:val="24"/>
                <w:szCs w:val="24"/>
                <w:highlight w:val="none"/>
                <w:lang w:val="en-US" w:eastAsia="zh-CN" w:bidi="ar-SA"/>
              </w:rPr>
            </w:pPr>
            <w:r>
              <w:rPr>
                <w:rFonts w:hint="eastAsia" w:ascii="宋体" w:hAnsi="Times New Roman" w:eastAsia="宋体" w:cs="宋体"/>
                <w:b w:val="0"/>
                <w:bCs w:val="0"/>
                <w:caps w:val="0"/>
                <w:kern w:val="2"/>
                <w:sz w:val="24"/>
                <w:szCs w:val="24"/>
                <w:highlight w:val="none"/>
                <w:lang w:val="en-US" w:eastAsia="zh-CN" w:bidi="ar-SA"/>
              </w:rPr>
              <w:t>标项二：</w:t>
            </w:r>
            <w:r>
              <w:rPr>
                <w:rFonts w:hint="eastAsia" w:ascii="宋体" w:hAnsi="Times New Roman" w:cs="宋体"/>
                <w:b w:val="0"/>
                <w:bCs w:val="0"/>
                <w:caps w:val="0"/>
                <w:kern w:val="2"/>
                <w:sz w:val="24"/>
                <w:szCs w:val="24"/>
                <w:highlight w:val="none"/>
                <w:lang w:val="en-US" w:eastAsia="zh-CN" w:bidi="ar-SA"/>
              </w:rPr>
              <w:t>20000</w:t>
            </w:r>
            <w:r>
              <w:rPr>
                <w:rFonts w:hint="eastAsia" w:ascii="宋体" w:hAnsi="Times New Roman" w:eastAsia="宋体" w:cs="宋体"/>
                <w:b w:val="0"/>
                <w:bCs w:val="0"/>
                <w:caps w:val="0"/>
                <w:kern w:val="2"/>
                <w:sz w:val="24"/>
                <w:szCs w:val="24"/>
                <w:highlight w:val="none"/>
                <w:lang w:val="en-US" w:eastAsia="zh-CN" w:bidi="ar-SA"/>
              </w:rPr>
              <w:t>.00元</w:t>
            </w:r>
          </w:p>
          <w:p>
            <w:pPr>
              <w:pStyle w:val="2"/>
              <w:rPr>
                <w:rFonts w:hint="eastAsia" w:ascii="宋体" w:hAnsi="Times New Roman" w:eastAsia="宋体" w:cs="宋体"/>
                <w:b w:val="0"/>
                <w:bCs w:val="0"/>
                <w:caps w:val="0"/>
                <w:kern w:val="2"/>
                <w:sz w:val="24"/>
                <w:szCs w:val="24"/>
                <w:highlight w:val="none"/>
                <w:lang w:val="en-US" w:eastAsia="zh-CN" w:bidi="ar-SA"/>
              </w:rPr>
            </w:pPr>
            <w:r>
              <w:rPr>
                <w:rFonts w:hint="eastAsia" w:ascii="宋体" w:hAnsi="Times New Roman" w:eastAsia="宋体" w:cs="宋体"/>
                <w:b w:val="0"/>
                <w:bCs w:val="0"/>
                <w:caps w:val="0"/>
                <w:kern w:val="2"/>
                <w:sz w:val="24"/>
                <w:szCs w:val="24"/>
                <w:highlight w:val="none"/>
                <w:lang w:val="en-US" w:eastAsia="zh-CN" w:bidi="ar-SA"/>
              </w:rPr>
              <w:t>标项三：</w:t>
            </w:r>
            <w:r>
              <w:rPr>
                <w:rFonts w:hint="eastAsia" w:ascii="宋体" w:hAnsi="Times New Roman" w:cs="宋体"/>
                <w:b w:val="0"/>
                <w:bCs w:val="0"/>
                <w:caps w:val="0"/>
                <w:kern w:val="2"/>
                <w:sz w:val="24"/>
                <w:szCs w:val="24"/>
                <w:highlight w:val="none"/>
                <w:lang w:val="en-US" w:eastAsia="zh-CN" w:bidi="ar-SA"/>
              </w:rPr>
              <w:t>20000</w:t>
            </w:r>
            <w:r>
              <w:rPr>
                <w:rFonts w:hint="eastAsia" w:ascii="宋体" w:hAnsi="Times New Roman" w:eastAsia="宋体" w:cs="宋体"/>
                <w:b w:val="0"/>
                <w:bCs w:val="0"/>
                <w:caps w:val="0"/>
                <w:kern w:val="2"/>
                <w:sz w:val="24"/>
                <w:szCs w:val="24"/>
                <w:highlight w:val="none"/>
                <w:lang w:val="en-US" w:eastAsia="zh-CN" w:bidi="ar-SA"/>
              </w:rPr>
              <w:t xml:space="preserve">.00元 </w:t>
            </w:r>
          </w:p>
          <w:p>
            <w:pPr>
              <w:pStyle w:val="2"/>
              <w:rPr>
                <w:rFonts w:hint="eastAsia" w:ascii="宋体" w:hAnsi="Times New Roman" w:eastAsia="宋体" w:cs="宋体"/>
                <w:b w:val="0"/>
                <w:bCs w:val="0"/>
                <w:caps w:val="0"/>
                <w:kern w:val="2"/>
                <w:sz w:val="24"/>
                <w:szCs w:val="24"/>
                <w:highlight w:val="none"/>
                <w:lang w:val="en-US" w:eastAsia="zh-CN" w:bidi="ar-SA"/>
              </w:rPr>
            </w:pPr>
            <w:r>
              <w:rPr>
                <w:rFonts w:hint="eastAsia" w:ascii="宋体" w:hAnsi="Times New Roman" w:eastAsia="宋体" w:cs="宋体"/>
                <w:b w:val="0"/>
                <w:bCs w:val="0"/>
                <w:caps w:val="0"/>
                <w:kern w:val="2"/>
                <w:sz w:val="24"/>
                <w:szCs w:val="24"/>
                <w:highlight w:val="none"/>
                <w:lang w:val="en-US" w:eastAsia="zh-CN" w:bidi="ar-SA"/>
              </w:rPr>
              <w:t>标项四：</w:t>
            </w:r>
            <w:r>
              <w:rPr>
                <w:rFonts w:hint="eastAsia" w:ascii="宋体" w:hAnsi="Times New Roman" w:cs="宋体"/>
                <w:b w:val="0"/>
                <w:bCs w:val="0"/>
                <w:caps w:val="0"/>
                <w:kern w:val="2"/>
                <w:sz w:val="24"/>
                <w:szCs w:val="24"/>
                <w:highlight w:val="none"/>
                <w:lang w:val="en-US" w:eastAsia="zh-CN" w:bidi="ar-SA"/>
              </w:rPr>
              <w:t>20000</w:t>
            </w:r>
            <w:r>
              <w:rPr>
                <w:rFonts w:hint="eastAsia" w:ascii="宋体" w:hAnsi="Times New Roman" w:eastAsia="宋体" w:cs="宋体"/>
                <w:b w:val="0"/>
                <w:bCs w:val="0"/>
                <w:caps w:val="0"/>
                <w:kern w:val="2"/>
                <w:sz w:val="24"/>
                <w:szCs w:val="24"/>
                <w:highlight w:val="none"/>
                <w:lang w:val="en-US" w:eastAsia="zh-CN" w:bidi="ar-SA"/>
              </w:rPr>
              <w:t xml:space="preserve">.00元 </w:t>
            </w:r>
          </w:p>
          <w:p>
            <w:pPr>
              <w:pStyle w:val="2"/>
              <w:rPr>
                <w:rFonts w:hint="eastAsia" w:ascii="宋体" w:hAnsi="Times New Roman" w:eastAsia="宋体" w:cs="宋体"/>
                <w:b w:val="0"/>
                <w:bCs w:val="0"/>
                <w:caps w:val="0"/>
                <w:kern w:val="2"/>
                <w:sz w:val="24"/>
                <w:szCs w:val="24"/>
                <w:highlight w:val="none"/>
                <w:lang w:val="en-US" w:eastAsia="zh-CN" w:bidi="ar-SA"/>
              </w:rPr>
            </w:pPr>
            <w:r>
              <w:rPr>
                <w:rFonts w:hint="eastAsia" w:ascii="宋体" w:hAnsi="Times New Roman" w:eastAsia="宋体" w:cs="宋体"/>
                <w:b w:val="0"/>
                <w:bCs w:val="0"/>
                <w:caps w:val="0"/>
                <w:kern w:val="2"/>
                <w:sz w:val="24"/>
                <w:szCs w:val="24"/>
                <w:highlight w:val="none"/>
                <w:lang w:val="en-US" w:eastAsia="zh-CN" w:bidi="ar-SA"/>
              </w:rPr>
              <w:t>标项五：</w:t>
            </w:r>
            <w:r>
              <w:rPr>
                <w:rFonts w:hint="eastAsia" w:ascii="宋体" w:hAnsi="Times New Roman" w:cs="宋体"/>
                <w:b w:val="0"/>
                <w:bCs w:val="0"/>
                <w:caps w:val="0"/>
                <w:kern w:val="2"/>
                <w:sz w:val="24"/>
                <w:szCs w:val="24"/>
                <w:highlight w:val="none"/>
                <w:lang w:val="en-US" w:eastAsia="zh-CN" w:bidi="ar-SA"/>
              </w:rPr>
              <w:t>20000</w:t>
            </w:r>
            <w:r>
              <w:rPr>
                <w:rFonts w:hint="eastAsia" w:ascii="宋体" w:hAnsi="Times New Roman" w:eastAsia="宋体" w:cs="宋体"/>
                <w:b w:val="0"/>
                <w:bCs w:val="0"/>
                <w:caps w:val="0"/>
                <w:kern w:val="2"/>
                <w:sz w:val="24"/>
                <w:szCs w:val="24"/>
                <w:highlight w:val="none"/>
                <w:lang w:val="en-US" w:eastAsia="zh-CN" w:bidi="ar-SA"/>
              </w:rPr>
              <w:t>.00元</w:t>
            </w:r>
          </w:p>
          <w:p>
            <w:pPr>
              <w:pStyle w:val="2"/>
              <w:rPr>
                <w:rFonts w:hint="default" w:ascii="宋体" w:hAnsi="Times New Roman" w:eastAsia="宋体" w:cs="宋体"/>
                <w:b w:val="0"/>
                <w:bCs w:val="0"/>
                <w:caps w:val="0"/>
                <w:kern w:val="2"/>
                <w:sz w:val="24"/>
                <w:szCs w:val="24"/>
                <w:highlight w:val="none"/>
                <w:lang w:val="en-US" w:eastAsia="zh-CN" w:bidi="ar-SA"/>
              </w:rPr>
            </w:pPr>
            <w:r>
              <w:rPr>
                <w:rFonts w:hint="eastAsia" w:ascii="宋体" w:hAnsi="Times New Roman" w:eastAsia="宋体" w:cs="宋体"/>
                <w:b w:val="0"/>
                <w:bCs w:val="0"/>
                <w:caps w:val="0"/>
                <w:kern w:val="2"/>
                <w:sz w:val="24"/>
                <w:szCs w:val="24"/>
                <w:highlight w:val="none"/>
                <w:lang w:val="en-US" w:eastAsia="zh-CN" w:bidi="ar-SA"/>
              </w:rPr>
              <w:t>标项</w:t>
            </w:r>
            <w:r>
              <w:rPr>
                <w:rFonts w:hint="eastAsia" w:ascii="宋体" w:hAnsi="Times New Roman" w:cs="宋体"/>
                <w:b w:val="0"/>
                <w:bCs w:val="0"/>
                <w:caps w:val="0"/>
                <w:kern w:val="2"/>
                <w:sz w:val="24"/>
                <w:szCs w:val="24"/>
                <w:highlight w:val="none"/>
                <w:lang w:val="en-US" w:eastAsia="zh-CN" w:bidi="ar-SA"/>
              </w:rPr>
              <w:t>六</w:t>
            </w:r>
            <w:r>
              <w:rPr>
                <w:rFonts w:hint="eastAsia" w:ascii="宋体" w:hAnsi="Times New Roman" w:eastAsia="宋体" w:cs="宋体"/>
                <w:b w:val="0"/>
                <w:bCs w:val="0"/>
                <w:caps w:val="0"/>
                <w:kern w:val="2"/>
                <w:sz w:val="24"/>
                <w:szCs w:val="24"/>
                <w:highlight w:val="none"/>
                <w:lang w:val="en-US" w:eastAsia="zh-CN" w:bidi="ar-SA"/>
              </w:rPr>
              <w:t>：</w:t>
            </w:r>
            <w:r>
              <w:rPr>
                <w:rFonts w:hint="eastAsia" w:ascii="宋体" w:hAnsi="Times New Roman" w:cs="宋体"/>
                <w:b w:val="0"/>
                <w:bCs w:val="0"/>
                <w:caps w:val="0"/>
                <w:kern w:val="2"/>
                <w:sz w:val="24"/>
                <w:szCs w:val="24"/>
                <w:highlight w:val="none"/>
                <w:lang w:val="en-US" w:eastAsia="zh-CN" w:bidi="ar-SA"/>
              </w:rPr>
              <w:t>20000</w:t>
            </w:r>
            <w:r>
              <w:rPr>
                <w:rFonts w:hint="eastAsia" w:ascii="宋体" w:hAnsi="Times New Roman" w:eastAsia="宋体" w:cs="宋体"/>
                <w:b w:val="0"/>
                <w:bCs w:val="0"/>
                <w:caps w:val="0"/>
                <w:kern w:val="2"/>
                <w:sz w:val="24"/>
                <w:szCs w:val="24"/>
                <w:highlight w:val="none"/>
                <w:lang w:val="en-US" w:eastAsia="zh-CN" w:bidi="ar-SA"/>
              </w:rPr>
              <w:t>.00元</w:t>
            </w:r>
          </w:p>
          <w:p>
            <w:pPr>
              <w:shd w:val="clear"/>
              <w:spacing w:line="360" w:lineRule="auto"/>
              <w:rPr>
                <w:rFonts w:hint="eastAsia" w:ascii="宋体" w:cs="宋体"/>
                <w:sz w:val="24"/>
                <w:szCs w:val="24"/>
                <w:highlight w:val="none"/>
              </w:rPr>
            </w:pPr>
            <w:r>
              <w:rPr>
                <w:rFonts w:hint="eastAsia" w:ascii="宋体" w:cs="宋体"/>
                <w:sz w:val="24"/>
                <w:szCs w:val="24"/>
                <w:highlight w:val="none"/>
              </w:rPr>
              <w:t>公司名称：乌鲁木齐高新建设工程项目管理咨询有限公司</w:t>
            </w:r>
          </w:p>
          <w:p>
            <w:pPr>
              <w:shd w:val="clear"/>
              <w:spacing w:line="360" w:lineRule="auto"/>
              <w:rPr>
                <w:rFonts w:hint="eastAsia" w:ascii="宋体" w:cs="宋体"/>
                <w:sz w:val="24"/>
                <w:szCs w:val="24"/>
                <w:highlight w:val="none"/>
              </w:rPr>
            </w:pPr>
            <w:r>
              <w:rPr>
                <w:rFonts w:hint="eastAsia" w:ascii="宋体" w:cs="宋体"/>
                <w:sz w:val="24"/>
                <w:szCs w:val="24"/>
                <w:highlight w:val="none"/>
              </w:rPr>
              <w:t>账户：9919 0547 2010 902</w:t>
            </w:r>
          </w:p>
          <w:p>
            <w:pPr>
              <w:shd w:val="clear"/>
              <w:spacing w:line="360" w:lineRule="auto"/>
              <w:rPr>
                <w:rFonts w:hint="eastAsia" w:ascii="宋体" w:cs="宋体"/>
                <w:sz w:val="24"/>
                <w:szCs w:val="24"/>
                <w:highlight w:val="none"/>
              </w:rPr>
            </w:pPr>
            <w:r>
              <w:rPr>
                <w:rFonts w:hint="eastAsia" w:ascii="宋体" w:cs="宋体"/>
                <w:sz w:val="24"/>
                <w:szCs w:val="24"/>
                <w:highlight w:val="none"/>
              </w:rPr>
              <w:t>开户银行及机构：招商银行股份有限公司乌鲁木齐苏州路支行</w:t>
            </w:r>
          </w:p>
          <w:p>
            <w:pPr>
              <w:shd w:val="clear"/>
              <w:spacing w:line="360" w:lineRule="auto"/>
              <w:rPr>
                <w:rFonts w:hint="eastAsia" w:ascii="宋体" w:cs="宋体"/>
                <w:sz w:val="24"/>
                <w:szCs w:val="24"/>
                <w:highlight w:val="none"/>
              </w:rPr>
            </w:pPr>
            <w:r>
              <w:rPr>
                <w:rFonts w:hint="eastAsia" w:ascii="宋体" w:cs="宋体"/>
                <w:sz w:val="24"/>
                <w:szCs w:val="24"/>
                <w:highlight w:val="none"/>
              </w:rPr>
              <w:t>行号：308881029091</w:t>
            </w:r>
          </w:p>
          <w:p>
            <w:pPr>
              <w:shd w:val="clear"/>
              <w:spacing w:line="360" w:lineRule="auto"/>
              <w:rPr>
                <w:rFonts w:hint="eastAsia" w:ascii="宋体" w:cs="宋体"/>
                <w:b/>
                <w:bCs/>
                <w:sz w:val="24"/>
                <w:szCs w:val="24"/>
                <w:highlight w:val="none"/>
              </w:rPr>
            </w:pPr>
            <w:r>
              <w:rPr>
                <w:rFonts w:hint="eastAsia" w:ascii="宋体" w:cs="宋体"/>
                <w:sz w:val="24"/>
                <w:szCs w:val="24"/>
                <w:highlight w:val="none"/>
              </w:rPr>
              <w:t>1、银行转账形式缴纳，请各参与投标人于投标文件递交截至时之前缴纳并到账，必须从投标人基本账户支出，在汇款凭证上备注栏须注明所投标段名称（若字数超标，可自行简写标段名称），</w:t>
            </w:r>
            <w:r>
              <w:rPr>
                <w:rFonts w:hint="eastAsia" w:ascii="宋体" w:cs="宋体"/>
                <w:b/>
                <w:bCs/>
                <w:sz w:val="24"/>
                <w:szCs w:val="24"/>
                <w:highlight w:val="none"/>
              </w:rPr>
              <w:t>特别提醒保证金转账账户与文件费及代理服务费非同一账户。</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2、如采用保函形式缴纳，政采云电子保函须知</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2.1政采云电子保函形式缴纳投标保证金，在线完成保函的申请、审核、开票、出函等环节；</w:t>
            </w: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2.2如采用政采云电子保函形式，可按照以下形式进行在线申请，电子保函申请链接（https://jinrong.zcygov.cn/finance/letter/product/detail?id=30&amp;source=41），如遇问题可拨打客服电话：4009039583；</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2.3将保函制作到电子投标文件即可。</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若投标人未按照上述规定缴纳投标保证金，投标文件将被拒绝评审。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保证金以到账时间为准。</w:t>
            </w:r>
          </w:p>
          <w:p>
            <w:pPr>
              <w:spacing w:line="360" w:lineRule="auto"/>
              <w:rPr>
                <w:rFonts w:ascii="宋体" w:cs="宋体"/>
                <w:sz w:val="24"/>
                <w:szCs w:val="24"/>
              </w:rPr>
            </w:pPr>
            <w:r>
              <w:rPr>
                <w:rFonts w:hint="eastAsia" w:ascii="宋体" w:hAnsi="宋体" w:eastAsia="宋体" w:cs="宋体"/>
                <w:color w:val="auto"/>
                <w:sz w:val="24"/>
                <w:szCs w:val="24"/>
                <w:highlight w:val="none"/>
                <w:lang w:val="en-US" w:eastAsia="zh-CN"/>
              </w:rPr>
              <w:t>投标保证金有效期：投标截止时间后90天。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17.2</w:t>
            </w:r>
          </w:p>
        </w:tc>
        <w:tc>
          <w:tcPr>
            <w:tcW w:w="8038" w:type="dxa"/>
            <w:tcBorders>
              <w:left w:val="single" w:color="auto" w:sz="4" w:space="0"/>
            </w:tcBorders>
            <w:vAlign w:val="center"/>
          </w:tcPr>
          <w:p>
            <w:pPr>
              <w:spacing w:line="360" w:lineRule="auto"/>
              <w:rPr>
                <w:rFonts w:ascii="宋体" w:cs="宋体"/>
                <w:b/>
                <w:sz w:val="24"/>
                <w:szCs w:val="24"/>
              </w:rPr>
            </w:pPr>
            <w:r>
              <w:rPr>
                <w:rFonts w:hint="eastAsia" w:ascii="宋体" w:hAnsi="宋体" w:cs="宋体"/>
                <w:sz w:val="24"/>
                <w:szCs w:val="24"/>
              </w:rPr>
              <w:t>投标保证金形式：转账或电汇等其他非现金形式，</w:t>
            </w:r>
            <w:r>
              <w:rPr>
                <w:rFonts w:hint="eastAsia" w:ascii="宋体" w:hAnsi="宋体" w:cs="宋体"/>
                <w:b/>
                <w:sz w:val="24"/>
                <w:szCs w:val="24"/>
              </w:rPr>
              <w:t>建议各投标单位优先考虑采用电汇形式递交投标保证金，投标保证金缴纳截止时间同投标截止时间。</w:t>
            </w:r>
          </w:p>
          <w:p>
            <w:pPr>
              <w:spacing w:line="360" w:lineRule="auto"/>
              <w:jc w:val="left"/>
              <w:rPr>
                <w:rFonts w:ascii="宋体" w:cs="宋体"/>
                <w:sz w:val="24"/>
                <w:szCs w:val="24"/>
              </w:rPr>
            </w:pPr>
            <w:r>
              <w:rPr>
                <w:rFonts w:hint="eastAsia" w:ascii="宋体" w:hAnsi="宋体" w:cs="宋体"/>
                <w:sz w:val="24"/>
                <w:szCs w:val="24"/>
              </w:rPr>
              <w:t>投标保证金有效期与投标有效期一致。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trPr>
        <w:tc>
          <w:tcPr>
            <w:tcW w:w="1177" w:type="dxa"/>
            <w:tcBorders>
              <w:right w:val="single" w:color="auto" w:sz="4" w:space="0"/>
            </w:tcBorders>
            <w:vAlign w:val="center"/>
          </w:tcPr>
          <w:p>
            <w:pPr>
              <w:spacing w:line="360" w:lineRule="auto"/>
              <w:jc w:val="center"/>
              <w:rPr>
                <w:rFonts w:ascii="宋体" w:cs="宋体"/>
                <w:i/>
                <w:sz w:val="24"/>
                <w:szCs w:val="24"/>
              </w:rPr>
            </w:pPr>
            <w:r>
              <w:rPr>
                <w:rFonts w:ascii="宋体" w:hAnsi="宋体" w:cs="宋体"/>
                <w:sz w:val="24"/>
                <w:szCs w:val="24"/>
              </w:rPr>
              <w:t>18.1</w:t>
            </w:r>
          </w:p>
        </w:tc>
        <w:tc>
          <w:tcPr>
            <w:tcW w:w="8038" w:type="dxa"/>
            <w:tcBorders>
              <w:left w:val="single" w:color="auto" w:sz="4" w:space="0"/>
            </w:tcBorders>
            <w:vAlign w:val="center"/>
          </w:tcPr>
          <w:p>
            <w:pPr>
              <w:spacing w:line="360" w:lineRule="auto"/>
              <w:rPr>
                <w:rFonts w:ascii="宋体" w:cs="宋体"/>
                <w:i/>
                <w:sz w:val="24"/>
                <w:szCs w:val="24"/>
              </w:rPr>
            </w:pPr>
            <w:r>
              <w:rPr>
                <w:rFonts w:hint="eastAsia" w:ascii="宋体" w:hAnsi="宋体" w:cs="宋体"/>
                <w:sz w:val="24"/>
                <w:szCs w:val="24"/>
              </w:rPr>
              <w:t>投标有效期：</w:t>
            </w:r>
            <w:r>
              <w:rPr>
                <w:rFonts w:ascii="宋体" w:hAnsi="宋体" w:cs="宋体"/>
                <w:sz w:val="24"/>
                <w:szCs w:val="24"/>
                <w:u w:val="single"/>
              </w:rPr>
              <w:t xml:space="preserve">  90  </w:t>
            </w:r>
            <w:r>
              <w:rPr>
                <w:rFonts w:hint="eastAsia" w:ascii="宋体" w:hAnsi="宋体" w:cs="宋体"/>
                <w:sz w:val="24"/>
                <w:szCs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2" w:hRule="atLeast"/>
        </w:trPr>
        <w:tc>
          <w:tcPr>
            <w:tcW w:w="1177" w:type="dxa"/>
            <w:tcBorders>
              <w:right w:val="single" w:color="auto" w:sz="4" w:space="0"/>
            </w:tcBorders>
            <w:vAlign w:val="center"/>
          </w:tcPr>
          <w:p>
            <w:pPr>
              <w:spacing w:line="360" w:lineRule="auto"/>
              <w:jc w:val="center"/>
              <w:rPr>
                <w:rFonts w:ascii="宋体" w:cs="宋体"/>
                <w:kern w:val="0"/>
                <w:sz w:val="24"/>
                <w:szCs w:val="24"/>
              </w:rPr>
            </w:pPr>
            <w:r>
              <w:rPr>
                <w:rFonts w:ascii="宋体" w:hAnsi="宋体" w:cs="宋体"/>
                <w:sz w:val="24"/>
                <w:szCs w:val="24"/>
              </w:rPr>
              <w:t>19.1</w:t>
            </w:r>
          </w:p>
        </w:tc>
        <w:tc>
          <w:tcPr>
            <w:tcW w:w="8038" w:type="dxa"/>
            <w:tcBorders>
              <w:left w:val="single" w:color="auto" w:sz="4" w:space="0"/>
            </w:tcBorders>
            <w:vAlign w:val="center"/>
          </w:tcPr>
          <w:p>
            <w:pPr>
              <w:spacing w:line="360" w:lineRule="auto"/>
              <w:rPr>
                <w:rFonts w:hint="eastAsia" w:ascii="宋体" w:hAnsi="宋体" w:cs="宋体"/>
                <w:color w:val="auto"/>
                <w:sz w:val="24"/>
                <w:szCs w:val="24"/>
              </w:rPr>
            </w:pPr>
            <w:r>
              <w:rPr>
                <w:rFonts w:hint="eastAsia" w:ascii="宋体" w:hAnsi="宋体" w:cs="宋体"/>
                <w:color w:val="auto"/>
                <w:sz w:val="24"/>
                <w:szCs w:val="24"/>
              </w:rPr>
              <w:t>投标文件包括：</w:t>
            </w:r>
          </w:p>
          <w:p>
            <w:pPr>
              <w:numPr>
                <w:ilvl w:val="0"/>
                <w:numId w:val="0"/>
              </w:numPr>
              <w:spacing w:line="360" w:lineRule="auto"/>
              <w:rPr>
                <w:rFonts w:hint="eastAsia" w:ascii="宋体" w:hAnsi="宋体" w:eastAsia="宋体" w:cs="宋体"/>
                <w:color w:val="auto"/>
                <w:sz w:val="24"/>
                <w:szCs w:val="24"/>
              </w:rPr>
            </w:pPr>
            <w:r>
              <w:rPr>
                <w:rFonts w:hint="eastAsia" w:ascii="宋体" w:hAnsi="宋体" w:cs="宋体"/>
                <w:color w:val="auto"/>
                <w:sz w:val="24"/>
                <w:szCs w:val="24"/>
              </w:rPr>
              <w:t xml:space="preserve">加密的电子投标文件，在投标截止时间前通过新疆政府采购网上传；     </w:t>
            </w:r>
            <w:r>
              <w:rPr>
                <w:rFonts w:hint="eastAsia" w:ascii="宋体" w:hAnsi="宋体" w:eastAsia="宋体" w:cs="宋体"/>
                <w:color w:val="auto"/>
                <w:sz w:val="24"/>
                <w:szCs w:val="24"/>
              </w:rPr>
              <w:t xml:space="preserve"> </w:t>
            </w:r>
          </w:p>
          <w:p>
            <w:pPr>
              <w:numPr>
                <w:ilvl w:val="0"/>
                <w:numId w:val="0"/>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注：加密的电子投标文件为使用政采云电子投标客户端制作生成的加密版投标文件。未加密的电子投标文件应与加密的电子投标文件为同时生成的版本</w:t>
            </w:r>
            <w:r>
              <w:rPr>
                <w:rFonts w:hint="eastAsia" w:ascii="宋体" w:hAnsi="宋体" w:eastAsia="宋体" w:cs="宋体"/>
                <w:color w:val="auto"/>
                <w:sz w:val="24"/>
                <w:szCs w:val="24"/>
                <w:lang w:val="en-US" w:eastAsia="zh-CN"/>
              </w:rPr>
              <w:t>并已加盖公章</w:t>
            </w:r>
            <w:r>
              <w:rPr>
                <w:rFonts w:hint="eastAsia" w:ascii="宋体" w:hAnsi="宋体" w:eastAsia="宋体" w:cs="宋体"/>
                <w:color w:val="auto"/>
                <w:sz w:val="24"/>
                <w:szCs w:val="24"/>
              </w:rPr>
              <w:t>。</w:t>
            </w:r>
          </w:p>
          <w:p>
            <w:pPr>
              <w:pStyle w:val="45"/>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备注：因投标人自身原因导致解密失败的，将导致其投标被拒绝且投标文件被退回；</w:t>
            </w:r>
            <w:r>
              <w:rPr>
                <w:rFonts w:hint="eastAsia" w:ascii="宋体" w:hAnsi="宋体" w:eastAsia="宋体" w:cs="宋体"/>
                <w:b/>
                <w:bCs/>
                <w:color w:val="auto"/>
                <w:sz w:val="24"/>
                <w:szCs w:val="24"/>
              </w:rPr>
              <w:t>但因网上招标系统故障导致所有投标人均解密失败时</w:t>
            </w:r>
            <w:r>
              <w:rPr>
                <w:rFonts w:hint="eastAsia" w:ascii="宋体" w:hAnsi="宋体" w:eastAsia="宋体" w:cs="宋体"/>
                <w:color w:val="auto"/>
                <w:sz w:val="24"/>
                <w:szCs w:val="24"/>
              </w:rPr>
              <w:t>，使用投标人未加密的电子投标文件进行开评标</w:t>
            </w:r>
            <w:r>
              <w:rPr>
                <w:rFonts w:hint="eastAsia" w:ascii="宋体" w:hAnsi="宋体" w:eastAsia="宋体" w:cs="宋体"/>
                <w:color w:val="auto"/>
                <w:sz w:val="24"/>
                <w:szCs w:val="24"/>
                <w:lang w:val="en-US" w:eastAsia="zh-CN"/>
              </w:rPr>
              <w:t>或者相应的延长项目的解密时间</w:t>
            </w:r>
            <w:r>
              <w:rPr>
                <w:rFonts w:hint="eastAsia" w:ascii="宋体" w:hAnsi="宋体" w:eastAsia="宋体" w:cs="宋体"/>
                <w:color w:val="auto"/>
                <w:sz w:val="24"/>
                <w:szCs w:val="24"/>
              </w:rPr>
              <w:t>。未发送未加密电子投标文件导致解密失败的，由投标人自行承</w:t>
            </w:r>
            <w:r>
              <w:rPr>
                <w:rFonts w:hint="eastAsia" w:ascii="宋体" w:hAnsi="宋体" w:eastAsia="宋体" w:cs="宋体"/>
                <w:color w:val="auto"/>
                <w:kern w:val="2"/>
                <w:sz w:val="24"/>
                <w:szCs w:val="24"/>
                <w:lang w:val="en-US" w:eastAsia="zh-CN" w:bidi="ar-SA"/>
              </w:rPr>
              <w:t>担责任，将被视为无效投标，默认解密时长为：30 分钟。</w:t>
            </w:r>
          </w:p>
          <w:p>
            <w:pPr>
              <w:shd w:val="clear"/>
              <w:spacing w:line="360" w:lineRule="auto"/>
              <w:rPr>
                <w:rFonts w:hint="eastAsia"/>
              </w:rPr>
            </w:pPr>
            <w:r>
              <w:rPr>
                <w:rFonts w:hint="eastAsia" w:ascii="宋体" w:hAnsi="宋体" w:eastAsia="宋体" w:cs="宋体"/>
                <w:color w:val="auto"/>
                <w:sz w:val="24"/>
                <w:szCs w:val="24"/>
                <w:lang w:val="en-US" w:eastAsia="zh-CN"/>
              </w:rPr>
              <w:t>投标文件份数：资格证明材料部分及商务、技术部分（所有部分胶装成一册）正本1份，副本1份，电子版1份（</w:t>
            </w:r>
            <w:r>
              <w:rPr>
                <w:rFonts w:hint="eastAsia" w:ascii="宋体" w:hAnsi="宋体" w:eastAsia="宋体" w:cs="宋体"/>
                <w:color w:val="auto"/>
                <w:sz w:val="24"/>
                <w:szCs w:val="24"/>
                <w:lang w:val="zh-CN" w:eastAsia="zh-CN"/>
              </w:rPr>
              <w:t>存储介质：U盘，单独密封,请将加盖公章正本扫描件PDF模式上传</w:t>
            </w:r>
            <w:r>
              <w:rPr>
                <w:rFonts w:hint="eastAsia" w:ascii="宋体" w:hAnsi="宋体" w:eastAsia="宋体" w:cs="宋体"/>
                <w:color w:val="auto"/>
                <w:sz w:val="24"/>
                <w:szCs w:val="24"/>
                <w:lang w:val="en-US" w:eastAsia="zh-CN"/>
              </w:rPr>
              <w:t>）。</w:t>
            </w:r>
          </w:p>
          <w:p>
            <w:pPr>
              <w:spacing w:line="360" w:lineRule="auto"/>
              <w:rPr>
                <w:rFonts w:ascii="宋体" w:cs="宋体"/>
                <w:sz w:val="24"/>
                <w:szCs w:val="24"/>
              </w:rPr>
            </w:pPr>
            <w:r>
              <w:rPr>
                <w:rFonts w:hint="eastAsia" w:ascii="宋体" w:hAnsi="宋体" w:eastAsia="宋体" w:cs="宋体"/>
                <w:b/>
                <w:bCs/>
                <w:color w:val="auto"/>
                <w:sz w:val="24"/>
                <w:szCs w:val="24"/>
                <w:lang w:val="en-US" w:eastAsia="zh-CN"/>
              </w:rPr>
              <w:t>仅成交人于开标后的三个日历日内</w:t>
            </w:r>
            <w:r>
              <w:rPr>
                <w:rFonts w:hint="eastAsia" w:ascii="宋体" w:hAnsi="宋体" w:eastAsia="宋体" w:cs="宋体"/>
                <w:b w:val="0"/>
                <w:bCs w:val="0"/>
                <w:color w:val="auto"/>
                <w:sz w:val="24"/>
                <w:szCs w:val="24"/>
                <w:lang w:val="en-US" w:eastAsia="zh-CN"/>
              </w:rPr>
              <w:t>送</w:t>
            </w:r>
            <w:r>
              <w:rPr>
                <w:rFonts w:hint="eastAsia" w:ascii="宋体" w:hAnsi="宋体" w:eastAsia="宋体" w:cs="宋体"/>
                <w:color w:val="auto"/>
                <w:sz w:val="24"/>
                <w:szCs w:val="24"/>
                <w:lang w:val="en-US" w:eastAsia="zh-CN"/>
              </w:rPr>
              <w:t>至新疆乌鲁木齐高新区（新市区)四平路2288号创新广场(二期)G座20层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19.2</w:t>
            </w:r>
          </w:p>
        </w:tc>
        <w:tc>
          <w:tcPr>
            <w:tcW w:w="8038" w:type="dxa"/>
            <w:tcBorders>
              <w:left w:val="single" w:color="auto" w:sz="4" w:space="0"/>
            </w:tcBorders>
            <w:vAlign w:val="center"/>
          </w:tcPr>
          <w:p>
            <w:pPr>
              <w:spacing w:line="360" w:lineRule="auto"/>
              <w:rPr>
                <w:rFonts w:ascii="宋体" w:cs="宋体"/>
                <w:sz w:val="24"/>
                <w:szCs w:val="24"/>
              </w:rPr>
            </w:pPr>
            <w:r>
              <w:rPr>
                <w:rFonts w:hint="eastAsia" w:ascii="宋体" w:hAnsi="宋体" w:cs="宋体"/>
                <w:sz w:val="24"/>
                <w:szCs w:val="24"/>
              </w:rPr>
              <w:t>投标文件的正本建议采用双面打印，副本可采用正本的复印件（建议双面复印）。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spacing w:line="360" w:lineRule="auto"/>
              <w:jc w:val="center"/>
              <w:rPr>
                <w:rFonts w:ascii="宋体" w:cs="宋体"/>
                <w:sz w:val="24"/>
                <w:szCs w:val="24"/>
                <w:highlight w:val="yellow"/>
              </w:rPr>
            </w:pPr>
            <w:r>
              <w:rPr>
                <w:rFonts w:ascii="宋体" w:hAnsi="宋体" w:cs="宋体"/>
                <w:sz w:val="24"/>
                <w:szCs w:val="24"/>
              </w:rPr>
              <w:t>21.1</w:t>
            </w:r>
          </w:p>
        </w:tc>
        <w:tc>
          <w:tcPr>
            <w:tcW w:w="8038" w:type="dxa"/>
            <w:tcBorders>
              <w:left w:val="single" w:color="auto" w:sz="4" w:space="0"/>
            </w:tcBorders>
            <w:vAlign w:val="center"/>
          </w:tcPr>
          <w:p>
            <w:pPr>
              <w:pStyle w:val="41"/>
              <w:spacing w:before="0" w:beforeAutospacing="0" w:after="0" w:afterAutospacing="0" w:line="360" w:lineRule="auto"/>
              <w:rPr>
                <w:rFonts w:cs="宋体"/>
                <w:kern w:val="2"/>
              </w:rPr>
            </w:pPr>
            <w:r>
              <w:rPr>
                <w:rFonts w:hint="eastAsia" w:cs="宋体"/>
                <w:kern w:val="2"/>
              </w:rPr>
              <w:t>投标截止时间：  202</w:t>
            </w:r>
            <w:r>
              <w:rPr>
                <w:rFonts w:hint="eastAsia" w:cs="宋体"/>
                <w:kern w:val="2"/>
                <w:lang w:val="en-US" w:eastAsia="zh-CN"/>
              </w:rPr>
              <w:t>5</w:t>
            </w:r>
            <w:r>
              <w:rPr>
                <w:rFonts w:hint="eastAsia" w:cs="宋体"/>
                <w:kern w:val="2"/>
              </w:rPr>
              <w:t>年</w:t>
            </w:r>
            <w:r>
              <w:rPr>
                <w:rFonts w:hint="eastAsia" w:cs="宋体"/>
                <w:kern w:val="2"/>
                <w:lang w:val="en-US" w:eastAsia="zh-CN"/>
              </w:rPr>
              <w:t xml:space="preserve">02 </w:t>
            </w:r>
            <w:r>
              <w:rPr>
                <w:rFonts w:hint="eastAsia" w:cs="宋体"/>
                <w:kern w:val="2"/>
              </w:rPr>
              <w:t>月</w:t>
            </w:r>
            <w:r>
              <w:rPr>
                <w:rFonts w:hint="eastAsia" w:cs="宋体"/>
                <w:kern w:val="2"/>
                <w:lang w:val="en-US" w:eastAsia="zh-CN"/>
              </w:rPr>
              <w:t xml:space="preserve">13 </w:t>
            </w:r>
            <w:r>
              <w:rPr>
                <w:rFonts w:hint="eastAsia" w:cs="宋体"/>
                <w:kern w:val="2"/>
              </w:rPr>
              <w:t>日1</w:t>
            </w:r>
            <w:r>
              <w:rPr>
                <w:rFonts w:hint="eastAsia" w:cs="宋体"/>
                <w:kern w:val="2"/>
                <w:lang w:val="en-US" w:eastAsia="zh-CN"/>
              </w:rPr>
              <w:t>1</w:t>
            </w:r>
            <w:r>
              <w:rPr>
                <w:rFonts w:hint="eastAsia" w:cs="宋体"/>
                <w:kern w:val="2"/>
              </w:rPr>
              <w:t>点00分（北京时间）</w:t>
            </w:r>
          </w:p>
          <w:p>
            <w:pPr>
              <w:pStyle w:val="41"/>
              <w:spacing w:before="0" w:beforeAutospacing="0" w:after="0" w:afterAutospacing="0" w:line="360" w:lineRule="auto"/>
              <w:rPr>
                <w:rFonts w:cs="宋体"/>
                <w:kern w:val="2"/>
              </w:rPr>
            </w:pPr>
            <w:r>
              <w:rPr>
                <w:rFonts w:hint="eastAsia" w:cs="宋体"/>
                <w:kern w:val="2"/>
              </w:rPr>
              <w:t>投标文件递交地点：新疆政府采购云平台（https://www.zcygov.cn/）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1" w:hRule="atLeast"/>
        </w:trPr>
        <w:tc>
          <w:tcPr>
            <w:tcW w:w="1177" w:type="dxa"/>
            <w:tcBorders>
              <w:right w:val="single" w:color="auto" w:sz="4" w:space="0"/>
            </w:tcBorders>
            <w:vAlign w:val="center"/>
          </w:tcPr>
          <w:p>
            <w:pPr>
              <w:spacing w:line="360" w:lineRule="auto"/>
              <w:jc w:val="center"/>
              <w:rPr>
                <w:rFonts w:ascii="宋体" w:cs="宋体"/>
                <w:sz w:val="24"/>
                <w:szCs w:val="24"/>
                <w:highlight w:val="yellow"/>
              </w:rPr>
            </w:pPr>
            <w:r>
              <w:rPr>
                <w:rFonts w:ascii="宋体" w:hAnsi="宋体" w:cs="宋体"/>
                <w:sz w:val="24"/>
                <w:szCs w:val="24"/>
              </w:rPr>
              <w:t>24.1</w:t>
            </w:r>
          </w:p>
        </w:tc>
        <w:tc>
          <w:tcPr>
            <w:tcW w:w="8038" w:type="dxa"/>
            <w:tcBorders>
              <w:left w:val="single" w:color="auto" w:sz="4" w:space="0"/>
            </w:tcBorders>
            <w:vAlign w:val="center"/>
          </w:tcPr>
          <w:p>
            <w:pPr>
              <w:tabs>
                <w:tab w:val="left" w:pos="720"/>
              </w:tabs>
              <w:spacing w:line="360" w:lineRule="auto"/>
              <w:rPr>
                <w:rFonts w:ascii="宋体" w:cs="宋体"/>
                <w:kern w:val="0"/>
                <w:sz w:val="24"/>
                <w:szCs w:val="24"/>
              </w:rPr>
            </w:pPr>
            <w:r>
              <w:rPr>
                <w:rFonts w:hint="eastAsia" w:ascii="宋体" w:hAnsi="宋体" w:cs="宋体"/>
                <w:kern w:val="0"/>
                <w:sz w:val="24"/>
                <w:szCs w:val="24"/>
              </w:rPr>
              <w:t>开标时间： 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 xml:space="preserve">02 </w:t>
            </w:r>
            <w:r>
              <w:rPr>
                <w:rFonts w:hint="eastAsia" w:ascii="宋体" w:hAnsi="宋体" w:cs="宋体"/>
                <w:kern w:val="0"/>
                <w:sz w:val="24"/>
                <w:szCs w:val="24"/>
              </w:rPr>
              <w:t>月</w:t>
            </w:r>
            <w:r>
              <w:rPr>
                <w:rFonts w:hint="eastAsia" w:ascii="宋体" w:hAnsi="宋体" w:cs="宋体"/>
                <w:kern w:val="0"/>
                <w:sz w:val="24"/>
                <w:szCs w:val="24"/>
                <w:lang w:val="en-US" w:eastAsia="zh-CN"/>
              </w:rPr>
              <w:t>13</w:t>
            </w:r>
            <w:r>
              <w:rPr>
                <w:rFonts w:hint="eastAsia" w:ascii="宋体" w:hAnsi="宋体" w:cs="宋体"/>
                <w:kern w:val="0"/>
                <w:sz w:val="24"/>
                <w:szCs w:val="24"/>
              </w:rPr>
              <w:t>日1</w:t>
            </w:r>
            <w:r>
              <w:rPr>
                <w:rFonts w:hint="eastAsia" w:ascii="宋体" w:hAnsi="宋体" w:cs="宋体"/>
                <w:kern w:val="0"/>
                <w:sz w:val="24"/>
                <w:szCs w:val="24"/>
                <w:lang w:val="en-US" w:eastAsia="zh-CN"/>
              </w:rPr>
              <w:t>1</w:t>
            </w:r>
            <w:r>
              <w:rPr>
                <w:rFonts w:hint="eastAsia" w:ascii="宋体" w:hAnsi="宋体" w:cs="宋体"/>
                <w:kern w:val="0"/>
                <w:sz w:val="24"/>
                <w:szCs w:val="24"/>
              </w:rPr>
              <w:t>点00分（北京时间）</w:t>
            </w:r>
          </w:p>
          <w:p>
            <w:pPr>
              <w:spacing w:line="360" w:lineRule="auto"/>
              <w:rPr>
                <w:rFonts w:ascii="宋体" w:cs="宋体"/>
                <w:kern w:val="0"/>
                <w:sz w:val="24"/>
                <w:szCs w:val="24"/>
              </w:rPr>
            </w:pPr>
            <w:r>
              <w:rPr>
                <w:rFonts w:hint="eastAsia" w:ascii="宋体" w:hAnsi="宋体" w:cs="宋体"/>
                <w:kern w:val="0"/>
                <w:sz w:val="24"/>
                <w:szCs w:val="24"/>
              </w:rPr>
              <w:t>开标地点：新疆政府采购云平台（https://www.zcygov.cn/）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atLeast"/>
        </w:trPr>
        <w:tc>
          <w:tcPr>
            <w:tcW w:w="1177" w:type="dxa"/>
            <w:tcBorders>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26.1</w:t>
            </w:r>
          </w:p>
        </w:tc>
        <w:tc>
          <w:tcPr>
            <w:tcW w:w="8038" w:type="dxa"/>
            <w:tcBorders>
              <w:left w:val="single" w:color="auto" w:sz="4" w:space="0"/>
            </w:tcBorders>
            <w:vAlign w:val="center"/>
          </w:tcPr>
          <w:p>
            <w:pPr>
              <w:spacing w:line="360" w:lineRule="auto"/>
              <w:rPr>
                <w:rFonts w:ascii="宋体" w:cs="宋体"/>
                <w:sz w:val="24"/>
                <w:szCs w:val="24"/>
              </w:rPr>
            </w:pPr>
            <w:r>
              <w:rPr>
                <w:rFonts w:hint="eastAsia" w:ascii="宋体" w:hAnsi="宋体" w:cs="宋体"/>
                <w:sz w:val="24"/>
                <w:szCs w:val="24"/>
              </w:rPr>
              <w:t>本项目评标委员会负责确定中标候选人名单（三名），由采购人根据相关法律法规确定中标人。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atLeast"/>
        </w:trPr>
        <w:tc>
          <w:tcPr>
            <w:tcW w:w="1177" w:type="dxa"/>
            <w:tcBorders>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26.1.2</w:t>
            </w:r>
          </w:p>
        </w:tc>
        <w:tc>
          <w:tcPr>
            <w:tcW w:w="8038" w:type="dxa"/>
            <w:tcBorders>
              <w:left w:val="single" w:color="auto" w:sz="4" w:space="0"/>
            </w:tcBorders>
            <w:vAlign w:val="center"/>
          </w:tcPr>
          <w:p>
            <w:pPr>
              <w:spacing w:line="360" w:lineRule="auto"/>
              <w:rPr>
                <w:rFonts w:ascii="宋体" w:cs="宋体"/>
                <w:sz w:val="24"/>
                <w:szCs w:val="24"/>
              </w:rPr>
            </w:pPr>
            <w:r>
              <w:rPr>
                <w:rFonts w:hint="eastAsia" w:ascii="宋体" w:hAnsi="宋体" w:cs="宋体"/>
                <w:sz w:val="24"/>
                <w:szCs w:val="24"/>
              </w:rPr>
              <w:t>本项目评标委员会人数为</w:t>
            </w:r>
            <w:r>
              <w:rPr>
                <w:rFonts w:hint="eastAsia" w:ascii="宋体" w:hAnsi="宋体" w:cs="宋体"/>
                <w:sz w:val="24"/>
                <w:szCs w:val="24"/>
                <w:u w:val="single"/>
                <w:lang w:val="en-US" w:eastAsia="zh-CN"/>
              </w:rPr>
              <w:t>7</w:t>
            </w:r>
            <w:r>
              <w:rPr>
                <w:rFonts w:ascii="宋体" w:hAnsi="宋体" w:cs="宋体"/>
                <w:sz w:val="24"/>
                <w:szCs w:val="24"/>
              </w:rPr>
              <w:t>人及以上单数组成</w:t>
            </w:r>
            <w:r>
              <w:rPr>
                <w:rFonts w:hint="eastAsia" w:ascii="宋体" w:hAnsi="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atLeast"/>
        </w:trPr>
        <w:tc>
          <w:tcPr>
            <w:tcW w:w="1177" w:type="dxa"/>
            <w:tcBorders>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26.2</w:t>
            </w:r>
          </w:p>
        </w:tc>
        <w:tc>
          <w:tcPr>
            <w:tcW w:w="8038" w:type="dxa"/>
            <w:tcBorders>
              <w:left w:val="single" w:color="auto" w:sz="4" w:space="0"/>
            </w:tcBorders>
            <w:vAlign w:val="center"/>
          </w:tcPr>
          <w:p>
            <w:pPr>
              <w:spacing w:line="360" w:lineRule="auto"/>
              <w:rPr>
                <w:rFonts w:ascii="宋体" w:cs="宋体"/>
                <w:sz w:val="24"/>
                <w:szCs w:val="24"/>
              </w:rPr>
            </w:pPr>
            <w:r>
              <w:rPr>
                <w:rFonts w:hint="eastAsia" w:ascii="宋体" w:hAnsi="宋体" w:cs="宋体"/>
                <w:sz w:val="24"/>
                <w:szCs w:val="24"/>
              </w:rPr>
              <w:t>评标方法：综合评分法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995" w:hRule="atLeast"/>
        </w:trPr>
        <w:tc>
          <w:tcPr>
            <w:tcW w:w="1177" w:type="dxa"/>
            <w:tcBorders>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26.4.5</w:t>
            </w:r>
          </w:p>
        </w:tc>
        <w:tc>
          <w:tcPr>
            <w:tcW w:w="8038" w:type="dxa"/>
            <w:tcBorders>
              <w:left w:val="single" w:color="auto" w:sz="4" w:space="0"/>
            </w:tcBorders>
            <w:vAlign w:val="center"/>
          </w:tcPr>
          <w:p>
            <w:pPr>
              <w:spacing w:line="360" w:lineRule="auto"/>
              <w:rPr>
                <w:rFonts w:hint="eastAsia" w:ascii="宋体" w:hAnsi="宋体" w:cs="宋体"/>
                <w:kern w:val="0"/>
                <w:sz w:val="24"/>
                <w:szCs w:val="24"/>
              </w:rPr>
            </w:pPr>
            <w:r>
              <w:rPr>
                <w:rFonts w:hint="eastAsia" w:ascii="宋体" w:hAnsi="宋体" w:cs="宋体"/>
                <w:sz w:val="24"/>
                <w:szCs w:val="24"/>
              </w:rPr>
              <w:t>本</w:t>
            </w:r>
            <w:r>
              <w:rPr>
                <w:rFonts w:hint="eastAsia" w:ascii="宋体" w:hAnsi="宋体" w:cs="宋体"/>
                <w:kern w:val="0"/>
                <w:sz w:val="24"/>
                <w:szCs w:val="24"/>
              </w:rPr>
              <w:t>次投标最高</w:t>
            </w:r>
            <w:r>
              <w:rPr>
                <w:rFonts w:hint="eastAsia" w:ascii="宋体" w:hAnsi="宋体" w:cs="宋体"/>
                <w:kern w:val="0"/>
                <w:sz w:val="24"/>
                <w:szCs w:val="24"/>
                <w:lang w:val="en-US" w:eastAsia="zh-CN"/>
              </w:rPr>
              <w:t>单价</w:t>
            </w:r>
            <w:r>
              <w:rPr>
                <w:rFonts w:hint="eastAsia" w:ascii="宋体" w:hAnsi="宋体" w:cs="宋体"/>
                <w:kern w:val="0"/>
                <w:sz w:val="24"/>
                <w:szCs w:val="24"/>
              </w:rPr>
              <w:t>限价：</w:t>
            </w:r>
          </w:p>
          <w:p>
            <w:pPr>
              <w:pStyle w:val="2"/>
              <w:rPr>
                <w:rFonts w:hint="eastAsia"/>
              </w:rPr>
            </w:pPr>
            <w:r>
              <w:drawing>
                <wp:inline distT="0" distB="0" distL="114300" distR="114300">
                  <wp:extent cx="4425950" cy="3002280"/>
                  <wp:effectExtent l="0" t="0" r="12700" b="762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4425950" cy="3002280"/>
                          </a:xfrm>
                          <a:prstGeom prst="rect">
                            <a:avLst/>
                          </a:prstGeom>
                          <a:noFill/>
                          <a:ln>
                            <a:noFill/>
                          </a:ln>
                        </pic:spPr>
                      </pic:pic>
                    </a:graphicData>
                  </a:graphic>
                </wp:inline>
              </w:drawing>
            </w:r>
          </w:p>
          <w:p>
            <w:pPr>
              <w:spacing w:line="360" w:lineRule="auto"/>
            </w:pPr>
            <w:r>
              <w:rPr>
                <w:rFonts w:hint="eastAsia" w:ascii="宋体" w:hAnsi="宋体" w:cs="宋体"/>
                <w:kern w:val="0"/>
                <w:sz w:val="24"/>
                <w:szCs w:val="24"/>
              </w:rPr>
              <w:t>各投标人的投标报价超出此限价将做废标处理。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atLeast"/>
        </w:trPr>
        <w:tc>
          <w:tcPr>
            <w:tcW w:w="9215" w:type="dxa"/>
            <w:gridSpan w:val="2"/>
            <w:vAlign w:val="center"/>
          </w:tcPr>
          <w:p>
            <w:pPr>
              <w:spacing w:line="360" w:lineRule="auto"/>
              <w:jc w:val="center"/>
              <w:rPr>
                <w:rFonts w:ascii="宋体" w:cs="宋体"/>
                <w:b/>
                <w:sz w:val="24"/>
                <w:szCs w:val="24"/>
              </w:rPr>
            </w:pPr>
            <w:r>
              <w:rPr>
                <w:rFonts w:hint="eastAsia" w:ascii="宋体" w:hAnsi="宋体" w:cs="宋体"/>
                <w:b/>
                <w:sz w:val="24"/>
                <w:szCs w:val="24"/>
              </w:rPr>
              <w:t>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615" w:hRule="atLeast"/>
        </w:trPr>
        <w:tc>
          <w:tcPr>
            <w:tcW w:w="9215" w:type="dxa"/>
            <w:gridSpan w:val="2"/>
            <w:tcBorders>
              <w:bottom w:val="single" w:color="auto" w:sz="12" w:space="0"/>
            </w:tcBorders>
            <w:vAlign w:val="center"/>
          </w:tcPr>
          <w:p>
            <w:pPr>
              <w:spacing w:line="360" w:lineRule="auto"/>
              <w:rPr>
                <w:rFonts w:hint="eastAsia"/>
              </w:rPr>
            </w:pPr>
            <w:r>
              <w:rPr>
                <w:rFonts w:hint="eastAsia"/>
              </w:rPr>
              <w:t>1.招标文件中要求提供的资格证明材料等，均为企业法人提供，投标人如为事业单位法人、其他组织或者自然人，可提供符合要求的相对应的证明文件。</w:t>
            </w:r>
          </w:p>
          <w:p>
            <w:pPr>
              <w:spacing w:line="360" w:lineRule="auto"/>
              <w:rPr>
                <w:rFonts w:hint="eastAsia"/>
              </w:rPr>
            </w:pPr>
            <w:r>
              <w:rPr>
                <w:rFonts w:hint="eastAsia"/>
              </w:rPr>
              <w:t>2.招标文件中要求加盖单位公章的，投标人如为自然人，自然人本人签字即可。</w:t>
            </w:r>
          </w:p>
          <w:p>
            <w:pPr>
              <w:spacing w:line="360" w:lineRule="auto"/>
              <w:rPr>
                <w:rFonts w:hint="eastAsia"/>
              </w:rPr>
            </w:pPr>
            <w:r>
              <w:rPr>
                <w:rFonts w:hint="eastAsia"/>
              </w:rPr>
              <w:t>3.采购人不接受投标人给予的赠品、回扣或者与采购无关的其他商品、服务。</w:t>
            </w:r>
          </w:p>
          <w:p>
            <w:pPr>
              <w:spacing w:line="360" w:lineRule="auto"/>
              <w:rPr>
                <w:rFonts w:hint="eastAsia"/>
                <w:lang w:val="en-US" w:eastAsia="zh-CN"/>
              </w:rPr>
            </w:pPr>
            <w:r>
              <w:rPr>
                <w:rFonts w:hint="eastAsia"/>
                <w:lang w:val="en-US" w:eastAsia="zh-CN"/>
              </w:rPr>
              <w:t>4</w:t>
            </w:r>
            <w:r>
              <w:rPr>
                <w:rFonts w:hint="eastAsia"/>
              </w:rPr>
              <w:t>.本项目所属行</w:t>
            </w:r>
            <w:r>
              <w:rPr>
                <w:rFonts w:hint="eastAsia"/>
                <w:lang w:val="en-US" w:eastAsia="zh-CN"/>
              </w:rPr>
              <w:t>业：其他未列明行业。</w:t>
            </w:r>
          </w:p>
          <w:p>
            <w:pPr>
              <w:spacing w:line="360" w:lineRule="auto"/>
              <w:rPr>
                <w:rFonts w:hint="eastAsia"/>
                <w:lang w:val="en-US" w:eastAsia="zh-CN"/>
              </w:rPr>
            </w:pPr>
            <w:r>
              <w:rPr>
                <w:rFonts w:hint="eastAsia"/>
                <w:lang w:val="en-US" w:eastAsia="zh-CN"/>
              </w:rPr>
              <w:t>5.投标文件在线解密时长为30分钟，因投标人自身原因未在规定时间内解密投标文件导致废标的，由投标人自行承担后果。</w:t>
            </w:r>
          </w:p>
          <w:p>
            <w:pPr>
              <w:spacing w:line="360" w:lineRule="auto"/>
              <w:rPr>
                <w:rFonts w:hint="eastAsia" w:ascii="Times New Roman" w:hAnsi="Times New Roman" w:eastAsia="宋体" w:cs="Times New Roman"/>
                <w:lang w:val="en-US" w:eastAsia="zh-CN"/>
              </w:rPr>
            </w:pPr>
            <w:r>
              <w:rPr>
                <w:rFonts w:hint="eastAsia"/>
                <w:lang w:val="en-US" w:eastAsia="zh-CN"/>
              </w:rPr>
              <w:t>6.是</w:t>
            </w:r>
            <w:r>
              <w:rPr>
                <w:rFonts w:hint="eastAsia" w:ascii="Times New Roman" w:hAnsi="Times New Roman" w:eastAsia="宋体" w:cs="Times New Roman"/>
                <w:lang w:val="en-US" w:eastAsia="zh-CN"/>
              </w:rPr>
              <w:t>否为专门面向中小企业采购： 否   （是、否）</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对符合规定的小微企业报价给予10%的扣除，用扣除后的价格参加评审。</w:t>
            </w:r>
          </w:p>
          <w:p>
            <w:pPr>
              <w:spacing w:line="360" w:lineRule="auto"/>
              <w:rPr>
                <w:rFonts w:hint="default"/>
                <w:lang w:val="en-US" w:eastAsia="zh-CN"/>
              </w:rPr>
            </w:pPr>
            <w:r>
              <w:rPr>
                <w:rFonts w:hint="eastAsia" w:ascii="Times New Roman" w:hAnsi="Times New Roman" w:eastAsia="宋体" w:cs="Times New Roman"/>
                <w:b/>
                <w:bCs/>
                <w:lang w:val="en-US" w:eastAsia="zh-CN"/>
              </w:rPr>
              <w:t>7.</w:t>
            </w:r>
            <w:bookmarkStart w:id="40" w:name="OLE_LINK8"/>
            <w:r>
              <w:rPr>
                <w:rFonts w:hint="eastAsia" w:ascii="Times New Roman" w:hAnsi="Times New Roman" w:eastAsia="宋体" w:cs="Times New Roman"/>
                <w:b/>
                <w:bCs/>
                <w:lang w:val="en-US" w:eastAsia="zh-CN"/>
              </w:rPr>
              <w:t>各投标单位可以兼投但不能兼中，以（标项）顺序进行评审。第一标项的中标人若参与第二标项则其不进入报价计算，以此类推。</w:t>
            </w:r>
            <w:bookmarkEnd w:id="40"/>
          </w:p>
        </w:tc>
      </w:tr>
    </w:tbl>
    <w:p>
      <w:pPr>
        <w:rPr>
          <w:rFonts w:ascii="宋体" w:cs="宋体"/>
          <w:w w:val="90"/>
        </w:rPr>
        <w:sectPr>
          <w:pgSz w:w="11906" w:h="16838"/>
          <w:pgMar w:top="1440" w:right="1800" w:bottom="1440" w:left="1800" w:header="850" w:footer="992" w:gutter="0"/>
          <w:pgBorders>
            <w:top w:val="none" w:sz="0" w:space="0"/>
            <w:left w:val="none" w:sz="0" w:space="0"/>
            <w:bottom w:val="none" w:sz="0" w:space="0"/>
            <w:right w:val="none" w:sz="0" w:space="0"/>
          </w:pgBorders>
          <w:cols w:space="720" w:num="1"/>
          <w:titlePg/>
          <w:rtlGutter w:val="1"/>
          <w:docGrid w:type="lines" w:linePitch="312" w:charSpace="0"/>
        </w:sectPr>
      </w:pPr>
    </w:p>
    <w:p>
      <w:pPr>
        <w:pStyle w:val="3"/>
        <w:spacing w:line="360" w:lineRule="auto"/>
        <w:jc w:val="center"/>
        <w:rPr>
          <w:rFonts w:ascii="宋体" w:cs="宋体"/>
          <w:w w:val="90"/>
        </w:rPr>
      </w:pPr>
      <w:bookmarkStart w:id="41" w:name="_Toc2511968"/>
      <w:bookmarkStart w:id="42" w:name="_Toc44705050"/>
      <w:bookmarkStart w:id="43" w:name="_Toc14776835"/>
      <w:bookmarkStart w:id="44" w:name="_Toc44704903"/>
      <w:bookmarkStart w:id="45" w:name="_Toc44705271"/>
      <w:r>
        <w:rPr>
          <w:rFonts w:hint="eastAsia" w:ascii="宋体" w:hAnsi="宋体" w:cs="宋体"/>
          <w:w w:val="90"/>
        </w:rPr>
        <w:t>第三章</w:t>
      </w:r>
      <w:r>
        <w:rPr>
          <w:rFonts w:ascii="宋体" w:hAnsi="宋体" w:cs="宋体"/>
          <w:w w:val="90"/>
        </w:rPr>
        <w:t xml:space="preserve"> </w:t>
      </w:r>
      <w:r>
        <w:rPr>
          <w:rFonts w:hint="eastAsia" w:ascii="宋体" w:hAnsi="宋体" w:cs="宋体"/>
          <w:w w:val="90"/>
        </w:rPr>
        <w:t>投标人须知</w:t>
      </w:r>
      <w:bookmarkEnd w:id="41"/>
      <w:bookmarkEnd w:id="42"/>
      <w:bookmarkEnd w:id="43"/>
      <w:bookmarkEnd w:id="44"/>
      <w:bookmarkEnd w:id="45"/>
    </w:p>
    <w:p>
      <w:pPr>
        <w:spacing w:line="360" w:lineRule="auto"/>
        <w:rPr>
          <w:rFonts w:ascii="宋体" w:cs="宋体"/>
          <w:b/>
          <w:sz w:val="24"/>
          <w:szCs w:val="24"/>
        </w:rPr>
      </w:pPr>
      <w:r>
        <w:rPr>
          <w:rFonts w:hint="eastAsia" w:ascii="宋体" w:hAnsi="宋体" w:cs="宋体"/>
          <w:b/>
          <w:sz w:val="24"/>
          <w:szCs w:val="24"/>
        </w:rPr>
        <w:t>一、说明</w:t>
      </w:r>
    </w:p>
    <w:p>
      <w:pPr>
        <w:spacing w:line="360" w:lineRule="auto"/>
        <w:ind w:firstLine="482" w:firstLineChars="200"/>
        <w:rPr>
          <w:rFonts w:ascii="宋体" w:cs="宋体"/>
          <w:b/>
          <w:sz w:val="24"/>
          <w:szCs w:val="24"/>
        </w:rPr>
      </w:pPr>
      <w:r>
        <w:rPr>
          <w:rFonts w:ascii="宋体" w:hAnsi="宋体" w:cs="宋体"/>
          <w:b/>
          <w:sz w:val="24"/>
          <w:szCs w:val="24"/>
        </w:rPr>
        <w:t>1.</w:t>
      </w:r>
      <w:r>
        <w:rPr>
          <w:rFonts w:hint="eastAsia" w:ascii="宋体" w:hAnsi="宋体" w:cs="宋体"/>
          <w:b/>
          <w:sz w:val="24"/>
          <w:szCs w:val="24"/>
        </w:rPr>
        <w:t>项目说明</w:t>
      </w:r>
    </w:p>
    <w:p>
      <w:pPr>
        <w:spacing w:line="360" w:lineRule="auto"/>
        <w:ind w:firstLine="480" w:firstLineChars="200"/>
        <w:rPr>
          <w:rFonts w:ascii="宋体" w:cs="宋体"/>
          <w:sz w:val="24"/>
          <w:szCs w:val="24"/>
        </w:rPr>
      </w:pPr>
      <w:r>
        <w:rPr>
          <w:rFonts w:ascii="宋体" w:hAnsi="宋体" w:cs="宋体"/>
          <w:sz w:val="24"/>
          <w:szCs w:val="24"/>
        </w:rPr>
        <w:t>1.1</w:t>
      </w:r>
      <w:r>
        <w:rPr>
          <w:rFonts w:hint="eastAsia" w:ascii="宋体" w:hAnsi="宋体" w:cs="宋体"/>
          <w:sz w:val="24"/>
          <w:szCs w:val="24"/>
        </w:rPr>
        <w:t>项目名称及编号：详见投标人须知前附表。</w:t>
      </w:r>
    </w:p>
    <w:p>
      <w:pPr>
        <w:spacing w:line="360" w:lineRule="auto"/>
        <w:ind w:firstLine="480" w:firstLineChars="200"/>
        <w:rPr>
          <w:rFonts w:hint="eastAsia" w:ascii="宋体" w:hAnsi="宋体" w:cs="宋体"/>
          <w:sz w:val="24"/>
          <w:szCs w:val="24"/>
        </w:rPr>
      </w:pPr>
      <w:r>
        <w:rPr>
          <w:rFonts w:ascii="宋体" w:hAnsi="宋体" w:cs="宋体"/>
          <w:sz w:val="24"/>
          <w:szCs w:val="24"/>
        </w:rPr>
        <w:t>1.2</w:t>
      </w:r>
      <w:r>
        <w:rPr>
          <w:rFonts w:hint="eastAsia" w:ascii="宋体" w:hAnsi="宋体" w:cs="宋体"/>
          <w:sz w:val="24"/>
          <w:szCs w:val="24"/>
        </w:rPr>
        <w:t>资金来源：详见投标人须知前附表。采购人已获得足以支付本次采购后所签订的合同项下的款项（包括财政性资金和自筹资金）。</w:t>
      </w:r>
    </w:p>
    <w:p>
      <w:pPr>
        <w:spacing w:line="360" w:lineRule="auto"/>
        <w:ind w:firstLine="480" w:firstLineChars="200"/>
      </w:pPr>
      <w:r>
        <w:rPr>
          <w:rFonts w:hint="eastAsia" w:ascii="宋体" w:hAnsi="宋体" w:cs="宋体"/>
          <w:sz w:val="24"/>
          <w:szCs w:val="24"/>
          <w:lang w:val="en-US" w:eastAsia="zh-CN"/>
        </w:rPr>
        <w:t>1.3</w:t>
      </w:r>
      <w:r>
        <w:rPr>
          <w:rFonts w:hint="eastAsia" w:ascii="宋体" w:hAnsi="宋体" w:cs="宋体"/>
          <w:sz w:val="24"/>
          <w:szCs w:val="24"/>
        </w:rPr>
        <w:t>合同履行期限：详见投标人须知前附表。</w:t>
      </w:r>
    </w:p>
    <w:p>
      <w:pPr>
        <w:spacing w:line="360" w:lineRule="auto"/>
        <w:ind w:firstLine="482" w:firstLineChars="200"/>
        <w:rPr>
          <w:rFonts w:ascii="宋体" w:cs="宋体"/>
          <w:b/>
          <w:sz w:val="24"/>
          <w:szCs w:val="24"/>
        </w:rPr>
      </w:pPr>
      <w:r>
        <w:rPr>
          <w:rFonts w:ascii="宋体" w:hAnsi="宋体" w:cs="宋体"/>
          <w:b/>
          <w:sz w:val="24"/>
          <w:szCs w:val="24"/>
        </w:rPr>
        <w:t>2.</w:t>
      </w:r>
      <w:r>
        <w:rPr>
          <w:rFonts w:hint="eastAsia" w:ascii="宋体" w:hAnsi="宋体" w:cs="宋体"/>
          <w:b/>
          <w:sz w:val="24"/>
          <w:szCs w:val="24"/>
        </w:rPr>
        <w:t>采购人、采购代理机构、投标人、合格投标人</w:t>
      </w:r>
    </w:p>
    <w:p>
      <w:pPr>
        <w:spacing w:line="360" w:lineRule="auto"/>
        <w:ind w:firstLine="480" w:firstLineChars="200"/>
        <w:rPr>
          <w:rFonts w:ascii="宋体" w:cs="宋体"/>
          <w:sz w:val="24"/>
          <w:szCs w:val="24"/>
          <w:u w:val="single"/>
        </w:rPr>
      </w:pPr>
      <w:r>
        <w:rPr>
          <w:rFonts w:ascii="宋体" w:hAnsi="宋体" w:cs="宋体"/>
          <w:sz w:val="24"/>
          <w:szCs w:val="24"/>
        </w:rPr>
        <w:t xml:space="preserve">2.1 </w:t>
      </w:r>
      <w:r>
        <w:rPr>
          <w:rFonts w:hint="eastAsia" w:ascii="宋体" w:hAnsi="宋体" w:cs="宋体"/>
          <w:sz w:val="24"/>
          <w:szCs w:val="24"/>
        </w:rPr>
        <w:t>采购人：详见投标人须知前附表。</w:t>
      </w:r>
    </w:p>
    <w:p>
      <w:pPr>
        <w:spacing w:line="360" w:lineRule="auto"/>
        <w:ind w:firstLine="480" w:firstLineChars="200"/>
        <w:rPr>
          <w:rFonts w:ascii="宋体" w:cs="宋体"/>
          <w:sz w:val="24"/>
          <w:szCs w:val="24"/>
        </w:rPr>
      </w:pPr>
      <w:r>
        <w:rPr>
          <w:rFonts w:ascii="宋体" w:hAnsi="宋体" w:cs="宋体"/>
          <w:sz w:val="24"/>
          <w:szCs w:val="24"/>
        </w:rPr>
        <w:t>2.2</w:t>
      </w:r>
      <w:r>
        <w:rPr>
          <w:rFonts w:hint="eastAsia" w:ascii="宋体" w:hAnsi="宋体" w:cs="宋体"/>
          <w:sz w:val="24"/>
          <w:szCs w:val="24"/>
        </w:rPr>
        <w:t>采购代理机构：详见投标人须知前附表。</w:t>
      </w:r>
    </w:p>
    <w:p>
      <w:pPr>
        <w:spacing w:line="360" w:lineRule="auto"/>
        <w:ind w:firstLine="480" w:firstLineChars="200"/>
        <w:rPr>
          <w:rFonts w:ascii="宋体" w:cs="宋体"/>
          <w:sz w:val="24"/>
          <w:szCs w:val="24"/>
        </w:rPr>
      </w:pPr>
      <w:r>
        <w:rPr>
          <w:rFonts w:ascii="宋体" w:hAnsi="宋体" w:cs="宋体"/>
          <w:sz w:val="24"/>
          <w:szCs w:val="24"/>
        </w:rPr>
        <w:t xml:space="preserve">2.3 </w:t>
      </w:r>
      <w:r>
        <w:rPr>
          <w:rFonts w:hint="eastAsia" w:ascii="宋体" w:hAnsi="宋体" w:cs="宋体"/>
          <w:sz w:val="24"/>
          <w:szCs w:val="24"/>
        </w:rPr>
        <w:t>投标人</w:t>
      </w:r>
    </w:p>
    <w:p>
      <w:pPr>
        <w:numPr>
          <w:ilvl w:val="1"/>
          <w:numId w:val="6"/>
        </w:numPr>
        <w:spacing w:line="360" w:lineRule="auto"/>
        <w:ind w:left="0" w:firstLine="480" w:firstLineChars="200"/>
        <w:rPr>
          <w:rFonts w:ascii="宋体" w:cs="宋体"/>
          <w:sz w:val="24"/>
          <w:szCs w:val="24"/>
        </w:rPr>
      </w:pPr>
      <w:r>
        <w:rPr>
          <w:rFonts w:hint="eastAsia" w:ascii="宋体" w:hAnsi="宋体" w:cs="宋体"/>
          <w:sz w:val="24"/>
          <w:szCs w:val="24"/>
        </w:rPr>
        <w:t>投标人必须向采购代理机构领取招标文件，未向采购代理机构领取招标文件的潜在投标人均无资格参加投标。</w:t>
      </w:r>
    </w:p>
    <w:p>
      <w:pPr>
        <w:spacing w:line="360" w:lineRule="auto"/>
        <w:ind w:left="480"/>
        <w:rPr>
          <w:rFonts w:ascii="宋体" w:cs="宋体"/>
          <w:sz w:val="24"/>
          <w:szCs w:val="24"/>
        </w:rPr>
      </w:pPr>
      <w:r>
        <w:rPr>
          <w:rFonts w:ascii="宋体" w:hAnsi="宋体" w:cs="宋体"/>
          <w:sz w:val="24"/>
          <w:szCs w:val="24"/>
        </w:rPr>
        <w:t>2.4</w:t>
      </w:r>
      <w:r>
        <w:rPr>
          <w:rFonts w:hint="eastAsia" w:ascii="宋体" w:hAnsi="宋体" w:cs="宋体"/>
          <w:sz w:val="24"/>
          <w:szCs w:val="24"/>
        </w:rPr>
        <w:t>合格投标人</w:t>
      </w:r>
    </w:p>
    <w:p>
      <w:pPr>
        <w:numPr>
          <w:ilvl w:val="0"/>
          <w:numId w:val="7"/>
        </w:numPr>
        <w:spacing w:line="360" w:lineRule="auto"/>
        <w:rPr>
          <w:rFonts w:ascii="宋体" w:cs="宋体"/>
          <w:sz w:val="24"/>
          <w:szCs w:val="24"/>
        </w:rPr>
      </w:pPr>
      <w:r>
        <w:rPr>
          <w:rFonts w:hint="eastAsia" w:ascii="宋体" w:hAnsi="宋体" w:cs="宋体"/>
          <w:sz w:val="24"/>
          <w:szCs w:val="24"/>
        </w:rPr>
        <w:t>合格投标人是指依法通过资格审查的投标人。</w:t>
      </w:r>
    </w:p>
    <w:p>
      <w:pPr>
        <w:spacing w:line="360" w:lineRule="auto"/>
        <w:ind w:firstLine="480" w:firstLineChars="200"/>
        <w:rPr>
          <w:rFonts w:ascii="宋体" w:cs="宋体"/>
          <w:sz w:val="24"/>
          <w:szCs w:val="24"/>
        </w:rPr>
      </w:pPr>
      <w:r>
        <w:rPr>
          <w:rFonts w:ascii="宋体" w:hAnsi="宋体" w:cs="宋体"/>
          <w:sz w:val="24"/>
          <w:szCs w:val="24"/>
        </w:rPr>
        <w:t>2.5</w:t>
      </w:r>
      <w:r>
        <w:rPr>
          <w:rFonts w:hint="eastAsia" w:ascii="宋体" w:hAnsi="宋体" w:cs="宋体"/>
          <w:sz w:val="24"/>
          <w:szCs w:val="24"/>
        </w:rPr>
        <w:t>联合体投标（不适用）</w:t>
      </w:r>
    </w:p>
    <w:p>
      <w:pPr>
        <w:spacing w:line="360" w:lineRule="auto"/>
        <w:ind w:firstLine="480" w:firstLineChars="200"/>
        <w:rPr>
          <w:rFonts w:ascii="宋体" w:cs="宋体"/>
          <w:sz w:val="24"/>
          <w:szCs w:val="24"/>
        </w:rPr>
      </w:pPr>
      <w:r>
        <w:rPr>
          <w:rFonts w:ascii="宋体" w:hAnsi="宋体" w:cs="宋体"/>
          <w:sz w:val="24"/>
          <w:szCs w:val="24"/>
        </w:rPr>
        <w:t>2.5.1</w:t>
      </w:r>
      <w:r>
        <w:rPr>
          <w:rFonts w:hint="eastAsia" w:ascii="宋体" w:hAnsi="宋体" w:cs="宋体"/>
          <w:sz w:val="24"/>
          <w:szCs w:val="24"/>
        </w:rPr>
        <w:t>两个以上的自然人、法人或者其他组织可以组成一个联合体，以一个投标人的身份共同参加政府采购。</w:t>
      </w:r>
    </w:p>
    <w:p>
      <w:pPr>
        <w:spacing w:line="360" w:lineRule="auto"/>
        <w:ind w:firstLine="480" w:firstLineChars="200"/>
        <w:rPr>
          <w:rFonts w:ascii="宋体" w:cs="宋体"/>
          <w:sz w:val="24"/>
          <w:szCs w:val="24"/>
        </w:rPr>
      </w:pPr>
      <w:r>
        <w:rPr>
          <w:rFonts w:ascii="宋体" w:hAnsi="宋体" w:cs="宋体"/>
          <w:sz w:val="24"/>
          <w:szCs w:val="24"/>
        </w:rPr>
        <w:t>2.5.2</w:t>
      </w:r>
      <w:r>
        <w:rPr>
          <w:rFonts w:hint="eastAsia" w:ascii="宋体" w:hAnsi="宋体" w:cs="宋体"/>
          <w:sz w:val="24"/>
          <w:szCs w:val="24"/>
        </w:rPr>
        <w:t>以联合体形式进行政府采购的，参加联合体的投标人均应当具备《中华人民共和国政府采购法》第二十二条规定的条件。采购人根据采购项目的特殊要求，规定投标人的特定条件，联合体各方中至少应当有一方符合采购人规定的特定条件。并应当向采购人提交联合协议，载明联合体各方承担的工作和义务。联合体投标协议应该在投标文件中提交。</w:t>
      </w:r>
    </w:p>
    <w:p>
      <w:pPr>
        <w:spacing w:line="360" w:lineRule="auto"/>
        <w:ind w:firstLine="480" w:firstLineChars="200"/>
        <w:rPr>
          <w:rFonts w:ascii="宋体" w:cs="宋体"/>
          <w:sz w:val="24"/>
          <w:szCs w:val="24"/>
        </w:rPr>
      </w:pPr>
      <w:r>
        <w:rPr>
          <w:rFonts w:ascii="宋体" w:hAnsi="宋体" w:cs="宋体"/>
          <w:sz w:val="24"/>
          <w:szCs w:val="24"/>
        </w:rPr>
        <w:t>2.5.3</w:t>
      </w:r>
      <w:r>
        <w:rPr>
          <w:rFonts w:hint="eastAsia" w:ascii="宋体" w:hAnsi="宋体" w:cs="宋体"/>
          <w:sz w:val="24"/>
          <w:szCs w:val="24"/>
        </w:rPr>
        <w:t>联合体中有同类资质的投标人按照联合体分工承担相同工作的，按照资质等级较低的投标人确定资质等级。</w:t>
      </w:r>
    </w:p>
    <w:p>
      <w:pPr>
        <w:spacing w:line="360" w:lineRule="auto"/>
        <w:ind w:firstLine="480" w:firstLineChars="200"/>
        <w:rPr>
          <w:rFonts w:ascii="宋体" w:cs="宋体"/>
          <w:sz w:val="24"/>
          <w:szCs w:val="24"/>
        </w:rPr>
      </w:pPr>
      <w:r>
        <w:rPr>
          <w:rFonts w:ascii="宋体" w:hAnsi="宋体" w:cs="宋体"/>
          <w:sz w:val="24"/>
          <w:szCs w:val="24"/>
        </w:rPr>
        <w:t>2.5.4</w:t>
      </w:r>
      <w:r>
        <w:rPr>
          <w:rFonts w:hint="eastAsia" w:ascii="宋体" w:hAnsi="宋体" w:cs="宋体"/>
          <w:sz w:val="24"/>
          <w:szCs w:val="24"/>
        </w:rPr>
        <w:t>以联合体形式参加政府采购活动的，联合体各方不得再单独参加或者与其他投标人另外组成联合体参加同一合同项下的政府采购活动。</w:t>
      </w:r>
    </w:p>
    <w:p>
      <w:pPr>
        <w:spacing w:line="360" w:lineRule="auto"/>
        <w:ind w:firstLine="480" w:firstLineChars="200"/>
        <w:rPr>
          <w:rFonts w:ascii="宋体" w:cs="宋体"/>
          <w:sz w:val="24"/>
          <w:szCs w:val="24"/>
        </w:rPr>
      </w:pPr>
      <w:r>
        <w:rPr>
          <w:rFonts w:ascii="宋体" w:hAnsi="宋体" w:cs="宋体"/>
          <w:sz w:val="24"/>
          <w:szCs w:val="24"/>
        </w:rPr>
        <w:t>2.5.5</w:t>
      </w:r>
      <w:r>
        <w:rPr>
          <w:rFonts w:hint="eastAsia" w:ascii="宋体" w:hAnsi="宋体" w:cs="宋体"/>
          <w:sz w:val="24"/>
          <w:szCs w:val="24"/>
        </w:rPr>
        <w:t>联合体各方应当共同与采购人签订采购合同，就采购合同约定的事项对采购人承担连带责任。</w:t>
      </w:r>
    </w:p>
    <w:p>
      <w:pPr>
        <w:spacing w:line="360" w:lineRule="auto"/>
        <w:ind w:firstLine="482" w:firstLineChars="200"/>
        <w:rPr>
          <w:rFonts w:ascii="宋体" w:cs="宋体"/>
          <w:b/>
          <w:sz w:val="24"/>
          <w:szCs w:val="24"/>
        </w:rPr>
      </w:pPr>
      <w:r>
        <w:rPr>
          <w:rFonts w:ascii="宋体" w:hAnsi="宋体" w:cs="宋体"/>
          <w:b/>
          <w:sz w:val="24"/>
          <w:szCs w:val="24"/>
        </w:rPr>
        <w:t>3.</w:t>
      </w:r>
      <w:r>
        <w:rPr>
          <w:rFonts w:hint="eastAsia" w:ascii="宋体" w:hAnsi="宋体" w:cs="宋体"/>
          <w:b/>
          <w:sz w:val="24"/>
          <w:szCs w:val="24"/>
        </w:rPr>
        <w:t>合格的货物和服务</w:t>
      </w:r>
    </w:p>
    <w:p>
      <w:pPr>
        <w:tabs>
          <w:tab w:val="left" w:pos="900"/>
        </w:tabs>
        <w:spacing w:line="360" w:lineRule="auto"/>
        <w:ind w:firstLine="480" w:firstLineChars="200"/>
        <w:rPr>
          <w:rFonts w:ascii="宋体" w:cs="宋体"/>
          <w:sz w:val="24"/>
          <w:szCs w:val="24"/>
        </w:rPr>
      </w:pPr>
      <w:r>
        <w:rPr>
          <w:rFonts w:ascii="宋体" w:hAnsi="宋体" w:cs="宋体"/>
          <w:sz w:val="24"/>
          <w:szCs w:val="24"/>
        </w:rPr>
        <w:t>3.1</w:t>
      </w:r>
      <w:r>
        <w:rPr>
          <w:rFonts w:hint="eastAsia" w:ascii="宋体" w:hAnsi="宋体" w:cs="宋体"/>
          <w:sz w:val="24"/>
          <w:szCs w:val="24"/>
        </w:rPr>
        <w:t>合同中提供的所有货物及其有关服务，均应来自上述</w:t>
      </w:r>
      <w:r>
        <w:rPr>
          <w:rFonts w:ascii="宋体" w:hAnsi="宋体" w:cs="宋体"/>
          <w:sz w:val="24"/>
          <w:szCs w:val="24"/>
        </w:rPr>
        <w:t>2.4</w:t>
      </w:r>
      <w:r>
        <w:rPr>
          <w:rFonts w:hint="eastAsia" w:ascii="宋体" w:hAnsi="宋体" w:cs="宋体"/>
          <w:sz w:val="24"/>
          <w:szCs w:val="24"/>
        </w:rPr>
        <w:t>条款所规定的合格投标人。</w:t>
      </w:r>
    </w:p>
    <w:p>
      <w:pPr>
        <w:tabs>
          <w:tab w:val="left" w:pos="900"/>
        </w:tabs>
        <w:spacing w:line="360" w:lineRule="auto"/>
        <w:ind w:firstLine="480" w:firstLineChars="200"/>
        <w:rPr>
          <w:rFonts w:ascii="宋体" w:cs="宋体"/>
          <w:sz w:val="24"/>
          <w:szCs w:val="24"/>
        </w:rPr>
      </w:pPr>
      <w:r>
        <w:rPr>
          <w:rFonts w:ascii="宋体" w:hAnsi="宋体" w:cs="宋体"/>
          <w:sz w:val="24"/>
          <w:szCs w:val="24"/>
        </w:rPr>
        <w:t>3.2</w:t>
      </w:r>
      <w:r>
        <w:rPr>
          <w:rFonts w:hint="eastAsia" w:ascii="宋体" w:hAnsi="宋体" w:cs="宋体"/>
          <w:sz w:val="24"/>
          <w:szCs w:val="24"/>
        </w:rPr>
        <w:t>货物是指投标人按招标文件规定，须向采购人提供的符合招标文件要求的相关的货物。</w:t>
      </w:r>
    </w:p>
    <w:p>
      <w:pPr>
        <w:tabs>
          <w:tab w:val="left" w:pos="900"/>
        </w:tabs>
        <w:spacing w:line="360" w:lineRule="auto"/>
        <w:ind w:firstLine="480" w:firstLineChars="200"/>
        <w:rPr>
          <w:rFonts w:ascii="宋体" w:cs="宋体"/>
          <w:sz w:val="24"/>
          <w:szCs w:val="24"/>
        </w:rPr>
      </w:pPr>
      <w:r>
        <w:rPr>
          <w:rFonts w:ascii="宋体" w:hAnsi="宋体" w:cs="宋体"/>
          <w:sz w:val="24"/>
          <w:szCs w:val="24"/>
        </w:rPr>
        <w:t>3.3</w:t>
      </w:r>
      <w:r>
        <w:rPr>
          <w:rFonts w:hint="eastAsia" w:ascii="宋体" w:hAnsi="宋体" w:cs="宋体"/>
          <w:sz w:val="24"/>
          <w:szCs w:val="24"/>
        </w:rPr>
        <w:t>服务是指</w:t>
      </w:r>
      <w:r>
        <w:rPr>
          <w:rFonts w:ascii="宋体" w:hAnsi="宋体" w:eastAsia="宋体" w:cs="宋体"/>
          <w:b w:val="0"/>
          <w:bCs w:val="0"/>
          <w:color w:val="000000"/>
          <w:sz w:val="24"/>
          <w:szCs w:val="24"/>
        </w:rPr>
        <w:t>系指除货物和工程以外的其他政府采购对象。</w:t>
      </w:r>
    </w:p>
    <w:p>
      <w:pPr>
        <w:spacing w:line="360" w:lineRule="auto"/>
        <w:ind w:firstLine="482" w:firstLineChars="200"/>
        <w:rPr>
          <w:rFonts w:ascii="宋体" w:cs="宋体"/>
          <w:b/>
          <w:sz w:val="24"/>
          <w:szCs w:val="24"/>
        </w:rPr>
      </w:pPr>
      <w:r>
        <w:rPr>
          <w:rFonts w:ascii="宋体" w:hAnsi="宋体" w:cs="宋体"/>
          <w:b/>
          <w:sz w:val="24"/>
          <w:szCs w:val="24"/>
        </w:rPr>
        <w:t>4.</w:t>
      </w:r>
      <w:r>
        <w:rPr>
          <w:rFonts w:hint="eastAsia" w:ascii="宋体" w:hAnsi="宋体" w:cs="宋体"/>
          <w:b/>
          <w:sz w:val="24"/>
          <w:szCs w:val="24"/>
        </w:rPr>
        <w:t>投标费用</w:t>
      </w:r>
    </w:p>
    <w:p>
      <w:pPr>
        <w:spacing w:line="360" w:lineRule="auto"/>
        <w:ind w:firstLine="480" w:firstLineChars="200"/>
        <w:rPr>
          <w:rFonts w:ascii="宋体" w:cs="宋体"/>
          <w:sz w:val="24"/>
          <w:szCs w:val="24"/>
        </w:rPr>
      </w:pPr>
      <w:r>
        <w:rPr>
          <w:rFonts w:ascii="宋体" w:hAnsi="宋体" w:cs="宋体"/>
          <w:sz w:val="24"/>
          <w:szCs w:val="24"/>
        </w:rPr>
        <w:t xml:space="preserve">4.1 </w:t>
      </w:r>
      <w:r>
        <w:rPr>
          <w:rFonts w:hint="eastAsia" w:ascii="宋体" w:hAnsi="宋体" w:cs="宋体"/>
          <w:sz w:val="24"/>
          <w:szCs w:val="24"/>
        </w:rPr>
        <w:t>投标人应承担所有与准备和参加投标有关的费用。不论投标的结果如何，采购人或采购代理机构均无义务和责任承担这些费用。</w:t>
      </w:r>
    </w:p>
    <w:p>
      <w:pPr>
        <w:spacing w:line="360" w:lineRule="auto"/>
        <w:ind w:firstLine="480" w:firstLineChars="200"/>
        <w:rPr>
          <w:rFonts w:ascii="宋体" w:hAnsi="宋体" w:cs="宋体"/>
          <w:sz w:val="24"/>
          <w:szCs w:val="24"/>
        </w:rPr>
      </w:pPr>
      <w:r>
        <w:rPr>
          <w:rFonts w:ascii="宋体" w:hAnsi="宋体" w:cs="宋体"/>
          <w:sz w:val="24"/>
          <w:szCs w:val="24"/>
        </w:rPr>
        <w:t xml:space="preserve">4.2 </w:t>
      </w:r>
      <w:r>
        <w:rPr>
          <w:rFonts w:hint="eastAsia" w:ascii="宋体" w:hAnsi="宋体" w:cs="宋体"/>
          <w:sz w:val="24"/>
          <w:szCs w:val="24"/>
        </w:rPr>
        <w:t>无论招标结果如何，投标文件均不予退还。</w:t>
      </w:r>
    </w:p>
    <w:p>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.3</w:t>
      </w:r>
      <w:r>
        <w:rPr>
          <w:rFonts w:hint="eastAsia" w:ascii="宋体" w:hAnsi="宋体" w:cs="宋体"/>
          <w:sz w:val="24"/>
          <w:szCs w:val="24"/>
        </w:rPr>
        <w:t xml:space="preserve"> 付款方式：见须知前附表。</w:t>
      </w:r>
    </w:p>
    <w:p>
      <w:pPr>
        <w:spacing w:line="360" w:lineRule="auto"/>
        <w:ind w:firstLine="480" w:firstLineChars="200"/>
        <w:rPr>
          <w:rFonts w:ascii="宋体" w:hAnsi="宋体" w:cs="宋体"/>
          <w:sz w:val="24"/>
          <w:szCs w:val="24"/>
        </w:rPr>
      </w:pPr>
      <w:r>
        <w:rPr>
          <w:rFonts w:hint="eastAsia" w:ascii="宋体" w:hAnsi="宋体" w:cs="宋体"/>
          <w:sz w:val="24"/>
          <w:szCs w:val="24"/>
        </w:rPr>
        <w:t>4.4 质保期：见须知前附表。</w:t>
      </w:r>
    </w:p>
    <w:p>
      <w:pPr>
        <w:spacing w:line="360" w:lineRule="auto"/>
        <w:ind w:firstLine="482" w:firstLineChars="200"/>
        <w:rPr>
          <w:rFonts w:ascii="宋体" w:cs="宋体"/>
          <w:b/>
          <w:sz w:val="24"/>
          <w:szCs w:val="24"/>
        </w:rPr>
      </w:pPr>
      <w:r>
        <w:rPr>
          <w:rFonts w:ascii="宋体" w:hAnsi="宋体" w:cs="宋体"/>
          <w:b/>
          <w:sz w:val="24"/>
          <w:szCs w:val="24"/>
        </w:rPr>
        <w:t>5.</w:t>
      </w:r>
      <w:r>
        <w:rPr>
          <w:rFonts w:hint="eastAsia" w:ascii="宋体" w:hAnsi="宋体" w:cs="宋体"/>
          <w:b/>
          <w:sz w:val="24"/>
          <w:szCs w:val="24"/>
        </w:rPr>
        <w:t>废标说明</w:t>
      </w:r>
    </w:p>
    <w:p>
      <w:pPr>
        <w:spacing w:line="360" w:lineRule="auto"/>
        <w:ind w:firstLine="482" w:firstLineChars="200"/>
        <w:rPr>
          <w:rFonts w:ascii="宋体" w:cs="宋体"/>
          <w:b/>
          <w:sz w:val="24"/>
          <w:szCs w:val="24"/>
          <w:u w:val="single"/>
        </w:rPr>
      </w:pPr>
      <w:r>
        <w:rPr>
          <w:rFonts w:hint="eastAsia" w:ascii="宋体" w:hAnsi="宋体" w:cs="宋体"/>
          <w:b/>
          <w:sz w:val="24"/>
          <w:szCs w:val="24"/>
          <w:u w:val="single"/>
        </w:rPr>
        <w:t>在招标采购中，出现下列情形之一的，应予废标：</w:t>
      </w:r>
    </w:p>
    <w:p>
      <w:pPr>
        <w:spacing w:line="360" w:lineRule="auto"/>
        <w:ind w:firstLine="482" w:firstLineChars="200"/>
        <w:rPr>
          <w:rFonts w:ascii="宋体" w:cs="宋体"/>
          <w:b/>
          <w:sz w:val="24"/>
          <w:szCs w:val="24"/>
          <w:u w:val="single"/>
        </w:rPr>
      </w:pPr>
      <w:r>
        <w:rPr>
          <w:rFonts w:ascii="宋体" w:hAnsi="宋体" w:cs="宋体"/>
          <w:b/>
          <w:sz w:val="24"/>
          <w:szCs w:val="24"/>
          <w:u w:val="single"/>
        </w:rPr>
        <w:t>5.1</w:t>
      </w:r>
      <w:r>
        <w:rPr>
          <w:rFonts w:hint="eastAsia" w:ascii="宋体" w:hAnsi="宋体" w:cs="宋体"/>
          <w:b/>
          <w:sz w:val="24"/>
          <w:szCs w:val="24"/>
          <w:u w:val="single"/>
        </w:rPr>
        <w:t>符合专业条件的供应商或者对招标文件作实质响应的供应商不足三家的；</w:t>
      </w:r>
      <w:r>
        <w:rPr>
          <w:rFonts w:ascii="宋体" w:hAnsi="宋体" w:cs="宋体"/>
          <w:b/>
          <w:sz w:val="24"/>
          <w:szCs w:val="24"/>
          <w:u w:val="single"/>
        </w:rPr>
        <w:t xml:space="preserve"> </w:t>
      </w:r>
    </w:p>
    <w:p>
      <w:pPr>
        <w:spacing w:line="360" w:lineRule="auto"/>
        <w:ind w:firstLine="482" w:firstLineChars="200"/>
        <w:rPr>
          <w:rFonts w:ascii="宋体" w:cs="宋体"/>
          <w:b/>
          <w:sz w:val="24"/>
          <w:szCs w:val="24"/>
          <w:u w:val="single"/>
        </w:rPr>
      </w:pPr>
      <w:r>
        <w:rPr>
          <w:rFonts w:ascii="宋体" w:hAnsi="宋体" w:cs="宋体"/>
          <w:b/>
          <w:sz w:val="24"/>
          <w:szCs w:val="24"/>
          <w:u w:val="single"/>
        </w:rPr>
        <w:t>5.2</w:t>
      </w:r>
      <w:r>
        <w:rPr>
          <w:rFonts w:hint="eastAsia" w:ascii="宋体" w:hAnsi="宋体" w:cs="宋体"/>
          <w:b/>
          <w:sz w:val="24"/>
          <w:szCs w:val="24"/>
          <w:u w:val="single"/>
        </w:rPr>
        <w:t>出现影响采购公正的违法、违规行为的；</w:t>
      </w:r>
    </w:p>
    <w:p>
      <w:pPr>
        <w:spacing w:line="360" w:lineRule="auto"/>
        <w:ind w:firstLine="482" w:firstLineChars="200"/>
        <w:rPr>
          <w:rFonts w:ascii="宋体" w:cs="宋体"/>
          <w:b/>
          <w:sz w:val="24"/>
          <w:szCs w:val="24"/>
          <w:u w:val="single"/>
        </w:rPr>
      </w:pPr>
      <w:r>
        <w:rPr>
          <w:rFonts w:ascii="宋体" w:hAnsi="宋体" w:cs="宋体"/>
          <w:b/>
          <w:sz w:val="24"/>
          <w:szCs w:val="24"/>
          <w:u w:val="single"/>
        </w:rPr>
        <w:t>5.3</w:t>
      </w:r>
      <w:r>
        <w:rPr>
          <w:rFonts w:hint="eastAsia" w:ascii="宋体" w:hAnsi="宋体" w:cs="宋体"/>
          <w:b/>
          <w:sz w:val="24"/>
          <w:szCs w:val="24"/>
          <w:u w:val="single"/>
        </w:rPr>
        <w:t>投标人的报价均超过了采购预算，采购人不能够支付的；</w:t>
      </w:r>
    </w:p>
    <w:p>
      <w:pPr>
        <w:spacing w:line="360" w:lineRule="auto"/>
        <w:ind w:firstLine="482" w:firstLineChars="200"/>
        <w:rPr>
          <w:rFonts w:ascii="宋体" w:cs="宋体"/>
          <w:b/>
          <w:sz w:val="24"/>
          <w:szCs w:val="24"/>
          <w:u w:val="single"/>
        </w:rPr>
      </w:pPr>
      <w:r>
        <w:rPr>
          <w:rFonts w:ascii="宋体" w:hAnsi="宋体" w:cs="宋体"/>
          <w:b/>
          <w:sz w:val="24"/>
          <w:szCs w:val="24"/>
          <w:u w:val="single"/>
        </w:rPr>
        <w:t>5.4</w:t>
      </w:r>
      <w:r>
        <w:rPr>
          <w:rFonts w:hint="eastAsia" w:ascii="宋体" w:hAnsi="宋体" w:cs="宋体"/>
          <w:b/>
          <w:sz w:val="24"/>
          <w:szCs w:val="24"/>
          <w:u w:val="single"/>
        </w:rPr>
        <w:t>因重大变故，采购任务取消的。</w:t>
      </w:r>
      <w:bookmarkStart w:id="46" w:name="_Toc14776837"/>
      <w:bookmarkStart w:id="47" w:name="_Toc2511970"/>
      <w:bookmarkStart w:id="48" w:name="_Toc2355229"/>
      <w:bookmarkStart w:id="49" w:name="_Toc322446890"/>
      <w:bookmarkStart w:id="50" w:name="_Toc497167392"/>
      <w:bookmarkStart w:id="51" w:name="_Toc493422649"/>
    </w:p>
    <w:p>
      <w:pPr>
        <w:spacing w:line="360" w:lineRule="auto"/>
        <w:rPr>
          <w:rFonts w:ascii="宋体" w:cs="宋体"/>
          <w:b/>
          <w:sz w:val="24"/>
          <w:szCs w:val="24"/>
          <w:u w:val="single"/>
        </w:rPr>
      </w:pPr>
      <w:r>
        <w:rPr>
          <w:rFonts w:hint="eastAsia" w:ascii="宋体" w:hAnsi="宋体" w:cs="宋体"/>
          <w:b/>
          <w:sz w:val="24"/>
          <w:szCs w:val="24"/>
        </w:rPr>
        <w:t>二、招标文件</w:t>
      </w:r>
      <w:bookmarkEnd w:id="46"/>
      <w:bookmarkEnd w:id="47"/>
      <w:bookmarkEnd w:id="48"/>
      <w:bookmarkEnd w:id="49"/>
      <w:bookmarkEnd w:id="50"/>
      <w:bookmarkEnd w:id="51"/>
    </w:p>
    <w:p>
      <w:pPr>
        <w:spacing w:line="360" w:lineRule="auto"/>
        <w:ind w:firstLine="482" w:firstLineChars="200"/>
        <w:rPr>
          <w:rFonts w:ascii="宋体" w:cs="宋体"/>
          <w:b/>
          <w:sz w:val="24"/>
          <w:szCs w:val="24"/>
        </w:rPr>
      </w:pPr>
      <w:r>
        <w:rPr>
          <w:rFonts w:ascii="宋体" w:hAnsi="宋体" w:cs="宋体"/>
          <w:b/>
          <w:sz w:val="24"/>
          <w:szCs w:val="24"/>
        </w:rPr>
        <w:t>6.</w:t>
      </w:r>
      <w:r>
        <w:rPr>
          <w:rFonts w:hint="eastAsia" w:ascii="宋体" w:hAnsi="宋体" w:cs="宋体"/>
          <w:b/>
          <w:sz w:val="24"/>
          <w:szCs w:val="24"/>
        </w:rPr>
        <w:t>招标文件构成</w:t>
      </w:r>
    </w:p>
    <w:p>
      <w:pPr>
        <w:spacing w:line="360" w:lineRule="auto"/>
        <w:ind w:firstLine="480" w:firstLineChars="200"/>
        <w:rPr>
          <w:rFonts w:ascii="宋体" w:cs="宋体"/>
          <w:sz w:val="24"/>
          <w:szCs w:val="24"/>
        </w:rPr>
      </w:pPr>
      <w:r>
        <w:rPr>
          <w:rFonts w:ascii="宋体" w:hAnsi="宋体" w:cs="宋体"/>
          <w:sz w:val="24"/>
          <w:szCs w:val="24"/>
        </w:rPr>
        <w:t xml:space="preserve">6.1 </w:t>
      </w:r>
      <w:r>
        <w:rPr>
          <w:rFonts w:hint="eastAsia" w:ascii="宋体" w:hAnsi="宋体" w:cs="宋体"/>
          <w:sz w:val="24"/>
          <w:szCs w:val="24"/>
        </w:rPr>
        <w:t>招标文件包括下列内容：</w:t>
      </w:r>
    </w:p>
    <w:p>
      <w:pPr>
        <w:spacing w:line="360" w:lineRule="auto"/>
        <w:ind w:firstLine="480" w:firstLineChars="200"/>
        <w:rPr>
          <w:rFonts w:ascii="宋体" w:cs="宋体"/>
          <w:sz w:val="24"/>
          <w:szCs w:val="24"/>
        </w:rPr>
      </w:pPr>
      <w:r>
        <w:rPr>
          <w:rFonts w:hint="eastAsia" w:ascii="宋体" w:hAnsi="宋体" w:cs="宋体"/>
          <w:sz w:val="24"/>
          <w:szCs w:val="24"/>
        </w:rPr>
        <w:t>（一）招标文件的组成部分</w:t>
      </w:r>
    </w:p>
    <w:p>
      <w:pPr>
        <w:numPr>
          <w:ilvl w:val="1"/>
          <w:numId w:val="8"/>
        </w:numPr>
        <w:spacing w:line="360" w:lineRule="auto"/>
        <w:ind w:left="0" w:firstLine="480" w:firstLineChars="200"/>
        <w:rPr>
          <w:rFonts w:ascii="宋体" w:cs="宋体"/>
          <w:sz w:val="24"/>
          <w:szCs w:val="24"/>
        </w:rPr>
      </w:pPr>
      <w:r>
        <w:rPr>
          <w:rFonts w:hint="eastAsia" w:ascii="宋体" w:hAnsi="宋体" w:cs="宋体"/>
          <w:sz w:val="24"/>
          <w:szCs w:val="24"/>
        </w:rPr>
        <w:t>投标邀请（招标公告）</w:t>
      </w:r>
    </w:p>
    <w:p>
      <w:pPr>
        <w:numPr>
          <w:ilvl w:val="1"/>
          <w:numId w:val="8"/>
        </w:numPr>
        <w:spacing w:line="360" w:lineRule="auto"/>
        <w:ind w:left="0" w:firstLine="480" w:firstLineChars="200"/>
        <w:rPr>
          <w:rFonts w:ascii="宋体" w:cs="宋体"/>
          <w:sz w:val="24"/>
          <w:szCs w:val="24"/>
        </w:rPr>
      </w:pPr>
      <w:r>
        <w:rPr>
          <w:rFonts w:hint="eastAsia" w:ascii="宋体" w:hAnsi="宋体" w:cs="宋体"/>
          <w:sz w:val="24"/>
          <w:szCs w:val="24"/>
        </w:rPr>
        <w:t>投标人须知前附表</w:t>
      </w:r>
    </w:p>
    <w:p>
      <w:pPr>
        <w:numPr>
          <w:ilvl w:val="1"/>
          <w:numId w:val="8"/>
        </w:numPr>
        <w:spacing w:line="360" w:lineRule="auto"/>
        <w:ind w:left="0" w:firstLine="480" w:firstLineChars="200"/>
        <w:rPr>
          <w:rFonts w:ascii="宋体" w:cs="宋体"/>
          <w:sz w:val="24"/>
          <w:szCs w:val="24"/>
        </w:rPr>
      </w:pPr>
      <w:r>
        <w:rPr>
          <w:rFonts w:hint="eastAsia" w:ascii="宋体" w:hAnsi="宋体" w:cs="宋体"/>
          <w:sz w:val="24"/>
          <w:szCs w:val="24"/>
        </w:rPr>
        <w:t>投标人须知</w:t>
      </w:r>
    </w:p>
    <w:p>
      <w:pPr>
        <w:numPr>
          <w:ilvl w:val="1"/>
          <w:numId w:val="8"/>
        </w:numPr>
        <w:spacing w:line="360" w:lineRule="auto"/>
        <w:ind w:left="0" w:firstLine="480" w:firstLineChars="200"/>
        <w:rPr>
          <w:rFonts w:ascii="宋体" w:cs="宋体"/>
          <w:sz w:val="24"/>
          <w:szCs w:val="24"/>
        </w:rPr>
      </w:pPr>
      <w:r>
        <w:rPr>
          <w:rFonts w:hint="eastAsia" w:ascii="宋体" w:hAnsi="宋体" w:cs="宋体"/>
          <w:sz w:val="24"/>
          <w:szCs w:val="24"/>
        </w:rPr>
        <w:t>合同文本格式</w:t>
      </w:r>
    </w:p>
    <w:p>
      <w:pPr>
        <w:numPr>
          <w:ilvl w:val="1"/>
          <w:numId w:val="8"/>
        </w:numPr>
        <w:spacing w:line="360" w:lineRule="auto"/>
        <w:ind w:left="0" w:firstLine="480" w:firstLineChars="200"/>
        <w:rPr>
          <w:rFonts w:ascii="宋体" w:cs="宋体"/>
          <w:sz w:val="24"/>
          <w:szCs w:val="24"/>
        </w:rPr>
      </w:pPr>
      <w:r>
        <w:rPr>
          <w:rFonts w:hint="eastAsia" w:ascii="宋体" w:hAnsi="宋体" w:cs="宋体"/>
          <w:sz w:val="24"/>
          <w:szCs w:val="24"/>
        </w:rPr>
        <w:t>采购需求</w:t>
      </w:r>
    </w:p>
    <w:p>
      <w:pPr>
        <w:numPr>
          <w:ilvl w:val="1"/>
          <w:numId w:val="8"/>
        </w:numPr>
        <w:spacing w:line="360" w:lineRule="auto"/>
        <w:ind w:left="0" w:firstLine="480" w:firstLineChars="200"/>
        <w:rPr>
          <w:rFonts w:ascii="宋体" w:cs="宋体"/>
          <w:sz w:val="24"/>
          <w:szCs w:val="24"/>
        </w:rPr>
      </w:pPr>
      <w:r>
        <w:rPr>
          <w:rFonts w:hint="eastAsia" w:ascii="宋体" w:hAnsi="宋体" w:cs="宋体"/>
          <w:sz w:val="24"/>
          <w:szCs w:val="24"/>
        </w:rPr>
        <w:t>评标方法及评标标准</w:t>
      </w:r>
    </w:p>
    <w:p>
      <w:pPr>
        <w:numPr>
          <w:ilvl w:val="1"/>
          <w:numId w:val="8"/>
        </w:numPr>
        <w:spacing w:line="360" w:lineRule="auto"/>
        <w:ind w:left="0" w:firstLine="480" w:firstLineChars="200"/>
        <w:rPr>
          <w:rFonts w:ascii="宋体" w:cs="宋体"/>
          <w:sz w:val="24"/>
          <w:szCs w:val="24"/>
        </w:rPr>
      </w:pPr>
      <w:r>
        <w:rPr>
          <w:rFonts w:hint="eastAsia" w:ascii="宋体" w:hAnsi="宋体" w:cs="宋体"/>
          <w:sz w:val="24"/>
          <w:szCs w:val="24"/>
        </w:rPr>
        <w:t>投标文件格式</w:t>
      </w:r>
    </w:p>
    <w:p>
      <w:pPr>
        <w:spacing w:line="360" w:lineRule="auto"/>
        <w:ind w:firstLine="480" w:firstLineChars="200"/>
        <w:rPr>
          <w:rFonts w:ascii="宋体" w:cs="宋体"/>
          <w:sz w:val="24"/>
          <w:szCs w:val="24"/>
        </w:rPr>
      </w:pPr>
      <w:r>
        <w:rPr>
          <w:rFonts w:hint="eastAsia" w:ascii="宋体" w:hAnsi="宋体" w:cs="宋体"/>
          <w:sz w:val="24"/>
          <w:szCs w:val="24"/>
        </w:rPr>
        <w:t>（二）采购人所作的一切有效的书面通知都是招标文件不可分割的组成部分。</w:t>
      </w:r>
    </w:p>
    <w:p>
      <w:pPr>
        <w:spacing w:line="360" w:lineRule="auto"/>
        <w:ind w:firstLine="482" w:firstLineChars="200"/>
        <w:rPr>
          <w:rFonts w:ascii="宋体" w:cs="宋体"/>
          <w:b/>
          <w:sz w:val="24"/>
          <w:szCs w:val="24"/>
        </w:rPr>
      </w:pPr>
      <w:r>
        <w:rPr>
          <w:rFonts w:ascii="宋体" w:hAnsi="宋体" w:cs="宋体"/>
          <w:b/>
          <w:sz w:val="24"/>
          <w:szCs w:val="24"/>
        </w:rPr>
        <w:t>7.</w:t>
      </w:r>
      <w:r>
        <w:rPr>
          <w:rFonts w:hint="eastAsia" w:ascii="宋体" w:hAnsi="宋体" w:cs="宋体"/>
          <w:b/>
          <w:sz w:val="24"/>
          <w:szCs w:val="24"/>
        </w:rPr>
        <w:t>招标文件的澄清</w:t>
      </w:r>
    </w:p>
    <w:p>
      <w:pPr>
        <w:spacing w:line="360" w:lineRule="auto"/>
        <w:ind w:firstLine="480" w:firstLineChars="200"/>
        <w:rPr>
          <w:rFonts w:ascii="宋体" w:cs="宋体"/>
          <w:sz w:val="24"/>
          <w:szCs w:val="24"/>
        </w:rPr>
      </w:pPr>
      <w:r>
        <w:rPr>
          <w:rFonts w:ascii="宋体" w:hAnsi="宋体" w:cs="宋体"/>
          <w:sz w:val="24"/>
          <w:szCs w:val="24"/>
        </w:rPr>
        <w:t xml:space="preserve">7.1 </w:t>
      </w:r>
      <w:r>
        <w:rPr>
          <w:rFonts w:hint="eastAsia" w:ascii="宋体" w:hAnsi="宋体" w:cs="宋体"/>
          <w:sz w:val="24"/>
          <w:szCs w:val="24"/>
        </w:rPr>
        <w:t>任何要求对招标文件进行澄清的投标人，均应以书面形式通知采购人或采购代理机构。采购人或者采购代理机构对在投标截止时间</w:t>
      </w:r>
      <w:r>
        <w:rPr>
          <w:rFonts w:ascii="宋体" w:hAnsi="宋体" w:cs="宋体"/>
          <w:sz w:val="24"/>
          <w:szCs w:val="24"/>
        </w:rPr>
        <w:t>15</w:t>
      </w:r>
      <w:r>
        <w:rPr>
          <w:rFonts w:hint="eastAsia" w:ascii="宋体" w:hAnsi="宋体" w:cs="宋体"/>
          <w:sz w:val="24"/>
          <w:szCs w:val="24"/>
        </w:rPr>
        <w:t>日以前收到的澄清要求应以书面形式予以答复，并将书面答复发给每个购买招标文件的投标人（答复中不包括问题的来源），必要时同时在财政部门指定的政府采购信息发布媒体发布澄清公告。</w:t>
      </w:r>
    </w:p>
    <w:p>
      <w:pPr>
        <w:spacing w:line="360" w:lineRule="auto"/>
        <w:ind w:firstLine="482" w:firstLineChars="200"/>
        <w:rPr>
          <w:rFonts w:ascii="宋体" w:cs="宋体"/>
          <w:b/>
          <w:sz w:val="24"/>
          <w:szCs w:val="24"/>
        </w:rPr>
      </w:pPr>
      <w:r>
        <w:rPr>
          <w:rFonts w:ascii="宋体" w:hAnsi="宋体" w:cs="宋体"/>
          <w:b/>
          <w:sz w:val="24"/>
          <w:szCs w:val="24"/>
        </w:rPr>
        <w:t>8.</w:t>
      </w:r>
      <w:r>
        <w:rPr>
          <w:rFonts w:hint="eastAsia" w:ascii="宋体" w:hAnsi="宋体" w:cs="宋体"/>
          <w:b/>
          <w:sz w:val="24"/>
          <w:szCs w:val="24"/>
        </w:rPr>
        <w:t>招标文件的修改</w:t>
      </w:r>
    </w:p>
    <w:p>
      <w:pPr>
        <w:spacing w:line="360" w:lineRule="auto"/>
        <w:ind w:firstLine="480" w:firstLineChars="200"/>
        <w:rPr>
          <w:rFonts w:ascii="宋体" w:cs="宋体"/>
          <w:sz w:val="24"/>
          <w:szCs w:val="24"/>
        </w:rPr>
      </w:pPr>
      <w:r>
        <w:rPr>
          <w:rFonts w:ascii="宋体" w:hAnsi="宋体" w:cs="宋体"/>
          <w:sz w:val="24"/>
          <w:szCs w:val="24"/>
        </w:rPr>
        <w:t xml:space="preserve">8.1 </w:t>
      </w:r>
      <w:r>
        <w:rPr>
          <w:rFonts w:hint="eastAsia" w:ascii="宋体" w:hAnsi="宋体" w:cs="宋体"/>
          <w:sz w:val="24"/>
          <w:szCs w:val="24"/>
        </w:rPr>
        <w:t>在投标截止时间</w:t>
      </w:r>
      <w:r>
        <w:rPr>
          <w:rFonts w:ascii="宋体" w:hAnsi="宋体" w:cs="宋体"/>
          <w:sz w:val="24"/>
          <w:szCs w:val="24"/>
        </w:rPr>
        <w:t>15</w:t>
      </w:r>
      <w:r>
        <w:rPr>
          <w:rFonts w:hint="eastAsia" w:ascii="宋体" w:hAnsi="宋体" w:cs="宋体"/>
          <w:sz w:val="24"/>
          <w:szCs w:val="24"/>
        </w:rPr>
        <w:t>日前，无论出于何种原因，采购人或采购代理机构可主动地或在解答投标人提出的澄清问题时对招标文件进行修改，修改的内容为招标文件的组成部分。</w:t>
      </w:r>
    </w:p>
    <w:p>
      <w:pPr>
        <w:spacing w:line="360" w:lineRule="auto"/>
        <w:ind w:firstLine="480" w:firstLineChars="200"/>
        <w:rPr>
          <w:rFonts w:ascii="宋体" w:cs="宋体"/>
          <w:sz w:val="24"/>
          <w:szCs w:val="24"/>
        </w:rPr>
      </w:pPr>
      <w:r>
        <w:rPr>
          <w:rFonts w:ascii="宋体" w:hAnsi="宋体" w:cs="宋体"/>
          <w:sz w:val="24"/>
          <w:szCs w:val="24"/>
        </w:rPr>
        <w:t xml:space="preserve">8.2 </w:t>
      </w:r>
      <w:r>
        <w:rPr>
          <w:rFonts w:hint="eastAsia" w:ascii="宋体" w:hAnsi="宋体" w:cs="宋体"/>
          <w:sz w:val="24"/>
          <w:szCs w:val="24"/>
        </w:rPr>
        <w:t>招标文件的修改将以书面形式通知所有购买招标文件的投标人，并对其具有约束力。投标人在收到上述通知后，应在</w:t>
      </w:r>
      <w:r>
        <w:rPr>
          <w:rFonts w:ascii="宋体" w:hAnsi="宋体" w:cs="宋体"/>
          <w:sz w:val="24"/>
          <w:szCs w:val="24"/>
        </w:rPr>
        <w:t>24</w:t>
      </w:r>
      <w:r>
        <w:rPr>
          <w:rFonts w:hint="eastAsia" w:ascii="宋体" w:hAnsi="宋体" w:cs="宋体"/>
          <w:sz w:val="24"/>
          <w:szCs w:val="24"/>
        </w:rPr>
        <w:t>小时内向采购代理机构回函确认。</w:t>
      </w:r>
    </w:p>
    <w:p>
      <w:pPr>
        <w:spacing w:line="360" w:lineRule="auto"/>
        <w:ind w:firstLine="480" w:firstLineChars="200"/>
        <w:rPr>
          <w:rFonts w:ascii="宋体" w:cs="宋体"/>
          <w:sz w:val="24"/>
          <w:szCs w:val="24"/>
        </w:rPr>
      </w:pPr>
      <w:r>
        <w:rPr>
          <w:rFonts w:ascii="宋体" w:hAnsi="宋体" w:cs="宋体"/>
          <w:sz w:val="24"/>
          <w:szCs w:val="24"/>
        </w:rPr>
        <w:t>8.3</w:t>
      </w:r>
      <w:r>
        <w:rPr>
          <w:rFonts w:hint="eastAsia" w:ascii="宋体" w:hAnsi="宋体" w:cs="宋体"/>
          <w:sz w:val="24"/>
          <w:szCs w:val="24"/>
        </w:rPr>
        <w:t>澄清或者修改的内容可能影响投标文件编制的，为使投标人准备投标时有充分时间对招标文件的修改部分进行研究，采购人或采购代理机构可适当延长投标截止时间。并以书面形式通知所有购买招标文件的投标人。</w:t>
      </w:r>
    </w:p>
    <w:p>
      <w:pPr>
        <w:spacing w:line="360" w:lineRule="auto"/>
        <w:ind w:firstLine="482" w:firstLineChars="200"/>
        <w:rPr>
          <w:rFonts w:ascii="宋体" w:cs="宋体"/>
          <w:b/>
          <w:sz w:val="24"/>
          <w:szCs w:val="24"/>
        </w:rPr>
      </w:pPr>
      <w:r>
        <w:rPr>
          <w:rFonts w:ascii="宋体" w:hAnsi="宋体" w:cs="宋体"/>
          <w:b/>
          <w:sz w:val="24"/>
          <w:szCs w:val="24"/>
        </w:rPr>
        <w:t>9.</w:t>
      </w:r>
      <w:r>
        <w:rPr>
          <w:rFonts w:hint="eastAsia" w:ascii="宋体" w:hAnsi="宋体" w:cs="宋体"/>
          <w:b/>
          <w:sz w:val="24"/>
          <w:szCs w:val="24"/>
        </w:rPr>
        <w:t>询问和质疑</w:t>
      </w:r>
    </w:p>
    <w:p>
      <w:pPr>
        <w:spacing w:line="360" w:lineRule="auto"/>
        <w:ind w:firstLine="480" w:firstLineChars="200"/>
        <w:rPr>
          <w:rFonts w:ascii="宋体" w:cs="宋体"/>
          <w:sz w:val="24"/>
          <w:szCs w:val="24"/>
        </w:rPr>
      </w:pPr>
      <w:r>
        <w:rPr>
          <w:rFonts w:ascii="宋体" w:hAnsi="宋体" w:cs="宋体"/>
          <w:sz w:val="24"/>
          <w:szCs w:val="24"/>
        </w:rPr>
        <w:t>9.1</w:t>
      </w:r>
      <w:r>
        <w:rPr>
          <w:rFonts w:hint="eastAsia" w:ascii="宋体" w:hAnsi="宋体" w:cs="宋体"/>
          <w:sz w:val="24"/>
          <w:szCs w:val="24"/>
        </w:rPr>
        <w:t>投标人对政府采购活动事项有疑问的，可以提出询问；</w:t>
      </w:r>
    </w:p>
    <w:p>
      <w:pPr>
        <w:spacing w:line="360" w:lineRule="auto"/>
        <w:ind w:firstLine="480" w:firstLineChars="200"/>
        <w:rPr>
          <w:rFonts w:ascii="宋体" w:cs="宋体"/>
          <w:sz w:val="24"/>
          <w:szCs w:val="24"/>
        </w:rPr>
      </w:pPr>
      <w:r>
        <w:rPr>
          <w:rFonts w:ascii="宋体" w:hAnsi="宋体" w:cs="宋体"/>
          <w:sz w:val="24"/>
          <w:szCs w:val="24"/>
        </w:rPr>
        <w:t>9.2</w:t>
      </w:r>
      <w:r>
        <w:rPr>
          <w:rFonts w:hint="eastAsia" w:ascii="宋体" w:hAnsi="宋体" w:cs="宋体"/>
          <w:sz w:val="24"/>
          <w:szCs w:val="24"/>
        </w:rPr>
        <w:t>投标人认为采购文件、采购过程、中标或者中标结果使自己的权益受到损害的，可以在知道或者应知权益受到损害之日起</w:t>
      </w:r>
      <w:r>
        <w:rPr>
          <w:rFonts w:ascii="宋体" w:hAnsi="宋体" w:cs="宋体"/>
          <w:sz w:val="24"/>
          <w:szCs w:val="24"/>
        </w:rPr>
        <w:t>7</w:t>
      </w:r>
      <w:r>
        <w:rPr>
          <w:rFonts w:hint="eastAsia" w:ascii="宋体" w:hAnsi="宋体" w:cs="宋体"/>
          <w:sz w:val="24"/>
          <w:szCs w:val="24"/>
        </w:rPr>
        <w:t>个工作日内，提出质疑。</w:t>
      </w:r>
    </w:p>
    <w:p>
      <w:pPr>
        <w:spacing w:line="360" w:lineRule="auto"/>
        <w:ind w:firstLine="480" w:firstLineChars="200"/>
        <w:rPr>
          <w:rFonts w:ascii="宋体" w:cs="宋体"/>
          <w:sz w:val="24"/>
          <w:szCs w:val="24"/>
        </w:rPr>
      </w:pPr>
      <w:r>
        <w:rPr>
          <w:rFonts w:ascii="宋体" w:hAnsi="宋体" w:cs="宋体"/>
          <w:sz w:val="24"/>
          <w:szCs w:val="24"/>
        </w:rPr>
        <w:t>9.3</w:t>
      </w:r>
      <w:r>
        <w:rPr>
          <w:rFonts w:hint="eastAsia" w:ascii="宋体" w:hAnsi="宋体" w:cs="宋体"/>
          <w:sz w:val="24"/>
          <w:szCs w:val="24"/>
        </w:rPr>
        <w:t>接收质疑函的方式：投标人应提交书面质疑函，投标人应在法定质疑期内一次性提出针对同一采购程序环节的质疑。</w:t>
      </w:r>
    </w:p>
    <w:p>
      <w:pPr>
        <w:spacing w:line="360" w:lineRule="auto"/>
        <w:ind w:firstLine="480" w:firstLineChars="200"/>
        <w:rPr>
          <w:rFonts w:ascii="宋体" w:cs="宋体"/>
          <w:sz w:val="24"/>
          <w:szCs w:val="24"/>
        </w:rPr>
      </w:pPr>
      <w:r>
        <w:rPr>
          <w:rFonts w:ascii="宋体" w:hAnsi="宋体" w:cs="宋体"/>
          <w:sz w:val="24"/>
          <w:szCs w:val="24"/>
        </w:rPr>
        <w:t>9.4</w:t>
      </w:r>
      <w:r>
        <w:rPr>
          <w:rFonts w:hint="eastAsia" w:ascii="宋体" w:hAnsi="宋体" w:cs="宋体"/>
          <w:sz w:val="24"/>
          <w:szCs w:val="24"/>
        </w:rPr>
        <w:t>投标人提出质疑应当提交质疑函和必要的证明材料。质疑函应当包括下列内容：</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）投标人的姓名或者名称、地址、邮编、联系人及联系电话；</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）质疑项目的名称、编号；</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）具体、明确的质疑事项和与质疑事项相关的请求；</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）事实依据；</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）必要的法律依据；</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）提出质疑的日期。</w:t>
      </w:r>
    </w:p>
    <w:p>
      <w:pPr>
        <w:spacing w:line="360" w:lineRule="auto"/>
        <w:ind w:firstLine="480" w:firstLineChars="200"/>
        <w:rPr>
          <w:rFonts w:ascii="宋体" w:cs="宋体"/>
          <w:sz w:val="24"/>
          <w:szCs w:val="24"/>
        </w:rPr>
      </w:pPr>
      <w:r>
        <w:rPr>
          <w:rFonts w:ascii="宋体" w:hAnsi="宋体" w:cs="宋体"/>
          <w:sz w:val="24"/>
          <w:szCs w:val="24"/>
        </w:rPr>
        <w:t>9.5</w:t>
      </w:r>
      <w:r>
        <w:rPr>
          <w:rFonts w:hint="eastAsia" w:ascii="宋体" w:hAnsi="宋体" w:cs="宋体"/>
          <w:sz w:val="24"/>
          <w:szCs w:val="24"/>
        </w:rPr>
        <w:t>投标人为自然人的，质疑函应当由本人签字；投标人为法人或者其他组织的，质疑函应当由法定代表人、主要负责人，或者其授权代表签字或者盖章，并加盖公章。</w:t>
      </w:r>
    </w:p>
    <w:p>
      <w:pPr>
        <w:spacing w:line="360" w:lineRule="auto"/>
        <w:ind w:firstLine="480" w:firstLineChars="200"/>
        <w:rPr>
          <w:rFonts w:ascii="宋体" w:cs="宋体"/>
          <w:sz w:val="24"/>
          <w:szCs w:val="24"/>
        </w:rPr>
      </w:pPr>
      <w:r>
        <w:rPr>
          <w:rFonts w:ascii="宋体" w:hAnsi="宋体" w:cs="宋体"/>
          <w:sz w:val="24"/>
          <w:szCs w:val="24"/>
        </w:rPr>
        <w:t>9.6</w:t>
      </w:r>
      <w:r>
        <w:rPr>
          <w:rFonts w:hint="eastAsia" w:ascii="宋体" w:hAnsi="宋体" w:cs="宋体"/>
          <w:sz w:val="24"/>
          <w:szCs w:val="24"/>
        </w:rPr>
        <w:t>投标人委托代理人递交质疑函的，应提供法定代表人授权委托书和代理人身份证复印件。授权委托书应当载明代理人的姓名、授权事项、具体权限、期限和相关事项。投标人为自然人的，授权委托书应当由本人签字；投标人为法人或者其他组织的，授权委托书应当由法定代表人、主要负责人签字或者盖章，并加盖公章。</w:t>
      </w:r>
      <w:bookmarkStart w:id="52" w:name="_Toc14776838"/>
      <w:bookmarkStart w:id="53" w:name="_Toc497167393"/>
      <w:bookmarkStart w:id="54" w:name="_Toc2355230"/>
      <w:bookmarkStart w:id="55" w:name="_Toc322446891"/>
      <w:bookmarkStart w:id="56" w:name="_Toc2511971"/>
      <w:bookmarkStart w:id="57" w:name="_Toc493422650"/>
    </w:p>
    <w:p>
      <w:pPr>
        <w:spacing w:line="360" w:lineRule="auto"/>
        <w:rPr>
          <w:rFonts w:ascii="宋体" w:cs="宋体"/>
          <w:b/>
          <w:sz w:val="24"/>
          <w:szCs w:val="24"/>
        </w:rPr>
      </w:pPr>
      <w:r>
        <w:rPr>
          <w:rFonts w:hint="eastAsia" w:ascii="宋体" w:hAnsi="宋体" w:cs="宋体"/>
          <w:b/>
          <w:sz w:val="24"/>
          <w:szCs w:val="24"/>
        </w:rPr>
        <w:t>三、投标文件的编制</w:t>
      </w:r>
      <w:bookmarkEnd w:id="52"/>
      <w:bookmarkEnd w:id="53"/>
      <w:bookmarkEnd w:id="54"/>
      <w:bookmarkEnd w:id="55"/>
      <w:bookmarkEnd w:id="56"/>
      <w:bookmarkEnd w:id="57"/>
    </w:p>
    <w:p>
      <w:pPr>
        <w:spacing w:line="360" w:lineRule="auto"/>
        <w:ind w:firstLine="482" w:firstLineChars="200"/>
        <w:rPr>
          <w:rFonts w:ascii="宋体" w:cs="宋体"/>
          <w:b/>
          <w:sz w:val="24"/>
          <w:szCs w:val="24"/>
        </w:rPr>
      </w:pPr>
      <w:r>
        <w:rPr>
          <w:rFonts w:ascii="宋体" w:hAnsi="宋体" w:cs="宋体"/>
          <w:b/>
          <w:sz w:val="24"/>
          <w:szCs w:val="24"/>
        </w:rPr>
        <w:t>10.</w:t>
      </w:r>
      <w:r>
        <w:rPr>
          <w:rFonts w:hint="eastAsia" w:ascii="宋体" w:hAnsi="宋体" w:cs="宋体"/>
          <w:b/>
          <w:sz w:val="24"/>
          <w:szCs w:val="24"/>
        </w:rPr>
        <w:t>编制要求</w:t>
      </w:r>
    </w:p>
    <w:p>
      <w:pPr>
        <w:tabs>
          <w:tab w:val="left" w:pos="900"/>
        </w:tabs>
        <w:spacing w:line="360" w:lineRule="auto"/>
        <w:ind w:firstLine="480" w:firstLineChars="200"/>
        <w:rPr>
          <w:rFonts w:hint="eastAsia" w:ascii="宋体" w:hAnsi="宋体" w:cs="宋体"/>
          <w:sz w:val="24"/>
          <w:szCs w:val="24"/>
        </w:rPr>
      </w:pPr>
      <w:r>
        <w:rPr>
          <w:rFonts w:ascii="宋体" w:hAnsi="宋体" w:cs="宋体"/>
          <w:sz w:val="24"/>
          <w:szCs w:val="24"/>
        </w:rPr>
        <w:t>10.1</w:t>
      </w:r>
      <w:r>
        <w:rPr>
          <w:rFonts w:hint="eastAsia" w:ascii="宋体" w:hAnsi="宋体" w:cs="宋体"/>
          <w:sz w:val="24"/>
          <w:szCs w:val="24"/>
        </w:rPr>
        <w:t>投标人应认真阅读招标文件的所有内容，按招标文件的要求提供投标文件，投标文件应当对招标文件提出的要求和条件作出明确响应，并保证所提供的全部资料的真实性、完整性，以使其投标文件对招标文件做出实质性响应。</w:t>
      </w:r>
    </w:p>
    <w:p>
      <w:pPr>
        <w:shd w:val="clear"/>
        <w:spacing w:line="360" w:lineRule="auto"/>
        <w:ind w:firstLine="482" w:firstLineChars="200"/>
      </w:pPr>
      <w:r>
        <w:rPr>
          <w:rFonts w:hint="eastAsia" w:ascii="宋体" w:hAnsi="宋体" w:eastAsia="宋体" w:cs="宋体"/>
          <w:b/>
          <w:sz w:val="24"/>
          <w:szCs w:val="24"/>
          <w:highlight w:val="none"/>
        </w:rPr>
        <w:t>投标人应完整地按招标文件提供的投标文件格式及要求编写投标文件，投标人须在投标截止时间前完成在系统上递交电子投标文件。投标人的电子投标文件是经过CA证书加密后上传提交的，任何单位或个人均无法在投标截止时间(即投标时间)之前查看或篡改，不存在泄密风险。（严格按照政采云电子投标流程制作并上传电子投标文</w:t>
      </w:r>
      <w:r>
        <w:rPr>
          <w:rFonts w:hint="eastAsia" w:ascii="宋体" w:hAnsi="宋体" w:cs="宋体"/>
          <w:b/>
          <w:sz w:val="24"/>
          <w:szCs w:val="24"/>
          <w:highlight w:val="none"/>
        </w:rPr>
        <w:t>件）</w:t>
      </w:r>
      <w:r>
        <w:rPr>
          <w:rFonts w:hint="eastAsia" w:ascii="宋体" w:hAnsi="宋体" w:cs="宋体"/>
          <w:b/>
          <w:sz w:val="24"/>
          <w:szCs w:val="24"/>
          <w:highlight w:val="none"/>
          <w:lang w:eastAsia="zh-CN"/>
        </w:rPr>
        <w:t>。</w:t>
      </w:r>
    </w:p>
    <w:p>
      <w:pPr>
        <w:tabs>
          <w:tab w:val="left" w:pos="900"/>
        </w:tabs>
        <w:spacing w:line="360" w:lineRule="auto"/>
        <w:ind w:firstLine="480" w:firstLineChars="200"/>
        <w:rPr>
          <w:rFonts w:ascii="宋体" w:cs="宋体"/>
          <w:sz w:val="24"/>
          <w:szCs w:val="24"/>
        </w:rPr>
      </w:pPr>
      <w:r>
        <w:rPr>
          <w:rFonts w:ascii="宋体" w:hAnsi="宋体" w:cs="宋体"/>
          <w:sz w:val="24"/>
          <w:szCs w:val="24"/>
        </w:rPr>
        <w:t>10.2</w:t>
      </w:r>
      <w:r>
        <w:rPr>
          <w:rFonts w:hint="eastAsia" w:ascii="宋体" w:hAnsi="宋体" w:cs="宋体"/>
          <w:sz w:val="24"/>
          <w:szCs w:val="24"/>
        </w:rPr>
        <w:t>采购人或采购代理机构有权随时检查投标人所提供的全部资料的真实性。如果发现投标人在投标资料中使用有虚假的证明材料的，由此所产生的经济责任和法律责任由投标人自行承担。</w:t>
      </w:r>
    </w:p>
    <w:p>
      <w:pPr>
        <w:pStyle w:val="5"/>
        <w:tabs>
          <w:tab w:val="left" w:pos="840"/>
        </w:tabs>
        <w:spacing w:line="360" w:lineRule="auto"/>
        <w:ind w:firstLine="480" w:firstLineChars="200"/>
        <w:rPr>
          <w:rFonts w:ascii="宋体" w:cs="宋体"/>
          <w:sz w:val="24"/>
          <w:szCs w:val="24"/>
        </w:rPr>
      </w:pPr>
      <w:r>
        <w:rPr>
          <w:rFonts w:ascii="宋体" w:hAnsi="宋体" w:cs="宋体"/>
          <w:sz w:val="24"/>
          <w:szCs w:val="24"/>
        </w:rPr>
        <w:t>10.3</w:t>
      </w:r>
      <w:r>
        <w:rPr>
          <w:rFonts w:hint="eastAsia" w:ascii="宋体" w:hAnsi="宋体" w:cs="宋体"/>
          <w:sz w:val="24"/>
          <w:szCs w:val="24"/>
        </w:rPr>
        <w:t>投标的语言</w:t>
      </w:r>
    </w:p>
    <w:p>
      <w:pPr>
        <w:spacing w:line="360" w:lineRule="auto"/>
        <w:ind w:firstLine="480" w:firstLineChars="200"/>
        <w:rPr>
          <w:rFonts w:ascii="宋体" w:cs="宋体"/>
          <w:sz w:val="24"/>
          <w:szCs w:val="24"/>
        </w:rPr>
      </w:pPr>
      <w:r>
        <w:rPr>
          <w:rFonts w:hint="eastAsia" w:ascii="宋体" w:hAnsi="宋体" w:cs="宋体"/>
          <w:sz w:val="24"/>
          <w:szCs w:val="24"/>
        </w:rPr>
        <w:t>投标人提交的投标文件以及投标人与采购代理机构就有关投标的所有来往函电均应以中文书写，且以之为准。</w:t>
      </w:r>
    </w:p>
    <w:p>
      <w:pPr>
        <w:spacing w:line="360" w:lineRule="auto"/>
        <w:ind w:firstLine="482" w:firstLineChars="200"/>
        <w:rPr>
          <w:rFonts w:ascii="宋体" w:cs="宋体"/>
          <w:b/>
          <w:sz w:val="24"/>
          <w:szCs w:val="24"/>
        </w:rPr>
      </w:pPr>
      <w:r>
        <w:rPr>
          <w:rFonts w:ascii="宋体" w:hAnsi="宋体" w:cs="宋体"/>
          <w:b/>
          <w:sz w:val="24"/>
          <w:szCs w:val="24"/>
        </w:rPr>
        <w:t>11.</w:t>
      </w:r>
      <w:r>
        <w:rPr>
          <w:rFonts w:hint="eastAsia" w:ascii="宋体" w:hAnsi="宋体" w:cs="宋体"/>
          <w:b/>
          <w:sz w:val="24"/>
          <w:szCs w:val="24"/>
        </w:rPr>
        <w:t>投标文件构成</w:t>
      </w:r>
    </w:p>
    <w:p>
      <w:pPr>
        <w:spacing w:line="360" w:lineRule="auto"/>
        <w:ind w:firstLine="480" w:firstLineChars="200"/>
        <w:rPr>
          <w:rFonts w:ascii="宋体" w:cs="宋体"/>
          <w:sz w:val="24"/>
          <w:szCs w:val="24"/>
        </w:rPr>
      </w:pPr>
      <w:r>
        <w:rPr>
          <w:rFonts w:ascii="宋体" w:hAnsi="宋体" w:cs="宋体"/>
          <w:sz w:val="24"/>
          <w:szCs w:val="24"/>
        </w:rPr>
        <w:t>11.1</w:t>
      </w:r>
      <w:r>
        <w:rPr>
          <w:rFonts w:hint="eastAsia" w:ascii="宋体" w:hAnsi="宋体" w:cs="宋体"/>
          <w:sz w:val="24"/>
          <w:szCs w:val="24"/>
        </w:rPr>
        <w:t>投标人编写的投标文件应包括下列部分：</w:t>
      </w:r>
    </w:p>
    <w:p>
      <w:pPr>
        <w:tabs>
          <w:tab w:val="left" w:pos="900"/>
        </w:tabs>
        <w:spacing w:line="360" w:lineRule="auto"/>
        <w:ind w:firstLine="240" w:firstLineChars="1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）资格证明材料部分：按照本须知第</w:t>
      </w:r>
      <w:r>
        <w:rPr>
          <w:rFonts w:ascii="宋体" w:hAnsi="宋体" w:cs="宋体"/>
          <w:sz w:val="24"/>
          <w:szCs w:val="24"/>
        </w:rPr>
        <w:t>15</w:t>
      </w:r>
      <w:r>
        <w:rPr>
          <w:rFonts w:hint="eastAsia" w:ascii="宋体" w:hAnsi="宋体" w:cs="宋体"/>
          <w:sz w:val="24"/>
          <w:szCs w:val="24"/>
        </w:rPr>
        <w:t>条规定和第七章提供的格式提交。</w:t>
      </w:r>
    </w:p>
    <w:p>
      <w:pPr>
        <w:tabs>
          <w:tab w:val="left" w:pos="900"/>
        </w:tabs>
        <w:spacing w:line="360" w:lineRule="auto"/>
        <w:ind w:firstLine="240" w:firstLineChars="1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）商务部分：投标书、开标一览表、投标分项（明细）报价表、服务说明一览表、商务条款偏离表、法人代表授权书等，按照本须知第</w:t>
      </w:r>
      <w:r>
        <w:rPr>
          <w:rFonts w:ascii="宋体" w:hAnsi="宋体" w:cs="宋体"/>
          <w:sz w:val="24"/>
          <w:szCs w:val="24"/>
        </w:rPr>
        <w:t>15</w:t>
      </w:r>
      <w:r>
        <w:rPr>
          <w:rFonts w:hint="eastAsia" w:ascii="宋体" w:hAnsi="宋体" w:cs="宋体"/>
          <w:sz w:val="24"/>
          <w:szCs w:val="24"/>
        </w:rPr>
        <w:t>条规定和第七章提供的格式提交。</w:t>
      </w:r>
    </w:p>
    <w:p>
      <w:pPr>
        <w:tabs>
          <w:tab w:val="left" w:pos="900"/>
        </w:tabs>
        <w:spacing w:line="360" w:lineRule="auto"/>
        <w:ind w:firstLine="240" w:firstLineChars="1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）技术部分：服务技术描述（体检服务方案</w:t>
      </w:r>
      <w:r>
        <w:rPr>
          <w:rFonts w:hint="eastAsia" w:ascii="宋体" w:hAnsi="宋体" w:cs="宋体"/>
          <w:sz w:val="24"/>
          <w:szCs w:val="24"/>
          <w:lang w:eastAsia="zh-CN"/>
        </w:rPr>
        <w:t>、</w:t>
      </w:r>
      <w:r>
        <w:rPr>
          <w:rFonts w:hint="eastAsia" w:ascii="宋体" w:hAnsi="宋体" w:cs="宋体"/>
          <w:sz w:val="24"/>
          <w:szCs w:val="24"/>
          <w:lang w:val="en-US" w:eastAsia="zh-CN"/>
        </w:rPr>
        <w:t>体检质量保证方案、应急方案、后期服务方案</w:t>
      </w:r>
      <w:r>
        <w:rPr>
          <w:rFonts w:hint="eastAsia" w:ascii="宋体" w:hAnsi="宋体" w:cs="宋体"/>
          <w:sz w:val="24"/>
          <w:szCs w:val="24"/>
        </w:rPr>
        <w:t>）、招标文件技术需求部分要求提供的内容、综合说明、服务偏离表等。</w:t>
      </w:r>
    </w:p>
    <w:p>
      <w:pPr>
        <w:tabs>
          <w:tab w:val="left" w:pos="900"/>
        </w:tabs>
        <w:spacing w:line="360" w:lineRule="auto"/>
        <w:ind w:firstLine="240" w:firstLineChars="10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）投标服务技术符合招标文件规定的证明文件及投标人认为需加以说明的其他内容。</w:t>
      </w:r>
    </w:p>
    <w:p>
      <w:pPr>
        <w:tabs>
          <w:tab w:val="left" w:pos="900"/>
        </w:tabs>
        <w:spacing w:line="360" w:lineRule="auto"/>
        <w:ind w:firstLine="240" w:firstLineChars="1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）投标人应将投标文件详列目录，并填写“投标文件资料清单、目录、页码”，以便阅读。</w:t>
      </w:r>
    </w:p>
    <w:p>
      <w:pPr>
        <w:tabs>
          <w:tab w:val="left" w:pos="900"/>
        </w:tabs>
        <w:spacing w:line="360" w:lineRule="auto"/>
        <w:ind w:firstLine="240" w:firstLineChars="100"/>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）证明投标人履约能力的文件（本须知</w:t>
      </w:r>
      <w:r>
        <w:rPr>
          <w:rFonts w:ascii="宋体" w:hAnsi="宋体" w:cs="宋体"/>
          <w:sz w:val="24"/>
          <w:szCs w:val="24"/>
        </w:rPr>
        <w:t>15</w:t>
      </w:r>
      <w:r>
        <w:rPr>
          <w:rFonts w:hint="eastAsia" w:ascii="宋体" w:hAnsi="宋体" w:cs="宋体"/>
          <w:sz w:val="24"/>
          <w:szCs w:val="24"/>
        </w:rPr>
        <w:t>条内容）</w:t>
      </w:r>
    </w:p>
    <w:p>
      <w:pPr>
        <w:spacing w:line="360" w:lineRule="auto"/>
        <w:ind w:firstLine="482" w:firstLineChars="200"/>
        <w:rPr>
          <w:rFonts w:ascii="宋体" w:cs="宋体"/>
          <w:b/>
          <w:sz w:val="24"/>
          <w:szCs w:val="24"/>
        </w:rPr>
      </w:pPr>
      <w:r>
        <w:rPr>
          <w:rFonts w:ascii="宋体" w:hAnsi="宋体" w:cs="宋体"/>
          <w:b/>
          <w:sz w:val="24"/>
          <w:szCs w:val="24"/>
        </w:rPr>
        <w:t>12.</w:t>
      </w:r>
      <w:r>
        <w:rPr>
          <w:rFonts w:hint="eastAsia" w:ascii="宋体" w:hAnsi="宋体" w:cs="宋体"/>
          <w:b/>
          <w:sz w:val="24"/>
          <w:szCs w:val="24"/>
        </w:rPr>
        <w:t>投标文件格式</w:t>
      </w:r>
    </w:p>
    <w:p>
      <w:pPr>
        <w:spacing w:line="360" w:lineRule="auto"/>
        <w:ind w:firstLine="480" w:firstLineChars="200"/>
        <w:rPr>
          <w:rFonts w:ascii="宋体" w:cs="宋体"/>
          <w:sz w:val="24"/>
          <w:szCs w:val="24"/>
        </w:rPr>
      </w:pPr>
      <w:r>
        <w:rPr>
          <w:rFonts w:ascii="宋体" w:hAnsi="宋体" w:cs="宋体"/>
          <w:sz w:val="24"/>
          <w:szCs w:val="24"/>
        </w:rPr>
        <w:t xml:space="preserve">12.1 </w:t>
      </w:r>
      <w:r>
        <w:rPr>
          <w:rFonts w:hint="eastAsia" w:ascii="宋体" w:hAnsi="宋体" w:cs="宋体"/>
          <w:sz w:val="24"/>
          <w:szCs w:val="24"/>
        </w:rPr>
        <w:t>投标人应按招标文件第</w:t>
      </w:r>
      <w:r>
        <w:rPr>
          <w:rFonts w:ascii="宋体" w:hAnsi="宋体" w:cs="宋体"/>
          <w:sz w:val="24"/>
          <w:szCs w:val="24"/>
        </w:rPr>
        <w:t>11</w:t>
      </w:r>
      <w:r>
        <w:rPr>
          <w:rFonts w:hint="eastAsia" w:ascii="宋体" w:hAnsi="宋体" w:cs="宋体"/>
          <w:sz w:val="24"/>
          <w:szCs w:val="24"/>
        </w:rPr>
        <w:t>条的内容与要求和第七章提供的格式编写其投标文件，投标人不得缺少或留空任何招标文件要求填写的表格或提交的资料。</w:t>
      </w:r>
    </w:p>
    <w:p>
      <w:pPr>
        <w:spacing w:line="360" w:lineRule="auto"/>
        <w:ind w:firstLine="480" w:firstLineChars="200"/>
        <w:rPr>
          <w:rFonts w:hint="eastAsia" w:ascii="宋体" w:hAnsi="宋体" w:cs="宋体"/>
          <w:sz w:val="24"/>
          <w:szCs w:val="24"/>
        </w:rPr>
      </w:pPr>
      <w:r>
        <w:rPr>
          <w:rFonts w:ascii="宋体" w:hAnsi="宋体" w:cs="宋体"/>
          <w:sz w:val="24"/>
          <w:szCs w:val="24"/>
        </w:rPr>
        <w:t>12.2</w:t>
      </w:r>
      <w:r>
        <w:rPr>
          <w:rFonts w:hint="eastAsia" w:ascii="宋体" w:hAnsi="宋体" w:cs="宋体"/>
          <w:sz w:val="24"/>
          <w:szCs w:val="24"/>
        </w:rPr>
        <w:t>投标人应将投标文件按第</w:t>
      </w:r>
      <w:r>
        <w:rPr>
          <w:rFonts w:ascii="宋体" w:hAnsi="宋体" w:cs="宋体"/>
          <w:sz w:val="24"/>
          <w:szCs w:val="24"/>
        </w:rPr>
        <w:t>11</w:t>
      </w:r>
      <w:r>
        <w:rPr>
          <w:rFonts w:hint="eastAsia" w:ascii="宋体" w:hAnsi="宋体" w:cs="宋体"/>
          <w:sz w:val="24"/>
          <w:szCs w:val="24"/>
        </w:rPr>
        <w:t>条规定的顺序编排、并应编制目录、逐页标注连续页码。</w:t>
      </w:r>
    </w:p>
    <w:p>
      <w:pPr>
        <w:pStyle w:val="57"/>
      </w:pPr>
      <w:r>
        <w:rPr>
          <w:rFonts w:hint="eastAsia" w:ascii="宋体" w:hAnsi="宋体" w:cs="宋体"/>
          <w:sz w:val="24"/>
          <w:szCs w:val="24"/>
          <w:highlight w:val="none"/>
          <w:lang w:val="en-US" w:eastAsia="zh-CN"/>
        </w:rPr>
        <w:t>12.3</w:t>
      </w:r>
      <w:r>
        <w:rPr>
          <w:rFonts w:hint="eastAsia" w:ascii="宋体" w:hAnsi="宋体" w:eastAsia="宋体" w:cs="宋体"/>
          <w:b/>
          <w:kern w:val="0"/>
          <w:sz w:val="24"/>
          <w:szCs w:val="24"/>
          <w:highlight w:val="none"/>
        </w:rPr>
        <w:t>严格按照政采云电子投标流程制作并上传电子投标文件</w:t>
      </w:r>
    </w:p>
    <w:p>
      <w:pPr>
        <w:spacing w:line="360" w:lineRule="auto"/>
        <w:ind w:firstLine="482" w:firstLineChars="200"/>
        <w:rPr>
          <w:rFonts w:ascii="宋体" w:cs="宋体"/>
          <w:b/>
          <w:sz w:val="24"/>
          <w:szCs w:val="24"/>
        </w:rPr>
      </w:pPr>
      <w:r>
        <w:rPr>
          <w:rFonts w:ascii="宋体" w:hAnsi="宋体" w:cs="宋体"/>
          <w:b/>
          <w:sz w:val="24"/>
          <w:szCs w:val="24"/>
        </w:rPr>
        <w:t>13.</w:t>
      </w:r>
      <w:r>
        <w:rPr>
          <w:rFonts w:hint="eastAsia" w:ascii="宋体" w:hAnsi="宋体" w:cs="宋体"/>
          <w:b/>
          <w:sz w:val="24"/>
          <w:szCs w:val="24"/>
        </w:rPr>
        <w:t>投标报价</w:t>
      </w:r>
    </w:p>
    <w:p>
      <w:pPr>
        <w:spacing w:line="360" w:lineRule="auto"/>
        <w:ind w:firstLine="480" w:firstLineChars="200"/>
        <w:rPr>
          <w:rFonts w:ascii="宋体" w:cs="宋体"/>
          <w:sz w:val="24"/>
          <w:szCs w:val="24"/>
        </w:rPr>
      </w:pPr>
      <w:r>
        <w:rPr>
          <w:rFonts w:ascii="宋体" w:hAnsi="宋体" w:cs="宋体"/>
          <w:sz w:val="24"/>
          <w:szCs w:val="24"/>
        </w:rPr>
        <w:t xml:space="preserve">13.1 </w:t>
      </w:r>
      <w:r>
        <w:rPr>
          <w:rFonts w:hint="eastAsia" w:ascii="宋体" w:hAnsi="宋体" w:cs="宋体"/>
          <w:sz w:val="24"/>
          <w:szCs w:val="24"/>
        </w:rPr>
        <w:t>投标人应在投标分项报价表上标明本合同拟提供服务的单价和总价。</w:t>
      </w:r>
    </w:p>
    <w:p>
      <w:pPr>
        <w:spacing w:line="360" w:lineRule="auto"/>
        <w:ind w:firstLine="480" w:firstLineChars="200"/>
        <w:rPr>
          <w:rFonts w:ascii="宋体" w:cs="宋体"/>
          <w:sz w:val="24"/>
          <w:szCs w:val="24"/>
        </w:rPr>
      </w:pPr>
      <w:r>
        <w:rPr>
          <w:rFonts w:ascii="宋体" w:hAnsi="宋体" w:cs="宋体"/>
          <w:sz w:val="24"/>
          <w:szCs w:val="24"/>
        </w:rPr>
        <w:t xml:space="preserve">13.2 </w:t>
      </w:r>
      <w:r>
        <w:rPr>
          <w:rFonts w:hint="eastAsia" w:ascii="宋体" w:hAnsi="宋体" w:cs="宋体"/>
          <w:sz w:val="24"/>
          <w:szCs w:val="24"/>
        </w:rPr>
        <w:t>投标人对每种货物只允许有一个报价，采购人不接受有任何选择的报价。</w:t>
      </w:r>
    </w:p>
    <w:p>
      <w:pPr>
        <w:spacing w:line="360" w:lineRule="auto"/>
        <w:ind w:firstLine="480" w:firstLineChars="200"/>
        <w:rPr>
          <w:rFonts w:ascii="宋体" w:cs="宋体"/>
          <w:sz w:val="24"/>
          <w:szCs w:val="24"/>
        </w:rPr>
      </w:pPr>
      <w:r>
        <w:rPr>
          <w:rFonts w:ascii="宋体" w:hAnsi="宋体" w:cs="宋体"/>
          <w:sz w:val="24"/>
          <w:szCs w:val="24"/>
        </w:rPr>
        <w:t xml:space="preserve">13.3 </w:t>
      </w:r>
      <w:r>
        <w:rPr>
          <w:rFonts w:hint="eastAsia" w:ascii="宋体" w:hAnsi="宋体" w:cs="宋体"/>
          <w:sz w:val="24"/>
          <w:szCs w:val="24"/>
        </w:rPr>
        <w:t>投标人根据本须知的规定将投标价分成几部分，只是为了方便采购人或采购代理机构对投标文件进行比较，并不限制采购人以上述任何条件订立合同的权利。</w:t>
      </w:r>
    </w:p>
    <w:p>
      <w:pPr>
        <w:spacing w:line="360" w:lineRule="auto"/>
        <w:ind w:firstLine="480" w:firstLineChars="200"/>
        <w:rPr>
          <w:rFonts w:ascii="宋体" w:cs="宋体"/>
          <w:sz w:val="24"/>
          <w:szCs w:val="24"/>
        </w:rPr>
      </w:pPr>
      <w:r>
        <w:rPr>
          <w:rFonts w:ascii="宋体" w:hAnsi="宋体" w:cs="宋体"/>
          <w:sz w:val="24"/>
          <w:szCs w:val="24"/>
        </w:rPr>
        <w:t xml:space="preserve">13.4 </w:t>
      </w:r>
      <w:r>
        <w:rPr>
          <w:rFonts w:hint="eastAsia" w:ascii="宋体" w:hAnsi="宋体" w:cs="宋体"/>
          <w:sz w:val="24"/>
          <w:szCs w:val="24"/>
        </w:rPr>
        <w:t>投标人所报的投标价在合同执行过程中是固定不变的，不得以任何理由予以变更。任何包含价格调整要求的投标，将被认为是非响应性投标而作无效投标处理。</w:t>
      </w:r>
    </w:p>
    <w:p>
      <w:pPr>
        <w:spacing w:line="360" w:lineRule="auto"/>
        <w:ind w:firstLine="480" w:firstLineChars="200"/>
        <w:rPr>
          <w:rFonts w:ascii="宋体" w:cs="宋体"/>
          <w:sz w:val="24"/>
          <w:szCs w:val="24"/>
        </w:rPr>
      </w:pPr>
      <w:r>
        <w:rPr>
          <w:rFonts w:ascii="宋体" w:hAnsi="宋体" w:cs="宋体"/>
          <w:sz w:val="24"/>
          <w:szCs w:val="24"/>
        </w:rPr>
        <w:t>13.5</w:t>
      </w:r>
      <w:r>
        <w:rPr>
          <w:rFonts w:hint="eastAsia" w:ascii="宋体" w:hAnsi="宋体" w:cs="宋体"/>
          <w:sz w:val="24"/>
          <w:szCs w:val="24"/>
        </w:rPr>
        <w:t>投标人不得违反《中华人民共和国反不正当竞争法》的规定，以低于成本的价格销售货物或服务，否则应对其价格构成情况做出详细说明并提供相关证明资料。</w:t>
      </w:r>
      <w:r>
        <w:rPr>
          <w:rFonts w:hint="eastAsia" w:ascii="宋体" w:hAnsi="宋体" w:cs="宋体"/>
          <w:b/>
          <w:sz w:val="24"/>
          <w:szCs w:val="24"/>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sz w:val="24"/>
          <w:szCs w:val="24"/>
        </w:rPr>
        <w:t>投标人的澄清、说明或者补正应当采用书面形式，由其授权代表签字，并不得超出投标文件的范围或者改变投标文件的实质性内容，书面承诺为其投标文件的组成部分。</w:t>
      </w:r>
    </w:p>
    <w:p>
      <w:pPr>
        <w:spacing w:line="360" w:lineRule="auto"/>
        <w:ind w:firstLine="480" w:firstLineChars="200"/>
        <w:rPr>
          <w:rFonts w:ascii="宋体" w:cs="宋体"/>
          <w:sz w:val="24"/>
          <w:szCs w:val="24"/>
        </w:rPr>
      </w:pPr>
      <w:r>
        <w:rPr>
          <w:rFonts w:ascii="宋体" w:hAnsi="宋体" w:cs="宋体"/>
          <w:sz w:val="24"/>
          <w:szCs w:val="24"/>
        </w:rPr>
        <w:t>13.6</w:t>
      </w:r>
      <w:r>
        <w:rPr>
          <w:rFonts w:hint="eastAsia" w:ascii="宋体" w:hAnsi="宋体" w:cs="宋体"/>
          <w:sz w:val="24"/>
          <w:szCs w:val="24"/>
        </w:rPr>
        <w:t>对于投标报价不全，应当提交的报价而在标书中没有提交的投标人，将作无效投标处理。</w:t>
      </w:r>
    </w:p>
    <w:p>
      <w:pPr>
        <w:spacing w:line="360" w:lineRule="auto"/>
        <w:ind w:firstLine="482" w:firstLineChars="200"/>
        <w:rPr>
          <w:rFonts w:ascii="宋体" w:cs="宋体"/>
          <w:b/>
          <w:sz w:val="24"/>
          <w:szCs w:val="24"/>
        </w:rPr>
      </w:pPr>
      <w:r>
        <w:rPr>
          <w:rFonts w:ascii="宋体" w:hAnsi="宋体" w:cs="宋体"/>
          <w:b/>
          <w:sz w:val="24"/>
          <w:szCs w:val="24"/>
        </w:rPr>
        <w:t>14.</w:t>
      </w:r>
      <w:r>
        <w:rPr>
          <w:rFonts w:hint="eastAsia" w:ascii="宋体" w:hAnsi="宋体" w:cs="宋体"/>
          <w:b/>
          <w:sz w:val="24"/>
          <w:szCs w:val="24"/>
        </w:rPr>
        <w:t>投标货币</w:t>
      </w:r>
    </w:p>
    <w:p>
      <w:pPr>
        <w:spacing w:line="360" w:lineRule="auto"/>
        <w:ind w:firstLine="480" w:firstLineChars="200"/>
        <w:rPr>
          <w:rFonts w:ascii="宋体" w:cs="宋体"/>
          <w:sz w:val="24"/>
          <w:szCs w:val="24"/>
        </w:rPr>
      </w:pPr>
      <w:r>
        <w:rPr>
          <w:rFonts w:ascii="宋体" w:hAnsi="宋体" w:cs="宋体"/>
          <w:sz w:val="24"/>
          <w:szCs w:val="24"/>
        </w:rPr>
        <w:t xml:space="preserve">14.1 </w:t>
      </w:r>
      <w:r>
        <w:rPr>
          <w:rFonts w:hint="eastAsia" w:ascii="宋体" w:hAnsi="宋体" w:cs="宋体"/>
          <w:sz w:val="24"/>
          <w:szCs w:val="24"/>
        </w:rPr>
        <w:t>投标人提供的货物和服务一律用人民币报价。</w:t>
      </w:r>
    </w:p>
    <w:p>
      <w:pPr>
        <w:spacing w:line="360" w:lineRule="auto"/>
        <w:ind w:firstLine="482" w:firstLineChars="200"/>
        <w:rPr>
          <w:rFonts w:ascii="宋体" w:cs="宋体"/>
          <w:b/>
          <w:sz w:val="24"/>
          <w:szCs w:val="24"/>
        </w:rPr>
      </w:pPr>
      <w:r>
        <w:rPr>
          <w:rFonts w:ascii="宋体" w:hAnsi="宋体" w:cs="宋体"/>
          <w:b/>
          <w:sz w:val="24"/>
          <w:szCs w:val="24"/>
        </w:rPr>
        <w:t>15.</w:t>
      </w:r>
      <w:r>
        <w:rPr>
          <w:rFonts w:hint="eastAsia" w:ascii="宋体" w:hAnsi="宋体" w:cs="宋体"/>
          <w:b/>
          <w:sz w:val="24"/>
          <w:szCs w:val="24"/>
        </w:rPr>
        <w:t>证明投标人合格的资格证明材料</w:t>
      </w:r>
    </w:p>
    <w:p>
      <w:pPr>
        <w:spacing w:line="360" w:lineRule="auto"/>
        <w:ind w:firstLine="480" w:firstLineChars="200"/>
        <w:rPr>
          <w:rFonts w:ascii="宋体" w:cs="宋体"/>
          <w:sz w:val="24"/>
          <w:szCs w:val="24"/>
        </w:rPr>
      </w:pPr>
      <w:r>
        <w:rPr>
          <w:rFonts w:ascii="宋体" w:hAnsi="宋体" w:cs="宋体"/>
          <w:sz w:val="24"/>
          <w:szCs w:val="24"/>
        </w:rPr>
        <w:t xml:space="preserve">15.1 </w:t>
      </w:r>
      <w:r>
        <w:rPr>
          <w:rFonts w:hint="eastAsia" w:ascii="宋体" w:hAnsi="宋体" w:cs="宋体"/>
          <w:sz w:val="24"/>
          <w:szCs w:val="24"/>
        </w:rPr>
        <w:t>投标人应提交证明其有资格参加投标和中标后有能力履行合同的材料，并作为其投标文件的一部分。</w:t>
      </w:r>
    </w:p>
    <w:p>
      <w:pPr>
        <w:spacing w:line="360" w:lineRule="auto"/>
        <w:ind w:firstLine="480" w:firstLineChars="200"/>
        <w:rPr>
          <w:rFonts w:ascii="宋体" w:cs="宋体"/>
          <w:sz w:val="24"/>
          <w:szCs w:val="24"/>
        </w:rPr>
      </w:pPr>
      <w:r>
        <w:rPr>
          <w:rFonts w:ascii="宋体" w:hAnsi="宋体" w:cs="宋体"/>
          <w:sz w:val="24"/>
          <w:szCs w:val="24"/>
        </w:rPr>
        <w:t xml:space="preserve">15.2 </w:t>
      </w:r>
      <w:r>
        <w:rPr>
          <w:rFonts w:hint="eastAsia" w:ascii="宋体" w:hAnsi="宋体" w:cs="宋体"/>
          <w:sz w:val="24"/>
          <w:szCs w:val="24"/>
        </w:rPr>
        <w:t>投标人提交的资格证明材料应符合第七章投标文件格式“一、投标文件</w:t>
      </w:r>
      <w:r>
        <w:rPr>
          <w:rFonts w:ascii="宋体" w:cs="宋体"/>
          <w:sz w:val="24"/>
          <w:szCs w:val="24"/>
        </w:rPr>
        <w:t>-</w:t>
      </w:r>
      <w:r>
        <w:rPr>
          <w:rFonts w:hint="eastAsia" w:ascii="宋体" w:hAnsi="宋体" w:cs="宋体"/>
          <w:sz w:val="24"/>
          <w:szCs w:val="24"/>
        </w:rPr>
        <w:t>资格证明材料”的要求。</w:t>
      </w:r>
    </w:p>
    <w:p>
      <w:pPr>
        <w:spacing w:line="360" w:lineRule="auto"/>
        <w:ind w:firstLine="480" w:firstLineChars="200"/>
        <w:rPr>
          <w:rFonts w:ascii="宋体" w:cs="宋体"/>
          <w:sz w:val="24"/>
          <w:szCs w:val="24"/>
        </w:rPr>
      </w:pPr>
      <w:r>
        <w:rPr>
          <w:rFonts w:ascii="宋体" w:hAnsi="宋体" w:cs="宋体"/>
          <w:sz w:val="24"/>
          <w:szCs w:val="24"/>
        </w:rPr>
        <w:t>15.3</w:t>
      </w:r>
      <w:r>
        <w:rPr>
          <w:rFonts w:hint="eastAsia" w:ascii="宋体" w:hAnsi="宋体" w:cs="宋体"/>
          <w:sz w:val="24"/>
          <w:szCs w:val="24"/>
        </w:rPr>
        <w:t>投标人在收到中标通知书前后或签署合同前后对于采购人或采购代理机构提出的质疑能够在</w:t>
      </w:r>
      <w:r>
        <w:rPr>
          <w:rFonts w:ascii="宋体" w:hAnsi="宋体" w:cs="宋体"/>
          <w:sz w:val="24"/>
          <w:szCs w:val="24"/>
        </w:rPr>
        <w:t>3</w:t>
      </w:r>
      <w:r>
        <w:rPr>
          <w:rFonts w:hint="eastAsia" w:ascii="宋体" w:hAnsi="宋体" w:cs="宋体"/>
          <w:sz w:val="24"/>
          <w:szCs w:val="24"/>
        </w:rPr>
        <w:t>个工作日内给予满意合理的解释。</w:t>
      </w:r>
    </w:p>
    <w:p>
      <w:pPr>
        <w:spacing w:line="360" w:lineRule="auto"/>
        <w:ind w:firstLine="482" w:firstLineChars="200"/>
        <w:rPr>
          <w:rFonts w:ascii="宋体" w:cs="宋体"/>
          <w:b/>
          <w:sz w:val="24"/>
          <w:szCs w:val="24"/>
        </w:rPr>
      </w:pPr>
      <w:r>
        <w:rPr>
          <w:rFonts w:ascii="宋体" w:hAnsi="宋体" w:cs="宋体"/>
          <w:b/>
          <w:sz w:val="24"/>
          <w:szCs w:val="24"/>
        </w:rPr>
        <w:t>16.</w:t>
      </w:r>
      <w:r>
        <w:rPr>
          <w:rFonts w:hint="eastAsia" w:ascii="宋体" w:hAnsi="宋体" w:cs="宋体"/>
          <w:b/>
          <w:sz w:val="24"/>
          <w:szCs w:val="24"/>
        </w:rPr>
        <w:t>证明货物或服务的合格性和符合招标文件规定的文件</w:t>
      </w:r>
    </w:p>
    <w:p>
      <w:pPr>
        <w:spacing w:line="360" w:lineRule="auto"/>
        <w:ind w:firstLine="480" w:firstLineChars="200"/>
        <w:rPr>
          <w:rFonts w:ascii="宋体" w:cs="宋体"/>
          <w:sz w:val="24"/>
          <w:szCs w:val="24"/>
        </w:rPr>
      </w:pPr>
      <w:r>
        <w:rPr>
          <w:rFonts w:ascii="宋体" w:hAnsi="宋体" w:cs="宋体"/>
          <w:sz w:val="24"/>
          <w:szCs w:val="24"/>
        </w:rPr>
        <w:t xml:space="preserve">16.1 </w:t>
      </w:r>
      <w:r>
        <w:rPr>
          <w:rFonts w:hint="eastAsia" w:ascii="宋体" w:hAnsi="宋体" w:cs="宋体"/>
          <w:sz w:val="24"/>
          <w:szCs w:val="24"/>
        </w:rPr>
        <w:t>投标人应提交证明文件证明其拟投标的货物的合格性符合招标文件规定。该证明文件作为投标文件的一部分。</w:t>
      </w:r>
    </w:p>
    <w:p>
      <w:pPr>
        <w:spacing w:line="360" w:lineRule="auto"/>
        <w:ind w:firstLine="480" w:firstLineChars="200"/>
        <w:rPr>
          <w:rFonts w:ascii="宋体" w:cs="宋体"/>
          <w:sz w:val="24"/>
          <w:szCs w:val="24"/>
        </w:rPr>
      </w:pPr>
      <w:r>
        <w:rPr>
          <w:rFonts w:ascii="宋体" w:hAnsi="宋体" w:cs="宋体"/>
          <w:sz w:val="24"/>
          <w:szCs w:val="24"/>
        </w:rPr>
        <w:t xml:space="preserve">16.2 </w:t>
      </w:r>
      <w:r>
        <w:rPr>
          <w:rFonts w:hint="eastAsia" w:ascii="宋体" w:hAnsi="宋体" w:cs="宋体"/>
          <w:sz w:val="24"/>
          <w:szCs w:val="24"/>
        </w:rPr>
        <w:t>证明货物和服务与招标文件的要求一致的文件，可以是文字资料、图纸和数据，它包括但不限于以下内容：</w:t>
      </w:r>
    </w:p>
    <w:p>
      <w:pPr>
        <w:pStyle w:val="21"/>
        <w:ind w:firstLine="480" w:firstLineChars="200"/>
      </w:pPr>
      <w:r>
        <w:rPr>
          <w:rFonts w:hint="eastAsia"/>
        </w:rPr>
        <w:t>（1）投标人所拥有相应的资质证书；</w:t>
      </w:r>
    </w:p>
    <w:p>
      <w:pPr>
        <w:pStyle w:val="21"/>
        <w:ind w:firstLine="480" w:firstLineChars="200"/>
      </w:pPr>
      <w:r>
        <w:rPr>
          <w:rFonts w:hint="eastAsia"/>
        </w:rPr>
        <w:t>（2）投标人所拥有具有相应专业技术能力的人员证书；</w:t>
      </w:r>
    </w:p>
    <w:p>
      <w:pPr>
        <w:pStyle w:val="21"/>
        <w:ind w:firstLine="480" w:firstLineChars="200"/>
      </w:pPr>
      <w:r>
        <w:rPr>
          <w:rFonts w:hint="eastAsia"/>
        </w:rPr>
        <w:t>（3）相关设备的购置发票；</w:t>
      </w:r>
    </w:p>
    <w:p>
      <w:pPr>
        <w:pStyle w:val="21"/>
        <w:ind w:firstLine="480" w:firstLineChars="200"/>
      </w:pPr>
      <w:r>
        <w:rPr>
          <w:rFonts w:hint="eastAsia"/>
        </w:rPr>
        <w:t>（4）对照招标文件技术服务需求要求，逐条说明所提供服务已对招标文件的技术服务需求、内容与要求做出了实质性的响应、技术服务需求与要求条文的偏差和例外（按第七章服务需求偏离表格式填写）。</w:t>
      </w:r>
    </w:p>
    <w:p>
      <w:pPr>
        <w:spacing w:line="360" w:lineRule="auto"/>
        <w:ind w:firstLine="480" w:firstLineChars="200"/>
        <w:rPr>
          <w:rFonts w:ascii="宋体" w:cs="宋体"/>
          <w:sz w:val="24"/>
          <w:szCs w:val="24"/>
        </w:rPr>
      </w:pPr>
      <w:r>
        <w:rPr>
          <w:rFonts w:ascii="宋体" w:hAnsi="宋体" w:cs="宋体"/>
          <w:sz w:val="24"/>
          <w:szCs w:val="24"/>
        </w:rPr>
        <w:t xml:space="preserve">16.3 </w:t>
      </w:r>
      <w:r>
        <w:rPr>
          <w:rFonts w:hint="eastAsia" w:ascii="宋体" w:hAnsi="宋体" w:cs="宋体"/>
          <w:sz w:val="24"/>
          <w:szCs w:val="24"/>
        </w:rPr>
        <w:t>投标人在阐述上述第</w:t>
      </w:r>
      <w:r>
        <w:rPr>
          <w:rFonts w:ascii="宋体" w:hAnsi="宋体" w:cs="宋体"/>
          <w:sz w:val="24"/>
          <w:szCs w:val="24"/>
        </w:rPr>
        <w:t>16.2</w:t>
      </w:r>
      <w:r>
        <w:rPr>
          <w:rFonts w:hint="eastAsia" w:ascii="宋体" w:hAnsi="宋体" w:cs="宋体"/>
          <w:sz w:val="24"/>
          <w:szCs w:val="24"/>
        </w:rPr>
        <w:t>时应注意招标文件技术部分中“采购需求”指出的工艺、材料和设备的标准以及参照的牌号或分类号仅起说明作用，并没有任何限制性。投标人在投标中可以选用替代标准、牌号或分类号，但这些替代要实质上相当于</w:t>
      </w:r>
      <w:r>
        <w:rPr>
          <w:rFonts w:hint="eastAsia" w:ascii="宋体" w:hAnsi="宋体" w:cs="宋体"/>
          <w:color w:val="000000"/>
          <w:sz w:val="24"/>
          <w:szCs w:val="24"/>
        </w:rPr>
        <w:t>或优于</w:t>
      </w:r>
      <w:r>
        <w:rPr>
          <w:rFonts w:hint="eastAsia" w:ascii="宋体" w:hAnsi="宋体" w:cs="宋体"/>
          <w:sz w:val="24"/>
          <w:szCs w:val="24"/>
        </w:rPr>
        <w:t>技术规格（服务需求）的要求。</w:t>
      </w:r>
    </w:p>
    <w:p>
      <w:pPr>
        <w:spacing w:line="360" w:lineRule="auto"/>
        <w:ind w:firstLine="482" w:firstLineChars="200"/>
        <w:rPr>
          <w:rFonts w:ascii="宋体" w:cs="宋体"/>
          <w:b/>
          <w:sz w:val="24"/>
          <w:szCs w:val="24"/>
        </w:rPr>
      </w:pPr>
      <w:r>
        <w:rPr>
          <w:rFonts w:ascii="宋体" w:hAnsi="宋体" w:cs="宋体"/>
          <w:b/>
          <w:sz w:val="24"/>
          <w:szCs w:val="24"/>
        </w:rPr>
        <w:t>17.</w:t>
      </w:r>
      <w:r>
        <w:rPr>
          <w:rFonts w:hint="eastAsia" w:ascii="宋体" w:hAnsi="宋体" w:cs="宋体"/>
          <w:b/>
          <w:sz w:val="24"/>
          <w:szCs w:val="24"/>
        </w:rPr>
        <w:t>投标保证金与中标服务费</w:t>
      </w:r>
    </w:p>
    <w:p>
      <w:pPr>
        <w:spacing w:line="360" w:lineRule="auto"/>
        <w:ind w:firstLine="480" w:firstLineChars="200"/>
        <w:rPr>
          <w:rFonts w:ascii="宋体" w:cs="宋体"/>
          <w:sz w:val="24"/>
          <w:szCs w:val="24"/>
        </w:rPr>
      </w:pPr>
      <w:r>
        <w:rPr>
          <w:rFonts w:ascii="宋体" w:hAnsi="宋体" w:cs="宋体"/>
          <w:sz w:val="24"/>
          <w:szCs w:val="24"/>
        </w:rPr>
        <w:t xml:space="preserve">17.1 </w:t>
      </w:r>
      <w:r>
        <w:rPr>
          <w:rFonts w:hint="eastAsia" w:ascii="宋体" w:hAnsi="宋体" w:cs="宋体"/>
          <w:sz w:val="24"/>
          <w:szCs w:val="24"/>
          <w:highlight w:val="none"/>
        </w:rPr>
        <w:t>投标人应提交“投标人须知前附表”规定数额的投标保证金，并作为其投标的一部分，投标保证金的接收单位为</w:t>
      </w:r>
      <w:r>
        <w:rPr>
          <w:rFonts w:hint="eastAsia" w:ascii="宋体" w:hAnsi="宋体" w:cs="宋体"/>
          <w:sz w:val="24"/>
          <w:szCs w:val="24"/>
          <w:highlight w:val="none"/>
          <w:lang w:eastAsia="zh-CN"/>
        </w:rPr>
        <w:t>乌鲁木齐高新建设工程项目管理咨询有限公司</w:t>
      </w:r>
      <w:r>
        <w:rPr>
          <w:rFonts w:hint="eastAsia" w:ascii="宋体" w:hAnsi="宋体" w:cs="宋体"/>
          <w:sz w:val="24"/>
          <w:szCs w:val="24"/>
          <w:highlight w:val="none"/>
        </w:rPr>
        <w:t>，依据《中华人民共和国政府法采购实施》第三十三条相关规定，投标保证金不得超过采购项目预算金额的</w:t>
      </w:r>
      <w:r>
        <w:rPr>
          <w:rFonts w:hint="eastAsia" w:ascii="宋体" w:hAnsi="宋体" w:cs="宋体"/>
          <w:sz w:val="24"/>
          <w:szCs w:val="24"/>
          <w:highlight w:val="none"/>
          <w:lang w:val="en-US" w:eastAsia="zh-CN"/>
        </w:rPr>
        <w:t>1</w:t>
      </w:r>
      <w:r>
        <w:rPr>
          <w:rFonts w:ascii="宋体" w:hAnsi="宋体" w:cs="宋体"/>
          <w:sz w:val="24"/>
          <w:szCs w:val="24"/>
          <w:highlight w:val="none"/>
        </w:rPr>
        <w:t>%</w:t>
      </w:r>
      <w:r>
        <w:rPr>
          <w:rFonts w:hint="eastAsia" w:ascii="宋体" w:hAnsi="宋体" w:cs="宋体"/>
          <w:sz w:val="24"/>
          <w:szCs w:val="24"/>
          <w:highlight w:val="none"/>
        </w:rPr>
        <w:t>。</w:t>
      </w:r>
    </w:p>
    <w:p>
      <w:pPr>
        <w:spacing w:line="360" w:lineRule="auto"/>
        <w:ind w:firstLine="480" w:firstLineChars="200"/>
        <w:rPr>
          <w:rFonts w:ascii="宋体" w:cs="宋体"/>
          <w:sz w:val="24"/>
          <w:szCs w:val="24"/>
        </w:rPr>
      </w:pPr>
      <w:r>
        <w:rPr>
          <w:rFonts w:ascii="宋体" w:hAnsi="宋体" w:cs="宋体"/>
          <w:sz w:val="24"/>
          <w:szCs w:val="24"/>
        </w:rPr>
        <w:t xml:space="preserve">17.2 </w:t>
      </w:r>
      <w:r>
        <w:rPr>
          <w:rFonts w:hint="eastAsia" w:ascii="宋体" w:hAnsi="宋体" w:cs="宋体"/>
          <w:sz w:val="24"/>
          <w:szCs w:val="24"/>
        </w:rPr>
        <w:t>投标保证金的货币为人民币，并采用下列任何一种形式：</w:t>
      </w:r>
    </w:p>
    <w:p>
      <w:pPr>
        <w:numPr>
          <w:ilvl w:val="0"/>
          <w:numId w:val="9"/>
        </w:numPr>
        <w:tabs>
          <w:tab w:val="left" w:pos="900"/>
          <w:tab w:val="clear" w:pos="1680"/>
        </w:tabs>
        <w:spacing w:line="360" w:lineRule="auto"/>
        <w:ind w:left="0" w:firstLine="480" w:firstLineChars="200"/>
        <w:rPr>
          <w:rFonts w:ascii="宋体" w:cs="宋体"/>
          <w:sz w:val="24"/>
          <w:szCs w:val="24"/>
        </w:rPr>
      </w:pPr>
      <w:r>
        <w:rPr>
          <w:rFonts w:hint="eastAsia" w:ascii="宋体" w:hAnsi="宋体" w:cs="宋体"/>
          <w:sz w:val="24"/>
          <w:szCs w:val="24"/>
        </w:rPr>
        <w:t>电汇；</w:t>
      </w:r>
      <w:r>
        <w:rPr>
          <w:rFonts w:ascii="宋体" w:hAnsi="宋体" w:cs="宋体"/>
          <w:sz w:val="24"/>
          <w:szCs w:val="24"/>
        </w:rPr>
        <w:t xml:space="preserve"> </w:t>
      </w:r>
    </w:p>
    <w:p>
      <w:pPr>
        <w:numPr>
          <w:ilvl w:val="0"/>
          <w:numId w:val="9"/>
        </w:numPr>
        <w:tabs>
          <w:tab w:val="left" w:pos="900"/>
          <w:tab w:val="clear" w:pos="1680"/>
        </w:tabs>
        <w:spacing w:line="360" w:lineRule="auto"/>
        <w:ind w:left="0" w:firstLine="480" w:firstLineChars="200"/>
        <w:rPr>
          <w:rFonts w:ascii="宋体" w:cs="宋体"/>
          <w:sz w:val="24"/>
          <w:szCs w:val="24"/>
        </w:rPr>
      </w:pPr>
      <w:r>
        <w:rPr>
          <w:rFonts w:hint="eastAsia" w:ascii="宋体" w:hAnsi="宋体" w:cs="宋体"/>
          <w:sz w:val="24"/>
          <w:szCs w:val="24"/>
        </w:rPr>
        <w:t>支票（须提前一个工作日）；</w:t>
      </w:r>
      <w:r>
        <w:rPr>
          <w:rFonts w:ascii="宋体" w:hAnsi="宋体" w:cs="宋体"/>
          <w:sz w:val="24"/>
          <w:szCs w:val="24"/>
        </w:rPr>
        <w:t xml:space="preserve"> </w:t>
      </w:r>
    </w:p>
    <w:p>
      <w:pPr>
        <w:numPr>
          <w:ilvl w:val="0"/>
          <w:numId w:val="9"/>
        </w:numPr>
        <w:tabs>
          <w:tab w:val="left" w:pos="900"/>
          <w:tab w:val="clear" w:pos="1680"/>
        </w:tabs>
        <w:spacing w:line="360" w:lineRule="auto"/>
        <w:ind w:left="0" w:firstLine="480" w:firstLineChars="200"/>
        <w:rPr>
          <w:rFonts w:ascii="宋体" w:cs="宋体"/>
          <w:sz w:val="24"/>
          <w:szCs w:val="24"/>
        </w:rPr>
      </w:pPr>
      <w:r>
        <w:rPr>
          <w:rFonts w:hint="eastAsia" w:ascii="宋体" w:hAnsi="宋体" w:cs="宋体"/>
          <w:sz w:val="24"/>
          <w:szCs w:val="24"/>
        </w:rPr>
        <w:t>银行汇票；</w:t>
      </w:r>
    </w:p>
    <w:p>
      <w:pPr>
        <w:numPr>
          <w:ilvl w:val="0"/>
          <w:numId w:val="9"/>
        </w:numPr>
        <w:tabs>
          <w:tab w:val="left" w:pos="900"/>
          <w:tab w:val="clear" w:pos="1680"/>
        </w:tabs>
        <w:spacing w:line="360" w:lineRule="auto"/>
        <w:ind w:left="0" w:firstLine="480" w:firstLineChars="200"/>
        <w:rPr>
          <w:rFonts w:ascii="宋体" w:cs="宋体"/>
          <w:sz w:val="24"/>
          <w:szCs w:val="24"/>
        </w:rPr>
      </w:pPr>
      <w:r>
        <w:rPr>
          <w:rFonts w:hint="eastAsia" w:ascii="宋体" w:hAnsi="宋体" w:cs="宋体"/>
          <w:sz w:val="24"/>
          <w:szCs w:val="24"/>
        </w:rPr>
        <w:t>本票；</w:t>
      </w:r>
    </w:p>
    <w:p>
      <w:pPr>
        <w:numPr>
          <w:ilvl w:val="0"/>
          <w:numId w:val="9"/>
        </w:numPr>
        <w:tabs>
          <w:tab w:val="left" w:pos="900"/>
          <w:tab w:val="clear" w:pos="1680"/>
        </w:tabs>
        <w:spacing w:line="360" w:lineRule="auto"/>
        <w:ind w:left="0" w:firstLine="480" w:firstLineChars="200"/>
        <w:rPr>
          <w:rFonts w:ascii="宋体" w:cs="宋体"/>
          <w:sz w:val="24"/>
          <w:szCs w:val="24"/>
        </w:rPr>
      </w:pPr>
      <w:r>
        <w:rPr>
          <w:rFonts w:hint="eastAsia" w:ascii="宋体" w:hAnsi="宋体" w:cs="宋体"/>
          <w:sz w:val="24"/>
          <w:szCs w:val="24"/>
        </w:rPr>
        <w:t>金融机构、担保机构出具的保函。</w:t>
      </w:r>
    </w:p>
    <w:p>
      <w:pPr>
        <w:spacing w:line="360" w:lineRule="auto"/>
        <w:ind w:firstLine="480" w:firstLineChars="200"/>
        <w:rPr>
          <w:rFonts w:ascii="宋体" w:cs="宋体"/>
          <w:sz w:val="24"/>
          <w:szCs w:val="24"/>
        </w:rPr>
      </w:pPr>
      <w:r>
        <w:rPr>
          <w:rFonts w:ascii="宋体" w:hAnsi="宋体" w:cs="宋体"/>
          <w:sz w:val="24"/>
          <w:szCs w:val="24"/>
        </w:rPr>
        <w:t xml:space="preserve">17.3 </w:t>
      </w:r>
      <w:r>
        <w:rPr>
          <w:rFonts w:hint="eastAsia" w:ascii="宋体" w:hAnsi="宋体" w:cs="宋体"/>
          <w:sz w:val="24"/>
          <w:szCs w:val="24"/>
        </w:rPr>
        <w:t>凡没有根据本须知第</w:t>
      </w:r>
      <w:r>
        <w:rPr>
          <w:rFonts w:ascii="宋体" w:hAnsi="宋体" w:cs="宋体"/>
          <w:sz w:val="24"/>
          <w:szCs w:val="24"/>
        </w:rPr>
        <w:t>17.1</w:t>
      </w:r>
      <w:r>
        <w:rPr>
          <w:rFonts w:hint="eastAsia" w:ascii="宋体" w:hAnsi="宋体" w:cs="宋体"/>
          <w:sz w:val="24"/>
          <w:szCs w:val="24"/>
        </w:rPr>
        <w:t>和</w:t>
      </w:r>
      <w:r>
        <w:rPr>
          <w:rFonts w:ascii="宋体" w:hAnsi="宋体" w:cs="宋体"/>
          <w:sz w:val="24"/>
          <w:szCs w:val="24"/>
        </w:rPr>
        <w:t>17.2</w:t>
      </w:r>
      <w:r>
        <w:rPr>
          <w:rFonts w:hint="eastAsia" w:ascii="宋体" w:hAnsi="宋体" w:cs="宋体"/>
          <w:sz w:val="24"/>
          <w:szCs w:val="24"/>
        </w:rPr>
        <w:t>条的规定随附投标保证金的投标，投标无效。投标人提交的投标保证金，将以转账形式予以退回。请各投标人在中标公告公布之后将单位退保证金公账户信息发送电子邮件至采购代理机构指定邮箱，如未发送，保证金逾期未退还将由投标人承担。</w:t>
      </w:r>
    </w:p>
    <w:p>
      <w:pPr>
        <w:spacing w:line="360" w:lineRule="auto"/>
        <w:ind w:firstLine="480" w:firstLineChars="200"/>
        <w:rPr>
          <w:rFonts w:ascii="宋体" w:cs="宋体"/>
          <w:sz w:val="24"/>
        </w:rPr>
      </w:pPr>
      <w:r>
        <w:rPr>
          <w:rFonts w:ascii="宋体" w:hAnsi="宋体" w:cs="宋体"/>
          <w:sz w:val="24"/>
          <w:szCs w:val="24"/>
        </w:rPr>
        <w:t xml:space="preserve">17.4 </w:t>
      </w:r>
      <w:r>
        <w:rPr>
          <w:rFonts w:hint="eastAsia" w:ascii="宋体" w:hAnsi="宋体" w:cs="宋体"/>
          <w:sz w:val="24"/>
          <w:szCs w:val="24"/>
        </w:rPr>
        <w:t>未中标投标人的投标保证金</w:t>
      </w:r>
      <w:r>
        <w:rPr>
          <w:rFonts w:ascii="宋体" w:hAnsi="宋体" w:cs="宋体"/>
          <w:sz w:val="24"/>
          <w:szCs w:val="24"/>
        </w:rPr>
        <w:t xml:space="preserve">, </w:t>
      </w:r>
      <w:r>
        <w:rPr>
          <w:rFonts w:hint="eastAsia" w:ascii="宋体" w:hAnsi="宋体" w:cs="宋体"/>
          <w:sz w:val="24"/>
        </w:rPr>
        <w:t>自中标通知书发出之日起</w:t>
      </w:r>
      <w:r>
        <w:rPr>
          <w:rFonts w:ascii="宋体" w:hAnsi="宋体" w:cs="宋体"/>
          <w:sz w:val="24"/>
        </w:rPr>
        <w:t>5</w:t>
      </w:r>
      <w:r>
        <w:rPr>
          <w:rFonts w:hint="eastAsia" w:ascii="宋体" w:hAnsi="宋体" w:cs="宋体"/>
          <w:sz w:val="24"/>
        </w:rPr>
        <w:t>个工作日内退还投标人。</w:t>
      </w:r>
    </w:p>
    <w:p>
      <w:pPr>
        <w:spacing w:line="360" w:lineRule="auto"/>
        <w:ind w:firstLine="480" w:firstLineChars="200"/>
        <w:rPr>
          <w:rFonts w:ascii="宋体" w:cs="宋体"/>
          <w:sz w:val="24"/>
          <w:szCs w:val="24"/>
        </w:rPr>
      </w:pPr>
      <w:r>
        <w:rPr>
          <w:rFonts w:ascii="宋体" w:hAnsi="宋体" w:cs="宋体"/>
          <w:sz w:val="24"/>
          <w:szCs w:val="24"/>
        </w:rPr>
        <w:t xml:space="preserve">17.5 </w:t>
      </w:r>
      <w:r>
        <w:rPr>
          <w:rFonts w:hint="eastAsia" w:ascii="宋体" w:hAnsi="宋体" w:cs="宋体"/>
          <w:sz w:val="24"/>
          <w:szCs w:val="24"/>
        </w:rPr>
        <w:t>中标投标人的投标保证金，自政府采购合同签订之日起</w:t>
      </w:r>
      <w:r>
        <w:rPr>
          <w:rFonts w:ascii="宋体" w:hAnsi="宋体" w:cs="宋体"/>
          <w:sz w:val="24"/>
          <w:szCs w:val="24"/>
        </w:rPr>
        <w:t>5</w:t>
      </w:r>
      <w:r>
        <w:rPr>
          <w:rFonts w:hint="eastAsia" w:ascii="宋体" w:hAnsi="宋体" w:cs="宋体"/>
          <w:sz w:val="24"/>
          <w:szCs w:val="24"/>
        </w:rPr>
        <w:t>个工作日内退还。</w:t>
      </w:r>
    </w:p>
    <w:p>
      <w:pPr>
        <w:numPr>
          <w:ilvl w:val="1"/>
          <w:numId w:val="10"/>
        </w:numPr>
        <w:spacing w:line="360" w:lineRule="auto"/>
        <w:rPr>
          <w:rFonts w:ascii="宋体" w:cs="宋体"/>
          <w:sz w:val="24"/>
          <w:szCs w:val="24"/>
        </w:rPr>
      </w:pPr>
      <w:r>
        <w:rPr>
          <w:rFonts w:hint="eastAsia" w:ascii="宋体" w:hAnsi="宋体" w:cs="宋体"/>
          <w:sz w:val="24"/>
          <w:szCs w:val="24"/>
        </w:rPr>
        <w:t>下列任何情况发生时，投标保证金将不予退还：</w:t>
      </w:r>
    </w:p>
    <w:p>
      <w:pPr>
        <w:tabs>
          <w:tab w:val="left" w:pos="900"/>
        </w:tabs>
        <w:spacing w:line="360" w:lineRule="auto"/>
        <w:ind w:left="48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）投标人在招标文件中规定的投标有效期内撤回其投标；</w:t>
      </w:r>
    </w:p>
    <w:p>
      <w:pPr>
        <w:tabs>
          <w:tab w:val="left" w:pos="900"/>
        </w:tabs>
        <w:spacing w:line="360" w:lineRule="auto"/>
        <w:ind w:left="48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）投标人行贿采购人或采购代理机构或评标专家或试图影响招标结果的行为；</w:t>
      </w:r>
    </w:p>
    <w:p>
      <w:pPr>
        <w:tabs>
          <w:tab w:val="left" w:pos="900"/>
        </w:tabs>
        <w:spacing w:line="360" w:lineRule="auto"/>
        <w:ind w:left="48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）中标人在规定期限内未能根据本须知第</w:t>
      </w:r>
      <w:r>
        <w:rPr>
          <w:rFonts w:ascii="宋体" w:hAnsi="宋体" w:cs="宋体"/>
          <w:sz w:val="24"/>
          <w:szCs w:val="24"/>
        </w:rPr>
        <w:t>31</w:t>
      </w:r>
      <w:r>
        <w:rPr>
          <w:rFonts w:hint="eastAsia" w:ascii="宋体" w:hAnsi="宋体" w:cs="宋体"/>
          <w:sz w:val="24"/>
          <w:szCs w:val="24"/>
        </w:rPr>
        <w:t>条规定签订合同；</w:t>
      </w:r>
    </w:p>
    <w:p>
      <w:pPr>
        <w:tabs>
          <w:tab w:val="left" w:pos="900"/>
        </w:tabs>
        <w:spacing w:line="360" w:lineRule="auto"/>
        <w:ind w:left="48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）投标人在提交投标文件时或答复质疑及澄清时提供虚假或伪造的证明材料及数据；</w:t>
      </w:r>
    </w:p>
    <w:p>
      <w:pPr>
        <w:spacing w:line="360" w:lineRule="auto"/>
        <w:ind w:left="480"/>
        <w:rPr>
          <w:rFonts w:ascii="宋体" w:cs="宋体"/>
          <w:color w:val="00000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w:t>
      </w:r>
      <w:r>
        <w:rPr>
          <w:rFonts w:hint="eastAsia" w:ascii="宋体" w:hAnsi="宋体" w:cs="宋体"/>
          <w:color w:val="000000"/>
          <w:kern w:val="0"/>
          <w:sz w:val="24"/>
          <w:szCs w:val="24"/>
          <w:lang w:val="zh-CN"/>
        </w:rPr>
        <w:t>法律、行政法规和招标文件规定的其他情况。</w:t>
      </w:r>
    </w:p>
    <w:p>
      <w:pPr>
        <w:spacing w:line="360" w:lineRule="auto"/>
        <w:ind w:firstLine="482" w:firstLineChars="200"/>
        <w:rPr>
          <w:rFonts w:ascii="宋体" w:cs="宋体"/>
          <w:b/>
          <w:kern w:val="0"/>
          <w:sz w:val="24"/>
          <w:szCs w:val="24"/>
          <w:lang w:val="zh-CN"/>
        </w:rPr>
      </w:pPr>
      <w:r>
        <w:rPr>
          <w:rFonts w:ascii="宋体" w:hAnsi="宋体" w:cs="宋体"/>
          <w:b/>
          <w:color w:val="000000"/>
          <w:sz w:val="24"/>
          <w:szCs w:val="24"/>
        </w:rPr>
        <w:t>1</w:t>
      </w:r>
      <w:r>
        <w:rPr>
          <w:rFonts w:ascii="宋体" w:hAnsi="宋体" w:cs="宋体"/>
          <w:b/>
          <w:kern w:val="0"/>
          <w:sz w:val="24"/>
          <w:szCs w:val="24"/>
          <w:lang w:val="zh-CN"/>
        </w:rPr>
        <w:t xml:space="preserve">7.7 </w:t>
      </w:r>
      <w:r>
        <w:rPr>
          <w:rFonts w:hint="eastAsia" w:ascii="宋体" w:hAnsi="宋体" w:cs="宋体"/>
          <w:b/>
          <w:kern w:val="0"/>
          <w:sz w:val="24"/>
          <w:szCs w:val="24"/>
          <w:lang w:val="zh-CN"/>
        </w:rPr>
        <w:t>中标服务费</w:t>
      </w:r>
    </w:p>
    <w:p>
      <w:pPr>
        <w:spacing w:line="360" w:lineRule="auto"/>
        <w:ind w:firstLine="482" w:firstLineChars="200"/>
        <w:rPr>
          <w:rFonts w:ascii="宋体" w:cs="宋体"/>
          <w:b/>
          <w:sz w:val="24"/>
          <w:szCs w:val="24"/>
        </w:rPr>
      </w:pPr>
      <w:r>
        <w:rPr>
          <w:rFonts w:ascii="宋体" w:hAnsi="宋体" w:cs="宋体"/>
          <w:b/>
          <w:kern w:val="0"/>
          <w:sz w:val="24"/>
          <w:szCs w:val="24"/>
          <w:lang w:val="zh-CN"/>
        </w:rPr>
        <w:t>17.7.1</w:t>
      </w:r>
      <w:r>
        <w:rPr>
          <w:rFonts w:hint="eastAsia" w:ascii="宋体" w:hAnsi="宋体" w:cs="宋体"/>
          <w:b/>
          <w:kern w:val="0"/>
          <w:sz w:val="24"/>
          <w:szCs w:val="24"/>
          <w:lang w:val="zh-CN"/>
        </w:rPr>
        <w:t>中标人应</w:t>
      </w:r>
      <w:r>
        <w:rPr>
          <w:rFonts w:hint="eastAsia" w:ascii="宋体" w:hAnsi="宋体" w:cs="宋体"/>
          <w:b/>
          <w:sz w:val="24"/>
          <w:szCs w:val="24"/>
        </w:rPr>
        <w:t>在领取中标通知书时向采购代理机构交纳中标服务费。</w:t>
      </w:r>
    </w:p>
    <w:p>
      <w:pPr>
        <w:spacing w:line="360" w:lineRule="auto"/>
        <w:ind w:firstLine="482" w:firstLineChars="200"/>
        <w:rPr>
          <w:rFonts w:hint="eastAsia" w:ascii="宋体" w:hAnsi="宋体" w:cs="宋体"/>
          <w:b/>
          <w:sz w:val="24"/>
        </w:rPr>
      </w:pPr>
      <w:r>
        <w:rPr>
          <w:rFonts w:ascii="宋体" w:hAnsi="宋体" w:cs="宋体"/>
          <w:b/>
          <w:sz w:val="24"/>
          <w:szCs w:val="24"/>
        </w:rPr>
        <w:t>17.7.2</w:t>
      </w:r>
      <w:r>
        <w:rPr>
          <w:rFonts w:hint="eastAsia" w:ascii="宋体" w:hAnsi="宋体" w:cs="宋体"/>
          <w:b/>
          <w:sz w:val="24"/>
          <w:szCs w:val="24"/>
        </w:rPr>
        <w:t>中标服务费</w:t>
      </w:r>
      <w:r>
        <w:rPr>
          <w:rFonts w:hint="eastAsia" w:ascii="宋体" w:hAnsi="宋体" w:cs="宋体"/>
          <w:b/>
          <w:sz w:val="24"/>
        </w:rPr>
        <w:t>以中标通知书的中标金额作为收取的计算基数，参照原《招标代理服务收费管理暂行办法》（计价格</w:t>
      </w:r>
      <w:r>
        <w:rPr>
          <w:rFonts w:ascii="宋体" w:hAnsi="宋体" w:cs="宋体"/>
          <w:b/>
          <w:sz w:val="24"/>
        </w:rPr>
        <w:t>[2002]1980</w:t>
      </w:r>
      <w:r>
        <w:rPr>
          <w:rFonts w:hint="eastAsia" w:ascii="宋体" w:hAnsi="宋体" w:cs="宋体"/>
          <w:b/>
          <w:sz w:val="24"/>
        </w:rPr>
        <w:t>号）的规定，按差额定率累进法计算。</w:t>
      </w:r>
    </w:p>
    <w:p>
      <w:pPr>
        <w:pStyle w:val="2"/>
      </w:pPr>
    </w:p>
    <w:p>
      <w:pPr>
        <w:spacing w:line="360" w:lineRule="auto"/>
        <w:ind w:firstLine="482" w:firstLineChars="200"/>
        <w:rPr>
          <w:rFonts w:ascii="宋体" w:cs="宋体"/>
          <w:b/>
          <w:sz w:val="24"/>
          <w:szCs w:val="24"/>
        </w:rPr>
      </w:pPr>
      <w:r>
        <w:rPr>
          <w:rFonts w:ascii="宋体" w:hAnsi="宋体" w:cs="宋体"/>
          <w:b/>
          <w:sz w:val="24"/>
          <w:szCs w:val="24"/>
        </w:rPr>
        <w:t>18.</w:t>
      </w:r>
      <w:r>
        <w:rPr>
          <w:rFonts w:hint="eastAsia" w:ascii="宋体" w:hAnsi="宋体" w:cs="宋体"/>
          <w:b/>
          <w:sz w:val="24"/>
          <w:szCs w:val="24"/>
        </w:rPr>
        <w:t>投标有效期</w:t>
      </w:r>
    </w:p>
    <w:p>
      <w:pPr>
        <w:spacing w:line="360" w:lineRule="auto"/>
        <w:ind w:firstLine="480" w:firstLineChars="200"/>
        <w:rPr>
          <w:rFonts w:ascii="宋体" w:cs="宋体"/>
          <w:sz w:val="24"/>
          <w:szCs w:val="24"/>
        </w:rPr>
      </w:pPr>
      <w:r>
        <w:rPr>
          <w:rFonts w:ascii="宋体" w:hAnsi="宋体" w:cs="宋体"/>
          <w:sz w:val="24"/>
          <w:szCs w:val="24"/>
        </w:rPr>
        <w:t xml:space="preserve">18.1 </w:t>
      </w:r>
      <w:r>
        <w:rPr>
          <w:rFonts w:hint="eastAsia" w:ascii="宋体" w:hAnsi="宋体" w:cs="宋体"/>
          <w:sz w:val="24"/>
          <w:szCs w:val="24"/>
        </w:rPr>
        <w:t>投标应自本须知第</w:t>
      </w:r>
      <w:r>
        <w:rPr>
          <w:rFonts w:ascii="宋体" w:hAnsi="宋体" w:cs="宋体"/>
          <w:sz w:val="24"/>
          <w:szCs w:val="24"/>
        </w:rPr>
        <w:t>24.1</w:t>
      </w:r>
      <w:r>
        <w:rPr>
          <w:rFonts w:hint="eastAsia" w:ascii="宋体" w:hAnsi="宋体" w:cs="宋体"/>
          <w:sz w:val="24"/>
          <w:szCs w:val="24"/>
        </w:rPr>
        <w:t>条规定的开标日起，并在“投标人须知前附表”中所述时期内保持有效。投标有效期不足的投标将被视为非响应性投标而作无效投标处理。</w:t>
      </w:r>
    </w:p>
    <w:p>
      <w:pPr>
        <w:spacing w:line="360" w:lineRule="auto"/>
        <w:ind w:firstLine="480" w:firstLineChars="200"/>
        <w:rPr>
          <w:rFonts w:ascii="宋体" w:cs="宋体"/>
          <w:sz w:val="24"/>
          <w:szCs w:val="24"/>
        </w:rPr>
      </w:pPr>
      <w:r>
        <w:rPr>
          <w:rFonts w:ascii="宋体" w:hAnsi="宋体" w:cs="宋体"/>
          <w:sz w:val="24"/>
          <w:szCs w:val="24"/>
        </w:rPr>
        <w:t xml:space="preserve">18.2 </w:t>
      </w:r>
      <w:r>
        <w:rPr>
          <w:rFonts w:hint="eastAsia" w:ascii="宋体" w:hAnsi="宋体" w:cs="宋体"/>
          <w:sz w:val="24"/>
          <w:szCs w:val="24"/>
        </w:rPr>
        <w:t>特殊情况下，在原投标有效期截止之前，采购人可要求合格投标人同意延长投标有效期。这种要求与答复均应以书面形式提交。合格投标人可拒绝采购代理机构的这种要求，其投标保证金将予以退还。接受延长投标有效期的合格投标人将不会被要求和允许修正其投标，而只会被要求相应地延长其投标保证金的有效期。在这种情况下，本须知第</w:t>
      </w:r>
      <w:r>
        <w:rPr>
          <w:rFonts w:ascii="宋体" w:hAnsi="宋体" w:cs="宋体"/>
          <w:sz w:val="24"/>
          <w:szCs w:val="24"/>
        </w:rPr>
        <w:t>17</w:t>
      </w:r>
      <w:r>
        <w:rPr>
          <w:rFonts w:hint="eastAsia" w:ascii="宋体" w:hAnsi="宋体" w:cs="宋体"/>
          <w:sz w:val="24"/>
          <w:szCs w:val="24"/>
        </w:rPr>
        <w:t>条有关投标保证金的退还和不予退还的规定将在延长了的有效期内继续有效。</w:t>
      </w:r>
    </w:p>
    <w:p>
      <w:pPr>
        <w:spacing w:line="360" w:lineRule="auto"/>
        <w:ind w:firstLine="482" w:firstLineChars="200"/>
        <w:rPr>
          <w:rFonts w:hint="eastAsia" w:ascii="宋体" w:eastAsia="宋体" w:cs="宋体"/>
          <w:b/>
          <w:sz w:val="24"/>
          <w:szCs w:val="24"/>
          <w:lang w:eastAsia="zh-CN"/>
        </w:rPr>
      </w:pPr>
      <w:r>
        <w:rPr>
          <w:rFonts w:ascii="宋体" w:hAnsi="宋体" w:cs="宋体"/>
          <w:b/>
          <w:sz w:val="24"/>
          <w:szCs w:val="24"/>
        </w:rPr>
        <w:t>19.</w:t>
      </w:r>
      <w:r>
        <w:rPr>
          <w:rFonts w:hint="eastAsia" w:ascii="宋体" w:hAnsi="宋体" w:cs="宋体"/>
          <w:b/>
          <w:sz w:val="24"/>
          <w:szCs w:val="24"/>
        </w:rPr>
        <w:t>投标文件的制作和签署</w:t>
      </w:r>
    </w:p>
    <w:p>
      <w:pPr>
        <w:tabs>
          <w:tab w:val="left" w:pos="588"/>
        </w:tabs>
        <w:spacing w:line="360" w:lineRule="auto"/>
        <w:ind w:firstLine="480" w:firstLineChars="200"/>
        <w:rPr>
          <w:rFonts w:hint="eastAsia" w:ascii="宋体" w:hAnsi="宋体" w:eastAsia="宋体" w:cs="宋体"/>
          <w:kern w:val="0"/>
          <w:sz w:val="24"/>
          <w:szCs w:val="24"/>
          <w:highlight w:val="none"/>
        </w:rPr>
      </w:pPr>
      <w:bookmarkStart w:id="58" w:name="_Toc2355231"/>
      <w:bookmarkStart w:id="59" w:name="_Toc493422651"/>
      <w:bookmarkStart w:id="60" w:name="_Toc14776839"/>
      <w:bookmarkStart w:id="61" w:name="_Toc322446892"/>
      <w:bookmarkStart w:id="62" w:name="_Toc2511972"/>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1投标人</w:t>
      </w:r>
      <w:r>
        <w:rPr>
          <w:rFonts w:hint="eastAsia" w:ascii="宋体" w:hAnsi="宋体" w:eastAsia="宋体" w:cs="宋体"/>
          <w:kern w:val="0"/>
          <w:sz w:val="24"/>
          <w:szCs w:val="24"/>
          <w:highlight w:val="none"/>
        </w:rPr>
        <w:t>在</w:t>
      </w:r>
      <w:r>
        <w:rPr>
          <w:rFonts w:hint="eastAsia" w:ascii="宋体" w:hAnsi="宋体" w:eastAsia="宋体" w:cs="宋体"/>
          <w:kern w:val="0"/>
          <w:sz w:val="24"/>
          <w:szCs w:val="24"/>
          <w:highlight w:val="none"/>
          <w:lang w:val="en-US" w:eastAsia="zh-CN"/>
        </w:rPr>
        <w:t>招标</w:t>
      </w:r>
      <w:r>
        <w:rPr>
          <w:rFonts w:hint="eastAsia" w:ascii="宋体" w:hAnsi="宋体" w:eastAsia="宋体" w:cs="宋体"/>
          <w:kern w:val="0"/>
          <w:sz w:val="24"/>
          <w:szCs w:val="24"/>
          <w:highlight w:val="none"/>
        </w:rPr>
        <w:t>过程中相关文件的签订、履行、通知等事项的书面文件中的单位盖章、印章、公章等处均仅指与</w:t>
      </w: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名称全称相一致的法定代表人章，不得使用其他形式（如带有“专用章”等字样）的印章。</w:t>
      </w:r>
      <w:bookmarkStart w:id="63" w:name="_Hlt491765640"/>
      <w:bookmarkEnd w:id="63"/>
    </w:p>
    <w:p>
      <w:pPr>
        <w:pStyle w:val="57"/>
        <w:rPr>
          <w:rFonts w:hint="eastAsia"/>
        </w:rPr>
      </w:pPr>
      <w:r>
        <w:rPr>
          <w:rFonts w:hint="eastAsia" w:ascii="宋体" w:hAnsi="宋体" w:eastAsia="宋体" w:cs="宋体"/>
          <w:kern w:val="0"/>
          <w:sz w:val="24"/>
          <w:szCs w:val="24"/>
          <w:highlight w:val="none"/>
          <w:lang w:val="en-US" w:eastAsia="zh-CN"/>
        </w:rPr>
        <w:t>1</w:t>
      </w:r>
      <w:r>
        <w:rPr>
          <w:rFonts w:hint="eastAsia" w:hAnsi="宋体" w:eastAsia="宋体" w:cs="宋体"/>
          <w:kern w:val="0"/>
          <w:sz w:val="24"/>
          <w:szCs w:val="24"/>
          <w:highlight w:val="none"/>
          <w:lang w:val="en-US" w:eastAsia="zh-CN"/>
        </w:rPr>
        <w:t>9</w:t>
      </w:r>
      <w:r>
        <w:rPr>
          <w:rFonts w:hint="eastAsia" w:ascii="宋体" w:hAnsi="宋体" w:eastAsia="宋体" w:cs="宋体"/>
          <w:kern w:val="0"/>
          <w:sz w:val="24"/>
          <w:szCs w:val="24"/>
          <w:highlight w:val="none"/>
          <w:lang w:val="en-US" w:eastAsia="zh-CN"/>
        </w:rPr>
        <w:t>.2投标</w:t>
      </w:r>
      <w:r>
        <w:rPr>
          <w:rFonts w:hint="eastAsia" w:hAnsi="宋体" w:eastAsia="宋体" w:cs="宋体"/>
          <w:kern w:val="0"/>
          <w:sz w:val="24"/>
          <w:szCs w:val="24"/>
          <w:highlight w:val="none"/>
          <w:lang w:val="en-US" w:eastAsia="zh-CN"/>
        </w:rPr>
        <w:t>文</w:t>
      </w:r>
      <w:r>
        <w:rPr>
          <w:rFonts w:hint="eastAsia" w:ascii="宋体" w:hAnsi="宋体" w:eastAsia="宋体" w:cs="宋体"/>
          <w:kern w:val="0"/>
          <w:sz w:val="24"/>
          <w:szCs w:val="24"/>
          <w:highlight w:val="none"/>
          <w:lang w:val="en-US" w:eastAsia="zh-CN"/>
        </w:rPr>
        <w:t>件的制作和签署</w:t>
      </w:r>
      <w:r>
        <w:rPr>
          <w:rFonts w:hint="eastAsia" w:ascii="宋体" w:hAnsi="宋体" w:eastAsia="宋体" w:cs="宋体"/>
          <w:kern w:val="0"/>
          <w:sz w:val="24"/>
          <w:szCs w:val="24"/>
          <w:highlight w:val="none"/>
        </w:rPr>
        <w:t>格按照政采云电子投标流程制作</w:t>
      </w:r>
      <w:r>
        <w:rPr>
          <w:rFonts w:hint="eastAsia" w:ascii="宋体" w:hAnsi="宋体" w:eastAsia="宋体" w:cs="宋体"/>
          <w:kern w:val="0"/>
          <w:sz w:val="24"/>
          <w:szCs w:val="24"/>
          <w:highlight w:val="none"/>
          <w:lang w:val="en-US" w:eastAsia="zh-CN"/>
        </w:rPr>
        <w:t>签署</w:t>
      </w:r>
      <w:r>
        <w:rPr>
          <w:rFonts w:hint="eastAsia" w:hAnsi="宋体" w:eastAsia="宋体" w:cs="宋体"/>
          <w:kern w:val="0"/>
          <w:sz w:val="24"/>
          <w:szCs w:val="24"/>
          <w:highlight w:val="none"/>
          <w:lang w:val="en-US" w:eastAsia="zh-CN"/>
        </w:rPr>
        <w:t>电子章</w:t>
      </w:r>
      <w:r>
        <w:rPr>
          <w:rFonts w:hint="eastAsia" w:ascii="宋体" w:hAnsi="宋体" w:eastAsia="宋体" w:cs="宋体"/>
          <w:kern w:val="0"/>
          <w:sz w:val="24"/>
          <w:szCs w:val="24"/>
          <w:highlight w:val="none"/>
        </w:rPr>
        <w:t>并上传电子投标文件</w:t>
      </w:r>
      <w:r>
        <w:rPr>
          <w:rFonts w:hint="eastAsia" w:ascii="宋体" w:hAnsi="宋体" w:eastAsia="宋体" w:cs="宋体"/>
          <w:kern w:val="0"/>
          <w:sz w:val="24"/>
          <w:szCs w:val="24"/>
          <w:highlight w:val="none"/>
          <w:lang w:eastAsia="zh-CN"/>
        </w:rPr>
        <w:t>。</w:t>
      </w:r>
    </w:p>
    <w:p>
      <w:pPr>
        <w:spacing w:line="360" w:lineRule="auto"/>
        <w:rPr>
          <w:rFonts w:ascii="宋体" w:cs="宋体"/>
          <w:b/>
          <w:sz w:val="24"/>
          <w:szCs w:val="24"/>
        </w:rPr>
      </w:pPr>
      <w:r>
        <w:rPr>
          <w:rFonts w:hint="eastAsia" w:ascii="宋体" w:hAnsi="宋体" w:cs="宋体"/>
          <w:b/>
          <w:sz w:val="24"/>
          <w:szCs w:val="24"/>
        </w:rPr>
        <w:t>四、投标文件的密封和递交</w:t>
      </w:r>
      <w:bookmarkEnd w:id="58"/>
      <w:bookmarkEnd w:id="59"/>
      <w:bookmarkEnd w:id="60"/>
      <w:bookmarkEnd w:id="61"/>
      <w:bookmarkEnd w:id="62"/>
    </w:p>
    <w:p>
      <w:pPr>
        <w:spacing w:line="360" w:lineRule="auto"/>
        <w:ind w:firstLine="482" w:firstLineChars="200"/>
        <w:rPr>
          <w:rFonts w:ascii="宋体" w:cs="宋体"/>
          <w:b/>
          <w:sz w:val="24"/>
          <w:szCs w:val="24"/>
        </w:rPr>
      </w:pPr>
      <w:r>
        <w:rPr>
          <w:rFonts w:ascii="宋体" w:hAnsi="宋体" w:cs="宋体"/>
          <w:b/>
          <w:sz w:val="24"/>
          <w:szCs w:val="24"/>
        </w:rPr>
        <w:t>20.</w:t>
      </w:r>
      <w:r>
        <w:rPr>
          <w:rFonts w:hint="eastAsia" w:ascii="宋体" w:hAnsi="宋体" w:cs="宋体"/>
          <w:b/>
          <w:sz w:val="24"/>
          <w:szCs w:val="24"/>
        </w:rPr>
        <w:t>投标文件的密封和标记</w:t>
      </w:r>
    </w:p>
    <w:p>
      <w:pPr>
        <w:tabs>
          <w:tab w:val="left" w:pos="588"/>
        </w:tabs>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20.1</w:t>
      </w:r>
      <w:r>
        <w:rPr>
          <w:rFonts w:hint="eastAsia" w:ascii="宋体" w:hAnsi="宋体" w:eastAsia="宋体" w:cs="宋体"/>
          <w:kern w:val="0"/>
          <w:sz w:val="24"/>
          <w:szCs w:val="24"/>
          <w:highlight w:val="none"/>
        </w:rPr>
        <w:t>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pPr>
        <w:tabs>
          <w:tab w:val="left" w:pos="588"/>
        </w:tabs>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20</w:t>
      </w: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 xml:space="preserve">  投标人</w:t>
      </w:r>
      <w:r>
        <w:rPr>
          <w:rFonts w:hint="eastAsia" w:ascii="宋体" w:hAnsi="宋体" w:eastAsia="宋体" w:cs="宋体"/>
          <w:kern w:val="0"/>
          <w:sz w:val="24"/>
          <w:szCs w:val="24"/>
          <w:highlight w:val="none"/>
        </w:rPr>
        <w:t>因自身原因导致电子投标文件无法导入电子评标系统的，该</w:t>
      </w:r>
      <w:r>
        <w:rPr>
          <w:rFonts w:hint="eastAsia" w:ascii="宋体" w:hAnsi="宋体" w:eastAsia="宋体" w:cs="宋体"/>
          <w:kern w:val="0"/>
          <w:sz w:val="24"/>
          <w:szCs w:val="24"/>
          <w:highlight w:val="none"/>
          <w:lang w:eastAsia="zh-CN"/>
        </w:rPr>
        <w:t>投标文件</w:t>
      </w:r>
      <w:r>
        <w:rPr>
          <w:rFonts w:hint="eastAsia" w:ascii="宋体" w:hAnsi="宋体" w:eastAsia="宋体" w:cs="宋体"/>
          <w:kern w:val="0"/>
          <w:sz w:val="24"/>
          <w:szCs w:val="24"/>
          <w:highlight w:val="none"/>
        </w:rPr>
        <w:t>视为无效文件。</w:t>
      </w:r>
    </w:p>
    <w:p>
      <w:pPr>
        <w:tabs>
          <w:tab w:val="left" w:pos="588"/>
        </w:tabs>
        <w:spacing w:line="360" w:lineRule="auto"/>
        <w:ind w:firstLine="480" w:firstLineChars="200"/>
        <w:rPr>
          <w:rFonts w:ascii="宋体" w:cs="宋体"/>
          <w:sz w:val="24"/>
          <w:szCs w:val="24"/>
          <w:highlight w:val="none"/>
        </w:rPr>
      </w:pPr>
      <w:r>
        <w:rPr>
          <w:rFonts w:hint="eastAsia" w:ascii="宋体" w:hAnsi="宋体" w:eastAsia="宋体" w:cs="宋体"/>
          <w:kern w:val="0"/>
          <w:sz w:val="24"/>
          <w:szCs w:val="24"/>
          <w:highlight w:val="none"/>
          <w:lang w:val="en-US" w:eastAsia="zh-CN"/>
        </w:rPr>
        <w:t>20</w:t>
      </w: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电子投标文件具有法律效力,与其他形式的</w:t>
      </w:r>
      <w:r>
        <w:rPr>
          <w:rFonts w:hint="eastAsia" w:ascii="宋体" w:hAnsi="宋体" w:eastAsia="宋体" w:cs="宋体"/>
          <w:kern w:val="0"/>
          <w:sz w:val="24"/>
          <w:szCs w:val="24"/>
          <w:highlight w:val="none"/>
          <w:lang w:eastAsia="zh-CN"/>
        </w:rPr>
        <w:t>投标文件</w:t>
      </w:r>
      <w:r>
        <w:rPr>
          <w:rFonts w:hint="eastAsia" w:ascii="宋体" w:hAnsi="宋体" w:eastAsia="宋体" w:cs="宋体"/>
          <w:kern w:val="0"/>
          <w:sz w:val="24"/>
          <w:szCs w:val="24"/>
          <w:highlight w:val="none"/>
        </w:rPr>
        <w:t>在内容和格式上等同，若投标文件与招标文件要求不一致，其内容影响成交结果时，责任由</w:t>
      </w: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自行承担。</w:t>
      </w:r>
    </w:p>
    <w:p>
      <w:pPr>
        <w:spacing w:line="360" w:lineRule="auto"/>
        <w:ind w:firstLine="482" w:firstLineChars="200"/>
        <w:rPr>
          <w:rFonts w:ascii="宋体" w:cs="宋体"/>
          <w:b/>
          <w:sz w:val="24"/>
          <w:szCs w:val="24"/>
        </w:rPr>
      </w:pPr>
      <w:r>
        <w:rPr>
          <w:rFonts w:ascii="宋体" w:hAnsi="宋体" w:cs="宋体"/>
          <w:b/>
          <w:sz w:val="24"/>
          <w:szCs w:val="24"/>
        </w:rPr>
        <w:t>21.</w:t>
      </w:r>
      <w:r>
        <w:rPr>
          <w:rFonts w:hint="eastAsia" w:ascii="宋体" w:hAnsi="宋体" w:cs="宋体"/>
          <w:b/>
          <w:sz w:val="24"/>
          <w:szCs w:val="24"/>
        </w:rPr>
        <w:t>投标截止时间</w:t>
      </w:r>
    </w:p>
    <w:p>
      <w:pPr>
        <w:spacing w:line="360" w:lineRule="auto"/>
        <w:ind w:firstLine="480" w:firstLineChars="200"/>
        <w:rPr>
          <w:rFonts w:ascii="宋体" w:cs="宋体"/>
          <w:sz w:val="24"/>
          <w:szCs w:val="24"/>
        </w:rPr>
      </w:pPr>
      <w:r>
        <w:rPr>
          <w:rFonts w:ascii="宋体" w:hAnsi="宋体" w:cs="宋体"/>
          <w:sz w:val="24"/>
          <w:szCs w:val="24"/>
        </w:rPr>
        <w:t xml:space="preserve">21.1 </w:t>
      </w:r>
      <w:r>
        <w:rPr>
          <w:rFonts w:hint="eastAsia" w:ascii="宋体" w:hAnsi="宋体" w:cs="宋体"/>
          <w:sz w:val="24"/>
          <w:szCs w:val="24"/>
        </w:rPr>
        <w:t>投标人应当在投标截止时间（详见“投标人须知前附表”）前将投标文件密封送达至指定的投标文件递交地点，递交地点应是“投标人须知前附表”中指明的地址。</w:t>
      </w:r>
    </w:p>
    <w:p>
      <w:pPr>
        <w:spacing w:line="360" w:lineRule="auto"/>
        <w:ind w:firstLine="480" w:firstLineChars="200"/>
        <w:rPr>
          <w:rFonts w:ascii="宋体" w:cs="宋体"/>
          <w:sz w:val="24"/>
          <w:szCs w:val="24"/>
        </w:rPr>
      </w:pPr>
      <w:r>
        <w:rPr>
          <w:rFonts w:ascii="宋体" w:hAnsi="宋体" w:cs="宋体"/>
          <w:sz w:val="24"/>
          <w:szCs w:val="24"/>
        </w:rPr>
        <w:t xml:space="preserve">21.2 </w:t>
      </w:r>
      <w:r>
        <w:rPr>
          <w:rFonts w:hint="eastAsia" w:ascii="宋体" w:hAnsi="宋体" w:cs="宋体"/>
          <w:sz w:val="24"/>
          <w:szCs w:val="24"/>
        </w:rPr>
        <w:t>采购代理机构可以按本须知第</w:t>
      </w:r>
      <w:r>
        <w:rPr>
          <w:rFonts w:ascii="宋体" w:hAnsi="宋体" w:cs="宋体"/>
          <w:sz w:val="24"/>
          <w:szCs w:val="24"/>
        </w:rPr>
        <w:t>8</w:t>
      </w:r>
      <w:r>
        <w:rPr>
          <w:rFonts w:hint="eastAsia" w:ascii="宋体" w:hAnsi="宋体" w:cs="宋体"/>
          <w:sz w:val="24"/>
          <w:szCs w:val="24"/>
        </w:rPr>
        <w:t>条规定，通知修改招标文件适当延长投标截止时间。在此情况下，采购代理机构、采购人和投标人受投标截止时间制约的所有权利和义务均应延长至新的截止期。</w:t>
      </w:r>
    </w:p>
    <w:p>
      <w:pPr>
        <w:spacing w:line="360" w:lineRule="auto"/>
        <w:ind w:firstLine="482" w:firstLineChars="200"/>
        <w:rPr>
          <w:rFonts w:ascii="宋体" w:cs="宋体"/>
          <w:b/>
          <w:sz w:val="24"/>
          <w:szCs w:val="24"/>
        </w:rPr>
      </w:pPr>
      <w:r>
        <w:rPr>
          <w:rFonts w:ascii="宋体" w:hAnsi="宋体" w:cs="宋体"/>
          <w:b/>
          <w:sz w:val="24"/>
          <w:szCs w:val="24"/>
        </w:rPr>
        <w:t>22.</w:t>
      </w:r>
      <w:r>
        <w:rPr>
          <w:rFonts w:hint="eastAsia" w:ascii="宋体" w:hAnsi="宋体" w:cs="宋体"/>
          <w:b/>
          <w:sz w:val="24"/>
          <w:szCs w:val="24"/>
        </w:rPr>
        <w:t>迟交的投标文件</w:t>
      </w:r>
    </w:p>
    <w:p>
      <w:pPr>
        <w:spacing w:line="360" w:lineRule="auto"/>
        <w:ind w:firstLine="482" w:firstLineChars="200"/>
        <w:rPr>
          <w:rFonts w:ascii="宋体" w:cs="宋体"/>
          <w:b/>
          <w:sz w:val="24"/>
          <w:szCs w:val="24"/>
        </w:rPr>
      </w:pPr>
      <w:r>
        <w:rPr>
          <w:rFonts w:ascii="宋体" w:hAnsi="宋体" w:cs="宋体"/>
          <w:b/>
          <w:sz w:val="24"/>
          <w:szCs w:val="24"/>
        </w:rPr>
        <w:t xml:space="preserve">22.1 </w:t>
      </w:r>
      <w:r>
        <w:rPr>
          <w:rFonts w:hint="eastAsia" w:ascii="宋体" w:hAnsi="宋体" w:cs="宋体"/>
          <w:b/>
          <w:sz w:val="24"/>
          <w:szCs w:val="24"/>
        </w:rPr>
        <w:t>采购人、采购代理机构将拒绝接收在本须知第</w:t>
      </w:r>
      <w:r>
        <w:rPr>
          <w:rFonts w:ascii="宋体" w:hAnsi="宋体" w:cs="宋体"/>
          <w:b/>
          <w:sz w:val="24"/>
          <w:szCs w:val="24"/>
        </w:rPr>
        <w:t>21</w:t>
      </w:r>
      <w:r>
        <w:rPr>
          <w:rFonts w:hint="eastAsia" w:ascii="宋体" w:hAnsi="宋体" w:cs="宋体"/>
          <w:b/>
          <w:sz w:val="24"/>
          <w:szCs w:val="24"/>
        </w:rPr>
        <w:t>条规定的截止期后送达的任何投标文件。</w:t>
      </w:r>
      <w:r>
        <w:rPr>
          <w:rFonts w:ascii="宋体" w:hAnsi="宋体" w:cs="宋体"/>
          <w:b/>
          <w:sz w:val="24"/>
          <w:szCs w:val="24"/>
        </w:rPr>
        <w:t xml:space="preserve"> </w:t>
      </w:r>
    </w:p>
    <w:p>
      <w:pPr>
        <w:spacing w:line="360" w:lineRule="auto"/>
        <w:ind w:firstLine="482" w:firstLineChars="200"/>
        <w:rPr>
          <w:rFonts w:ascii="宋体" w:cs="宋体"/>
          <w:b/>
          <w:sz w:val="24"/>
          <w:szCs w:val="24"/>
        </w:rPr>
      </w:pPr>
      <w:r>
        <w:rPr>
          <w:rFonts w:ascii="宋体" w:hAnsi="宋体" w:cs="宋体"/>
          <w:b/>
          <w:sz w:val="24"/>
          <w:szCs w:val="24"/>
        </w:rPr>
        <w:t>23.</w:t>
      </w:r>
      <w:r>
        <w:rPr>
          <w:rFonts w:hint="eastAsia" w:ascii="宋体" w:hAnsi="宋体" w:cs="宋体"/>
          <w:b/>
          <w:sz w:val="24"/>
          <w:szCs w:val="24"/>
        </w:rPr>
        <w:t>投标文件的修改与撤回</w:t>
      </w:r>
    </w:p>
    <w:p>
      <w:pPr>
        <w:spacing w:line="360" w:lineRule="auto"/>
        <w:ind w:firstLine="480" w:firstLineChars="200"/>
        <w:rPr>
          <w:rFonts w:ascii="宋体" w:cs="宋体"/>
          <w:sz w:val="24"/>
          <w:szCs w:val="24"/>
        </w:rPr>
      </w:pPr>
      <w:r>
        <w:rPr>
          <w:rFonts w:ascii="宋体" w:hAnsi="宋体" w:cs="宋体"/>
          <w:sz w:val="24"/>
          <w:szCs w:val="24"/>
        </w:rPr>
        <w:t xml:space="preserve">23.1 </w:t>
      </w:r>
      <w:r>
        <w:rPr>
          <w:rFonts w:hint="eastAsia" w:ascii="宋体" w:hAnsi="宋体" w:cs="宋体"/>
          <w:sz w:val="24"/>
          <w:szCs w:val="24"/>
        </w:rPr>
        <w:t>投标人在递交投标文件后，可以修改或撤回其投标，但投标人必须在规定的投标截止时间之前将修改或撤回的书面通知递交到采购代理机构。</w:t>
      </w:r>
    </w:p>
    <w:p>
      <w:pPr>
        <w:spacing w:line="360" w:lineRule="auto"/>
        <w:ind w:firstLine="480" w:firstLineChars="200"/>
        <w:rPr>
          <w:rFonts w:ascii="宋体" w:cs="宋体"/>
          <w:sz w:val="24"/>
          <w:szCs w:val="24"/>
        </w:rPr>
      </w:pPr>
      <w:r>
        <w:rPr>
          <w:rFonts w:ascii="宋体" w:hAnsi="宋体" w:cs="宋体"/>
          <w:sz w:val="24"/>
          <w:szCs w:val="24"/>
        </w:rPr>
        <w:t xml:space="preserve">23.2 </w:t>
      </w:r>
      <w:r>
        <w:rPr>
          <w:rFonts w:hint="eastAsia" w:ascii="宋体" w:hAnsi="宋体" w:cs="宋体"/>
          <w:sz w:val="24"/>
          <w:szCs w:val="24"/>
        </w:rPr>
        <w:t>投标人的修改或撤回通知应按本须知第</w:t>
      </w:r>
      <w:r>
        <w:rPr>
          <w:rFonts w:ascii="宋体" w:hAnsi="宋体" w:cs="宋体"/>
          <w:sz w:val="24"/>
          <w:szCs w:val="24"/>
        </w:rPr>
        <w:t>20</w:t>
      </w:r>
      <w:r>
        <w:rPr>
          <w:rFonts w:hint="eastAsia" w:ascii="宋体" w:hAnsi="宋体" w:cs="宋体"/>
          <w:sz w:val="24"/>
          <w:szCs w:val="24"/>
        </w:rPr>
        <w:t>条规定编制、密封、标记和递交。</w:t>
      </w:r>
    </w:p>
    <w:p>
      <w:pPr>
        <w:spacing w:line="360" w:lineRule="auto"/>
        <w:ind w:firstLine="480" w:firstLineChars="200"/>
        <w:rPr>
          <w:rFonts w:ascii="宋体" w:cs="宋体"/>
          <w:sz w:val="24"/>
          <w:szCs w:val="24"/>
        </w:rPr>
      </w:pPr>
      <w:r>
        <w:rPr>
          <w:rFonts w:ascii="宋体" w:hAnsi="宋体" w:cs="宋体"/>
          <w:sz w:val="24"/>
          <w:szCs w:val="24"/>
        </w:rPr>
        <w:t xml:space="preserve">23.3 </w:t>
      </w:r>
      <w:r>
        <w:rPr>
          <w:rFonts w:hint="eastAsia" w:ascii="宋体" w:hAnsi="宋体" w:cs="宋体"/>
          <w:sz w:val="24"/>
          <w:szCs w:val="24"/>
        </w:rPr>
        <w:t>在投标截止时间之后，投标人不得对其投标做任何修改。</w:t>
      </w:r>
    </w:p>
    <w:p>
      <w:pPr>
        <w:spacing w:line="360" w:lineRule="auto"/>
        <w:ind w:firstLine="480" w:firstLineChars="200"/>
        <w:rPr>
          <w:rFonts w:ascii="宋体" w:cs="宋体"/>
          <w:sz w:val="24"/>
          <w:szCs w:val="24"/>
        </w:rPr>
      </w:pPr>
      <w:r>
        <w:rPr>
          <w:rFonts w:ascii="宋体" w:hAnsi="宋体" w:cs="宋体"/>
          <w:sz w:val="24"/>
          <w:szCs w:val="24"/>
        </w:rPr>
        <w:t xml:space="preserve">23.4 </w:t>
      </w:r>
      <w:r>
        <w:rPr>
          <w:rFonts w:hint="eastAsia" w:ascii="宋体" w:hAnsi="宋体" w:cs="宋体"/>
          <w:sz w:val="24"/>
          <w:szCs w:val="24"/>
        </w:rPr>
        <w:t>从投标截止时间至投标人在投标书格式中确定的投标有效期期满这段时间内，投标人不得撤回其投标，否则其投标保证金将按照本须知第</w:t>
      </w:r>
      <w:r>
        <w:rPr>
          <w:rFonts w:ascii="宋体" w:hAnsi="宋体" w:cs="宋体"/>
          <w:sz w:val="24"/>
          <w:szCs w:val="24"/>
        </w:rPr>
        <w:t>17.7</w:t>
      </w:r>
      <w:r>
        <w:rPr>
          <w:rFonts w:hint="eastAsia" w:ascii="宋体" w:hAnsi="宋体" w:cs="宋体"/>
          <w:sz w:val="24"/>
          <w:szCs w:val="24"/>
        </w:rPr>
        <w:t>条的规定不予退还。</w:t>
      </w:r>
      <w:bookmarkStart w:id="64" w:name="_Toc14776840"/>
      <w:bookmarkStart w:id="65" w:name="_Toc2511973"/>
      <w:bookmarkStart w:id="66" w:name="_Toc493422652"/>
      <w:bookmarkStart w:id="67" w:name="_Toc322446893"/>
      <w:bookmarkStart w:id="68" w:name="_Toc2355232"/>
    </w:p>
    <w:p>
      <w:pPr>
        <w:spacing w:line="360" w:lineRule="auto"/>
        <w:rPr>
          <w:rFonts w:ascii="宋体" w:cs="宋体"/>
          <w:b/>
          <w:sz w:val="24"/>
          <w:szCs w:val="24"/>
        </w:rPr>
      </w:pPr>
      <w:r>
        <w:rPr>
          <w:rFonts w:hint="eastAsia" w:ascii="宋体" w:hAnsi="宋体" w:cs="宋体"/>
          <w:b/>
          <w:sz w:val="24"/>
          <w:szCs w:val="24"/>
        </w:rPr>
        <w:t>五、开标与评标</w:t>
      </w:r>
      <w:bookmarkEnd w:id="64"/>
      <w:bookmarkEnd w:id="65"/>
      <w:bookmarkEnd w:id="66"/>
      <w:bookmarkEnd w:id="67"/>
      <w:bookmarkEnd w:id="68"/>
    </w:p>
    <w:p>
      <w:pPr>
        <w:spacing w:line="360" w:lineRule="auto"/>
        <w:ind w:firstLine="482" w:firstLineChars="200"/>
        <w:rPr>
          <w:rFonts w:ascii="宋体" w:cs="宋体"/>
          <w:b/>
          <w:sz w:val="24"/>
          <w:szCs w:val="24"/>
        </w:rPr>
      </w:pPr>
      <w:r>
        <w:rPr>
          <w:rFonts w:ascii="宋体" w:hAnsi="宋体" w:cs="宋体"/>
          <w:b/>
          <w:sz w:val="24"/>
          <w:szCs w:val="24"/>
        </w:rPr>
        <w:t>24.</w:t>
      </w:r>
      <w:r>
        <w:rPr>
          <w:rFonts w:hint="eastAsia" w:ascii="宋体" w:hAnsi="宋体" w:cs="宋体"/>
          <w:b/>
          <w:sz w:val="24"/>
          <w:szCs w:val="24"/>
        </w:rPr>
        <w:t>开标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24.1采购单位应当按采购邀请的规定，在投标文件递交截止时间的同一时间和预先确定的地点组织开标活动，并邀请所有投标人代表参加。投标人代表应再电子系统上签名报到以证明其出席。</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24.2采购人和采购代理机构将按投标人须知资料表中规定的开标时间和地点组织公开开标并邀请所有投标人代表参加。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24.3 本项目实行电子投标文件，电子投标文件的有关要求按投标人须知资料表要求，投标人应该使用投标人 CA 锁对电子投标文件加密，否则，其投标文件将被拒绝评审。开标时，投标人必须使用加密该文件的 CA锁， 以便开标时对其电子投标文件进行解密，由于投标人自身原因未能成功导入评标系统的，均视为不响应招标文件，其投标文件将被拒绝评审。未按规定时间在招标文件要求的开评标系统解密成功的电子投标文件无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24.4 采购人或采购代理机构将对开标过程进行记录，由参加开标的各投标人和相关工作人员确认，并存档备查。</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24.5 投标人代表对开标过程和开标记录有疑义，以及认为采购人、采购代理机构相关工作人员有需要回避的情形的，应当在线上提出询问或者回避申请。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24.6开标流程将按照政采云不见面开标平台的开标流程进行。25.投标人的资格性审查</w:t>
      </w:r>
    </w:p>
    <w:p>
      <w:pPr>
        <w:spacing w:line="360" w:lineRule="auto"/>
        <w:ind w:firstLine="480" w:firstLineChars="200"/>
        <w:jc w:val="left"/>
        <w:rPr>
          <w:rFonts w:ascii="宋体" w:cs="宋体"/>
          <w:sz w:val="24"/>
          <w:szCs w:val="24"/>
        </w:rPr>
      </w:pPr>
      <w:r>
        <w:rPr>
          <w:rFonts w:hint="eastAsia" w:ascii="宋体" w:hAnsi="宋体" w:cs="宋体"/>
          <w:sz w:val="24"/>
          <w:szCs w:val="24"/>
        </w:rPr>
        <w:t>公开招标采购项目开标结束后，采购人或采购代理机构对投标人提交的资格证明材料进行审查，并在对应的审查意见一栏记录审查意见，合格投标人不足</w:t>
      </w:r>
      <w:r>
        <w:rPr>
          <w:rFonts w:ascii="宋体" w:hAnsi="宋体" w:cs="宋体"/>
          <w:sz w:val="24"/>
          <w:szCs w:val="24"/>
        </w:rPr>
        <w:t>3</w:t>
      </w:r>
      <w:r>
        <w:rPr>
          <w:rFonts w:hint="eastAsia" w:ascii="宋体" w:hAnsi="宋体" w:cs="宋体"/>
          <w:sz w:val="24"/>
          <w:szCs w:val="24"/>
        </w:rPr>
        <w:t>家的，不再开展评标工作。</w:t>
      </w:r>
    </w:p>
    <w:p>
      <w:pPr>
        <w:spacing w:line="360" w:lineRule="auto"/>
        <w:ind w:firstLine="482" w:firstLineChars="200"/>
        <w:rPr>
          <w:rFonts w:ascii="宋体" w:cs="宋体"/>
          <w:sz w:val="24"/>
          <w:szCs w:val="24"/>
        </w:rPr>
      </w:pPr>
      <w:r>
        <w:rPr>
          <w:rFonts w:ascii="宋体" w:hAnsi="宋体" w:cs="宋体"/>
          <w:b/>
          <w:sz w:val="24"/>
          <w:szCs w:val="24"/>
        </w:rPr>
        <w:t>26.</w:t>
      </w:r>
      <w:r>
        <w:rPr>
          <w:rFonts w:hint="eastAsia" w:ascii="宋体" w:hAnsi="宋体" w:cs="宋体"/>
          <w:b/>
          <w:sz w:val="24"/>
          <w:szCs w:val="24"/>
        </w:rPr>
        <w:t>评标</w:t>
      </w:r>
    </w:p>
    <w:p>
      <w:pPr>
        <w:spacing w:line="360" w:lineRule="auto"/>
        <w:ind w:firstLine="482" w:firstLineChars="200"/>
        <w:rPr>
          <w:rFonts w:ascii="宋体" w:cs="宋体"/>
          <w:sz w:val="24"/>
          <w:szCs w:val="24"/>
        </w:rPr>
      </w:pPr>
      <w:r>
        <w:rPr>
          <w:rFonts w:ascii="宋体" w:hAnsi="宋体" w:cs="宋体"/>
          <w:b/>
          <w:bCs/>
          <w:sz w:val="24"/>
          <w:szCs w:val="24"/>
        </w:rPr>
        <w:t xml:space="preserve">26.1 </w:t>
      </w:r>
      <w:r>
        <w:rPr>
          <w:rFonts w:hint="eastAsia" w:ascii="宋体" w:hAnsi="宋体" w:cs="宋体"/>
          <w:b/>
          <w:bCs/>
          <w:sz w:val="24"/>
          <w:szCs w:val="24"/>
        </w:rPr>
        <w:t>评标委员会</w:t>
      </w:r>
    </w:p>
    <w:p>
      <w:pPr>
        <w:spacing w:line="360" w:lineRule="auto"/>
        <w:ind w:firstLine="480" w:firstLineChars="200"/>
        <w:rPr>
          <w:rFonts w:ascii="宋体" w:cs="宋体"/>
          <w:sz w:val="24"/>
          <w:szCs w:val="24"/>
        </w:rPr>
      </w:pPr>
      <w:r>
        <w:rPr>
          <w:rFonts w:ascii="宋体" w:hAnsi="宋体" w:cs="宋体"/>
          <w:sz w:val="24"/>
          <w:szCs w:val="24"/>
        </w:rPr>
        <w:t>26.1.1</w:t>
      </w:r>
      <w:r>
        <w:rPr>
          <w:rFonts w:hint="eastAsia" w:ascii="宋体" w:hAnsi="宋体" w:cs="宋体"/>
          <w:sz w:val="24"/>
          <w:szCs w:val="24"/>
        </w:rPr>
        <w:t>采购人或者采购代理机构将从新疆政府采购网的政府采购评审专家库中，通过随机方式抽取评审专家。</w:t>
      </w:r>
    </w:p>
    <w:p>
      <w:pPr>
        <w:spacing w:line="360" w:lineRule="auto"/>
        <w:ind w:firstLine="480" w:firstLineChars="200"/>
        <w:rPr>
          <w:rFonts w:ascii="宋体" w:hAnsi="宋体" w:cs="宋体"/>
          <w:sz w:val="24"/>
          <w:szCs w:val="24"/>
        </w:rPr>
      </w:pPr>
      <w:r>
        <w:rPr>
          <w:rFonts w:hint="eastAsia" w:ascii="宋体" w:hAnsi="宋体" w:cs="宋体"/>
          <w:sz w:val="24"/>
          <w:szCs w:val="24"/>
        </w:rPr>
        <w:t>26.1.2 评标委员会由采购人代表和评审专家组成，成员人数应当为5人以上单数，其中评审专家不得少于成员总数的三分之二。</w:t>
      </w:r>
    </w:p>
    <w:p>
      <w:pPr>
        <w:spacing w:line="360" w:lineRule="auto"/>
        <w:ind w:firstLine="480" w:firstLineChars="200"/>
        <w:rPr>
          <w:rFonts w:ascii="宋体" w:cs="宋体"/>
          <w:sz w:val="24"/>
          <w:szCs w:val="24"/>
        </w:rPr>
      </w:pPr>
      <w:r>
        <w:rPr>
          <w:rFonts w:ascii="宋体" w:hAnsi="宋体" w:cs="宋体"/>
          <w:sz w:val="24"/>
          <w:szCs w:val="24"/>
        </w:rPr>
        <w:t>26.1.3</w:t>
      </w:r>
      <w:r>
        <w:rPr>
          <w:rFonts w:hint="eastAsia" w:ascii="宋体" w:hAnsi="宋体" w:cs="宋体"/>
          <w:sz w:val="24"/>
          <w:szCs w:val="24"/>
        </w:rPr>
        <w:t>评标委员会负责评标工作，应当对合格投标人（通过资格审查）的投标文件进行审查、评价投标文件是否符合招标文件的商务、技术等实质性要求，要求投标人对投标文件有关事项作出澄清或者说明，对投标文件进行比较和评价等，确定中标候选人名单或根据采购人委托直接确定中标人，根据全体评标成员签字的原始评标记录和评标结果编写评标报告。</w:t>
      </w:r>
    </w:p>
    <w:p>
      <w:pPr>
        <w:spacing w:line="360" w:lineRule="auto"/>
        <w:ind w:firstLine="482" w:firstLineChars="200"/>
        <w:rPr>
          <w:rFonts w:ascii="宋体" w:cs="宋体"/>
          <w:b/>
          <w:bCs/>
          <w:sz w:val="24"/>
          <w:szCs w:val="24"/>
        </w:rPr>
      </w:pPr>
      <w:r>
        <w:rPr>
          <w:rFonts w:ascii="宋体" w:hAnsi="宋体" w:cs="宋体"/>
          <w:b/>
          <w:bCs/>
          <w:sz w:val="24"/>
          <w:szCs w:val="24"/>
        </w:rPr>
        <w:t>26.2</w:t>
      </w:r>
      <w:r>
        <w:rPr>
          <w:rFonts w:hint="eastAsia" w:ascii="宋体" w:hAnsi="宋体" w:cs="宋体"/>
          <w:b/>
          <w:bCs/>
          <w:sz w:val="24"/>
          <w:szCs w:val="24"/>
        </w:rPr>
        <w:t>评标方法：</w:t>
      </w:r>
      <w:r>
        <w:rPr>
          <w:rFonts w:hint="eastAsia" w:ascii="宋体" w:hAnsi="宋体" w:cs="宋体"/>
          <w:sz w:val="24"/>
          <w:szCs w:val="24"/>
        </w:rPr>
        <w:t>详见投标人须知前附表。</w:t>
      </w:r>
    </w:p>
    <w:p>
      <w:pPr>
        <w:spacing w:line="360" w:lineRule="auto"/>
        <w:ind w:firstLine="482" w:firstLineChars="200"/>
        <w:rPr>
          <w:rFonts w:ascii="宋体" w:cs="宋体"/>
          <w:sz w:val="24"/>
          <w:szCs w:val="24"/>
        </w:rPr>
      </w:pPr>
      <w:r>
        <w:rPr>
          <w:rFonts w:ascii="宋体" w:hAnsi="宋体" w:cs="宋体"/>
          <w:b/>
          <w:bCs/>
          <w:sz w:val="24"/>
          <w:szCs w:val="24"/>
        </w:rPr>
        <w:t xml:space="preserve">26.3 </w:t>
      </w:r>
      <w:r>
        <w:rPr>
          <w:rFonts w:hint="eastAsia" w:ascii="宋体" w:hAnsi="宋体" w:cs="宋体"/>
          <w:b/>
          <w:bCs/>
          <w:sz w:val="24"/>
          <w:szCs w:val="24"/>
        </w:rPr>
        <w:t>投标文件的澄清</w:t>
      </w:r>
    </w:p>
    <w:p>
      <w:pPr>
        <w:spacing w:line="360" w:lineRule="auto"/>
        <w:ind w:firstLine="480" w:firstLineChars="200"/>
        <w:rPr>
          <w:rFonts w:ascii="宋体" w:cs="宋体"/>
          <w:sz w:val="24"/>
          <w:szCs w:val="24"/>
        </w:rPr>
      </w:pPr>
      <w:r>
        <w:rPr>
          <w:rFonts w:ascii="宋体" w:hAnsi="宋体" w:cs="宋体"/>
          <w:sz w:val="24"/>
          <w:szCs w:val="24"/>
        </w:rPr>
        <w:t xml:space="preserve">26.3.1 </w:t>
      </w:r>
      <w:r>
        <w:rPr>
          <w:rFonts w:hint="eastAsia" w:ascii="宋体" w:hAnsi="宋体" w:cs="宋体"/>
          <w:sz w:val="24"/>
          <w:szCs w:val="24"/>
        </w:rPr>
        <w:t>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的内容为投标文件的组成部分。</w:t>
      </w:r>
    </w:p>
    <w:p>
      <w:pPr>
        <w:spacing w:line="360" w:lineRule="auto"/>
        <w:ind w:firstLine="482" w:firstLineChars="200"/>
        <w:rPr>
          <w:rFonts w:ascii="宋体" w:cs="宋体"/>
          <w:sz w:val="24"/>
          <w:szCs w:val="24"/>
        </w:rPr>
      </w:pPr>
      <w:r>
        <w:rPr>
          <w:rFonts w:ascii="宋体" w:hAnsi="宋体" w:cs="宋体"/>
          <w:b/>
          <w:bCs/>
          <w:sz w:val="24"/>
          <w:szCs w:val="24"/>
        </w:rPr>
        <w:t xml:space="preserve">26.4 </w:t>
      </w:r>
      <w:r>
        <w:rPr>
          <w:rFonts w:hint="eastAsia" w:ascii="宋体" w:hAnsi="宋体" w:cs="宋体"/>
          <w:b/>
          <w:sz w:val="24"/>
          <w:szCs w:val="24"/>
        </w:rPr>
        <w:t>投标文件的初审（符合性审查）</w:t>
      </w:r>
    </w:p>
    <w:p>
      <w:pPr>
        <w:spacing w:line="360" w:lineRule="auto"/>
        <w:ind w:firstLine="480" w:firstLineChars="200"/>
        <w:rPr>
          <w:rFonts w:ascii="宋体" w:cs="宋体"/>
          <w:sz w:val="24"/>
          <w:szCs w:val="24"/>
        </w:rPr>
      </w:pPr>
      <w:r>
        <w:rPr>
          <w:rFonts w:ascii="宋体" w:hAnsi="宋体" w:cs="宋体"/>
          <w:sz w:val="24"/>
          <w:szCs w:val="24"/>
        </w:rPr>
        <w:t>26.4.1</w:t>
      </w:r>
      <w:r>
        <w:rPr>
          <w:rFonts w:hint="eastAsia" w:ascii="宋体" w:hAnsi="宋体" w:cs="宋体"/>
          <w:sz w:val="24"/>
          <w:szCs w:val="24"/>
        </w:rPr>
        <w:t>评标委员会将对符合资格的投标人的投标文件进行符合性审查，以确定其是否满足招标文件的实质性要求。</w:t>
      </w:r>
    </w:p>
    <w:p>
      <w:pPr>
        <w:spacing w:line="360" w:lineRule="auto"/>
        <w:ind w:firstLine="480" w:firstLineChars="200"/>
        <w:rPr>
          <w:rFonts w:ascii="宋体" w:cs="宋体"/>
          <w:sz w:val="24"/>
          <w:szCs w:val="24"/>
        </w:rPr>
      </w:pPr>
      <w:r>
        <w:rPr>
          <w:rFonts w:ascii="宋体" w:hAnsi="宋体" w:cs="宋体"/>
          <w:sz w:val="24"/>
          <w:szCs w:val="24"/>
        </w:rPr>
        <w:t xml:space="preserve">26.4.2 </w:t>
      </w:r>
      <w:r>
        <w:rPr>
          <w:rFonts w:hint="eastAsia" w:ascii="宋体" w:hAnsi="宋体" w:cs="宋体"/>
          <w:sz w:val="24"/>
          <w:szCs w:val="24"/>
        </w:rPr>
        <w:t>投标文件报价出现前后不一致的，按照下列规定修正：</w:t>
      </w:r>
    </w:p>
    <w:p>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）开标一览表内容与投标文件中相应内容不一致的，以开标一览表为准；</w:t>
      </w:r>
    </w:p>
    <w:p>
      <w:pPr>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）大写金额和小写金额不一致的，以大写金额为准；</w:t>
      </w:r>
    </w:p>
    <w:p>
      <w:pPr>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）单价金额小数点或者百分比有明显错位的，以开标一览表的总价为准，并修改单价；</w:t>
      </w:r>
    </w:p>
    <w:p>
      <w:pPr>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）总价金额与按单价汇总金额不一致的，以单价金额计算结果为准。</w:t>
      </w:r>
    </w:p>
    <w:p>
      <w:pPr>
        <w:spacing w:line="360" w:lineRule="auto"/>
        <w:ind w:firstLine="480" w:firstLineChars="200"/>
        <w:rPr>
          <w:rFonts w:ascii="宋体" w:cs="宋体"/>
          <w:sz w:val="24"/>
          <w:szCs w:val="24"/>
        </w:rPr>
      </w:pPr>
      <w:r>
        <w:rPr>
          <w:rFonts w:hint="eastAsia" w:ascii="宋体" w:hAnsi="宋体" w:cs="宋体"/>
          <w:sz w:val="24"/>
          <w:szCs w:val="24"/>
        </w:rPr>
        <w:t>同时出现两种以上不一致的，按照前款规定的顺序修正。修正后的报价按照本须知第</w:t>
      </w:r>
      <w:r>
        <w:rPr>
          <w:rFonts w:ascii="宋体" w:hAnsi="宋体" w:cs="宋体"/>
          <w:sz w:val="24"/>
          <w:szCs w:val="24"/>
        </w:rPr>
        <w:t>26.3.1</w:t>
      </w:r>
      <w:r>
        <w:rPr>
          <w:rFonts w:hint="eastAsia" w:ascii="宋体" w:hAnsi="宋体" w:cs="宋体"/>
          <w:sz w:val="24"/>
          <w:szCs w:val="24"/>
        </w:rPr>
        <w:t>条的规定经投标人确认后产生约束力，投标人不确认的，其投标无效。</w:t>
      </w:r>
    </w:p>
    <w:p>
      <w:pPr>
        <w:spacing w:line="360" w:lineRule="auto"/>
        <w:ind w:firstLine="480" w:firstLineChars="200"/>
        <w:rPr>
          <w:rFonts w:ascii="宋体" w:cs="宋体"/>
          <w:sz w:val="24"/>
          <w:szCs w:val="24"/>
        </w:rPr>
      </w:pPr>
      <w:r>
        <w:rPr>
          <w:rFonts w:ascii="宋体" w:hAnsi="宋体" w:cs="宋体"/>
          <w:sz w:val="24"/>
          <w:szCs w:val="24"/>
        </w:rPr>
        <w:t xml:space="preserve">26.4.3 </w:t>
      </w:r>
      <w:r>
        <w:rPr>
          <w:rFonts w:hint="eastAsia" w:ascii="宋体" w:hAnsi="宋体" w:cs="宋体"/>
          <w:sz w:val="24"/>
          <w:szCs w:val="24"/>
        </w:rPr>
        <w:t>对于投标文件中不构成实质性偏差的不正规、不一致或不规则，评标委员会将进行综合打分。</w:t>
      </w:r>
    </w:p>
    <w:p>
      <w:pPr>
        <w:spacing w:line="360" w:lineRule="auto"/>
        <w:ind w:firstLine="480" w:firstLineChars="200"/>
        <w:rPr>
          <w:rFonts w:ascii="宋体" w:cs="宋体"/>
          <w:sz w:val="24"/>
          <w:szCs w:val="24"/>
        </w:rPr>
      </w:pPr>
      <w:r>
        <w:rPr>
          <w:rFonts w:ascii="宋体" w:hAnsi="宋体" w:cs="宋体"/>
          <w:sz w:val="24"/>
          <w:szCs w:val="24"/>
        </w:rPr>
        <w:t xml:space="preserve">26.4.4 </w:t>
      </w:r>
      <w:r>
        <w:rPr>
          <w:rFonts w:hint="eastAsia" w:ascii="宋体" w:hAnsi="宋体" w:cs="宋体"/>
          <w:sz w:val="24"/>
          <w:szCs w:val="24"/>
        </w:rPr>
        <w:t>在详细评标之前，根据本须知第</w:t>
      </w:r>
      <w:r>
        <w:rPr>
          <w:rFonts w:ascii="宋体" w:hAnsi="宋体" w:cs="宋体"/>
          <w:sz w:val="24"/>
          <w:szCs w:val="24"/>
        </w:rPr>
        <w:t>26.4.5</w:t>
      </w:r>
      <w:r>
        <w:rPr>
          <w:rFonts w:hint="eastAsia" w:ascii="宋体" w:hAnsi="宋体" w:cs="宋体"/>
          <w:sz w:val="24"/>
          <w:szCs w:val="24"/>
        </w:rPr>
        <w:t>条和第</w:t>
      </w:r>
      <w:r>
        <w:rPr>
          <w:rFonts w:ascii="宋体" w:hAnsi="宋体" w:cs="宋体"/>
          <w:sz w:val="24"/>
          <w:szCs w:val="24"/>
        </w:rPr>
        <w:t>26.4.6</w:t>
      </w:r>
      <w:r>
        <w:rPr>
          <w:rFonts w:hint="eastAsia" w:ascii="宋体" w:hAnsi="宋体" w:cs="宋体"/>
          <w:sz w:val="24"/>
          <w:szCs w:val="24"/>
        </w:rPr>
        <w:t>条的规定，评标委员会要审查每份投标文件是否实质上响应了招标文件的要求。实质上响应的投标应该是与招标文件要求的全部条款、条件和规格参数相符，没有重大偏离的投标。对关键条文的偏离、保留或反对将被认为是实质上的偏离。评标委员会决定投标的响应性只根据投标本身的内容，而不寻求外部的证据。</w:t>
      </w:r>
    </w:p>
    <w:p>
      <w:pPr>
        <w:spacing w:line="360" w:lineRule="auto"/>
        <w:ind w:firstLine="482" w:firstLineChars="200"/>
        <w:rPr>
          <w:rFonts w:ascii="宋体" w:cs="宋体"/>
          <w:b/>
          <w:sz w:val="24"/>
          <w:szCs w:val="24"/>
        </w:rPr>
      </w:pPr>
      <w:r>
        <w:rPr>
          <w:rFonts w:ascii="宋体" w:hAnsi="宋体" w:cs="宋体"/>
          <w:b/>
          <w:sz w:val="24"/>
          <w:szCs w:val="24"/>
        </w:rPr>
        <w:t xml:space="preserve">26.4.5 </w:t>
      </w:r>
      <w:r>
        <w:rPr>
          <w:rFonts w:hint="eastAsia" w:ascii="宋体" w:hAnsi="宋体" w:cs="宋体"/>
          <w:b/>
          <w:sz w:val="24"/>
          <w:szCs w:val="24"/>
        </w:rPr>
        <w:t>实质上没有响应招标文件要求的投标将作无效投标处理。投标人不得通过修正或撤销不合要求的偏离或保留从而使其投标成为实质上响应的投标。投标人存在下列情况之一的，投标无效：</w:t>
      </w:r>
    </w:p>
    <w:p>
      <w:pPr>
        <w:numPr>
          <w:ilvl w:val="0"/>
          <w:numId w:val="11"/>
        </w:numPr>
        <w:tabs>
          <w:tab w:val="left" w:pos="780"/>
          <w:tab w:val="left" w:pos="900"/>
          <w:tab w:val="clear" w:pos="1140"/>
        </w:tabs>
        <w:spacing w:line="360" w:lineRule="auto"/>
        <w:ind w:left="0" w:firstLine="482" w:firstLineChars="200"/>
      </w:pPr>
      <w:bookmarkStart w:id="69" w:name="OLE_LINK6"/>
      <w:r>
        <w:rPr>
          <w:rFonts w:hint="eastAsia" w:ascii="宋体" w:hAnsi="宋体" w:cs="宋体"/>
          <w:b/>
          <w:sz w:val="24"/>
          <w:szCs w:val="24"/>
          <w:u w:val="single"/>
        </w:rPr>
        <w:t>投标文件未按照招标文件要求签署、盖章、提交的，或签字人无法定代表人有效委托书的</w:t>
      </w:r>
      <w:bookmarkEnd w:id="69"/>
      <w:r>
        <w:rPr>
          <w:rFonts w:hint="eastAsia" w:ascii="宋体" w:hAnsi="宋体" w:cs="宋体"/>
          <w:b/>
          <w:sz w:val="24"/>
          <w:szCs w:val="24"/>
          <w:u w:val="single"/>
        </w:rPr>
        <w:t>；</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报价超过招标文件中规定的预算金额或者最高限价的；</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合同履行期限不满足招标文件要求的；</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投标文件含有采购人不能接受的附加条件的；</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投标有效期不足；</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投标报价不全，或投标人在同一份投标文件中对同一招标货物或服务报有两个或多个报价的，但招标文件要求提交备选投标的除外；</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不接受评委对投标文件报价出现前后不一致的修正；</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投标人有串通投标、弄虚作假、行贿等违法行为；</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投标文件没有对招标文件的实质性要求和条件作出响应的；</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法律、法规和招标文件中规定的其他无效情形；</w:t>
      </w:r>
    </w:p>
    <w:p>
      <w:pPr>
        <w:tabs>
          <w:tab w:val="left" w:pos="780"/>
          <w:tab w:val="left" w:pos="900"/>
        </w:tabs>
        <w:spacing w:line="360" w:lineRule="auto"/>
        <w:ind w:left="482"/>
        <w:rPr>
          <w:rFonts w:ascii="宋体" w:cs="宋体"/>
          <w:b/>
          <w:sz w:val="24"/>
          <w:szCs w:val="24"/>
        </w:rPr>
      </w:pPr>
      <w:r>
        <w:rPr>
          <w:rFonts w:ascii="宋体" w:hAnsi="宋体" w:cs="宋体"/>
          <w:b/>
          <w:sz w:val="24"/>
          <w:szCs w:val="24"/>
        </w:rPr>
        <w:t>26.4.6</w:t>
      </w:r>
      <w:r>
        <w:rPr>
          <w:rFonts w:hint="eastAsia" w:ascii="宋体" w:hAnsi="宋体" w:cs="宋体"/>
          <w:b/>
          <w:sz w:val="24"/>
          <w:szCs w:val="24"/>
        </w:rPr>
        <w:t>有下列情形之一的，视为投标人串通投标，其投标无效：</w:t>
      </w:r>
    </w:p>
    <w:p>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1</w:t>
      </w:r>
      <w:r>
        <w:rPr>
          <w:rFonts w:hint="eastAsia" w:ascii="宋体" w:hAnsi="宋体" w:cs="宋体"/>
          <w:b/>
          <w:sz w:val="24"/>
          <w:szCs w:val="24"/>
        </w:rPr>
        <w:t>）</w:t>
      </w:r>
      <w:r>
        <w:rPr>
          <w:rFonts w:hint="eastAsia" w:ascii="宋体" w:hAnsi="宋体" w:cs="宋体"/>
          <w:b/>
          <w:sz w:val="24"/>
          <w:szCs w:val="24"/>
          <w:u w:val="single"/>
        </w:rPr>
        <w:t>不同投标人的投标文件由同一单位或者个人编制；</w:t>
      </w:r>
    </w:p>
    <w:p>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2</w:t>
      </w:r>
      <w:r>
        <w:rPr>
          <w:rFonts w:hint="eastAsia" w:ascii="宋体" w:hAnsi="宋体" w:cs="宋体"/>
          <w:b/>
          <w:sz w:val="24"/>
          <w:szCs w:val="24"/>
        </w:rPr>
        <w:t>）</w:t>
      </w:r>
      <w:r>
        <w:rPr>
          <w:rFonts w:hint="eastAsia" w:ascii="宋体" w:hAnsi="宋体" w:cs="宋体"/>
          <w:b/>
          <w:sz w:val="24"/>
          <w:szCs w:val="24"/>
          <w:u w:val="single"/>
        </w:rPr>
        <w:t>不同投标人委托同一单位或者个人办理投标事宜；</w:t>
      </w:r>
    </w:p>
    <w:p>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3</w:t>
      </w:r>
      <w:r>
        <w:rPr>
          <w:rFonts w:hint="eastAsia" w:ascii="宋体" w:hAnsi="宋体" w:cs="宋体"/>
          <w:b/>
          <w:sz w:val="24"/>
          <w:szCs w:val="24"/>
        </w:rPr>
        <w:t>）</w:t>
      </w:r>
      <w:r>
        <w:rPr>
          <w:rFonts w:hint="eastAsia" w:ascii="宋体" w:hAnsi="宋体" w:cs="宋体"/>
          <w:b/>
          <w:sz w:val="24"/>
          <w:szCs w:val="24"/>
          <w:u w:val="single"/>
        </w:rPr>
        <w:t>不同投标人的投标文件载明的项目管理成员或者联系人员为同一人；</w:t>
      </w:r>
    </w:p>
    <w:p>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4</w:t>
      </w:r>
      <w:r>
        <w:rPr>
          <w:rFonts w:hint="eastAsia" w:ascii="宋体" w:hAnsi="宋体" w:cs="宋体"/>
          <w:b/>
          <w:sz w:val="24"/>
          <w:szCs w:val="24"/>
        </w:rPr>
        <w:t>）</w:t>
      </w:r>
      <w:r>
        <w:rPr>
          <w:rFonts w:hint="eastAsia" w:ascii="宋体" w:hAnsi="宋体" w:cs="宋体"/>
          <w:b/>
          <w:sz w:val="24"/>
          <w:szCs w:val="24"/>
          <w:u w:val="single"/>
        </w:rPr>
        <w:t>不同投标人的投标文件异常一致或者投标报价呈规律性差异；</w:t>
      </w:r>
    </w:p>
    <w:p>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5</w:t>
      </w:r>
      <w:r>
        <w:rPr>
          <w:rFonts w:hint="eastAsia" w:ascii="宋体" w:hAnsi="宋体" w:cs="宋体"/>
          <w:b/>
          <w:sz w:val="24"/>
          <w:szCs w:val="24"/>
        </w:rPr>
        <w:t>）</w:t>
      </w:r>
      <w:r>
        <w:rPr>
          <w:rFonts w:hint="eastAsia" w:ascii="宋体" w:hAnsi="宋体" w:cs="宋体"/>
          <w:b/>
          <w:sz w:val="24"/>
          <w:szCs w:val="24"/>
          <w:u w:val="single"/>
        </w:rPr>
        <w:t>不同投标人的投标文件相互混装；</w:t>
      </w:r>
    </w:p>
    <w:p>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6</w:t>
      </w:r>
      <w:r>
        <w:rPr>
          <w:rFonts w:hint="eastAsia" w:ascii="宋体" w:hAnsi="宋体" w:cs="宋体"/>
          <w:b/>
          <w:sz w:val="24"/>
          <w:szCs w:val="24"/>
        </w:rPr>
        <w:t>）</w:t>
      </w:r>
      <w:r>
        <w:rPr>
          <w:rFonts w:hint="eastAsia" w:ascii="宋体" w:hAnsi="宋体" w:cs="宋体"/>
          <w:b/>
          <w:sz w:val="24"/>
          <w:szCs w:val="24"/>
          <w:u w:val="single"/>
        </w:rPr>
        <w:t>不同投标人的投标保证金从同一单位或者个人的账户转出。</w:t>
      </w:r>
    </w:p>
    <w:p>
      <w:pPr>
        <w:spacing w:line="360" w:lineRule="auto"/>
        <w:ind w:firstLine="482" w:firstLineChars="200"/>
        <w:rPr>
          <w:rFonts w:ascii="宋体" w:cs="宋体"/>
          <w:sz w:val="24"/>
          <w:szCs w:val="24"/>
        </w:rPr>
      </w:pPr>
      <w:r>
        <w:rPr>
          <w:rFonts w:ascii="宋体" w:hAnsi="宋体" w:cs="宋体"/>
          <w:b/>
          <w:bCs/>
          <w:sz w:val="24"/>
          <w:szCs w:val="24"/>
        </w:rPr>
        <w:t xml:space="preserve">26.5 </w:t>
      </w:r>
      <w:r>
        <w:rPr>
          <w:rFonts w:hint="eastAsia" w:ascii="宋体" w:hAnsi="宋体" w:cs="宋体"/>
          <w:b/>
          <w:sz w:val="24"/>
          <w:szCs w:val="24"/>
        </w:rPr>
        <w:t>投标文件的详细评审</w:t>
      </w:r>
    </w:p>
    <w:p>
      <w:pPr>
        <w:spacing w:line="360" w:lineRule="auto"/>
        <w:ind w:firstLine="480" w:firstLineChars="200"/>
        <w:rPr>
          <w:rFonts w:ascii="宋体" w:cs="宋体"/>
          <w:sz w:val="24"/>
          <w:szCs w:val="24"/>
        </w:rPr>
      </w:pPr>
      <w:r>
        <w:rPr>
          <w:rFonts w:ascii="宋体" w:hAnsi="宋体" w:cs="宋体"/>
          <w:sz w:val="24"/>
          <w:szCs w:val="24"/>
        </w:rPr>
        <w:t xml:space="preserve">26.5.1 </w:t>
      </w:r>
      <w:r>
        <w:rPr>
          <w:rFonts w:hint="eastAsia" w:ascii="宋体" w:hAnsi="宋体" w:cs="宋体"/>
          <w:sz w:val="24"/>
          <w:szCs w:val="24"/>
        </w:rPr>
        <w:t>评标委员会将按照本须知第</w:t>
      </w:r>
      <w:r>
        <w:rPr>
          <w:rFonts w:ascii="宋体" w:hAnsi="宋体" w:cs="宋体"/>
          <w:sz w:val="24"/>
          <w:szCs w:val="24"/>
        </w:rPr>
        <w:t>26.4</w:t>
      </w:r>
      <w:r>
        <w:rPr>
          <w:rFonts w:hint="eastAsia" w:ascii="宋体" w:hAnsi="宋体" w:cs="宋体"/>
          <w:sz w:val="24"/>
          <w:szCs w:val="24"/>
        </w:rPr>
        <w:t>条规定，只对确定为实质上响应招标文件要求的投标进行详细评审。</w:t>
      </w:r>
    </w:p>
    <w:p>
      <w:pPr>
        <w:spacing w:line="360" w:lineRule="auto"/>
        <w:ind w:firstLine="480" w:firstLineChars="200"/>
        <w:rPr>
          <w:rFonts w:ascii="宋体" w:cs="宋体"/>
          <w:sz w:val="24"/>
          <w:szCs w:val="24"/>
        </w:rPr>
      </w:pPr>
      <w:r>
        <w:rPr>
          <w:rFonts w:ascii="宋体" w:hAnsi="宋体" w:cs="宋体"/>
          <w:sz w:val="24"/>
          <w:szCs w:val="24"/>
        </w:rPr>
        <w:t xml:space="preserve">26.5.2 </w:t>
      </w:r>
      <w:r>
        <w:rPr>
          <w:rFonts w:hint="eastAsia" w:ascii="宋体" w:hAnsi="宋体" w:cs="宋体"/>
          <w:sz w:val="24"/>
          <w:szCs w:val="24"/>
        </w:rPr>
        <w:t>详细评审即以招标文件为依据，对所有实质上响应的投标分别从“商务”、“技术”和“价格”三个方面进行评审并按照百分制进行综合打分（详见第六章评标标准）。</w:t>
      </w:r>
    </w:p>
    <w:p>
      <w:pPr>
        <w:spacing w:line="360" w:lineRule="auto"/>
        <w:ind w:firstLine="482" w:firstLineChars="200"/>
        <w:rPr>
          <w:rFonts w:ascii="宋体" w:cs="宋体"/>
          <w:b/>
          <w:sz w:val="24"/>
          <w:szCs w:val="24"/>
        </w:rPr>
      </w:pPr>
      <w:r>
        <w:rPr>
          <w:rFonts w:ascii="宋体" w:hAnsi="宋体" w:cs="宋体"/>
          <w:b/>
          <w:sz w:val="24"/>
          <w:szCs w:val="24"/>
        </w:rPr>
        <w:t>26.6</w:t>
      </w:r>
      <w:r>
        <w:rPr>
          <w:rFonts w:hint="eastAsia" w:ascii="宋体" w:hAnsi="宋体" w:cs="宋体"/>
          <w:b/>
          <w:sz w:val="24"/>
          <w:szCs w:val="24"/>
        </w:rPr>
        <w:t>中标人的确定</w:t>
      </w:r>
    </w:p>
    <w:p>
      <w:pPr>
        <w:spacing w:line="360" w:lineRule="auto"/>
        <w:ind w:firstLine="480" w:firstLineChars="200"/>
        <w:rPr>
          <w:rFonts w:ascii="宋体" w:cs="宋体"/>
          <w:sz w:val="24"/>
          <w:szCs w:val="24"/>
        </w:rPr>
      </w:pPr>
      <w:r>
        <w:rPr>
          <w:rFonts w:hint="eastAsia" w:ascii="宋体" w:hAnsi="宋体" w:cs="宋体"/>
          <w:sz w:val="24"/>
          <w:szCs w:val="24"/>
        </w:rPr>
        <w:t>评标委员会对进入详细评审的投标人进行综合评分并按得分由高到低顺序排列，得分相同的，按投标报价由低到高顺序排列，得分且投标报价相同的，按评审因素的技术指标评审得分高低顺序。由采购人按照评标委员会推荐的中标候选人顺序确定中标投标人。</w:t>
      </w:r>
    </w:p>
    <w:p>
      <w:pPr>
        <w:spacing w:line="360" w:lineRule="auto"/>
        <w:ind w:firstLine="482" w:firstLineChars="200"/>
        <w:rPr>
          <w:rFonts w:ascii="宋体" w:cs="宋体"/>
          <w:b/>
          <w:sz w:val="24"/>
          <w:szCs w:val="24"/>
        </w:rPr>
      </w:pPr>
      <w:r>
        <w:rPr>
          <w:rFonts w:ascii="宋体" w:hAnsi="宋体" w:cs="宋体"/>
          <w:b/>
          <w:sz w:val="24"/>
          <w:szCs w:val="24"/>
        </w:rPr>
        <w:t>27.</w:t>
      </w:r>
      <w:r>
        <w:rPr>
          <w:rFonts w:hint="eastAsia" w:ascii="宋体" w:hAnsi="宋体" w:cs="宋体"/>
          <w:b/>
          <w:sz w:val="24"/>
          <w:szCs w:val="24"/>
        </w:rPr>
        <w:t>与采购代理机构、采购人和评标委员会的接触</w:t>
      </w:r>
    </w:p>
    <w:p>
      <w:pPr>
        <w:spacing w:line="360" w:lineRule="auto"/>
        <w:ind w:firstLine="480" w:firstLineChars="200"/>
        <w:rPr>
          <w:rFonts w:ascii="宋体" w:cs="宋体"/>
          <w:sz w:val="24"/>
          <w:szCs w:val="24"/>
        </w:rPr>
      </w:pPr>
      <w:r>
        <w:rPr>
          <w:rFonts w:ascii="宋体" w:hAnsi="宋体" w:cs="宋体"/>
          <w:sz w:val="24"/>
          <w:szCs w:val="24"/>
        </w:rPr>
        <w:t xml:space="preserve">27.1 </w:t>
      </w:r>
      <w:r>
        <w:rPr>
          <w:rFonts w:hint="eastAsia" w:ascii="宋体" w:hAnsi="宋体" w:cs="宋体"/>
          <w:sz w:val="24"/>
          <w:szCs w:val="24"/>
        </w:rPr>
        <w:t>除本须知第</w:t>
      </w:r>
      <w:r>
        <w:rPr>
          <w:rFonts w:ascii="宋体" w:hAnsi="宋体" w:cs="宋体"/>
          <w:sz w:val="24"/>
          <w:szCs w:val="24"/>
        </w:rPr>
        <w:t>26.3</w:t>
      </w:r>
      <w:r>
        <w:rPr>
          <w:rFonts w:hint="eastAsia" w:ascii="宋体" w:hAnsi="宋体" w:cs="宋体"/>
          <w:sz w:val="24"/>
          <w:szCs w:val="24"/>
        </w:rPr>
        <w:t>条的规定外，从开标之日起至公布中标结果之日止，投标人不得就与其投标有关的事项与采购代理机构、采购人以及评标委员会成员接触，但经评标委员会同意的澄清、答疑期间除外。</w:t>
      </w:r>
    </w:p>
    <w:p>
      <w:pPr>
        <w:spacing w:line="360" w:lineRule="auto"/>
        <w:ind w:firstLine="480" w:firstLineChars="200"/>
        <w:rPr>
          <w:rFonts w:ascii="宋体" w:cs="宋体"/>
          <w:sz w:val="24"/>
          <w:szCs w:val="24"/>
        </w:rPr>
      </w:pPr>
      <w:r>
        <w:rPr>
          <w:rFonts w:ascii="宋体" w:hAnsi="宋体" w:cs="宋体"/>
          <w:sz w:val="24"/>
          <w:szCs w:val="24"/>
        </w:rPr>
        <w:t xml:space="preserve">27.2 </w:t>
      </w:r>
      <w:r>
        <w:rPr>
          <w:rFonts w:hint="eastAsia" w:ascii="宋体" w:hAnsi="宋体" w:cs="宋体"/>
          <w:sz w:val="24"/>
          <w:szCs w:val="24"/>
        </w:rPr>
        <w:t>投标人试图对采购代理机构、采购人和评标委员会的评标、比较或授予合同的决定进行影响，都可能导致其投标无效。</w:t>
      </w:r>
      <w:bookmarkStart w:id="70" w:name="_Toc2511974"/>
      <w:bookmarkStart w:id="71" w:name="_Toc493422653"/>
      <w:bookmarkStart w:id="72" w:name="_Toc2355233"/>
      <w:bookmarkStart w:id="73" w:name="_Toc322446894"/>
      <w:bookmarkStart w:id="74" w:name="_Toc14776841"/>
    </w:p>
    <w:p>
      <w:pPr>
        <w:spacing w:line="360" w:lineRule="auto"/>
        <w:rPr>
          <w:rFonts w:ascii="宋体" w:cs="宋体"/>
          <w:sz w:val="24"/>
          <w:szCs w:val="24"/>
        </w:rPr>
      </w:pPr>
    </w:p>
    <w:p>
      <w:pPr>
        <w:spacing w:line="360" w:lineRule="auto"/>
        <w:rPr>
          <w:rFonts w:ascii="宋体" w:cs="宋体"/>
          <w:b/>
          <w:sz w:val="24"/>
          <w:szCs w:val="24"/>
        </w:rPr>
      </w:pPr>
      <w:r>
        <w:rPr>
          <w:rFonts w:hint="eastAsia" w:ascii="宋体" w:hAnsi="宋体" w:cs="宋体"/>
          <w:b/>
          <w:sz w:val="24"/>
          <w:szCs w:val="24"/>
        </w:rPr>
        <w:t>六、授予合同</w:t>
      </w:r>
      <w:bookmarkEnd w:id="70"/>
      <w:bookmarkEnd w:id="71"/>
      <w:bookmarkEnd w:id="72"/>
      <w:bookmarkEnd w:id="73"/>
      <w:bookmarkEnd w:id="74"/>
    </w:p>
    <w:p>
      <w:pPr>
        <w:spacing w:line="360" w:lineRule="auto"/>
        <w:ind w:firstLine="482" w:firstLineChars="200"/>
        <w:rPr>
          <w:rFonts w:ascii="宋体" w:cs="宋体"/>
          <w:b/>
          <w:sz w:val="24"/>
          <w:szCs w:val="24"/>
        </w:rPr>
      </w:pPr>
      <w:r>
        <w:rPr>
          <w:rFonts w:ascii="宋体" w:hAnsi="宋体" w:cs="宋体"/>
          <w:b/>
          <w:sz w:val="24"/>
          <w:szCs w:val="24"/>
        </w:rPr>
        <w:t>28.</w:t>
      </w:r>
      <w:r>
        <w:rPr>
          <w:rFonts w:hint="eastAsia" w:ascii="宋体" w:hAnsi="宋体" w:cs="宋体"/>
          <w:b/>
          <w:sz w:val="24"/>
          <w:szCs w:val="24"/>
        </w:rPr>
        <w:t>合同授予标准</w:t>
      </w:r>
    </w:p>
    <w:p>
      <w:pPr>
        <w:spacing w:line="360" w:lineRule="auto"/>
        <w:ind w:firstLine="480" w:firstLineChars="200"/>
        <w:rPr>
          <w:rFonts w:ascii="宋体" w:cs="宋体"/>
          <w:sz w:val="24"/>
          <w:szCs w:val="24"/>
        </w:rPr>
      </w:pPr>
      <w:r>
        <w:rPr>
          <w:rFonts w:ascii="宋体" w:hAnsi="宋体" w:cs="宋体"/>
          <w:sz w:val="24"/>
          <w:szCs w:val="24"/>
        </w:rPr>
        <w:t xml:space="preserve">28.1 </w:t>
      </w:r>
      <w:r>
        <w:rPr>
          <w:rFonts w:hint="eastAsia" w:ascii="宋体" w:hAnsi="宋体" w:cs="宋体"/>
          <w:sz w:val="24"/>
          <w:szCs w:val="24"/>
        </w:rPr>
        <w:t>除第</w:t>
      </w:r>
      <w:r>
        <w:rPr>
          <w:rFonts w:ascii="宋体" w:hAnsi="宋体" w:cs="宋体"/>
          <w:sz w:val="24"/>
          <w:szCs w:val="24"/>
        </w:rPr>
        <w:t>31</w:t>
      </w:r>
      <w:r>
        <w:rPr>
          <w:rFonts w:hint="eastAsia" w:ascii="宋体" w:hAnsi="宋体" w:cs="宋体"/>
          <w:sz w:val="24"/>
          <w:szCs w:val="24"/>
        </w:rPr>
        <w:t>条的规定之外，采购代理机构将把合同授予被确定为实质上响应招标文件的要求并有履行合同能力的具有合理报价的合格投标人。</w:t>
      </w:r>
    </w:p>
    <w:p>
      <w:pPr>
        <w:spacing w:line="360" w:lineRule="auto"/>
        <w:ind w:firstLine="482" w:firstLineChars="200"/>
        <w:rPr>
          <w:rFonts w:ascii="宋体" w:cs="宋体"/>
          <w:b/>
          <w:sz w:val="24"/>
          <w:szCs w:val="24"/>
        </w:rPr>
      </w:pPr>
      <w:r>
        <w:rPr>
          <w:rFonts w:ascii="宋体" w:hAnsi="宋体" w:cs="宋体"/>
          <w:b/>
          <w:sz w:val="24"/>
          <w:szCs w:val="24"/>
        </w:rPr>
        <w:t>29.</w:t>
      </w:r>
      <w:r>
        <w:rPr>
          <w:rFonts w:hint="eastAsia" w:ascii="宋体" w:hAnsi="宋体" w:cs="宋体"/>
          <w:b/>
          <w:sz w:val="24"/>
          <w:szCs w:val="24"/>
        </w:rPr>
        <w:t>接受和拒绝任何或所有投标的权利</w:t>
      </w:r>
    </w:p>
    <w:p>
      <w:pPr>
        <w:spacing w:line="360" w:lineRule="auto"/>
        <w:ind w:firstLine="480" w:firstLineChars="200"/>
        <w:rPr>
          <w:rFonts w:ascii="宋体" w:cs="宋体"/>
          <w:sz w:val="24"/>
          <w:szCs w:val="24"/>
        </w:rPr>
      </w:pPr>
      <w:r>
        <w:rPr>
          <w:rFonts w:ascii="宋体" w:hAnsi="宋体" w:cs="宋体"/>
          <w:sz w:val="24"/>
          <w:szCs w:val="24"/>
        </w:rPr>
        <w:t>29.1</w:t>
      </w:r>
      <w:r>
        <w:rPr>
          <w:rFonts w:hint="eastAsia" w:ascii="宋体" w:hAnsi="宋体" w:cs="宋体"/>
          <w:sz w:val="24"/>
          <w:szCs w:val="24"/>
        </w:rPr>
        <w:t>采购人或采购代理机构保留依法定事由、不可抗力或政府采购主管部门相关要求，拒绝任何或所有投标的权利，或宣布招标无效的权利。对受影响的投标人不承担任何责任。</w:t>
      </w:r>
    </w:p>
    <w:p>
      <w:pPr>
        <w:spacing w:line="360" w:lineRule="auto"/>
        <w:ind w:firstLine="482" w:firstLineChars="200"/>
        <w:rPr>
          <w:rFonts w:ascii="宋体" w:cs="宋体"/>
          <w:b/>
          <w:sz w:val="24"/>
          <w:szCs w:val="24"/>
        </w:rPr>
      </w:pPr>
      <w:r>
        <w:rPr>
          <w:rFonts w:ascii="宋体" w:hAnsi="宋体" w:cs="宋体"/>
          <w:b/>
          <w:sz w:val="24"/>
          <w:szCs w:val="24"/>
        </w:rPr>
        <w:t>30.</w:t>
      </w:r>
      <w:r>
        <w:rPr>
          <w:rFonts w:hint="eastAsia" w:ascii="宋体" w:hAnsi="宋体" w:cs="宋体"/>
          <w:b/>
          <w:sz w:val="24"/>
          <w:szCs w:val="24"/>
        </w:rPr>
        <w:t>中标通知书</w:t>
      </w:r>
    </w:p>
    <w:p>
      <w:pPr>
        <w:spacing w:line="360" w:lineRule="auto"/>
        <w:ind w:firstLine="480" w:firstLineChars="200"/>
        <w:rPr>
          <w:rFonts w:ascii="宋体" w:cs="宋体"/>
          <w:sz w:val="24"/>
          <w:szCs w:val="24"/>
        </w:rPr>
      </w:pPr>
      <w:r>
        <w:rPr>
          <w:rFonts w:ascii="宋体" w:hAnsi="宋体" w:cs="宋体"/>
          <w:sz w:val="24"/>
          <w:szCs w:val="24"/>
        </w:rPr>
        <w:t xml:space="preserve">30.1 </w:t>
      </w:r>
      <w:r>
        <w:rPr>
          <w:rFonts w:hint="eastAsia" w:ascii="宋体" w:hAnsi="宋体" w:cs="宋体"/>
          <w:sz w:val="24"/>
          <w:szCs w:val="24"/>
        </w:rPr>
        <w:t>中标人确定后，采购代理机构将向中标人发出中标通知书，告知未中标人本人的评审得分与排序。</w:t>
      </w:r>
    </w:p>
    <w:p>
      <w:pPr>
        <w:spacing w:line="360" w:lineRule="auto"/>
        <w:ind w:firstLine="480" w:firstLineChars="200"/>
        <w:rPr>
          <w:rFonts w:ascii="宋体" w:cs="宋体"/>
          <w:sz w:val="24"/>
          <w:szCs w:val="24"/>
        </w:rPr>
      </w:pPr>
      <w:r>
        <w:rPr>
          <w:rFonts w:ascii="宋体" w:hAnsi="宋体" w:cs="宋体"/>
          <w:sz w:val="24"/>
          <w:szCs w:val="24"/>
        </w:rPr>
        <w:t xml:space="preserve">30.2 </w:t>
      </w:r>
      <w:r>
        <w:rPr>
          <w:rFonts w:hint="eastAsia" w:ascii="宋体" w:hAnsi="宋体" w:cs="宋体"/>
          <w:sz w:val="24"/>
          <w:szCs w:val="24"/>
        </w:rPr>
        <w:t>中标通知书是合同的一个组成部分，没有提交书面中标通知书所签署的合同属于无效合同。</w:t>
      </w:r>
    </w:p>
    <w:p>
      <w:pPr>
        <w:spacing w:line="360" w:lineRule="auto"/>
        <w:ind w:firstLine="480" w:firstLineChars="200"/>
        <w:rPr>
          <w:rFonts w:ascii="宋体" w:cs="宋体"/>
          <w:sz w:val="24"/>
          <w:szCs w:val="24"/>
        </w:rPr>
      </w:pPr>
      <w:r>
        <w:rPr>
          <w:rFonts w:ascii="宋体" w:hAnsi="宋体" w:cs="宋体"/>
          <w:sz w:val="24"/>
          <w:szCs w:val="24"/>
        </w:rPr>
        <w:t>30.3</w:t>
      </w:r>
      <w:r>
        <w:rPr>
          <w:rFonts w:hint="eastAsia" w:ascii="宋体" w:hAnsi="宋体" w:cs="宋体"/>
          <w:sz w:val="24"/>
          <w:szCs w:val="24"/>
        </w:rPr>
        <w:t>中标结果公告发布后，中标人到代理机构领取中标通知书，未中标的投标人到代理机构领取落标通知书。</w:t>
      </w:r>
    </w:p>
    <w:p>
      <w:pPr>
        <w:spacing w:line="360" w:lineRule="auto"/>
        <w:ind w:firstLine="482" w:firstLineChars="200"/>
        <w:rPr>
          <w:rFonts w:ascii="宋体" w:cs="宋体"/>
          <w:b/>
          <w:sz w:val="24"/>
          <w:szCs w:val="24"/>
        </w:rPr>
      </w:pPr>
      <w:r>
        <w:rPr>
          <w:rFonts w:ascii="宋体" w:hAnsi="宋体" w:cs="宋体"/>
          <w:b/>
          <w:sz w:val="24"/>
          <w:szCs w:val="24"/>
        </w:rPr>
        <w:t>31.</w:t>
      </w:r>
      <w:r>
        <w:rPr>
          <w:rFonts w:hint="eastAsia" w:ascii="宋体" w:hAnsi="宋体" w:cs="宋体"/>
          <w:b/>
          <w:sz w:val="24"/>
          <w:szCs w:val="24"/>
        </w:rPr>
        <w:t>签订合同</w:t>
      </w:r>
    </w:p>
    <w:p>
      <w:pPr>
        <w:spacing w:line="360" w:lineRule="auto"/>
        <w:ind w:firstLine="480" w:firstLineChars="200"/>
        <w:rPr>
          <w:rFonts w:ascii="宋体" w:cs="宋体"/>
          <w:sz w:val="24"/>
          <w:szCs w:val="24"/>
        </w:rPr>
      </w:pPr>
      <w:r>
        <w:rPr>
          <w:rFonts w:ascii="宋体" w:hAnsi="宋体" w:cs="宋体"/>
          <w:sz w:val="24"/>
          <w:szCs w:val="24"/>
        </w:rPr>
        <w:t>31.1</w:t>
      </w:r>
      <w:r>
        <w:rPr>
          <w:rFonts w:hint="eastAsia" w:ascii="宋体" w:hAnsi="宋体" w:cs="宋体"/>
          <w:sz w:val="24"/>
          <w:szCs w:val="24"/>
        </w:rPr>
        <w:t>中标人应当自中标通知书发出之日起三十日内，按照招标文件和中标人投标文件的约定，与采购人签订书面合同。所签订的合同不得对招标文件和中标供商投标文件作实质性修改。</w:t>
      </w:r>
    </w:p>
    <w:p>
      <w:pPr>
        <w:spacing w:line="360" w:lineRule="auto"/>
        <w:ind w:firstLine="480" w:firstLineChars="200"/>
        <w:rPr>
          <w:rFonts w:ascii="宋体" w:hAnsi="宋体" w:cs="宋体"/>
          <w:sz w:val="24"/>
        </w:rPr>
      </w:pPr>
      <w:r>
        <w:rPr>
          <w:rFonts w:ascii="宋体" w:hAnsi="宋体" w:cs="宋体"/>
          <w:sz w:val="24"/>
          <w:szCs w:val="24"/>
        </w:rPr>
        <w:t>31.2</w:t>
      </w:r>
      <w:r>
        <w:rPr>
          <w:rFonts w:hint="eastAsia" w:ascii="宋体" w:hAnsi="宋体" w:cs="宋体"/>
          <w:sz w:val="24"/>
        </w:rPr>
        <w:t>如中标人没有按照本须知</w:t>
      </w:r>
      <w:r>
        <w:rPr>
          <w:rFonts w:ascii="宋体" w:hAnsi="宋体" w:cs="宋体"/>
          <w:sz w:val="24"/>
        </w:rPr>
        <w:t>31.1</w:t>
      </w:r>
      <w:r>
        <w:rPr>
          <w:rFonts w:hint="eastAsia" w:ascii="宋体" w:hAnsi="宋体" w:cs="宋体"/>
          <w:sz w:val="24"/>
        </w:rPr>
        <w:t>条规定执行，应当依法承担法律责任，投标保证金也将不予退还。在此情况下，招标采购单位可将合同授予排名在中标人下一位的中标候选人，也可以重新招标。</w:t>
      </w:r>
    </w:p>
    <w:p>
      <w:pPr>
        <w:pStyle w:val="21"/>
        <w:ind w:firstLine="480" w:firstLineChars="200"/>
        <w:rPr>
          <w:rFonts w:ascii="宋体" w:hAnsi="宋体" w:cs="宋体"/>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rPr>
        <w:t>31.3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rPr>
          <w:rFonts w:ascii="宋体" w:cs="宋体"/>
          <w:w w:val="90"/>
          <w:sz w:val="36"/>
        </w:rPr>
      </w:pPr>
      <w:bookmarkStart w:id="75" w:name="_Toc14776842"/>
      <w:bookmarkStart w:id="76" w:name="_Toc2511975"/>
    </w:p>
    <w:p>
      <w:pPr>
        <w:rPr>
          <w:rFonts w:ascii="宋体" w:cs="宋体"/>
          <w:w w:val="90"/>
          <w:sz w:val="36"/>
        </w:rPr>
      </w:pPr>
    </w:p>
    <w:p>
      <w:pPr>
        <w:rPr>
          <w:rFonts w:ascii="宋体" w:cs="宋体"/>
          <w:w w:val="90"/>
          <w:sz w:val="36"/>
        </w:rPr>
      </w:pPr>
    </w:p>
    <w:p>
      <w:pPr>
        <w:rPr>
          <w:rFonts w:ascii="宋体" w:cs="宋体"/>
          <w:w w:val="90"/>
          <w:sz w:val="36"/>
        </w:rPr>
      </w:pPr>
    </w:p>
    <w:p>
      <w:pPr>
        <w:pStyle w:val="21"/>
      </w:pPr>
    </w:p>
    <w:p>
      <w:pPr>
        <w:pStyle w:val="21"/>
      </w:pPr>
    </w:p>
    <w:p>
      <w:pPr>
        <w:pStyle w:val="21"/>
      </w:pPr>
    </w:p>
    <w:p>
      <w:pPr>
        <w:pStyle w:val="21"/>
      </w:pPr>
    </w:p>
    <w:p>
      <w:pPr>
        <w:pStyle w:val="21"/>
      </w:pPr>
    </w:p>
    <w:p>
      <w:pPr>
        <w:pStyle w:val="3"/>
        <w:spacing w:before="100" w:beforeAutospacing="1" w:after="100" w:afterAutospacing="1" w:line="360" w:lineRule="auto"/>
        <w:jc w:val="center"/>
        <w:rPr>
          <w:rFonts w:ascii="宋体" w:cs="宋体"/>
          <w:w w:val="90"/>
          <w:sz w:val="36"/>
        </w:rPr>
        <w:sectPr>
          <w:footerReference r:id="rId6" w:type="default"/>
          <w:pgSz w:w="11907" w:h="16840"/>
          <w:pgMar w:top="1440" w:right="1469" w:bottom="1440" w:left="1622" w:header="851" w:footer="992" w:gutter="0"/>
          <w:pgBorders>
            <w:top w:val="none" w:sz="0" w:space="0"/>
            <w:left w:val="none" w:sz="0" w:space="0"/>
            <w:bottom w:val="none" w:sz="0" w:space="0"/>
            <w:right w:val="none" w:sz="0" w:space="0"/>
          </w:pgBorders>
          <w:cols w:space="720" w:num="1"/>
          <w:docGrid w:linePitch="312" w:charSpace="0"/>
        </w:sectPr>
      </w:pPr>
      <w:bookmarkStart w:id="77" w:name="_Toc44704904"/>
      <w:bookmarkStart w:id="78" w:name="_Toc44705051"/>
      <w:bookmarkStart w:id="79" w:name="_Toc44705272"/>
      <w:r>
        <w:rPr>
          <w:rFonts w:hint="eastAsia" w:ascii="宋体" w:hAnsi="宋体" w:cs="宋体"/>
          <w:w w:val="90"/>
        </w:rPr>
        <w:t>第四章</w:t>
      </w:r>
      <w:r>
        <w:rPr>
          <w:rFonts w:ascii="宋体" w:hAnsi="宋体" w:cs="宋体"/>
          <w:w w:val="90"/>
        </w:rPr>
        <w:t xml:space="preserve"> </w:t>
      </w:r>
      <w:r>
        <w:rPr>
          <w:rFonts w:hint="eastAsia" w:ascii="宋体" w:hAnsi="宋体" w:cs="宋体"/>
          <w:w w:val="90"/>
        </w:rPr>
        <w:t>合同文本格式</w:t>
      </w:r>
      <w:bookmarkEnd w:id="75"/>
      <w:bookmarkEnd w:id="76"/>
      <w:bookmarkEnd w:id="77"/>
      <w:bookmarkEnd w:id="78"/>
      <w:bookmarkEnd w:id="79"/>
    </w:p>
    <w:p>
      <w:pPr>
        <w:jc w:val="center"/>
        <w:rPr>
          <w:rFonts w:ascii="宋体" w:hAnsi="宋体"/>
          <w:sz w:val="24"/>
          <w:szCs w:val="24"/>
        </w:rPr>
      </w:pPr>
      <w:bookmarkStart w:id="80" w:name="_Toc44700089"/>
      <w:bookmarkStart w:id="81" w:name="_Toc2511976"/>
      <w:bookmarkStart w:id="82" w:name="_Toc14776843"/>
      <w:bookmarkStart w:id="83" w:name="_Toc44705052"/>
      <w:bookmarkStart w:id="84" w:name="_Toc44705273"/>
      <w:bookmarkStart w:id="85" w:name="_Toc44704905"/>
      <w:r>
        <w:rPr>
          <w:rFonts w:hint="eastAsia" w:ascii="宋体" w:hAnsi="宋体"/>
          <w:sz w:val="44"/>
          <w:szCs w:val="44"/>
        </w:rPr>
        <w:t>第四章 政府采购合同</w:t>
      </w:r>
      <w:bookmarkEnd w:id="80"/>
    </w:p>
    <w:p>
      <w:pPr>
        <w:spacing w:line="440" w:lineRule="exact"/>
        <w:ind w:firstLine="412" w:firstLineChars="200"/>
        <w:jc w:val="center"/>
        <w:rPr>
          <w:rFonts w:hint="eastAsia" w:ascii="宋体" w:hAnsi="宋体" w:eastAsia="宋体"/>
          <w:spacing w:val="-2"/>
          <w:szCs w:val="21"/>
          <w:lang w:eastAsia="zh-CN"/>
        </w:rPr>
      </w:pPr>
      <w:r>
        <w:rPr>
          <w:rFonts w:hint="eastAsia" w:ascii="宋体" w:hAnsi="宋体"/>
          <w:spacing w:val="-2"/>
          <w:szCs w:val="21"/>
        </w:rPr>
        <w:t>合同样本</w:t>
      </w:r>
      <w:r>
        <w:rPr>
          <w:rFonts w:hint="eastAsia" w:ascii="宋体" w:hAnsi="宋体"/>
          <w:spacing w:val="-2"/>
          <w:szCs w:val="21"/>
          <w:lang w:eastAsia="zh-CN"/>
        </w:rPr>
        <w:t>（</w:t>
      </w:r>
      <w:r>
        <w:rPr>
          <w:rFonts w:hint="eastAsia" w:ascii="宋体" w:hAnsi="宋体"/>
          <w:spacing w:val="-2"/>
          <w:szCs w:val="21"/>
          <w:lang w:val="en-US" w:eastAsia="zh-CN"/>
        </w:rPr>
        <w:t>以实际签订为准</w:t>
      </w:r>
      <w:r>
        <w:rPr>
          <w:rFonts w:hint="eastAsia" w:ascii="宋体" w:hAnsi="宋体"/>
          <w:spacing w:val="-2"/>
          <w:szCs w:val="21"/>
          <w:lang w:eastAsia="zh-CN"/>
        </w:rPr>
        <w:t>）</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第一章 体检协议书（范文）</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甲方：</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 xml:space="preserve">乙方： </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双方本着加强劳动保护和对员工健康负责的态度，共同为甲方员工提供健康管理服务，为了明确甲乙双方的责任和义务，经双方友好协商，协议如下：</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1.甲方负责全面组织、安排员工进行健康体检工作，并指定联系人       ，</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电话       ，并由联系人和乙方共同协商安排好时间、地点及相关事宜。</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2.乙方负责对         干部职工的体检方案的设计，在甲方的认可下，实施体检方案，并根据方案的具体项目周密地安排好员工的体检工作，同时负责把体检的相关注意事项告知甲方。</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3.乙方要以严肃认真、及时准确、高度负责的态度和行为，为甲方员工提供优质高效的健康管理服务。为了确保质量，甲方要向乙方提供参检人员的基本信息。乙方应派出有经验并具有中级以上职称的医务人员对甲方参检员工进行体检，并将主检人员安排情况告知甲方。乙方不得让没有经验的中级职称以下人员（尤其是实习生）对甲方参检员工进行体检：如有发现，甲方有权拒付全部体检费用。</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4.乙方对此次健康体检的报告负责，若在规定体检项目和应有技术水平范围内，因工作缺陷造成体检质量问题的（即应发现而未发现的严重恶性病变），乙方应负责予以合理解释，如果造成负面影响的，应给予当事人适当补救措施。乙方对体检结果负责三个月。</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5.为了进一步向甲方员工提供健康管理服务，乙方承诺给甲方员工免费建立和维护健康档案，为甲方员工的常见病和多发病提供一次健康教育讲座回访（甲方负责组织，或由甲方点题讲座），为甲方所在地建立和维护健康教育一幅专栏。</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6.体检项目：</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7.体检费每人    元，名单由甲方提供，共         人，体检费按实际体检人数结算，在体检结束后           个月内支付。</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8.本协议未尽事宜由双方协商解决。</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9.本协议一式四份，甲乙双方各持两份，具有同等效力，本协议自签订之日起生效。</w:t>
      </w:r>
    </w:p>
    <w:p>
      <w:pPr>
        <w:spacing w:line="440" w:lineRule="exact"/>
        <w:ind w:firstLine="472" w:firstLineChars="200"/>
        <w:rPr>
          <w:rFonts w:hint="eastAsia" w:ascii="宋体" w:hAnsi="宋体"/>
          <w:spacing w:val="-2"/>
          <w:sz w:val="24"/>
          <w:szCs w:val="24"/>
        </w:rPr>
      </w:pP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甲方（盖章）：                      乙方（盖章）：</w:t>
      </w:r>
    </w:p>
    <w:p>
      <w:pPr>
        <w:spacing w:line="440" w:lineRule="exact"/>
        <w:ind w:firstLine="472" w:firstLineChars="200"/>
        <w:rPr>
          <w:rFonts w:hint="eastAsia" w:ascii="宋体" w:hAnsi="宋体"/>
          <w:spacing w:val="-2"/>
          <w:sz w:val="24"/>
          <w:szCs w:val="24"/>
        </w:rPr>
      </w:pP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法人代表或代理人：             法人代表或代理人：</w:t>
      </w:r>
    </w:p>
    <w:p/>
    <w:p>
      <w:pPr>
        <w:pStyle w:val="21"/>
      </w:pPr>
    </w:p>
    <w:p/>
    <w:p>
      <w:pPr>
        <w:pStyle w:val="3"/>
        <w:jc w:val="center"/>
      </w:pPr>
    </w:p>
    <w:p>
      <w:pPr>
        <w:pStyle w:val="3"/>
        <w:jc w:val="center"/>
      </w:pPr>
    </w:p>
    <w:p>
      <w:pPr>
        <w:rPr>
          <w:rFonts w:hint="eastAsia"/>
        </w:rPr>
      </w:pPr>
      <w:r>
        <w:rPr>
          <w:rFonts w:hint="eastAsia"/>
        </w:rPr>
        <w:br w:type="page"/>
      </w:r>
    </w:p>
    <w:p>
      <w:pPr>
        <w:pStyle w:val="3"/>
        <w:jc w:val="center"/>
        <w:rPr>
          <w:rFonts w:hint="eastAsia"/>
        </w:rPr>
      </w:pPr>
    </w:p>
    <w:p>
      <w:pPr>
        <w:pStyle w:val="3"/>
        <w:jc w:val="center"/>
        <w:rPr>
          <w:rFonts w:hint="eastAsia"/>
        </w:rPr>
      </w:pPr>
    </w:p>
    <w:p>
      <w:pPr>
        <w:pStyle w:val="3"/>
        <w:jc w:val="center"/>
        <w:rPr>
          <w:rFonts w:hint="eastAsia"/>
        </w:rPr>
      </w:pPr>
    </w:p>
    <w:p>
      <w:pPr>
        <w:pStyle w:val="3"/>
        <w:jc w:val="center"/>
        <w:rPr>
          <w:rFonts w:ascii="宋体" w:cs="宋体"/>
          <w:w w:val="90"/>
        </w:rPr>
      </w:pPr>
      <w:r>
        <w:rPr>
          <w:rFonts w:hint="eastAsia"/>
        </w:rPr>
        <w:t>第五章</w:t>
      </w:r>
      <w:r>
        <w:t xml:space="preserve"> </w:t>
      </w:r>
      <w:r>
        <w:rPr>
          <w:rFonts w:hint="eastAsia"/>
        </w:rPr>
        <w:t>采购需求</w:t>
      </w:r>
      <w:bookmarkEnd w:id="81"/>
      <w:bookmarkEnd w:id="82"/>
      <w:bookmarkEnd w:id="83"/>
      <w:bookmarkEnd w:id="84"/>
      <w:bookmarkEnd w:id="85"/>
      <w:bookmarkStart w:id="86" w:name="_Toc2511994"/>
      <w:bookmarkStart w:id="87" w:name="_Toc14776844"/>
    </w:p>
    <w:p>
      <w:pPr>
        <w:widowControl/>
        <w:snapToGrid w:val="0"/>
        <w:spacing w:line="216" w:lineRule="auto"/>
        <w:ind w:firstLine="567" w:firstLineChars="300"/>
        <w:textAlignment w:val="baseline"/>
        <w:rPr>
          <w:rFonts w:hint="eastAsia" w:ascii="仿宋" w:hAnsi="仿宋" w:eastAsia="仿宋"/>
          <w:sz w:val="32"/>
          <w:szCs w:val="32"/>
          <w:highlight w:val="yellow"/>
        </w:rPr>
      </w:pPr>
      <w:r>
        <w:rPr>
          <w:w w:val="90"/>
        </w:rPr>
        <w:br w:type="page"/>
      </w:r>
    </w:p>
    <w:p>
      <w:pPr>
        <w:keepNext w:val="0"/>
        <w:keepLines w:val="0"/>
        <w:pageBreakBefore w:val="0"/>
        <w:widowControl w:val="0"/>
        <w:kinsoku/>
        <w:wordWrap/>
        <w:overflowPunct/>
        <w:topLinePunct w:val="0"/>
        <w:autoSpaceDE/>
        <w:autoSpaceDN w:val="0"/>
        <w:bidi w:val="0"/>
        <w:adjustRightInd/>
        <w:snapToGrid w:val="0"/>
        <w:spacing w:line="360" w:lineRule="auto"/>
        <w:jc w:val="center"/>
        <w:textAlignment w:val="bottom"/>
        <w:rPr>
          <w:rFonts w:hint="eastAsia" w:ascii="宋体" w:hAnsi="宋体"/>
          <w:b w:val="0"/>
          <w:bCs w:val="0"/>
          <w:color w:val="000000"/>
          <w:sz w:val="56"/>
          <w:szCs w:val="56"/>
          <w:lang w:val="en-US" w:eastAsia="zh-CN"/>
        </w:rPr>
      </w:pPr>
      <w:r>
        <w:rPr>
          <w:rFonts w:hint="eastAsia"/>
          <w:sz w:val="40"/>
          <w:szCs w:val="36"/>
        </w:rPr>
        <w:t>采购需求</w:t>
      </w:r>
    </w:p>
    <w:p>
      <w:pPr>
        <w:keepNext w:val="0"/>
        <w:keepLines w:val="0"/>
        <w:pageBreakBefore w:val="0"/>
        <w:widowControl w:val="0"/>
        <w:kinsoku/>
        <w:wordWrap/>
        <w:overflowPunct/>
        <w:topLinePunct w:val="0"/>
        <w:autoSpaceDE/>
        <w:autoSpaceDN w:val="0"/>
        <w:bidi w:val="0"/>
        <w:adjustRightInd/>
        <w:snapToGrid w:val="0"/>
        <w:spacing w:line="360" w:lineRule="auto"/>
        <w:textAlignment w:val="bottom"/>
        <w:rPr>
          <w:rFonts w:hint="eastAsia" w:ascii="宋体" w:hAnsi="宋体"/>
          <w:color w:val="000000"/>
          <w:sz w:val="32"/>
          <w:szCs w:val="32"/>
          <w:lang w:val="en-US" w:eastAsia="zh-CN"/>
        </w:rPr>
      </w:pPr>
      <w:r>
        <w:rPr>
          <w:rFonts w:hint="eastAsia" w:ascii="宋体" w:hAnsi="宋体"/>
          <w:color w:val="000000"/>
          <w:sz w:val="32"/>
          <w:szCs w:val="32"/>
          <w:lang w:val="en-US" w:eastAsia="zh-CN"/>
        </w:rPr>
        <w:t>标项一:选取1家体检医院服务商负责县级领导、部分街道及老干部局体检</w:t>
      </w:r>
    </w:p>
    <w:p>
      <w:pPr>
        <w:keepNext w:val="0"/>
        <w:keepLines w:val="0"/>
        <w:pageBreakBefore w:val="0"/>
        <w:widowControl w:val="0"/>
        <w:kinsoku/>
        <w:wordWrap/>
        <w:overflowPunct/>
        <w:topLinePunct w:val="0"/>
        <w:autoSpaceDE/>
        <w:autoSpaceDN w:val="0"/>
        <w:bidi w:val="0"/>
        <w:adjustRightInd/>
        <w:snapToGrid w:val="0"/>
        <w:spacing w:line="360" w:lineRule="auto"/>
        <w:textAlignment w:val="bottom"/>
        <w:rPr>
          <w:rFonts w:hint="default" w:ascii="宋体" w:hAnsi="宋体"/>
          <w:color w:val="000000"/>
          <w:sz w:val="32"/>
          <w:szCs w:val="32"/>
          <w:lang w:val="en-US" w:eastAsia="zh-CN"/>
        </w:rPr>
      </w:pPr>
      <w:r>
        <w:rPr>
          <w:rFonts w:hint="eastAsia" w:ascii="宋体" w:hAnsi="宋体"/>
          <w:color w:val="000000"/>
          <w:sz w:val="32"/>
          <w:szCs w:val="32"/>
          <w:lang w:val="en-US" w:eastAsia="zh-CN"/>
        </w:rPr>
        <w:t>标项二:选取1家体检医院服务商负责机关人员体检</w:t>
      </w:r>
    </w:p>
    <w:p>
      <w:pPr>
        <w:keepNext w:val="0"/>
        <w:keepLines w:val="0"/>
        <w:pageBreakBefore w:val="0"/>
        <w:widowControl w:val="0"/>
        <w:kinsoku/>
        <w:wordWrap/>
        <w:overflowPunct/>
        <w:topLinePunct w:val="0"/>
        <w:autoSpaceDE/>
        <w:autoSpaceDN w:val="0"/>
        <w:bidi w:val="0"/>
        <w:adjustRightInd/>
        <w:snapToGrid w:val="0"/>
        <w:spacing w:line="360" w:lineRule="auto"/>
        <w:textAlignment w:val="bottom"/>
        <w:rPr>
          <w:rFonts w:hint="default" w:ascii="宋体" w:hAnsi="宋体"/>
          <w:color w:val="000000"/>
          <w:sz w:val="32"/>
          <w:szCs w:val="32"/>
          <w:lang w:val="en-US" w:eastAsia="zh-CN"/>
        </w:rPr>
      </w:pPr>
      <w:r>
        <w:rPr>
          <w:rFonts w:hint="eastAsia" w:ascii="宋体" w:hAnsi="宋体"/>
          <w:color w:val="000000"/>
          <w:sz w:val="32"/>
          <w:szCs w:val="32"/>
          <w:lang w:val="en-US" w:eastAsia="zh-CN"/>
        </w:rPr>
        <w:t>标项三:选取1家体检医院服务商负责安宁渠镇人民政府、地窝堡乡人民政府、二工乡人民政府等单位人员体检</w:t>
      </w:r>
    </w:p>
    <w:p>
      <w:pPr>
        <w:keepNext w:val="0"/>
        <w:keepLines w:val="0"/>
        <w:pageBreakBefore w:val="0"/>
        <w:widowControl w:val="0"/>
        <w:kinsoku/>
        <w:wordWrap/>
        <w:overflowPunct/>
        <w:topLinePunct w:val="0"/>
        <w:autoSpaceDE/>
        <w:autoSpaceDN w:val="0"/>
        <w:bidi w:val="0"/>
        <w:adjustRightInd/>
        <w:snapToGrid w:val="0"/>
        <w:spacing w:line="360" w:lineRule="auto"/>
        <w:textAlignment w:val="bottom"/>
        <w:rPr>
          <w:rFonts w:hint="eastAsia" w:ascii="宋体" w:hAnsi="宋体"/>
          <w:color w:val="000000"/>
          <w:sz w:val="32"/>
          <w:szCs w:val="32"/>
          <w:lang w:val="en-US" w:eastAsia="zh-CN"/>
        </w:rPr>
      </w:pPr>
      <w:r>
        <w:rPr>
          <w:rFonts w:hint="eastAsia" w:ascii="宋体" w:hAnsi="宋体"/>
          <w:color w:val="000000"/>
          <w:sz w:val="32"/>
          <w:szCs w:val="32"/>
          <w:lang w:val="en-US" w:eastAsia="zh-CN"/>
        </w:rPr>
        <w:t>标项四:选取1家体检医院服务商负责教育系统（单位序号1-21）人员体检</w:t>
      </w:r>
    </w:p>
    <w:p>
      <w:pPr>
        <w:keepNext w:val="0"/>
        <w:keepLines w:val="0"/>
        <w:pageBreakBefore w:val="0"/>
        <w:widowControl w:val="0"/>
        <w:kinsoku/>
        <w:wordWrap/>
        <w:overflowPunct/>
        <w:topLinePunct w:val="0"/>
        <w:autoSpaceDE/>
        <w:autoSpaceDN w:val="0"/>
        <w:bidi w:val="0"/>
        <w:adjustRightInd/>
        <w:snapToGrid w:val="0"/>
        <w:spacing w:line="360" w:lineRule="auto"/>
        <w:textAlignment w:val="bottom"/>
        <w:rPr>
          <w:rFonts w:hint="eastAsia" w:ascii="宋体" w:hAnsi="宋体"/>
          <w:color w:val="000000"/>
          <w:sz w:val="32"/>
          <w:szCs w:val="32"/>
          <w:lang w:val="en-US" w:eastAsia="zh-CN"/>
        </w:rPr>
      </w:pPr>
      <w:r>
        <w:rPr>
          <w:rFonts w:hint="eastAsia" w:ascii="宋体" w:hAnsi="宋体"/>
          <w:color w:val="000000"/>
          <w:sz w:val="32"/>
          <w:szCs w:val="32"/>
          <w:lang w:val="en-US" w:eastAsia="zh-CN"/>
        </w:rPr>
        <w:t>标项五: 选取1家体检医院服务商负责教育系统（单位序号22-31）人员体检</w:t>
      </w:r>
    </w:p>
    <w:p>
      <w:pPr>
        <w:keepNext w:val="0"/>
        <w:keepLines w:val="0"/>
        <w:pageBreakBefore w:val="0"/>
        <w:widowControl w:val="0"/>
        <w:kinsoku/>
        <w:wordWrap/>
        <w:overflowPunct/>
        <w:topLinePunct w:val="0"/>
        <w:autoSpaceDE/>
        <w:autoSpaceDN w:val="0"/>
        <w:bidi w:val="0"/>
        <w:adjustRightInd/>
        <w:snapToGrid w:val="0"/>
        <w:spacing w:line="360" w:lineRule="auto"/>
        <w:textAlignment w:val="bottom"/>
        <w:rPr>
          <w:rFonts w:hint="eastAsia" w:ascii="宋体" w:hAnsi="宋体"/>
          <w:color w:val="000000"/>
          <w:sz w:val="32"/>
          <w:szCs w:val="32"/>
          <w:lang w:val="en-US" w:eastAsia="zh-CN"/>
        </w:rPr>
      </w:pPr>
      <w:r>
        <w:rPr>
          <w:rFonts w:hint="eastAsia" w:ascii="宋体" w:hAnsi="宋体"/>
          <w:color w:val="000000"/>
          <w:sz w:val="32"/>
          <w:szCs w:val="32"/>
          <w:lang w:val="en-US" w:eastAsia="zh-CN"/>
        </w:rPr>
        <w:t>标项六: 选取1家体检医院服务商负责教育系统[单位序号32-55（除去序号39.40.41.50.53.55）]人员体检</w:t>
      </w:r>
    </w:p>
    <w:p>
      <w:pPr>
        <w:pStyle w:val="2"/>
        <w:keepNext w:val="0"/>
        <w:keepLines w:val="0"/>
        <w:pageBreakBefore w:val="0"/>
        <w:widowControl w:val="0"/>
        <w:numPr>
          <w:ilvl w:val="0"/>
          <w:numId w:val="0"/>
        </w:numPr>
        <w:kinsoku/>
        <w:wordWrap/>
        <w:overflowPunct/>
        <w:topLinePunct w:val="0"/>
        <w:autoSpaceDE/>
        <w:bidi w:val="0"/>
        <w:adjustRightInd/>
        <w:spacing w:line="360" w:lineRule="auto"/>
        <w:jc w:val="center"/>
        <w:rPr>
          <w:rFonts w:hint="eastAsia" w:ascii="宋体" w:hAnsi="宋体" w:eastAsia="宋体" w:cs="Times New Roman"/>
          <w:b/>
          <w:bCs/>
          <w:caps w:val="0"/>
          <w:color w:val="000000"/>
          <w:kern w:val="2"/>
          <w:sz w:val="32"/>
          <w:szCs w:val="32"/>
          <w:lang w:val="en-US" w:eastAsia="zh-CN" w:bidi="ar-SA"/>
        </w:rPr>
      </w:pPr>
      <w:r>
        <w:rPr>
          <w:rFonts w:hint="eastAsia" w:ascii="宋体" w:hAnsi="宋体" w:cs="Times New Roman"/>
          <w:b/>
          <w:bCs/>
          <w:caps w:val="0"/>
          <w:color w:val="000000"/>
          <w:kern w:val="2"/>
          <w:sz w:val="32"/>
          <w:szCs w:val="32"/>
          <w:lang w:val="en-US" w:eastAsia="zh-CN" w:bidi="ar-SA"/>
        </w:rPr>
        <w:t>体检</w:t>
      </w:r>
      <w:r>
        <w:rPr>
          <w:rFonts w:hint="eastAsia" w:ascii="宋体" w:hAnsi="宋体" w:eastAsia="宋体" w:cs="Times New Roman"/>
          <w:b/>
          <w:bCs/>
          <w:caps w:val="0"/>
          <w:color w:val="000000"/>
          <w:kern w:val="2"/>
          <w:sz w:val="32"/>
          <w:szCs w:val="32"/>
          <w:lang w:val="en-US" w:eastAsia="zh-CN" w:bidi="ar-SA"/>
        </w:rPr>
        <w:t>人数</w:t>
      </w:r>
    </w:p>
    <w:tbl>
      <w:tblPr>
        <w:tblStyle w:val="47"/>
        <w:tblpPr w:leftFromText="180" w:rightFromText="180" w:vertAnchor="text" w:horzAnchor="page" w:tblpX="1155" w:tblpY="713"/>
        <w:tblOverlap w:val="never"/>
        <w:tblW w:w="93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2"/>
        <w:gridCol w:w="4073"/>
        <w:gridCol w:w="1618"/>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trPr>
        <w:tc>
          <w:tcPr>
            <w:tcW w:w="1872" w:type="dxa"/>
            <w:tcBorders>
              <w:top w:val="single" w:color="000000" w:sz="4" w:space="0"/>
              <w:left w:val="single" w:color="000000" w:sz="4" w:space="0"/>
              <w:bottom w:val="single" w:color="000000" w:themeColor="text1"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073" w:type="dxa"/>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单位名称</w:t>
            </w:r>
          </w:p>
        </w:tc>
        <w:tc>
          <w:tcPr>
            <w:tcW w:w="1618" w:type="dxa"/>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男（人）</w:t>
            </w:r>
          </w:p>
        </w:tc>
        <w:tc>
          <w:tcPr>
            <w:tcW w:w="1755" w:type="dxa"/>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87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县级领导</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87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center"/>
              <w:rPr>
                <w:rFonts w:hint="eastAsia" w:ascii="宋体" w:hAnsi="宋体" w:eastAsia="宋体" w:cs="宋体"/>
                <w:i w:val="0"/>
                <w:iCs w:val="0"/>
                <w:color w:val="000000"/>
                <w:sz w:val="24"/>
                <w:szCs w:val="24"/>
                <w:u w:val="none"/>
              </w:rPr>
            </w:pP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除四乡一镇正扬路迎宾路友谊路13个街道</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566</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87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center"/>
              <w:rPr>
                <w:rFonts w:hint="eastAsia" w:ascii="宋体" w:hAnsi="宋体" w:eastAsia="宋体" w:cs="宋体"/>
                <w:i w:val="0"/>
                <w:iCs w:val="0"/>
                <w:color w:val="000000"/>
                <w:sz w:val="24"/>
                <w:szCs w:val="24"/>
                <w:u w:val="none"/>
              </w:rPr>
            </w:pP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老干部局</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1252</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87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安宁渠镇人民政府</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87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center"/>
              <w:rPr>
                <w:rFonts w:hint="eastAsia" w:ascii="宋体" w:hAnsi="宋体" w:eastAsia="宋体" w:cs="宋体"/>
                <w:i w:val="0"/>
                <w:iCs w:val="0"/>
                <w:color w:val="000000"/>
                <w:sz w:val="24"/>
                <w:szCs w:val="24"/>
                <w:u w:val="none"/>
              </w:rPr>
            </w:pP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地窝堡乡人民政府</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87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center"/>
              <w:rPr>
                <w:rFonts w:hint="eastAsia" w:ascii="宋体" w:hAnsi="宋体" w:eastAsia="宋体" w:cs="宋体"/>
                <w:i w:val="0"/>
                <w:iCs w:val="0"/>
                <w:color w:val="000000"/>
                <w:sz w:val="24"/>
                <w:szCs w:val="24"/>
                <w:u w:val="none"/>
              </w:rPr>
            </w:pP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二工乡人民政府</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87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center"/>
              <w:rPr>
                <w:rFonts w:hint="eastAsia" w:ascii="宋体" w:hAnsi="宋体" w:eastAsia="宋体" w:cs="宋体"/>
                <w:i w:val="0"/>
                <w:iCs w:val="0"/>
                <w:color w:val="000000"/>
                <w:sz w:val="24"/>
                <w:szCs w:val="24"/>
                <w:u w:val="none"/>
              </w:rPr>
            </w:pP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六十户乡人民政府</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87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center"/>
              <w:rPr>
                <w:rFonts w:hint="eastAsia" w:ascii="宋体" w:hAnsi="宋体" w:eastAsia="宋体" w:cs="宋体"/>
                <w:i w:val="0"/>
                <w:iCs w:val="0"/>
                <w:color w:val="000000"/>
                <w:sz w:val="24"/>
                <w:szCs w:val="24"/>
                <w:u w:val="none"/>
              </w:rPr>
            </w:pP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青格达湖人民政府</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87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center"/>
              <w:rPr>
                <w:rFonts w:hint="eastAsia" w:ascii="宋体" w:hAnsi="宋体" w:eastAsia="宋体" w:cs="宋体"/>
                <w:i w:val="0"/>
                <w:iCs w:val="0"/>
                <w:color w:val="000000"/>
                <w:sz w:val="24"/>
                <w:szCs w:val="24"/>
                <w:u w:val="none"/>
              </w:rPr>
            </w:pP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卫生院</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87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center"/>
              <w:rPr>
                <w:rFonts w:hint="eastAsia" w:ascii="宋体" w:hAnsi="宋体" w:eastAsia="宋体" w:cs="宋体"/>
                <w:i w:val="0"/>
                <w:iCs w:val="0"/>
                <w:color w:val="000000"/>
                <w:sz w:val="24"/>
                <w:szCs w:val="24"/>
                <w:u w:val="none"/>
              </w:rPr>
            </w:pP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园区办、迎宾路友谊路正扬路街道</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187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center"/>
              <w:rPr>
                <w:rFonts w:hint="eastAsia" w:ascii="宋体" w:hAnsi="宋体" w:eastAsia="宋体" w:cs="宋体"/>
                <w:i w:val="0"/>
                <w:iCs w:val="0"/>
                <w:color w:val="000000"/>
                <w:sz w:val="24"/>
                <w:szCs w:val="24"/>
                <w:u w:val="none"/>
              </w:rPr>
            </w:pP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乌鲁木齐市第109中学、第111中学、第112中学、第133中学、第135中学、第139中学</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教育系统单位序号1-21</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教育系统单位序号22-31</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教育系统单位序号32-55（除去序号39.40.41.50.53.55）</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1557</w:t>
            </w:r>
          </w:p>
        </w:tc>
      </w:tr>
    </w:tbl>
    <w:p>
      <w:pPr>
        <w:rPr>
          <w:rFonts w:hint="eastAsia"/>
          <w:lang w:val="en-US" w:eastAsia="zh-CN"/>
        </w:rPr>
      </w:pPr>
    </w:p>
    <w:tbl>
      <w:tblPr>
        <w:tblStyle w:val="47"/>
        <w:tblW w:w="5332" w:type="pct"/>
        <w:tblInd w:w="-588" w:type="dxa"/>
        <w:tblLayout w:type="fixed"/>
        <w:tblCellMar>
          <w:top w:w="0" w:type="dxa"/>
          <w:left w:w="0" w:type="dxa"/>
          <w:bottom w:w="0" w:type="dxa"/>
          <w:right w:w="0" w:type="dxa"/>
        </w:tblCellMar>
      </w:tblPr>
      <w:tblGrid>
        <w:gridCol w:w="5923"/>
        <w:gridCol w:w="1013"/>
        <w:gridCol w:w="1182"/>
        <w:gridCol w:w="1309"/>
      </w:tblGrid>
      <w:tr>
        <w:tblPrEx>
          <w:tblCellMar>
            <w:top w:w="0" w:type="dxa"/>
            <w:left w:w="0" w:type="dxa"/>
            <w:bottom w:w="0" w:type="dxa"/>
            <w:right w:w="0" w:type="dxa"/>
          </w:tblCellMar>
        </w:tblPrEx>
        <w:trPr>
          <w:trHeight w:val="567"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4" w:firstLineChars="200"/>
              <w:jc w:val="center"/>
              <w:rPr>
                <w:rFonts w:hint="eastAsia" w:ascii="宋体" w:hAnsi="宋体"/>
                <w:color w:val="000000"/>
                <w:spacing w:val="-2"/>
                <w:sz w:val="24"/>
                <w:szCs w:val="24"/>
              </w:rPr>
            </w:pPr>
            <w:r>
              <w:rPr>
                <w:rFonts w:hint="eastAsia" w:ascii="宋体" w:hAnsi="宋体"/>
                <w:b/>
                <w:bCs/>
                <w:color w:val="000000"/>
                <w:spacing w:val="-2"/>
                <w:sz w:val="24"/>
                <w:szCs w:val="24"/>
                <w:lang w:val="en-US" w:eastAsia="zh-CN"/>
              </w:rPr>
              <w:t>2025年度全区体检费用汇总表</w:t>
            </w:r>
          </w:p>
        </w:tc>
      </w:tr>
      <w:tr>
        <w:tblPrEx>
          <w:tblCellMar>
            <w:top w:w="0" w:type="dxa"/>
            <w:left w:w="0" w:type="dxa"/>
            <w:bottom w:w="0" w:type="dxa"/>
            <w:right w:w="0" w:type="dxa"/>
          </w:tblCellMar>
        </w:tblPrEx>
        <w:trPr>
          <w:trHeight w:val="567" w:hRule="atLeast"/>
        </w:trPr>
        <w:tc>
          <w:tcPr>
            <w:tcW w:w="31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eastAsia" w:ascii="宋体" w:hAnsi="宋体"/>
                <w:color w:val="000000"/>
                <w:spacing w:val="-2"/>
                <w:sz w:val="24"/>
                <w:szCs w:val="24"/>
              </w:rPr>
            </w:pPr>
            <w:r>
              <w:rPr>
                <w:rFonts w:hint="eastAsia" w:ascii="宋体" w:hAnsi="宋体"/>
                <w:color w:val="000000"/>
                <w:spacing w:val="-2"/>
                <w:sz w:val="24"/>
                <w:szCs w:val="24"/>
                <w:lang w:val="en-US" w:eastAsia="zh-CN"/>
              </w:rPr>
              <w:t>单位</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rPr>
                <w:rFonts w:hint="eastAsia" w:ascii="宋体" w:hAnsi="宋体"/>
                <w:color w:val="000000"/>
                <w:spacing w:val="-2"/>
                <w:sz w:val="24"/>
                <w:szCs w:val="24"/>
              </w:rPr>
            </w:pPr>
            <w:r>
              <w:rPr>
                <w:rFonts w:hint="eastAsia" w:ascii="宋体" w:hAnsi="宋体"/>
                <w:color w:val="000000"/>
                <w:spacing w:val="-2"/>
                <w:sz w:val="24"/>
                <w:szCs w:val="24"/>
                <w:lang w:val="en-US" w:eastAsia="zh-CN"/>
              </w:rPr>
              <w:t>男（人数）</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rPr>
                <w:rFonts w:hint="eastAsia" w:ascii="宋体" w:hAnsi="宋体"/>
                <w:color w:val="000000"/>
                <w:spacing w:val="-2"/>
                <w:sz w:val="24"/>
                <w:szCs w:val="24"/>
              </w:rPr>
            </w:pPr>
            <w:r>
              <w:rPr>
                <w:rFonts w:hint="eastAsia" w:ascii="宋体" w:hAnsi="宋体"/>
                <w:color w:val="000000"/>
                <w:spacing w:val="-2"/>
                <w:sz w:val="24"/>
                <w:szCs w:val="24"/>
                <w:lang w:val="en-US" w:eastAsia="zh-CN"/>
              </w:rPr>
              <w:t>女（人数）</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eastAsia" w:ascii="宋体" w:hAnsi="宋体"/>
                <w:color w:val="000000"/>
                <w:spacing w:val="-2"/>
                <w:sz w:val="24"/>
                <w:szCs w:val="24"/>
              </w:rPr>
            </w:pPr>
            <w:r>
              <w:rPr>
                <w:rFonts w:hint="eastAsia" w:ascii="宋体" w:hAnsi="宋体"/>
                <w:color w:val="000000"/>
                <w:spacing w:val="-2"/>
                <w:sz w:val="24"/>
                <w:szCs w:val="24"/>
                <w:lang w:val="en-US" w:eastAsia="zh-CN"/>
              </w:rPr>
              <w:t>标项价</w:t>
            </w:r>
          </w:p>
        </w:tc>
      </w:tr>
      <w:tr>
        <w:tblPrEx>
          <w:tblCellMar>
            <w:top w:w="0" w:type="dxa"/>
            <w:left w:w="0" w:type="dxa"/>
            <w:bottom w:w="0" w:type="dxa"/>
            <w:right w:w="0" w:type="dxa"/>
          </w:tblCellMar>
        </w:tblPrEx>
        <w:trPr>
          <w:trHeight w:val="560" w:hRule="atLeast"/>
        </w:trPr>
        <w:tc>
          <w:tcPr>
            <w:tcW w:w="31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eastAsia" w:ascii="宋体" w:hAnsi="宋体" w:eastAsia="宋体" w:cs="Times New Roman"/>
                <w:color w:val="000000"/>
                <w:spacing w:val="-2"/>
                <w:kern w:val="2"/>
                <w:sz w:val="24"/>
                <w:szCs w:val="24"/>
                <w:lang w:val="en-US" w:eastAsia="zh-CN" w:bidi="ar-SA"/>
              </w:rPr>
            </w:pPr>
            <w:r>
              <w:rPr>
                <w:rFonts w:hint="eastAsia" w:ascii="宋体" w:hAnsi="宋体"/>
                <w:color w:val="000000"/>
                <w:spacing w:val="-2"/>
                <w:sz w:val="24"/>
                <w:szCs w:val="24"/>
                <w:lang w:val="en-US" w:eastAsia="zh-CN"/>
              </w:rPr>
              <w:t>县级领导干部</w:t>
            </w:r>
          </w:p>
        </w:tc>
        <w:tc>
          <w:tcPr>
            <w:tcW w:w="11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eastAsia" w:ascii="宋体" w:hAnsi="宋体" w:eastAsia="宋体" w:cs="Times New Roman"/>
                <w:color w:val="000000"/>
                <w:spacing w:val="-2"/>
                <w:kern w:val="2"/>
                <w:sz w:val="24"/>
                <w:szCs w:val="24"/>
                <w:lang w:val="en-US" w:eastAsia="zh-CN" w:bidi="ar-SA"/>
              </w:rPr>
            </w:pPr>
            <w:r>
              <w:rPr>
                <w:rFonts w:hint="eastAsia" w:ascii="宋体" w:hAnsi="宋体"/>
                <w:color w:val="000000"/>
                <w:spacing w:val="-2"/>
                <w:sz w:val="24"/>
                <w:szCs w:val="24"/>
                <w:lang w:val="en-US" w:eastAsia="zh-CN"/>
              </w:rPr>
              <w:t>119</w:t>
            </w: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440" w:lineRule="exact"/>
              <w:jc w:val="center"/>
              <w:rPr>
                <w:rFonts w:hint="eastAsia" w:ascii="宋体" w:hAnsi="宋体"/>
                <w:color w:val="000000"/>
                <w:spacing w:val="-2"/>
                <w:sz w:val="24"/>
                <w:szCs w:val="24"/>
              </w:rPr>
            </w:pPr>
            <w:r>
              <w:rPr>
                <w:rFonts w:hint="eastAsia" w:ascii="宋体" w:hAnsi="宋体"/>
                <w:color w:val="000000"/>
                <w:spacing w:val="-2"/>
                <w:sz w:val="24"/>
                <w:szCs w:val="24"/>
                <w:lang w:val="en-US" w:eastAsia="zh-CN"/>
              </w:rPr>
              <w:t>标项一总价：272.19万元</w:t>
            </w:r>
          </w:p>
        </w:tc>
      </w:tr>
      <w:tr>
        <w:tblPrEx>
          <w:tblCellMar>
            <w:top w:w="0" w:type="dxa"/>
            <w:left w:w="0" w:type="dxa"/>
            <w:bottom w:w="0" w:type="dxa"/>
            <w:right w:w="0" w:type="dxa"/>
          </w:tblCellMar>
        </w:tblPrEx>
        <w:trPr>
          <w:trHeight w:val="560" w:hRule="atLeast"/>
        </w:trPr>
        <w:tc>
          <w:tcPr>
            <w:tcW w:w="31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eastAsia" w:ascii="宋体" w:hAnsi="宋体"/>
                <w:color w:val="000000"/>
                <w:spacing w:val="-2"/>
                <w:sz w:val="24"/>
                <w:szCs w:val="24"/>
              </w:rPr>
            </w:pPr>
            <w:r>
              <w:rPr>
                <w:rFonts w:hint="eastAsia" w:ascii="宋体" w:hAnsi="宋体"/>
                <w:color w:val="000000"/>
                <w:spacing w:val="-2"/>
                <w:sz w:val="24"/>
                <w:szCs w:val="24"/>
                <w:lang w:val="en-US" w:eastAsia="zh-CN"/>
              </w:rPr>
              <w:t>老干部局</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rPr>
            </w:pPr>
            <w:r>
              <w:rPr>
                <w:rFonts w:hint="eastAsia" w:ascii="宋体" w:hAnsi="宋体"/>
                <w:color w:val="000000"/>
                <w:spacing w:val="-2"/>
                <w:sz w:val="24"/>
                <w:szCs w:val="24"/>
                <w:lang w:val="en-US" w:eastAsia="zh-CN"/>
              </w:rPr>
              <w:t>400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rPr>
            </w:pPr>
            <w:r>
              <w:rPr>
                <w:rFonts w:hint="eastAsia" w:ascii="宋体" w:hAnsi="宋体"/>
                <w:color w:val="000000"/>
                <w:spacing w:val="-2"/>
                <w:sz w:val="24"/>
                <w:szCs w:val="24"/>
                <w:lang w:val="en-US" w:eastAsia="zh-CN"/>
              </w:rPr>
              <w:t>424</w:t>
            </w: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440" w:lineRule="exact"/>
              <w:jc w:val="center"/>
              <w:rPr>
                <w:rFonts w:hint="eastAsia" w:ascii="宋体" w:hAnsi="宋体"/>
                <w:color w:val="000000"/>
                <w:spacing w:val="-2"/>
                <w:sz w:val="24"/>
                <w:szCs w:val="24"/>
              </w:rPr>
            </w:pPr>
          </w:p>
        </w:tc>
      </w:tr>
      <w:tr>
        <w:tblPrEx>
          <w:tblCellMar>
            <w:top w:w="0" w:type="dxa"/>
            <w:left w:w="0" w:type="dxa"/>
            <w:bottom w:w="0" w:type="dxa"/>
            <w:right w:w="0" w:type="dxa"/>
          </w:tblCellMar>
        </w:tblPrEx>
        <w:trPr>
          <w:trHeight w:val="607" w:hRule="atLeast"/>
        </w:trPr>
        <w:tc>
          <w:tcPr>
            <w:tcW w:w="31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eastAsia" w:ascii="宋体" w:hAnsi="宋体"/>
                <w:color w:val="000000"/>
                <w:spacing w:val="-2"/>
                <w:sz w:val="24"/>
                <w:szCs w:val="24"/>
              </w:rPr>
            </w:pPr>
            <w:r>
              <w:rPr>
                <w:rFonts w:hint="eastAsia" w:ascii="宋体" w:hAnsi="宋体"/>
                <w:color w:val="000000"/>
                <w:spacing w:val="-2"/>
                <w:sz w:val="24"/>
                <w:szCs w:val="24"/>
                <w:lang w:val="en-US" w:eastAsia="zh-CN"/>
              </w:rPr>
              <w:t>除四乡一镇正扬路迎宾路友谊路13个街道</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eastAsia="宋体"/>
                <w:color w:val="000000"/>
                <w:spacing w:val="-2"/>
                <w:sz w:val="24"/>
                <w:szCs w:val="24"/>
                <w:lang w:val="en-US" w:eastAsia="zh-CN"/>
              </w:rPr>
            </w:pPr>
            <w:r>
              <w:rPr>
                <w:rFonts w:hint="eastAsia" w:ascii="宋体" w:hAnsi="宋体"/>
                <w:color w:val="000000"/>
                <w:spacing w:val="-2"/>
                <w:sz w:val="24"/>
                <w:szCs w:val="24"/>
                <w:lang w:val="en-US" w:eastAsia="zh-CN"/>
              </w:rPr>
              <w:t>566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eastAsia="宋体"/>
                <w:color w:val="000000"/>
                <w:spacing w:val="-2"/>
                <w:sz w:val="24"/>
                <w:szCs w:val="24"/>
                <w:lang w:val="en-US" w:eastAsia="zh-CN"/>
              </w:rPr>
            </w:pPr>
            <w:r>
              <w:rPr>
                <w:rFonts w:hint="eastAsia" w:ascii="宋体" w:hAnsi="宋体"/>
                <w:color w:val="000000"/>
                <w:spacing w:val="-2"/>
                <w:sz w:val="24"/>
                <w:szCs w:val="24"/>
                <w:lang w:val="en-US" w:eastAsia="zh-CN"/>
              </w:rPr>
              <w:t>1334</w:t>
            </w: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440" w:lineRule="exact"/>
              <w:ind w:firstLine="472" w:firstLineChars="200"/>
              <w:jc w:val="center"/>
              <w:rPr>
                <w:rFonts w:hint="eastAsia" w:ascii="宋体" w:hAnsi="宋体"/>
                <w:color w:val="000000"/>
                <w:spacing w:val="-2"/>
                <w:sz w:val="24"/>
                <w:szCs w:val="24"/>
              </w:rPr>
            </w:pPr>
          </w:p>
        </w:tc>
      </w:tr>
      <w:tr>
        <w:tblPrEx>
          <w:tblCellMar>
            <w:top w:w="0" w:type="dxa"/>
            <w:left w:w="0" w:type="dxa"/>
            <w:bottom w:w="0" w:type="dxa"/>
            <w:right w:w="0" w:type="dxa"/>
          </w:tblCellMar>
        </w:tblPrEx>
        <w:trPr>
          <w:trHeight w:val="567" w:hRule="atLeast"/>
        </w:trPr>
        <w:tc>
          <w:tcPr>
            <w:tcW w:w="31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20" w:firstLineChars="200"/>
              <w:jc w:val="center"/>
              <w:rPr>
                <w:rFonts w:hint="eastAsia"/>
                <w:color w:val="000000"/>
              </w:rPr>
            </w:pPr>
          </w:p>
          <w:p>
            <w:pPr>
              <w:pStyle w:val="2"/>
              <w:tabs>
                <w:tab w:val="right" w:leader="dot" w:pos="9628"/>
              </w:tabs>
              <w:ind w:firstLine="472" w:firstLineChars="200"/>
              <w:jc w:val="center"/>
              <w:rPr>
                <w:rFonts w:hint="eastAsia"/>
                <w:color w:val="000000"/>
              </w:rPr>
            </w:pPr>
            <w:r>
              <w:rPr>
                <w:rFonts w:hint="eastAsia" w:ascii="宋体" w:hAnsi="宋体" w:eastAsia="宋体" w:cs="Times New Roman"/>
                <w:b w:val="0"/>
                <w:bCs w:val="0"/>
                <w:caps w:val="0"/>
                <w:color w:val="000000"/>
                <w:spacing w:val="-2"/>
                <w:kern w:val="2"/>
                <w:sz w:val="24"/>
                <w:szCs w:val="24"/>
                <w:lang w:val="en-US" w:eastAsia="zh-CN" w:bidi="ar-SA"/>
              </w:rPr>
              <w:t>机关</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rPr>
            </w:pPr>
            <w:r>
              <w:rPr>
                <w:rFonts w:hint="eastAsia" w:ascii="宋体" w:hAnsi="宋体"/>
                <w:color w:val="000000"/>
                <w:spacing w:val="-2"/>
                <w:sz w:val="24"/>
                <w:szCs w:val="24"/>
                <w:lang w:val="en-US" w:eastAsia="zh-CN"/>
              </w:rPr>
              <w:t>1252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rPr>
            </w:pPr>
            <w:r>
              <w:rPr>
                <w:rFonts w:hint="eastAsia" w:ascii="宋体" w:hAnsi="宋体"/>
                <w:color w:val="000000"/>
                <w:spacing w:val="-2"/>
                <w:sz w:val="24"/>
                <w:szCs w:val="24"/>
                <w:lang w:val="en-US" w:eastAsia="zh-CN"/>
              </w:rPr>
              <w:t>1516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440" w:lineRule="exact"/>
              <w:jc w:val="center"/>
              <w:rPr>
                <w:rFonts w:hint="eastAsia" w:ascii="宋体" w:hAnsi="宋体"/>
                <w:color w:val="000000"/>
                <w:spacing w:val="-2"/>
                <w:sz w:val="24"/>
                <w:szCs w:val="24"/>
              </w:rPr>
            </w:pPr>
            <w:r>
              <w:rPr>
                <w:rFonts w:hint="eastAsia" w:ascii="宋体" w:hAnsi="宋体"/>
                <w:color w:val="000000"/>
                <w:spacing w:val="-2"/>
                <w:sz w:val="24"/>
                <w:szCs w:val="24"/>
                <w:lang w:val="en-US" w:eastAsia="zh-CN"/>
              </w:rPr>
              <w:t>标项二总价：258.02万元</w:t>
            </w:r>
          </w:p>
        </w:tc>
      </w:tr>
      <w:tr>
        <w:tblPrEx>
          <w:tblCellMar>
            <w:top w:w="0" w:type="dxa"/>
            <w:left w:w="0" w:type="dxa"/>
            <w:bottom w:w="0" w:type="dxa"/>
            <w:right w:w="0" w:type="dxa"/>
          </w:tblCellMar>
        </w:tblPrEx>
        <w:trPr>
          <w:trHeight w:val="570" w:hRule="atLeast"/>
        </w:trPr>
        <w:tc>
          <w:tcPr>
            <w:tcW w:w="31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rPr>
            </w:pPr>
            <w:r>
              <w:rPr>
                <w:rFonts w:hint="eastAsia" w:ascii="宋体" w:hAnsi="宋体"/>
                <w:color w:val="000000"/>
                <w:spacing w:val="-2"/>
                <w:sz w:val="24"/>
                <w:szCs w:val="24"/>
                <w:lang w:val="en-US" w:eastAsia="zh-CN"/>
              </w:rPr>
              <w:t>安宁渠镇人民政府、地窝堡乡人民政府、二工乡人民政府、六十户乡人民政府、青格达湖人民政府、卫生院、园区办、迎宾路友谊路正扬路街道、乌鲁木齐市第109中学、第111中学、第112中学、第133中学、第135中学、第139中学体检人数</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rPr>
            </w:pPr>
            <w:r>
              <w:rPr>
                <w:rFonts w:hint="eastAsia" w:ascii="宋体" w:hAnsi="宋体"/>
                <w:color w:val="000000"/>
                <w:spacing w:val="-2"/>
                <w:sz w:val="24"/>
                <w:szCs w:val="24"/>
                <w:lang w:val="en-US" w:eastAsia="zh-CN"/>
              </w:rPr>
              <w:t>688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rPr>
            </w:pPr>
            <w:r>
              <w:rPr>
                <w:rFonts w:hint="eastAsia" w:ascii="宋体" w:hAnsi="宋体"/>
                <w:color w:val="000000"/>
                <w:spacing w:val="-2"/>
                <w:sz w:val="24"/>
                <w:szCs w:val="24"/>
                <w:lang w:val="en-US" w:eastAsia="zh-CN"/>
              </w:rPr>
              <w:t>1411</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440" w:lineRule="exact"/>
              <w:jc w:val="center"/>
              <w:rPr>
                <w:rFonts w:hint="eastAsia" w:ascii="宋体" w:hAnsi="宋体"/>
                <w:color w:val="000000"/>
                <w:spacing w:val="-2"/>
                <w:sz w:val="24"/>
                <w:szCs w:val="24"/>
              </w:rPr>
            </w:pPr>
            <w:r>
              <w:rPr>
                <w:rFonts w:hint="eastAsia" w:ascii="宋体" w:hAnsi="宋体"/>
                <w:color w:val="000000"/>
                <w:spacing w:val="-2"/>
                <w:sz w:val="24"/>
                <w:szCs w:val="24"/>
                <w:lang w:val="en-US" w:eastAsia="zh-CN"/>
              </w:rPr>
              <w:t>标项三总价：199.58万元</w:t>
            </w:r>
          </w:p>
        </w:tc>
      </w:tr>
      <w:tr>
        <w:tblPrEx>
          <w:tblCellMar>
            <w:top w:w="0" w:type="dxa"/>
            <w:left w:w="0" w:type="dxa"/>
            <w:bottom w:w="0" w:type="dxa"/>
            <w:right w:w="0" w:type="dxa"/>
          </w:tblCellMar>
        </w:tblPrEx>
        <w:trPr>
          <w:trHeight w:val="570" w:hRule="atLeast"/>
        </w:trPr>
        <w:tc>
          <w:tcPr>
            <w:tcW w:w="31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eastAsia" w:ascii="宋体" w:hAnsi="宋体"/>
                <w:color w:val="000000"/>
                <w:spacing w:val="-2"/>
                <w:sz w:val="24"/>
                <w:szCs w:val="24"/>
                <w:lang w:val="en-US" w:eastAsia="zh-CN"/>
              </w:rPr>
            </w:pPr>
            <w:r>
              <w:rPr>
                <w:rFonts w:hint="eastAsia" w:ascii="宋体" w:hAnsi="宋体"/>
                <w:color w:val="000000"/>
                <w:spacing w:val="-2"/>
                <w:sz w:val="24"/>
                <w:szCs w:val="24"/>
                <w:lang w:val="en-US" w:eastAsia="zh-CN"/>
              </w:rPr>
              <w:t>教育系统（单位序号1-21）</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eastAsia="zh-CN"/>
              </w:rPr>
            </w:pPr>
            <w:r>
              <w:rPr>
                <w:rFonts w:hint="eastAsia" w:ascii="宋体" w:hAnsi="宋体"/>
                <w:color w:val="000000"/>
                <w:spacing w:val="-2"/>
                <w:sz w:val="24"/>
                <w:szCs w:val="24"/>
                <w:lang w:val="en-US" w:eastAsia="zh-CN"/>
              </w:rPr>
              <w:t>315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eastAsia="zh-CN"/>
              </w:rPr>
            </w:pPr>
            <w:r>
              <w:rPr>
                <w:rFonts w:hint="eastAsia" w:ascii="宋体" w:hAnsi="宋体"/>
                <w:color w:val="000000"/>
                <w:spacing w:val="-2"/>
                <w:sz w:val="24"/>
                <w:szCs w:val="24"/>
                <w:lang w:val="en-US" w:eastAsia="zh-CN"/>
              </w:rPr>
              <w:t>1586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440" w:lineRule="exact"/>
              <w:jc w:val="center"/>
              <w:rPr>
                <w:rFonts w:hint="eastAsia" w:ascii="宋体" w:hAnsi="宋体"/>
                <w:color w:val="000000"/>
                <w:spacing w:val="-2"/>
                <w:sz w:val="24"/>
                <w:szCs w:val="24"/>
                <w:lang w:val="en-US" w:eastAsia="zh-CN"/>
              </w:rPr>
            </w:pPr>
            <w:r>
              <w:rPr>
                <w:rFonts w:hint="eastAsia" w:ascii="宋体" w:hAnsi="宋体"/>
                <w:color w:val="000000"/>
                <w:spacing w:val="-2"/>
                <w:sz w:val="24"/>
                <w:szCs w:val="24"/>
                <w:lang w:val="en-US" w:eastAsia="zh-CN"/>
              </w:rPr>
              <w:t>标项四总价：185.375万元</w:t>
            </w:r>
          </w:p>
        </w:tc>
      </w:tr>
      <w:tr>
        <w:tblPrEx>
          <w:tblCellMar>
            <w:top w:w="0" w:type="dxa"/>
            <w:left w:w="0" w:type="dxa"/>
            <w:bottom w:w="0" w:type="dxa"/>
            <w:right w:w="0" w:type="dxa"/>
          </w:tblCellMar>
        </w:tblPrEx>
        <w:trPr>
          <w:trHeight w:val="570" w:hRule="atLeast"/>
        </w:trPr>
        <w:tc>
          <w:tcPr>
            <w:tcW w:w="31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eastAsia" w:ascii="宋体" w:hAnsi="宋体"/>
                <w:color w:val="000000"/>
                <w:spacing w:val="-2"/>
                <w:sz w:val="24"/>
                <w:szCs w:val="24"/>
                <w:lang w:val="en-US" w:eastAsia="zh-CN"/>
              </w:rPr>
            </w:pPr>
            <w:r>
              <w:rPr>
                <w:rFonts w:hint="eastAsia" w:ascii="宋体" w:hAnsi="宋体"/>
                <w:color w:val="000000"/>
                <w:spacing w:val="-2"/>
                <w:sz w:val="24"/>
                <w:szCs w:val="24"/>
                <w:lang w:val="en-US" w:eastAsia="zh-CN"/>
              </w:rPr>
              <w:t>教育系统（单位序号22-31）</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eastAsia="zh-CN"/>
              </w:rPr>
            </w:pPr>
            <w:r>
              <w:rPr>
                <w:rFonts w:hint="eastAsia" w:ascii="宋体" w:hAnsi="宋体"/>
                <w:color w:val="000000"/>
                <w:spacing w:val="-2"/>
                <w:sz w:val="24"/>
                <w:szCs w:val="24"/>
                <w:lang w:val="en-US" w:eastAsia="zh-CN"/>
              </w:rPr>
              <w:t>320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eastAsia="zh-CN"/>
              </w:rPr>
            </w:pPr>
            <w:r>
              <w:rPr>
                <w:rFonts w:hint="eastAsia" w:ascii="宋体" w:hAnsi="宋体"/>
                <w:color w:val="000000"/>
                <w:spacing w:val="-2"/>
                <w:sz w:val="24"/>
                <w:szCs w:val="24"/>
                <w:lang w:val="en-US" w:eastAsia="zh-CN"/>
              </w:rPr>
              <w:t>1455</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440" w:lineRule="exact"/>
              <w:jc w:val="center"/>
              <w:rPr>
                <w:rFonts w:hint="eastAsia" w:ascii="宋体" w:hAnsi="宋体"/>
                <w:color w:val="000000"/>
                <w:spacing w:val="-2"/>
                <w:sz w:val="24"/>
                <w:szCs w:val="24"/>
                <w:lang w:val="en-US" w:eastAsia="zh-CN"/>
              </w:rPr>
            </w:pPr>
            <w:r>
              <w:rPr>
                <w:rFonts w:hint="eastAsia" w:ascii="宋体" w:hAnsi="宋体"/>
                <w:color w:val="000000"/>
                <w:spacing w:val="-2"/>
                <w:sz w:val="24"/>
                <w:szCs w:val="24"/>
                <w:lang w:val="en-US" w:eastAsia="zh-CN"/>
              </w:rPr>
              <w:t>标项五总价：172.7万元</w:t>
            </w:r>
          </w:p>
        </w:tc>
      </w:tr>
      <w:tr>
        <w:tblPrEx>
          <w:tblCellMar>
            <w:top w:w="0" w:type="dxa"/>
            <w:left w:w="0" w:type="dxa"/>
            <w:bottom w:w="0" w:type="dxa"/>
            <w:right w:w="0" w:type="dxa"/>
          </w:tblCellMar>
        </w:tblPrEx>
        <w:trPr>
          <w:trHeight w:val="570" w:hRule="atLeast"/>
        </w:trPr>
        <w:tc>
          <w:tcPr>
            <w:tcW w:w="314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eastAsia="zh-CN"/>
              </w:rPr>
            </w:pPr>
            <w:r>
              <w:rPr>
                <w:rFonts w:hint="eastAsia" w:ascii="宋体" w:hAnsi="宋体"/>
                <w:color w:val="000000"/>
                <w:spacing w:val="-2"/>
                <w:sz w:val="24"/>
                <w:szCs w:val="24"/>
                <w:lang w:val="en-US" w:eastAsia="zh-CN"/>
              </w:rPr>
              <w:t>教育系统[单位序号32-55（除去序号39.40.41.50.53.55）]</w:t>
            </w:r>
          </w:p>
        </w:tc>
        <w:tc>
          <w:tcPr>
            <w:tcW w:w="53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eastAsia="zh-CN"/>
              </w:rPr>
            </w:pPr>
            <w:r>
              <w:rPr>
                <w:rFonts w:hint="eastAsia" w:ascii="宋体" w:hAnsi="宋体"/>
                <w:color w:val="000000"/>
                <w:spacing w:val="-2"/>
                <w:sz w:val="24"/>
                <w:szCs w:val="24"/>
                <w:lang w:val="en-US" w:eastAsia="zh-CN"/>
              </w:rPr>
              <w:t>311</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eastAsia="zh-CN"/>
              </w:rPr>
            </w:pPr>
            <w:r>
              <w:rPr>
                <w:rFonts w:hint="eastAsia" w:ascii="宋体" w:hAnsi="宋体"/>
                <w:color w:val="000000"/>
                <w:spacing w:val="-2"/>
                <w:sz w:val="24"/>
                <w:szCs w:val="24"/>
                <w:lang w:val="en-US" w:eastAsia="zh-CN"/>
              </w:rPr>
              <w:t>1557</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spacing w:line="440" w:lineRule="exact"/>
              <w:jc w:val="center"/>
              <w:rPr>
                <w:rFonts w:hint="eastAsia" w:ascii="宋体" w:hAnsi="宋体"/>
                <w:color w:val="000000"/>
                <w:spacing w:val="-2"/>
                <w:sz w:val="24"/>
                <w:szCs w:val="24"/>
                <w:lang w:val="en-US" w:eastAsia="zh-CN"/>
              </w:rPr>
            </w:pPr>
            <w:r>
              <w:rPr>
                <w:rFonts w:hint="eastAsia" w:ascii="宋体" w:hAnsi="宋体"/>
                <w:color w:val="000000"/>
                <w:spacing w:val="-2"/>
                <w:sz w:val="24"/>
                <w:szCs w:val="24"/>
                <w:lang w:val="en-US" w:eastAsia="zh-CN"/>
              </w:rPr>
              <w:t>标项六总价：182.135万元</w:t>
            </w:r>
          </w:p>
        </w:tc>
      </w:tr>
    </w:tbl>
    <w:p>
      <w:pPr>
        <w:widowControl/>
        <w:snapToGrid w:val="0"/>
        <w:spacing w:line="216" w:lineRule="auto"/>
        <w:ind w:firstLine="843" w:firstLineChars="300"/>
        <w:textAlignment w:val="baseline"/>
        <w:rPr>
          <w:rFonts w:hint="eastAsia" w:eastAsia="宋体"/>
          <w:b/>
          <w:sz w:val="28"/>
          <w:lang w:val="en-US" w:eastAsia="zh-CN"/>
        </w:rPr>
      </w:pPr>
      <w:r>
        <w:rPr>
          <w:rFonts w:hint="eastAsia"/>
          <w:b/>
          <w:sz w:val="28"/>
          <w:lang w:eastAsia="zh-CN"/>
        </w:rPr>
        <w:t>2025年度高新区(新市区)</w:t>
      </w:r>
      <w:r>
        <w:rPr>
          <w:rFonts w:hint="eastAsia"/>
          <w:b/>
          <w:sz w:val="28"/>
          <w:lang w:val="en-US" w:eastAsia="zh-CN"/>
        </w:rPr>
        <w:t>)政府县级领导</w:t>
      </w:r>
      <w:r>
        <w:rPr>
          <w:rFonts w:hint="eastAsia"/>
          <w:b/>
          <w:sz w:val="28"/>
        </w:rPr>
        <w:t>体检计划</w:t>
      </w:r>
      <w:r>
        <w:rPr>
          <w:rFonts w:hint="eastAsia"/>
          <w:b/>
          <w:sz w:val="28"/>
          <w:lang w:eastAsia="zh-CN"/>
        </w:rPr>
        <w:t>（</w:t>
      </w:r>
      <w:r>
        <w:rPr>
          <w:rFonts w:hint="eastAsia"/>
          <w:b/>
          <w:sz w:val="28"/>
          <w:lang w:val="en-US" w:eastAsia="zh-CN"/>
        </w:rPr>
        <w:t>仅第一标项</w:t>
      </w:r>
      <w:r>
        <w:rPr>
          <w:rFonts w:hint="eastAsia"/>
          <w:b/>
          <w:sz w:val="28"/>
          <w:lang w:eastAsia="zh-CN"/>
        </w:rPr>
        <w:t>）</w:t>
      </w:r>
    </w:p>
    <w:tbl>
      <w:tblPr>
        <w:tblStyle w:val="47"/>
        <w:tblpPr w:leftFromText="180" w:rightFromText="180" w:vertAnchor="text" w:horzAnchor="page" w:tblpX="1230" w:tblpY="91"/>
        <w:tblOverlap w:val="never"/>
        <w:tblW w:w="49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589"/>
        <w:gridCol w:w="2832"/>
        <w:gridCol w:w="4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42" w:type="pct"/>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项目分类</w:t>
            </w:r>
          </w:p>
        </w:tc>
        <w:tc>
          <w:tcPr>
            <w:tcW w:w="1928" w:type="pct"/>
            <w:gridSpan w:val="2"/>
            <w:noWrap w:val="0"/>
            <w:vAlign w:val="center"/>
          </w:tcPr>
          <w:p>
            <w:pPr>
              <w:autoSpaceDN w:val="0"/>
              <w:snapToGrid w:val="0"/>
              <w:spacing w:line="300" w:lineRule="exact"/>
              <w:ind w:left="-334" w:leftChars="-159"/>
              <w:jc w:val="center"/>
              <w:textAlignment w:val="bottom"/>
              <w:rPr>
                <w:rFonts w:hint="eastAsia" w:ascii="宋体" w:hAnsi="宋体"/>
                <w:b/>
                <w:snapToGrid w:val="0"/>
                <w:color w:val="000000"/>
                <w:szCs w:val="21"/>
              </w:rPr>
            </w:pPr>
            <w:r>
              <w:rPr>
                <w:rFonts w:hint="eastAsia" w:ascii="宋体" w:hAnsi="宋体"/>
                <w:b/>
                <w:snapToGrid w:val="0"/>
                <w:color w:val="000000"/>
                <w:szCs w:val="21"/>
              </w:rPr>
              <w:t>检查项目</w:t>
            </w:r>
          </w:p>
        </w:tc>
        <w:tc>
          <w:tcPr>
            <w:tcW w:w="2628" w:type="pct"/>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项目含义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42" w:type="pct"/>
            <w:vMerge w:val="restart"/>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一般检查</w:t>
            </w:r>
          </w:p>
        </w:tc>
        <w:tc>
          <w:tcPr>
            <w:tcW w:w="1928" w:type="pct"/>
            <w:gridSpan w:val="2"/>
            <w:noWrap w:val="0"/>
            <w:vAlign w:val="center"/>
          </w:tcPr>
          <w:p>
            <w:pPr>
              <w:autoSpaceDN w:val="0"/>
              <w:snapToGrid w:val="0"/>
              <w:spacing w:line="300" w:lineRule="exact"/>
              <w:jc w:val="center"/>
              <w:textAlignment w:val="bottom"/>
              <w:rPr>
                <w:rFonts w:hint="eastAsia" w:ascii="宋体" w:hAnsi="宋体"/>
                <w:color w:val="000000"/>
                <w:szCs w:val="21"/>
              </w:rPr>
            </w:pPr>
            <w:r>
              <w:rPr>
                <w:rFonts w:hint="eastAsia" w:ascii="宋体" w:hAnsi="宋体"/>
                <w:color w:val="000000"/>
                <w:szCs w:val="21"/>
              </w:rPr>
              <w:t>身高、体重、血压、</w:t>
            </w:r>
          </w:p>
          <w:p>
            <w:pPr>
              <w:autoSpaceDN w:val="0"/>
              <w:snapToGrid w:val="0"/>
              <w:spacing w:line="300" w:lineRule="exact"/>
              <w:ind w:firstLine="735" w:firstLineChars="350"/>
              <w:textAlignment w:val="bottom"/>
              <w:rPr>
                <w:rFonts w:hint="eastAsia" w:ascii="宋体" w:hAnsi="宋体"/>
                <w:snapToGrid w:val="0"/>
                <w:color w:val="000000"/>
                <w:szCs w:val="21"/>
              </w:rPr>
            </w:pPr>
            <w:r>
              <w:rPr>
                <w:rFonts w:hint="eastAsia" w:ascii="宋体" w:hAnsi="宋体"/>
                <w:color w:val="000000"/>
                <w:szCs w:val="21"/>
              </w:rPr>
              <w:t>体重指数、臀围、</w:t>
            </w:r>
            <w:r>
              <w:rPr>
                <w:rFonts w:hint="eastAsia" w:ascii="宋体" w:hAnsi="宋体"/>
                <w:color w:val="000000"/>
                <w:szCs w:val="21"/>
                <w:lang w:eastAsia="zh-CN"/>
              </w:rPr>
              <w:t>腰</w:t>
            </w:r>
            <w:r>
              <w:rPr>
                <w:rFonts w:hint="eastAsia" w:ascii="宋体" w:hAnsi="宋体"/>
                <w:color w:val="000000"/>
                <w:szCs w:val="21"/>
              </w:rPr>
              <w:t>围</w:t>
            </w:r>
          </w:p>
        </w:tc>
        <w:tc>
          <w:tcPr>
            <w:tcW w:w="2628" w:type="pct"/>
            <w:noWrap w:val="0"/>
            <w:vAlign w:val="center"/>
          </w:tcPr>
          <w:p>
            <w:pPr>
              <w:autoSpaceDN w:val="0"/>
              <w:snapToGrid w:val="0"/>
              <w:spacing w:line="300" w:lineRule="exact"/>
              <w:textAlignment w:val="bottom"/>
              <w:rPr>
                <w:rFonts w:hint="eastAsia" w:ascii="宋体" w:hAnsi="宋体"/>
                <w:b/>
                <w:snapToGrid w:val="0"/>
                <w:color w:val="000000"/>
                <w:szCs w:val="21"/>
              </w:rPr>
            </w:pPr>
            <w:r>
              <w:rPr>
                <w:rFonts w:hint="eastAsia" w:ascii="宋体" w:hAnsi="宋体"/>
                <w:color w:val="000000"/>
                <w:sz w:val="22"/>
                <w:szCs w:val="22"/>
              </w:rPr>
              <w:t>了解身高、体重、血压、</w:t>
            </w:r>
            <w:r>
              <w:rPr>
                <w:rFonts w:hint="eastAsia" w:ascii="宋体" w:hAnsi="宋体"/>
                <w:color w:val="000000"/>
                <w:szCs w:val="21"/>
              </w:rPr>
              <w:t>臀围、</w:t>
            </w:r>
            <w:r>
              <w:rPr>
                <w:rFonts w:hint="eastAsia" w:ascii="宋体" w:hAnsi="宋体"/>
                <w:color w:val="000000"/>
                <w:sz w:val="22"/>
                <w:szCs w:val="22"/>
              </w:rPr>
              <w:t>腹围等基本情况以及是否有体重超标等。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42" w:type="pct"/>
            <w:vMerge w:val="continue"/>
            <w:noWrap w:val="0"/>
            <w:vAlign w:val="center"/>
          </w:tcPr>
          <w:p>
            <w:pPr>
              <w:autoSpaceDN w:val="0"/>
              <w:snapToGrid w:val="0"/>
              <w:spacing w:line="300" w:lineRule="exact"/>
              <w:jc w:val="center"/>
              <w:textAlignment w:val="bottom"/>
              <w:rPr>
                <w:rFonts w:hint="eastAsia" w:ascii="宋体" w:hAnsi="宋体"/>
                <w:b/>
                <w:szCs w:val="21"/>
              </w:rPr>
            </w:pPr>
          </w:p>
        </w:tc>
        <w:tc>
          <w:tcPr>
            <w:tcW w:w="1928" w:type="pct"/>
            <w:gridSpan w:val="2"/>
            <w:noWrap w:val="0"/>
            <w:vAlign w:val="center"/>
          </w:tcPr>
          <w:p>
            <w:pPr>
              <w:autoSpaceDN w:val="0"/>
              <w:snapToGrid w:val="0"/>
              <w:spacing w:line="300" w:lineRule="exact"/>
              <w:jc w:val="center"/>
              <w:textAlignment w:val="bottom"/>
              <w:rPr>
                <w:rFonts w:hint="eastAsia" w:ascii="宋体" w:hAnsi="宋体"/>
                <w:color w:val="000000"/>
                <w:szCs w:val="21"/>
              </w:rPr>
            </w:pPr>
            <w:r>
              <w:rPr>
                <w:rFonts w:hint="eastAsia" w:ascii="宋体" w:hAnsi="宋体"/>
                <w:color w:val="000000"/>
                <w:szCs w:val="21"/>
              </w:rPr>
              <w:t>体检问卷</w:t>
            </w:r>
          </w:p>
        </w:tc>
        <w:tc>
          <w:tcPr>
            <w:tcW w:w="2628" w:type="pct"/>
            <w:noWrap w:val="0"/>
            <w:vAlign w:val="center"/>
          </w:tcPr>
          <w:p>
            <w:pPr>
              <w:spacing w:line="240" w:lineRule="atLeast"/>
              <w:rPr>
                <w:rFonts w:hint="eastAsia" w:ascii="宋体" w:hAnsi="宋体"/>
                <w:b/>
                <w:color w:val="000000"/>
                <w:sz w:val="24"/>
              </w:rPr>
            </w:pPr>
            <w:r>
              <w:rPr>
                <w:rFonts w:hint="eastAsia" w:ascii="宋体" w:hAnsi="宋体"/>
                <w:snapToGrid w:val="0"/>
                <w:color w:val="000000"/>
                <w:szCs w:val="21"/>
              </w:rPr>
              <w:t>了解生活方式、个人史、家族史、健康体检史等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42" w:type="pct"/>
            <w:vMerge w:val="restart"/>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临床</w:t>
            </w:r>
          </w:p>
          <w:p>
            <w:pPr>
              <w:autoSpaceDN w:val="0"/>
              <w:snapToGrid w:val="0"/>
              <w:spacing w:line="300" w:lineRule="exact"/>
              <w:jc w:val="center"/>
              <w:textAlignment w:val="bottom"/>
              <w:rPr>
                <w:rFonts w:hint="eastAsia" w:ascii="宋体" w:hAnsi="宋体"/>
                <w:b/>
                <w:szCs w:val="21"/>
              </w:rPr>
            </w:pPr>
            <w:r>
              <w:rPr>
                <w:rFonts w:hint="eastAsia" w:ascii="宋体" w:hAnsi="宋体"/>
                <w:b/>
                <w:snapToGrid w:val="0"/>
                <w:color w:val="000000"/>
                <w:szCs w:val="21"/>
              </w:rPr>
              <w:t>检查</w:t>
            </w:r>
          </w:p>
        </w:tc>
        <w:tc>
          <w:tcPr>
            <w:tcW w:w="1928" w:type="pct"/>
            <w:gridSpan w:val="2"/>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eastAsia="新宋体"/>
                <w:spacing w:val="-10"/>
                <w:szCs w:val="18"/>
              </w:rPr>
              <w:t>内科</w:t>
            </w:r>
          </w:p>
        </w:tc>
        <w:tc>
          <w:tcPr>
            <w:tcW w:w="2628" w:type="pct"/>
            <w:noWrap w:val="0"/>
            <w:vAlign w:val="center"/>
          </w:tcPr>
          <w:p>
            <w:pPr>
              <w:adjustRightInd w:val="0"/>
              <w:snapToGrid w:val="0"/>
              <w:spacing w:line="400" w:lineRule="exact"/>
              <w:rPr>
                <w:rFonts w:hint="eastAsia" w:ascii="宋体" w:hAnsi="宋体"/>
                <w:snapToGrid w:val="0"/>
                <w:color w:val="000000"/>
                <w:szCs w:val="21"/>
              </w:rPr>
            </w:pPr>
            <w:r>
              <w:rPr>
                <w:rFonts w:hint="eastAsia" w:ascii="宋体" w:hAnsi="宋体" w:eastAsia="新宋体"/>
                <w:spacing w:val="-10"/>
                <w:szCs w:val="18"/>
              </w:rPr>
              <w:t>心血管、呼吸系统、神经系统、肝脾、发育营养等。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42" w:type="pct"/>
            <w:vMerge w:val="continue"/>
            <w:noWrap w:val="0"/>
            <w:vAlign w:val="center"/>
          </w:tcPr>
          <w:p>
            <w:pPr>
              <w:autoSpaceDN w:val="0"/>
              <w:snapToGrid w:val="0"/>
              <w:spacing w:line="300" w:lineRule="exact"/>
              <w:jc w:val="center"/>
              <w:textAlignment w:val="bottom"/>
              <w:rPr>
                <w:rFonts w:hint="eastAsia" w:ascii="宋体" w:hAnsi="宋体"/>
                <w:b/>
                <w:szCs w:val="21"/>
              </w:rPr>
            </w:pPr>
          </w:p>
        </w:tc>
        <w:tc>
          <w:tcPr>
            <w:tcW w:w="1928" w:type="pct"/>
            <w:gridSpan w:val="2"/>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eastAsia="新宋体"/>
                <w:spacing w:val="-10"/>
                <w:szCs w:val="18"/>
              </w:rPr>
              <w:t>外科</w:t>
            </w:r>
          </w:p>
        </w:tc>
        <w:tc>
          <w:tcPr>
            <w:tcW w:w="2628" w:type="pct"/>
            <w:noWrap w:val="0"/>
            <w:vAlign w:val="center"/>
          </w:tcPr>
          <w:p>
            <w:pPr>
              <w:adjustRightInd w:val="0"/>
              <w:snapToGrid w:val="0"/>
              <w:spacing w:line="400" w:lineRule="exact"/>
              <w:rPr>
                <w:rFonts w:hint="eastAsia" w:ascii="宋体" w:hAnsi="宋体"/>
                <w:snapToGrid w:val="0"/>
                <w:color w:val="000000"/>
                <w:szCs w:val="21"/>
              </w:rPr>
            </w:pPr>
            <w:r>
              <w:rPr>
                <w:rFonts w:hint="eastAsia" w:ascii="宋体" w:hAnsi="宋体" w:eastAsia="新宋体"/>
                <w:spacing w:val="-10"/>
                <w:szCs w:val="18"/>
              </w:rPr>
              <w:t>浅表淋巴、皮肤黏膜、脊柱、四肢、关节活动、甲状腺。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restart"/>
            <w:noWrap w:val="0"/>
            <w:vAlign w:val="center"/>
          </w:tcPr>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血</w:t>
            </w:r>
          </w:p>
          <w:p>
            <w:pPr>
              <w:autoSpaceDN w:val="0"/>
              <w:snapToGrid w:val="0"/>
              <w:spacing w:line="300" w:lineRule="exact"/>
              <w:jc w:val="center"/>
              <w:textAlignment w:val="center"/>
              <w:rPr>
                <w:rFonts w:hint="eastAsia" w:ascii="宋体" w:hAnsi="宋体" w:eastAsia="宋体"/>
                <w:b/>
                <w:color w:val="000000"/>
                <w:szCs w:val="21"/>
                <w:lang w:eastAsia="zh-CN"/>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常</w:t>
            </w:r>
          </w:p>
          <w:p>
            <w:pPr>
              <w:autoSpaceDN w:val="0"/>
              <w:snapToGrid w:val="0"/>
              <w:spacing w:line="300" w:lineRule="exact"/>
              <w:jc w:val="center"/>
              <w:textAlignment w:val="center"/>
              <w:rPr>
                <w:rFonts w:hint="eastAsia" w:ascii="宋体" w:hAnsi="宋体" w:eastAsia="宋体"/>
                <w:b/>
                <w:color w:val="000000"/>
                <w:szCs w:val="21"/>
                <w:lang w:eastAsia="zh-CN"/>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规</w:t>
            </w:r>
          </w:p>
          <w:p>
            <w:pPr>
              <w:autoSpaceDN w:val="0"/>
              <w:snapToGrid w:val="0"/>
              <w:spacing w:line="300" w:lineRule="exact"/>
              <w:jc w:val="center"/>
              <w:textAlignment w:val="center"/>
              <w:rPr>
                <w:rFonts w:hint="eastAsia" w:ascii="宋体" w:hAnsi="宋体"/>
                <w:b/>
                <w:color w:val="000000"/>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白细胞（WBC）</w:t>
            </w:r>
          </w:p>
        </w:tc>
        <w:tc>
          <w:tcPr>
            <w:tcW w:w="2628" w:type="pct"/>
            <w:vMerge w:val="restart"/>
            <w:noWrap w:val="0"/>
            <w:vAlign w:val="center"/>
          </w:tcPr>
          <w:p>
            <w:pPr>
              <w:autoSpaceDN w:val="0"/>
              <w:snapToGrid w:val="0"/>
              <w:spacing w:line="300" w:lineRule="auto"/>
              <w:textAlignment w:val="bottom"/>
              <w:rPr>
                <w:rFonts w:hint="eastAsia" w:ascii="宋体" w:hAnsi="宋体"/>
                <w:color w:val="000000"/>
                <w:szCs w:val="21"/>
              </w:rPr>
            </w:pPr>
            <w:r>
              <w:rPr>
                <w:rFonts w:hint="eastAsia" w:ascii="宋体" w:hAnsi="宋体"/>
                <w:szCs w:val="21"/>
              </w:rPr>
              <w:t>了解病毒或细菌感染，如面色苍白或皮下出血点应及时查一次，以便及早发现血液系统疾病（白血病、贫血、溶血、败血症及凝血功能）。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中性粒细胞百分比（NE%）</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3</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淋巴细胞百分比（LY%）</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4</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单核细胞百分比（MO%）</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autoSpaceDN w:val="0"/>
              <w:snapToGrid w:val="0"/>
              <w:spacing w:line="300" w:lineRule="exact"/>
              <w:jc w:val="center"/>
              <w:textAlignment w:val="center"/>
              <w:rPr>
                <w:rFonts w:hint="eastAsia" w:ascii="宋体" w:hAnsi="宋体"/>
                <w:b/>
                <w:color w:val="000000"/>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5</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嗜酸性细胞百分比（EO%）</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6</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嗜碱性细胞百分比（BA%）</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7</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中性粒细胞计数(NE#)</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8</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淋巴细胞计数(LY#)</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9</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单核细胞计数(MO#)</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10</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嗜酸性细胞技术(EO#)</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11</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嗜碱性细胞计数(BA#)</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12</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有核红细胞百分比(NRBC%)</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13</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有核红细胞计数(NRBC#)</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14</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红细胞计数(RBC)</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15</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血红蛋白(HGB)</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16</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红细胞压积(HCT)</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17</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平均红细胞体积(MCV)</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18</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平均血红蛋白(MCH)</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19</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平均血红蛋白浓度(MCHC)</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20</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红细胞分布宽度(RDW)</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21</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血小板计数(PLT)</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22</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血小板平均体积(MPV)</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23</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血小板压积(PCT)</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24</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血小板平均分布宽度(PDW)</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restart"/>
            <w:noWrap w:val="0"/>
            <w:vAlign w:val="center"/>
          </w:tcPr>
          <w:p>
            <w:pPr>
              <w:snapToGrid w:val="0"/>
              <w:spacing w:line="300" w:lineRule="exact"/>
              <w:jc w:val="center"/>
              <w:rPr>
                <w:rFonts w:hint="eastAsia" w:ascii="宋体" w:hAnsi="宋体"/>
                <w:b/>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尿</w:t>
            </w: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常</w:t>
            </w:r>
          </w:p>
          <w:p>
            <w:pPr>
              <w:snapToGrid w:val="0"/>
              <w:spacing w:line="300" w:lineRule="exact"/>
              <w:jc w:val="center"/>
              <w:rPr>
                <w:rFonts w:hint="eastAsia" w:ascii="宋体" w:hAnsi="宋体" w:eastAsia="宋体"/>
                <w:b/>
                <w:color w:val="000000"/>
                <w:szCs w:val="21"/>
                <w:lang w:eastAsia="zh-CN"/>
              </w:rPr>
            </w:pPr>
          </w:p>
          <w:p>
            <w:pPr>
              <w:snapToGrid w:val="0"/>
              <w:spacing w:line="300" w:lineRule="exact"/>
              <w:jc w:val="center"/>
              <w:rPr>
                <w:rFonts w:hint="eastAsia" w:ascii="宋体" w:hAnsi="宋体"/>
                <w:b/>
                <w:szCs w:val="21"/>
              </w:rPr>
            </w:pPr>
            <w:r>
              <w:rPr>
                <w:rFonts w:hint="eastAsia" w:ascii="宋体" w:hAnsi="宋体"/>
                <w:b/>
                <w:color w:val="000000"/>
                <w:szCs w:val="21"/>
              </w:rPr>
              <w:t>规</w:t>
            </w: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尿葡萄糖</w:t>
            </w:r>
          </w:p>
        </w:tc>
        <w:tc>
          <w:tcPr>
            <w:tcW w:w="2628" w:type="pct"/>
            <w:vMerge w:val="restart"/>
            <w:noWrap w:val="0"/>
            <w:vAlign w:val="center"/>
          </w:tcPr>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color w:val="000000"/>
                <w:szCs w:val="21"/>
              </w:rPr>
            </w:pPr>
            <w:r>
              <w:rPr>
                <w:rFonts w:hint="eastAsia" w:ascii="宋体" w:hAnsi="宋体"/>
                <w:szCs w:val="21"/>
              </w:rPr>
              <w:t>尿常规13项检查，了解有否尿道感染、肾炎或血尿，以便排除肾或输尿管或膀胱、或高血压病、糖尿病中、晚期等疾病引起的肾脏功能改变。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胆红素</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3</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尿比重</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4</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潜血</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5</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酸碱度</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6</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尿蛋白</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7</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尿胆原</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8</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亚硝酸盐</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9</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尿白细胞</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10</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颜色</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11</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混浊度</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12</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白细胞（镜检）</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13</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红细胞（镜检）</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14</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上皮细胞（镜检）</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15</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颗粒管型（镜检）</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16</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透明管型（镜检）</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42" w:type="pct"/>
            <w:vMerge w:val="restart"/>
            <w:noWrap w:val="0"/>
            <w:vAlign w:val="center"/>
          </w:tcPr>
          <w:p>
            <w:pPr>
              <w:autoSpaceDN w:val="0"/>
              <w:spacing w:line="280" w:lineRule="exact"/>
              <w:jc w:val="center"/>
              <w:textAlignment w:val="bottom"/>
              <w:rPr>
                <w:rFonts w:hint="eastAsia" w:ascii="宋体" w:hAnsi="宋体"/>
                <w:color w:val="000000"/>
                <w:kern w:val="0"/>
                <w:szCs w:val="21"/>
                <w:lang w:val="en-US" w:eastAsia="zh-CN"/>
              </w:rPr>
            </w:pPr>
            <w:r>
              <w:rPr>
                <w:rFonts w:hint="eastAsia" w:ascii="宋体" w:hAnsi="宋体"/>
                <w:b/>
                <w:color w:val="000000"/>
                <w:szCs w:val="21"/>
              </w:rPr>
              <w:t>肾功能</w:t>
            </w:r>
          </w:p>
        </w:tc>
        <w:tc>
          <w:tcPr>
            <w:tcW w:w="332" w:type="pct"/>
            <w:noWrap w:val="0"/>
            <w:vAlign w:val="center"/>
          </w:tcPr>
          <w:p>
            <w:pPr>
              <w:autoSpaceDN w:val="0"/>
              <w:spacing w:line="280" w:lineRule="exact"/>
              <w:jc w:val="center"/>
              <w:textAlignment w:val="bottom"/>
              <w:rPr>
                <w:rFonts w:hint="eastAsia" w:ascii="宋体" w:hAnsi="宋体"/>
                <w:color w:val="000000"/>
                <w:kern w:val="0"/>
                <w:szCs w:val="21"/>
              </w:rPr>
            </w:pPr>
            <w:r>
              <w:rPr>
                <w:rFonts w:hint="eastAsia" w:ascii="宋体" w:hAnsi="宋体"/>
                <w:color w:val="000000"/>
                <w:kern w:val="0"/>
                <w:szCs w:val="21"/>
                <w:lang w:val="en-US" w:eastAsia="zh-CN"/>
              </w:rPr>
              <w:t>1</w:t>
            </w:r>
          </w:p>
        </w:tc>
        <w:tc>
          <w:tcPr>
            <w:tcW w:w="1596" w:type="pct"/>
            <w:noWrap w:val="0"/>
            <w:vAlign w:val="center"/>
          </w:tcPr>
          <w:p>
            <w:pPr>
              <w:autoSpaceDN w:val="0"/>
              <w:snapToGrid w:val="0"/>
              <w:spacing w:line="300" w:lineRule="exact"/>
              <w:textAlignment w:val="bottom"/>
              <w:rPr>
                <w:rFonts w:hint="eastAsia" w:ascii="宋体" w:hAnsi="宋体"/>
                <w:color w:val="auto"/>
                <w:szCs w:val="21"/>
              </w:rPr>
            </w:pPr>
            <w:r>
              <w:rPr>
                <w:rFonts w:hint="eastAsia" w:ascii="宋体" w:hAnsi="宋体"/>
                <w:color w:val="auto"/>
                <w:szCs w:val="21"/>
              </w:rPr>
              <w:t>血糖</w:t>
            </w:r>
          </w:p>
        </w:tc>
        <w:tc>
          <w:tcPr>
            <w:tcW w:w="2628" w:type="pct"/>
            <w:vMerge w:val="restart"/>
            <w:noWrap w:val="0"/>
            <w:vAlign w:val="center"/>
          </w:tcPr>
          <w:p>
            <w:pPr>
              <w:autoSpaceDN w:val="0"/>
              <w:snapToGrid w:val="0"/>
              <w:spacing w:line="300" w:lineRule="auto"/>
              <w:textAlignment w:val="bottom"/>
              <w:rPr>
                <w:rFonts w:hint="eastAsia" w:ascii="宋体" w:hAnsi="宋体"/>
                <w:color w:val="auto"/>
                <w:szCs w:val="21"/>
              </w:rPr>
            </w:pPr>
            <w:r>
              <w:rPr>
                <w:rFonts w:hint="eastAsia" w:ascii="宋体" w:hAnsi="宋体" w:eastAsia="新宋体"/>
                <w:color w:val="auto"/>
                <w:spacing w:val="-10"/>
                <w:szCs w:val="18"/>
                <w:lang w:eastAsia="zh-CN"/>
              </w:rPr>
              <w:t>了解</w:t>
            </w:r>
            <w:r>
              <w:rPr>
                <w:rFonts w:hint="eastAsia" w:ascii="宋体" w:hAnsi="宋体" w:eastAsia="新宋体"/>
                <w:color w:val="auto"/>
                <w:spacing w:val="-10"/>
                <w:szCs w:val="18"/>
              </w:rPr>
              <w:t>有无空腹血糖受损、胰岛腺体功能受损，糖尿病早期筛查</w:t>
            </w:r>
            <w:r>
              <w:rPr>
                <w:rFonts w:hint="eastAsia" w:ascii="宋体" w:hAnsi="宋体" w:eastAsia="新宋体"/>
                <w:color w:val="auto"/>
                <w:spacing w:val="-10"/>
                <w:szCs w:val="18"/>
                <w:lang w:eastAsia="zh-CN"/>
              </w:rPr>
              <w:t>；</w:t>
            </w:r>
            <w:r>
              <w:rPr>
                <w:rFonts w:hint="eastAsia" w:ascii="宋体" w:hAnsi="宋体"/>
                <w:color w:val="auto"/>
                <w:szCs w:val="21"/>
              </w:rPr>
              <w:t>了解有否肾炎，肾病综合征</w:t>
            </w:r>
            <w:r>
              <w:rPr>
                <w:rFonts w:hint="eastAsia" w:ascii="宋体" w:hAnsi="宋体"/>
                <w:color w:val="auto"/>
                <w:szCs w:val="21"/>
                <w:lang w:val="en-US" w:eastAsia="zh-CN"/>
              </w:rPr>
              <w:t>；</w:t>
            </w:r>
            <w:r>
              <w:rPr>
                <w:rFonts w:hint="eastAsia" w:ascii="宋体" w:hAnsi="宋体" w:eastAsia="新宋体"/>
                <w:color w:val="auto"/>
                <w:spacing w:val="-10"/>
                <w:szCs w:val="18"/>
              </w:rPr>
              <w:t>检查有无痛风可能，其次是肾功能减退、白血病、多发性骨髓瘤</w:t>
            </w:r>
            <w:r>
              <w:rPr>
                <w:rFonts w:hint="eastAsia" w:ascii="宋体" w:hAnsi="宋体" w:eastAsia="新宋体"/>
                <w:color w:val="auto"/>
                <w:spacing w:val="-1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2" w:type="pct"/>
            <w:vMerge w:val="continue"/>
            <w:noWrap w:val="0"/>
            <w:vAlign w:val="center"/>
          </w:tcPr>
          <w:p>
            <w:pPr>
              <w:autoSpaceDN w:val="0"/>
              <w:spacing w:line="280" w:lineRule="exact"/>
              <w:jc w:val="center"/>
              <w:textAlignment w:val="bottom"/>
              <w:rPr>
                <w:rFonts w:hint="eastAsia" w:ascii="宋体" w:hAnsi="宋体"/>
                <w:color w:val="000000"/>
                <w:kern w:val="0"/>
                <w:szCs w:val="21"/>
                <w:lang w:val="en-US" w:eastAsia="zh-CN"/>
              </w:rPr>
            </w:pPr>
          </w:p>
        </w:tc>
        <w:tc>
          <w:tcPr>
            <w:tcW w:w="332" w:type="pct"/>
            <w:noWrap w:val="0"/>
            <w:vAlign w:val="center"/>
          </w:tcPr>
          <w:p>
            <w:pPr>
              <w:autoSpaceDN w:val="0"/>
              <w:spacing w:line="280" w:lineRule="exact"/>
              <w:jc w:val="center"/>
              <w:textAlignment w:val="bottom"/>
              <w:rPr>
                <w:rFonts w:hint="eastAsia" w:ascii="宋体" w:hAnsi="宋体"/>
                <w:color w:val="000000"/>
                <w:kern w:val="0"/>
                <w:szCs w:val="21"/>
              </w:rPr>
            </w:pPr>
            <w:r>
              <w:rPr>
                <w:rFonts w:hint="eastAsia" w:ascii="宋体" w:hAnsi="宋体"/>
                <w:color w:val="000000"/>
                <w:kern w:val="0"/>
                <w:szCs w:val="21"/>
                <w:lang w:val="en-US" w:eastAsia="zh-CN"/>
              </w:rPr>
              <w:t>2</w:t>
            </w:r>
          </w:p>
        </w:tc>
        <w:tc>
          <w:tcPr>
            <w:tcW w:w="1596" w:type="pct"/>
            <w:noWrap w:val="0"/>
            <w:vAlign w:val="center"/>
          </w:tcPr>
          <w:p>
            <w:pPr>
              <w:autoSpaceDN w:val="0"/>
              <w:snapToGrid w:val="0"/>
              <w:spacing w:line="300" w:lineRule="exact"/>
              <w:textAlignment w:val="bottom"/>
              <w:rPr>
                <w:rFonts w:hint="eastAsia" w:ascii="宋体" w:hAnsi="宋体"/>
                <w:color w:val="auto"/>
                <w:szCs w:val="21"/>
              </w:rPr>
            </w:pPr>
            <w:r>
              <w:rPr>
                <w:rFonts w:hint="eastAsia" w:ascii="宋体" w:hAnsi="宋体"/>
                <w:color w:val="auto"/>
                <w:szCs w:val="21"/>
              </w:rPr>
              <w:t>尿酸</w:t>
            </w:r>
          </w:p>
        </w:tc>
        <w:tc>
          <w:tcPr>
            <w:tcW w:w="2628" w:type="pct"/>
            <w:vMerge w:val="continue"/>
            <w:noWrap w:val="0"/>
            <w:vAlign w:val="center"/>
          </w:tcPr>
          <w:p>
            <w:pPr>
              <w:autoSpaceDN w:val="0"/>
              <w:snapToGrid w:val="0"/>
              <w:spacing w:line="300" w:lineRule="auto"/>
              <w:textAlignment w:val="bottom"/>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widowControl/>
              <w:snapToGrid w:val="0"/>
              <w:spacing w:line="300" w:lineRule="exact"/>
              <w:jc w:val="center"/>
            </w:pPr>
          </w:p>
        </w:tc>
        <w:tc>
          <w:tcPr>
            <w:tcW w:w="332" w:type="pct"/>
            <w:noWrap w:val="0"/>
            <w:vAlign w:val="center"/>
          </w:tcPr>
          <w:p>
            <w:pPr>
              <w:autoSpaceDN w:val="0"/>
              <w:spacing w:line="280" w:lineRule="exact"/>
              <w:jc w:val="center"/>
              <w:textAlignment w:val="bottom"/>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3</w:t>
            </w:r>
          </w:p>
        </w:tc>
        <w:tc>
          <w:tcPr>
            <w:tcW w:w="1596" w:type="pct"/>
            <w:noWrap w:val="0"/>
            <w:vAlign w:val="center"/>
          </w:tcPr>
          <w:p>
            <w:pPr>
              <w:autoSpaceDN w:val="0"/>
              <w:snapToGrid w:val="0"/>
              <w:spacing w:line="300" w:lineRule="exact"/>
              <w:textAlignment w:val="bottom"/>
              <w:rPr>
                <w:rFonts w:hint="eastAsia" w:ascii="宋体" w:hAnsi="宋体" w:eastAsia="宋体"/>
                <w:color w:val="auto"/>
                <w:szCs w:val="21"/>
                <w:lang w:eastAsia="zh-CN"/>
              </w:rPr>
            </w:pPr>
            <w:r>
              <w:rPr>
                <w:rFonts w:hint="eastAsia" w:ascii="宋体" w:hAnsi="宋体"/>
                <w:color w:val="auto"/>
                <w:szCs w:val="21"/>
                <w:lang w:eastAsia="zh-CN"/>
              </w:rPr>
              <w:t>肾功二项</w:t>
            </w:r>
          </w:p>
        </w:tc>
        <w:tc>
          <w:tcPr>
            <w:tcW w:w="2628" w:type="pct"/>
            <w:vMerge w:val="continue"/>
            <w:noWrap w:val="0"/>
            <w:vAlign w:val="center"/>
          </w:tcPr>
          <w:p>
            <w:pPr>
              <w:autoSpaceDN w:val="0"/>
              <w:snapToGrid w:val="0"/>
              <w:spacing w:line="300" w:lineRule="auto"/>
              <w:textAlignment w:val="bottom"/>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noWrap w:val="0"/>
            <w:vAlign w:val="center"/>
          </w:tcPr>
          <w:p>
            <w:pPr>
              <w:widowControl/>
              <w:snapToGrid w:val="0"/>
              <w:spacing w:line="300" w:lineRule="exact"/>
              <w:jc w:val="center"/>
            </w:pPr>
          </w:p>
        </w:tc>
        <w:tc>
          <w:tcPr>
            <w:tcW w:w="332" w:type="pct"/>
            <w:noWrap w:val="0"/>
            <w:vAlign w:val="center"/>
          </w:tcPr>
          <w:p>
            <w:pPr>
              <w:autoSpaceDN w:val="0"/>
              <w:spacing w:line="280" w:lineRule="exact"/>
              <w:jc w:val="center"/>
              <w:textAlignment w:val="bottom"/>
              <w:rPr>
                <w:rFonts w:hint="default" w:ascii="宋体" w:hAnsi="宋体"/>
                <w:color w:val="000000"/>
                <w:kern w:val="0"/>
                <w:szCs w:val="21"/>
                <w:lang w:val="en-US" w:eastAsia="zh-CN"/>
              </w:rPr>
            </w:pPr>
            <w:r>
              <w:rPr>
                <w:rFonts w:hint="eastAsia" w:ascii="宋体" w:hAnsi="宋体"/>
                <w:color w:val="000000"/>
                <w:kern w:val="0"/>
                <w:szCs w:val="21"/>
                <w:lang w:val="en-US" w:eastAsia="zh-CN"/>
              </w:rPr>
              <w:t>1</w:t>
            </w:r>
          </w:p>
        </w:tc>
        <w:tc>
          <w:tcPr>
            <w:tcW w:w="1596" w:type="pct"/>
            <w:noWrap w:val="0"/>
            <w:vAlign w:val="center"/>
          </w:tcPr>
          <w:p>
            <w:pPr>
              <w:autoSpaceDN w:val="0"/>
              <w:snapToGrid w:val="0"/>
              <w:spacing w:line="300" w:lineRule="exact"/>
              <w:textAlignment w:val="bottom"/>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szCs w:val="21"/>
                <w:lang w:val="en-US" w:eastAsia="zh-CN"/>
              </w:rPr>
              <w:t>电解质组合（血清）</w:t>
            </w:r>
          </w:p>
        </w:tc>
        <w:tc>
          <w:tcPr>
            <w:tcW w:w="2628" w:type="pct"/>
            <w:noWrap w:val="0"/>
            <w:vAlign w:val="center"/>
          </w:tcPr>
          <w:p>
            <w:pPr>
              <w:autoSpaceDN w:val="0"/>
              <w:snapToGrid w:val="0"/>
              <w:spacing w:line="300" w:lineRule="exact"/>
              <w:textAlignment w:val="bottom"/>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szCs w:val="21"/>
                <w:lang w:val="en-US" w:eastAsia="zh-CN"/>
              </w:rPr>
              <w:t>测定血清钾、钠、氯、钙。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restart"/>
            <w:noWrap w:val="0"/>
            <w:vAlign w:val="center"/>
          </w:tcPr>
          <w:p>
            <w:pPr>
              <w:snapToGrid w:val="0"/>
              <w:spacing w:line="360" w:lineRule="exact"/>
              <w:jc w:val="center"/>
              <w:rPr>
                <w:rFonts w:hint="eastAsia" w:ascii="宋体" w:hAnsi="宋体"/>
                <w:b/>
                <w:szCs w:val="21"/>
              </w:rPr>
            </w:pPr>
            <w:r>
              <w:rPr>
                <w:rFonts w:hint="eastAsia" w:ascii="宋体" w:hAnsi="宋体"/>
                <w:b/>
                <w:szCs w:val="21"/>
              </w:rPr>
              <w:t>血脂四项</w:t>
            </w:r>
          </w:p>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1596" w:type="pct"/>
            <w:noWrap w:val="0"/>
            <w:vAlign w:val="center"/>
          </w:tcPr>
          <w:p>
            <w:pPr>
              <w:autoSpaceDN w:val="0"/>
              <w:snapToGrid w:val="0"/>
              <w:spacing w:line="360" w:lineRule="exact"/>
              <w:textAlignment w:val="bottom"/>
              <w:rPr>
                <w:rFonts w:hint="eastAsia" w:ascii="宋体" w:hAnsi="宋体"/>
                <w:color w:val="auto"/>
                <w:szCs w:val="21"/>
              </w:rPr>
            </w:pPr>
            <w:r>
              <w:rPr>
                <w:rFonts w:hint="eastAsia" w:ascii="宋体" w:hAnsi="宋体"/>
                <w:color w:val="auto"/>
                <w:szCs w:val="21"/>
              </w:rPr>
              <w:t>甘油三酯</w:t>
            </w:r>
          </w:p>
        </w:tc>
        <w:tc>
          <w:tcPr>
            <w:tcW w:w="2628" w:type="pct"/>
            <w:vMerge w:val="restart"/>
            <w:noWrap w:val="0"/>
            <w:vAlign w:val="center"/>
          </w:tcPr>
          <w:p>
            <w:pPr>
              <w:jc w:val="both"/>
              <w:rPr>
                <w:rFonts w:hint="eastAsia" w:ascii="宋体" w:hAnsi="宋体"/>
                <w:color w:val="auto"/>
                <w:szCs w:val="21"/>
              </w:rPr>
            </w:pPr>
          </w:p>
          <w:p>
            <w:pPr>
              <w:jc w:val="both"/>
              <w:rPr>
                <w:color w:val="auto"/>
              </w:rPr>
            </w:pPr>
            <w:r>
              <w:rPr>
                <w:rFonts w:hint="eastAsia" w:ascii="宋体" w:hAnsi="宋体"/>
                <w:color w:val="auto"/>
                <w:szCs w:val="21"/>
              </w:rPr>
              <w:t>了解目前甘油三酯及总胆固醇的变化情况，有无血脂代谢异常等，及早把异常高脂血症的危险降低到最安全的范围，减少冠心病发生率及死亡率。</w:t>
            </w:r>
          </w:p>
          <w:p>
            <w:pPr>
              <w:autoSpaceDN w:val="0"/>
              <w:snapToGrid w:val="0"/>
              <w:spacing w:line="300" w:lineRule="auto"/>
              <w:jc w:val="both"/>
              <w:textAlignment w:val="bottom"/>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1596" w:type="pct"/>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总胆固醇</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3</w:t>
            </w:r>
          </w:p>
        </w:tc>
        <w:tc>
          <w:tcPr>
            <w:tcW w:w="1596" w:type="pct"/>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高密度脂蛋白胆固醇</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4</w:t>
            </w:r>
          </w:p>
        </w:tc>
        <w:tc>
          <w:tcPr>
            <w:tcW w:w="1596" w:type="pct"/>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低密度脂蛋白胆固醇</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42" w:type="pct"/>
            <w:vMerge w:val="restart"/>
            <w:noWrap w:val="0"/>
            <w:vAlign w:val="center"/>
          </w:tcPr>
          <w:p>
            <w:pPr>
              <w:snapToGrid w:val="0"/>
              <w:spacing w:line="360" w:lineRule="exact"/>
              <w:jc w:val="center"/>
              <w:rPr>
                <w:rFonts w:hint="eastAsia" w:ascii="宋体" w:hAnsi="宋体"/>
                <w:b/>
                <w:color w:val="000000"/>
                <w:szCs w:val="21"/>
              </w:rPr>
            </w:pPr>
            <w:r>
              <w:rPr>
                <w:rFonts w:hint="eastAsia" w:ascii="宋体" w:hAnsi="宋体"/>
                <w:b/>
                <w:color w:val="000000"/>
                <w:szCs w:val="21"/>
              </w:rPr>
              <w:t>肝功</w:t>
            </w:r>
            <w:r>
              <w:rPr>
                <w:rFonts w:hint="eastAsia" w:ascii="宋体" w:hAnsi="宋体"/>
                <w:b/>
                <w:color w:val="000000"/>
                <w:szCs w:val="21"/>
                <w:lang w:eastAsia="zh-CN"/>
              </w:rPr>
              <w:t>五</w:t>
            </w:r>
            <w:r>
              <w:rPr>
                <w:rFonts w:hint="eastAsia" w:ascii="宋体" w:hAnsi="宋体"/>
                <w:b/>
                <w:color w:val="000000"/>
                <w:szCs w:val="21"/>
              </w:rPr>
              <w:t>项</w:t>
            </w:r>
          </w:p>
          <w:p>
            <w:pPr>
              <w:widowControl/>
              <w:snapToGrid w:val="0"/>
              <w:spacing w:line="360" w:lineRule="exact"/>
              <w:jc w:val="center"/>
              <w:rPr>
                <w:rFonts w:hint="eastAsia" w:ascii="宋体" w:hAnsi="宋体"/>
                <w:b/>
                <w:szCs w:val="21"/>
              </w:rPr>
            </w:pPr>
          </w:p>
          <w:p>
            <w:pPr>
              <w:widowControl/>
              <w:snapToGrid w:val="0"/>
              <w:spacing w:line="360" w:lineRule="exact"/>
              <w:jc w:val="center"/>
              <w:rPr>
                <w:rFonts w:hint="eastAsia" w:ascii="宋体" w:hAnsi="宋体"/>
                <w:b/>
                <w:szCs w:val="21"/>
              </w:rPr>
            </w:pPr>
          </w:p>
        </w:tc>
        <w:tc>
          <w:tcPr>
            <w:tcW w:w="332" w:type="pct"/>
            <w:noWrap w:val="0"/>
            <w:vAlign w:val="center"/>
          </w:tcPr>
          <w:p>
            <w:pPr>
              <w:widowControl/>
              <w:snapToGrid w:val="0"/>
              <w:spacing w:line="340" w:lineRule="exact"/>
              <w:jc w:val="center"/>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1</w:t>
            </w:r>
          </w:p>
        </w:tc>
        <w:tc>
          <w:tcPr>
            <w:tcW w:w="1596" w:type="pct"/>
            <w:noWrap w:val="0"/>
            <w:vAlign w:val="center"/>
          </w:tcPr>
          <w:p>
            <w:pPr>
              <w:autoSpaceDN w:val="0"/>
              <w:snapToGrid w:val="0"/>
              <w:spacing w:line="340" w:lineRule="exact"/>
              <w:textAlignment w:val="bottom"/>
              <w:rPr>
                <w:rFonts w:hint="eastAsia" w:ascii="宋体" w:hAnsi="宋体"/>
                <w:color w:val="000000"/>
                <w:szCs w:val="21"/>
              </w:rPr>
            </w:pPr>
            <w:r>
              <w:rPr>
                <w:rFonts w:hint="eastAsia" w:ascii="宋体" w:hAnsi="宋体"/>
                <w:color w:val="000000"/>
                <w:szCs w:val="21"/>
              </w:rPr>
              <w:t>门冬氨酸氨基转移酶</w:t>
            </w:r>
          </w:p>
        </w:tc>
        <w:tc>
          <w:tcPr>
            <w:tcW w:w="2628" w:type="pct"/>
            <w:vMerge w:val="restart"/>
            <w:noWrap w:val="0"/>
            <w:vAlign w:val="center"/>
          </w:tcPr>
          <w:p>
            <w:pPr>
              <w:autoSpaceDN w:val="0"/>
              <w:snapToGrid w:val="0"/>
              <w:spacing w:line="300" w:lineRule="auto"/>
              <w:jc w:val="both"/>
              <w:textAlignment w:val="bottom"/>
              <w:rPr>
                <w:rFonts w:hint="eastAsia" w:ascii="宋体" w:hAnsi="宋体"/>
                <w:color w:val="000000"/>
                <w:szCs w:val="21"/>
              </w:rPr>
            </w:pPr>
            <w:r>
              <w:rPr>
                <w:rFonts w:hint="eastAsia" w:ascii="宋体" w:hAnsi="宋体"/>
                <w:szCs w:val="21"/>
              </w:rPr>
              <w:t>了解有无肝功能损害及目前损害的程度及是否影响到肝脏代谢功能。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42" w:type="pct"/>
            <w:vMerge w:val="continue"/>
            <w:noWrap w:val="0"/>
            <w:vAlign w:val="center"/>
          </w:tcPr>
          <w:p>
            <w:pPr>
              <w:widowControl/>
              <w:snapToGrid w:val="0"/>
              <w:spacing w:line="360" w:lineRule="exact"/>
              <w:jc w:val="center"/>
              <w:rPr>
                <w:rFonts w:hint="eastAsia" w:ascii="宋体" w:hAnsi="宋体"/>
                <w:b/>
                <w:szCs w:val="21"/>
              </w:rPr>
            </w:pPr>
          </w:p>
        </w:tc>
        <w:tc>
          <w:tcPr>
            <w:tcW w:w="332" w:type="pct"/>
            <w:noWrap w:val="0"/>
            <w:vAlign w:val="center"/>
          </w:tcPr>
          <w:p>
            <w:pPr>
              <w:widowControl/>
              <w:snapToGrid w:val="0"/>
              <w:spacing w:line="340" w:lineRule="exact"/>
              <w:jc w:val="center"/>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2</w:t>
            </w:r>
          </w:p>
        </w:tc>
        <w:tc>
          <w:tcPr>
            <w:tcW w:w="1596" w:type="pct"/>
            <w:noWrap w:val="0"/>
            <w:vAlign w:val="center"/>
          </w:tcPr>
          <w:p>
            <w:pPr>
              <w:autoSpaceDN w:val="0"/>
              <w:snapToGrid w:val="0"/>
              <w:spacing w:line="340" w:lineRule="exact"/>
              <w:textAlignment w:val="bottom"/>
              <w:rPr>
                <w:rFonts w:hint="eastAsia" w:ascii="宋体" w:hAnsi="宋体"/>
                <w:color w:val="000000"/>
                <w:szCs w:val="21"/>
              </w:rPr>
            </w:pPr>
            <w:r>
              <w:rPr>
                <w:rFonts w:hint="eastAsia" w:ascii="宋体" w:hAnsi="宋体"/>
                <w:color w:val="000000"/>
                <w:szCs w:val="21"/>
              </w:rPr>
              <w:t>丙氨酸氨基转移酶</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42" w:type="pct"/>
            <w:vMerge w:val="continue"/>
            <w:noWrap w:val="0"/>
            <w:vAlign w:val="center"/>
          </w:tcPr>
          <w:p>
            <w:pPr>
              <w:widowControl/>
              <w:snapToGrid w:val="0"/>
              <w:spacing w:line="360" w:lineRule="exact"/>
              <w:jc w:val="center"/>
              <w:rPr>
                <w:rFonts w:hint="eastAsia" w:ascii="宋体" w:hAnsi="宋体"/>
                <w:b/>
                <w:szCs w:val="21"/>
              </w:rPr>
            </w:pPr>
          </w:p>
        </w:tc>
        <w:tc>
          <w:tcPr>
            <w:tcW w:w="332" w:type="pct"/>
            <w:noWrap w:val="0"/>
            <w:vAlign w:val="center"/>
          </w:tcPr>
          <w:p>
            <w:pPr>
              <w:widowControl/>
              <w:snapToGrid w:val="0"/>
              <w:spacing w:line="340" w:lineRule="exact"/>
              <w:jc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3</w:t>
            </w:r>
          </w:p>
        </w:tc>
        <w:tc>
          <w:tcPr>
            <w:tcW w:w="1596" w:type="pct"/>
            <w:noWrap w:val="0"/>
            <w:vAlign w:val="center"/>
          </w:tcPr>
          <w:p>
            <w:pPr>
              <w:autoSpaceDN w:val="0"/>
              <w:snapToGrid w:val="0"/>
              <w:spacing w:line="340" w:lineRule="exact"/>
              <w:textAlignment w:val="bottom"/>
              <w:rPr>
                <w:rFonts w:hint="eastAsia" w:ascii="宋体" w:hAnsi="宋体"/>
                <w:color w:val="000000"/>
                <w:szCs w:val="21"/>
              </w:rPr>
            </w:pPr>
            <w:r>
              <w:rPr>
                <w:rFonts w:hint="eastAsia" w:ascii="宋体" w:hAnsi="宋体"/>
                <w:color w:val="000000"/>
                <w:szCs w:val="21"/>
              </w:rPr>
              <w:t>总胆红素</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42" w:type="pct"/>
            <w:vMerge w:val="continue"/>
            <w:noWrap w:val="0"/>
            <w:vAlign w:val="center"/>
          </w:tcPr>
          <w:p>
            <w:pPr>
              <w:widowControl/>
              <w:snapToGrid w:val="0"/>
              <w:spacing w:line="360" w:lineRule="exact"/>
              <w:jc w:val="center"/>
              <w:rPr>
                <w:rFonts w:hint="eastAsia" w:ascii="宋体" w:hAnsi="宋体"/>
                <w:b/>
                <w:szCs w:val="21"/>
              </w:rPr>
            </w:pPr>
          </w:p>
        </w:tc>
        <w:tc>
          <w:tcPr>
            <w:tcW w:w="332" w:type="pct"/>
            <w:noWrap w:val="0"/>
            <w:vAlign w:val="center"/>
          </w:tcPr>
          <w:p>
            <w:pPr>
              <w:widowControl/>
              <w:snapToGrid w:val="0"/>
              <w:spacing w:line="340" w:lineRule="exact"/>
              <w:jc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4</w:t>
            </w:r>
          </w:p>
        </w:tc>
        <w:tc>
          <w:tcPr>
            <w:tcW w:w="1596" w:type="pct"/>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lang w:eastAsia="zh-CN"/>
              </w:rPr>
              <w:t>白蛋白</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42" w:type="pct"/>
            <w:vMerge w:val="continue"/>
            <w:noWrap w:val="0"/>
            <w:vAlign w:val="center"/>
          </w:tcPr>
          <w:p>
            <w:pPr>
              <w:widowControl/>
              <w:snapToGrid w:val="0"/>
              <w:spacing w:line="360" w:lineRule="exact"/>
              <w:jc w:val="center"/>
              <w:rPr>
                <w:rFonts w:hint="eastAsia" w:ascii="宋体" w:hAnsi="宋体"/>
                <w:b/>
                <w:szCs w:val="21"/>
              </w:rPr>
            </w:pPr>
          </w:p>
        </w:tc>
        <w:tc>
          <w:tcPr>
            <w:tcW w:w="332" w:type="pct"/>
            <w:noWrap w:val="0"/>
            <w:vAlign w:val="center"/>
          </w:tcPr>
          <w:p>
            <w:pPr>
              <w:widowControl/>
              <w:snapToGrid w:val="0"/>
              <w:spacing w:line="340" w:lineRule="exact"/>
              <w:jc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5</w:t>
            </w:r>
          </w:p>
        </w:tc>
        <w:tc>
          <w:tcPr>
            <w:tcW w:w="1596" w:type="pct"/>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lang w:eastAsia="zh-CN"/>
              </w:rPr>
              <w:t>总蛋白</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42" w:type="pct"/>
            <w:noWrap w:val="0"/>
            <w:vAlign w:val="center"/>
          </w:tcPr>
          <w:p>
            <w:pPr>
              <w:snapToGrid w:val="0"/>
              <w:spacing w:line="360" w:lineRule="exact"/>
              <w:jc w:val="center"/>
              <w:rPr>
                <w:rFonts w:hint="eastAsia" w:ascii="宋体" w:hAnsi="宋体"/>
                <w:b/>
                <w:color w:val="auto"/>
                <w:szCs w:val="21"/>
              </w:rPr>
            </w:pPr>
            <w:r>
              <w:rPr>
                <w:rFonts w:hint="eastAsia" w:ascii="宋体" w:hAnsi="宋体" w:eastAsia="宋体" w:cs="宋体"/>
                <w:b/>
                <w:bCs w:val="0"/>
                <w:i w:val="0"/>
                <w:iCs w:val="0"/>
                <w:color w:val="auto"/>
                <w:sz w:val="21"/>
                <w:szCs w:val="21"/>
                <w:lang w:eastAsia="zh-CN"/>
              </w:rPr>
              <w:t>甲状腺功能检测</w:t>
            </w:r>
          </w:p>
        </w:tc>
        <w:tc>
          <w:tcPr>
            <w:tcW w:w="332" w:type="pct"/>
            <w:noWrap w:val="0"/>
            <w:vAlign w:val="center"/>
          </w:tcPr>
          <w:p>
            <w:pPr>
              <w:widowControl/>
              <w:snapToGrid w:val="0"/>
              <w:spacing w:line="340" w:lineRule="exact"/>
              <w:jc w:val="center"/>
              <w:rPr>
                <w:rFonts w:hint="eastAsia" w:ascii="宋体" w:hAnsi="宋体"/>
                <w:color w:val="auto"/>
                <w:kern w:val="0"/>
                <w:szCs w:val="21"/>
                <w:lang w:val="en-US" w:eastAsia="zh-CN"/>
              </w:rPr>
            </w:pPr>
            <w:r>
              <w:rPr>
                <w:rFonts w:hint="eastAsia" w:ascii="宋体" w:hAnsi="宋体" w:eastAsia="宋体" w:cs="宋体"/>
                <w:b w:val="0"/>
                <w:bCs/>
                <w:i w:val="0"/>
                <w:iCs w:val="0"/>
                <w:color w:val="auto"/>
                <w:kern w:val="0"/>
                <w:sz w:val="22"/>
                <w:szCs w:val="22"/>
                <w:lang w:val="en-US" w:eastAsia="zh-CN"/>
              </w:rPr>
              <w:t>1</w:t>
            </w:r>
          </w:p>
        </w:tc>
        <w:tc>
          <w:tcPr>
            <w:tcW w:w="1596" w:type="pct"/>
            <w:noWrap w:val="0"/>
            <w:vAlign w:val="center"/>
          </w:tcPr>
          <w:p>
            <w:pPr>
              <w:autoSpaceDN w:val="0"/>
              <w:snapToGrid w:val="0"/>
              <w:spacing w:line="300" w:lineRule="exact"/>
              <w:textAlignment w:val="bottom"/>
              <w:rPr>
                <w:rFonts w:hint="eastAsia" w:ascii="宋体" w:hAnsi="宋体" w:eastAsia="宋体"/>
                <w:color w:val="auto"/>
                <w:szCs w:val="21"/>
                <w:lang w:eastAsia="zh-CN"/>
              </w:rPr>
            </w:pPr>
            <w:r>
              <w:rPr>
                <w:rFonts w:hint="eastAsia" w:ascii="宋体" w:hAnsi="宋体"/>
                <w:color w:val="auto"/>
                <w:szCs w:val="21"/>
                <w:lang w:eastAsia="zh-CN"/>
              </w:rPr>
              <w:t>甲功三项（游离）</w:t>
            </w:r>
          </w:p>
        </w:tc>
        <w:tc>
          <w:tcPr>
            <w:tcW w:w="2628" w:type="pct"/>
            <w:noWrap w:val="0"/>
            <w:vAlign w:val="center"/>
          </w:tcPr>
          <w:p>
            <w:pPr>
              <w:spacing w:line="400" w:lineRule="exact"/>
              <w:rPr>
                <w:rFonts w:hint="eastAsia" w:ascii="宋体" w:hAnsi="宋体" w:eastAsia="新宋体"/>
                <w:color w:val="auto"/>
                <w:spacing w:val="-10"/>
                <w:szCs w:val="18"/>
                <w:lang w:eastAsia="zh-CN"/>
              </w:rPr>
            </w:pPr>
            <w:r>
              <w:rPr>
                <w:rFonts w:hint="eastAsia" w:ascii="宋体" w:hAnsi="宋体" w:eastAsia="新宋体"/>
                <w:color w:val="auto"/>
                <w:spacing w:val="-10"/>
                <w:szCs w:val="18"/>
                <w:lang w:eastAsia="zh-CN"/>
              </w:rPr>
              <w:t>了解目前有无甲状腺功能改变及甲状腺病变的具体类型、病变程度等。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42" w:type="pct"/>
            <w:noWrap w:val="0"/>
            <w:vAlign w:val="center"/>
          </w:tcPr>
          <w:p>
            <w:pPr>
              <w:widowControl/>
              <w:snapToGrid w:val="0"/>
              <w:spacing w:line="360" w:lineRule="exact"/>
              <w:jc w:val="center"/>
              <w:rPr>
                <w:rFonts w:hint="eastAsia" w:ascii="宋体" w:hAnsi="宋体"/>
                <w:b/>
                <w:bCs/>
                <w:color w:val="auto"/>
                <w:szCs w:val="21"/>
              </w:rPr>
            </w:pPr>
            <w:r>
              <w:rPr>
                <w:rFonts w:hint="eastAsia" w:ascii="宋体" w:hAnsi="宋体"/>
                <w:b/>
                <w:bCs/>
                <w:color w:val="auto"/>
                <w:szCs w:val="21"/>
              </w:rPr>
              <w:t>肿瘤筛查</w:t>
            </w:r>
          </w:p>
        </w:tc>
        <w:tc>
          <w:tcPr>
            <w:tcW w:w="332" w:type="pct"/>
            <w:noWrap w:val="0"/>
            <w:vAlign w:val="center"/>
          </w:tcPr>
          <w:p>
            <w:pPr>
              <w:widowControl/>
              <w:snapToGrid w:val="0"/>
              <w:spacing w:line="300" w:lineRule="exact"/>
              <w:jc w:val="center"/>
              <w:rPr>
                <w:rFonts w:hint="eastAsia" w:ascii="宋体" w:hAnsi="宋体"/>
                <w:color w:val="auto"/>
                <w:kern w:val="0"/>
                <w:szCs w:val="21"/>
                <w:lang w:val="en-US" w:eastAsia="zh-CN"/>
              </w:rPr>
            </w:pPr>
            <w:r>
              <w:rPr>
                <w:rFonts w:hint="eastAsia" w:ascii="宋体" w:hAnsi="宋体"/>
                <w:color w:val="auto"/>
                <w:kern w:val="0"/>
                <w:szCs w:val="21"/>
              </w:rPr>
              <w:t>1</w:t>
            </w:r>
          </w:p>
        </w:tc>
        <w:tc>
          <w:tcPr>
            <w:tcW w:w="1596" w:type="pct"/>
            <w:noWrap w:val="0"/>
            <w:vAlign w:val="center"/>
          </w:tcPr>
          <w:p>
            <w:pPr>
              <w:autoSpaceDN w:val="0"/>
              <w:snapToGrid w:val="0"/>
              <w:spacing w:line="300" w:lineRule="exact"/>
              <w:textAlignment w:val="bottom"/>
              <w:rPr>
                <w:rFonts w:hint="eastAsia" w:ascii="宋体" w:hAnsi="宋体"/>
                <w:color w:val="auto"/>
                <w:szCs w:val="21"/>
              </w:rPr>
            </w:pPr>
            <w:r>
              <w:rPr>
                <w:rFonts w:hint="eastAsia" w:ascii="宋体" w:hAnsi="宋体"/>
                <w:color w:val="auto"/>
                <w:szCs w:val="21"/>
              </w:rPr>
              <w:t>甲胎蛋白(AFP)</w:t>
            </w:r>
          </w:p>
        </w:tc>
        <w:tc>
          <w:tcPr>
            <w:tcW w:w="2628" w:type="pct"/>
            <w:noWrap w:val="0"/>
            <w:vAlign w:val="center"/>
          </w:tcPr>
          <w:p>
            <w:pPr>
              <w:adjustRightInd w:val="0"/>
              <w:snapToGrid w:val="0"/>
              <w:spacing w:line="400" w:lineRule="exact"/>
              <w:rPr>
                <w:rFonts w:hint="eastAsia" w:ascii="宋体" w:hAnsi="宋体"/>
                <w:color w:val="auto"/>
                <w:szCs w:val="21"/>
              </w:rPr>
            </w:pPr>
            <w:r>
              <w:rPr>
                <w:rFonts w:hint="eastAsia" w:ascii="宋体" w:hAnsi="宋体" w:eastAsia="新宋体"/>
                <w:color w:val="auto"/>
                <w:spacing w:val="-10"/>
                <w:szCs w:val="18"/>
              </w:rPr>
              <w:t>原发性肝癌筛查。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2" w:type="pct"/>
            <w:noWrap w:val="0"/>
            <w:vAlign w:val="center"/>
          </w:tcPr>
          <w:p>
            <w:pPr>
              <w:widowControl/>
              <w:snapToGrid w:val="0"/>
              <w:spacing w:line="300" w:lineRule="exact"/>
              <w:jc w:val="center"/>
              <w:rPr>
                <w:rFonts w:hint="eastAsia" w:ascii="宋体" w:hAnsi="宋体"/>
                <w:b/>
                <w:szCs w:val="21"/>
                <w:lang w:eastAsia="zh-CN"/>
              </w:rPr>
            </w:pPr>
            <w:r>
              <w:rPr>
                <w:rFonts w:hint="eastAsia" w:ascii="宋体" w:hAnsi="宋体"/>
                <w:b/>
                <w:szCs w:val="21"/>
                <w:lang w:eastAsia="zh-CN"/>
              </w:rPr>
              <w:t>糖尿病</w:t>
            </w:r>
          </w:p>
          <w:p>
            <w:pPr>
              <w:widowControl/>
              <w:snapToGrid w:val="0"/>
              <w:spacing w:line="300" w:lineRule="exact"/>
              <w:jc w:val="center"/>
              <w:rPr>
                <w:rFonts w:hint="eastAsia" w:ascii="宋体" w:hAnsi="宋体"/>
                <w:b/>
                <w:szCs w:val="21"/>
              </w:rPr>
            </w:pPr>
            <w:r>
              <w:rPr>
                <w:rFonts w:hint="eastAsia" w:ascii="宋体" w:hAnsi="宋体"/>
                <w:b/>
                <w:szCs w:val="21"/>
                <w:lang w:eastAsia="zh-CN"/>
              </w:rPr>
              <w:t>早期</w:t>
            </w:r>
            <w:r>
              <w:rPr>
                <w:rFonts w:hint="eastAsia" w:ascii="宋体" w:hAnsi="宋体"/>
                <w:b/>
                <w:szCs w:val="21"/>
              </w:rPr>
              <w:t>筛查</w:t>
            </w:r>
          </w:p>
        </w:tc>
        <w:tc>
          <w:tcPr>
            <w:tcW w:w="332" w:type="pct"/>
            <w:noWrap w:val="0"/>
            <w:vAlign w:val="center"/>
          </w:tcPr>
          <w:p>
            <w:pPr>
              <w:widowControl/>
              <w:snapToGrid w:val="0"/>
              <w:spacing w:line="300" w:lineRule="exact"/>
              <w:jc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1</w:t>
            </w:r>
          </w:p>
        </w:tc>
        <w:tc>
          <w:tcPr>
            <w:tcW w:w="1596" w:type="pct"/>
            <w:noWrap w:val="0"/>
            <w:vAlign w:val="center"/>
          </w:tcPr>
          <w:p>
            <w:pPr>
              <w:autoSpaceDN w:val="0"/>
              <w:snapToGrid w:val="0"/>
              <w:spacing w:line="300" w:lineRule="exact"/>
              <w:textAlignment w:val="bottom"/>
              <w:rPr>
                <w:rFonts w:hint="eastAsia" w:ascii="宋体" w:hAnsi="宋体"/>
                <w:color w:val="000000"/>
                <w:szCs w:val="21"/>
                <w:lang w:eastAsia="zh-CN"/>
              </w:rPr>
            </w:pPr>
            <w:r>
              <w:rPr>
                <w:rFonts w:hint="eastAsia" w:ascii="宋体" w:hAnsi="宋体" w:eastAsia="新宋体"/>
                <w:spacing w:val="-10"/>
                <w:szCs w:val="18"/>
              </w:rPr>
              <w:t>糖化血红蛋白</w:t>
            </w:r>
            <w:r>
              <w:rPr>
                <w:rFonts w:hint="eastAsia" w:ascii="宋体" w:hAnsi="宋体"/>
                <w:b w:val="0"/>
                <w:bCs w:val="0"/>
                <w:color w:val="auto"/>
                <w:szCs w:val="21"/>
                <w:lang w:eastAsia="zh-CN"/>
              </w:rPr>
              <w:t>（男）</w:t>
            </w:r>
          </w:p>
        </w:tc>
        <w:tc>
          <w:tcPr>
            <w:tcW w:w="2628" w:type="pct"/>
            <w:noWrap w:val="0"/>
            <w:vAlign w:val="center"/>
          </w:tcPr>
          <w:p>
            <w:pPr>
              <w:autoSpaceDN w:val="0"/>
              <w:snapToGrid w:val="0"/>
              <w:spacing w:line="300" w:lineRule="auto"/>
              <w:textAlignment w:val="bottom"/>
              <w:rPr>
                <w:rFonts w:hint="eastAsia" w:ascii="宋体" w:hAnsi="宋体"/>
                <w:szCs w:val="21"/>
                <w:lang w:eastAsia="zh-CN"/>
              </w:rPr>
            </w:pPr>
            <w:r>
              <w:rPr>
                <w:rFonts w:hint="eastAsia" w:ascii="宋体" w:hAnsi="宋体" w:eastAsia="新宋体"/>
                <w:spacing w:val="-10"/>
                <w:szCs w:val="18"/>
              </w:rPr>
              <w:t>反映近2-3个月血糖平均水平。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2" w:type="pct"/>
            <w:noWrap w:val="0"/>
            <w:vAlign w:val="center"/>
          </w:tcPr>
          <w:p>
            <w:pPr>
              <w:autoSpaceDN w:val="0"/>
              <w:spacing w:line="300" w:lineRule="exact"/>
              <w:textAlignment w:val="center"/>
              <w:rPr>
                <w:rFonts w:hint="eastAsia" w:ascii="宋体" w:hAnsi="宋体"/>
                <w:b/>
                <w:color w:val="auto"/>
              </w:rPr>
            </w:pPr>
          </w:p>
          <w:p>
            <w:pPr>
              <w:autoSpaceDN w:val="0"/>
              <w:spacing w:line="300" w:lineRule="exact"/>
              <w:textAlignment w:val="center"/>
              <w:rPr>
                <w:rFonts w:hint="eastAsia" w:ascii="宋体" w:hAnsi="宋体"/>
                <w:b/>
                <w:color w:val="auto"/>
              </w:rPr>
            </w:pPr>
            <w:r>
              <w:rPr>
                <w:rFonts w:hint="eastAsia" w:ascii="宋体" w:hAnsi="宋体"/>
                <w:b/>
                <w:color w:val="auto"/>
                <w:lang w:val="en-US" w:eastAsia="zh-CN"/>
              </w:rPr>
              <w:t>CT</w:t>
            </w:r>
            <w:r>
              <w:rPr>
                <w:rFonts w:hint="eastAsia" w:ascii="宋体" w:hAnsi="宋体"/>
                <w:b/>
                <w:color w:val="auto"/>
                <w:lang w:eastAsia="zh-CN"/>
              </w:rPr>
              <w:t>检查</w:t>
            </w:r>
          </w:p>
          <w:p>
            <w:pPr>
              <w:widowControl/>
              <w:snapToGrid w:val="0"/>
              <w:spacing w:line="300" w:lineRule="exact"/>
              <w:rPr>
                <w:rFonts w:hint="eastAsia" w:ascii="宋体" w:hAnsi="宋体"/>
                <w:b/>
                <w:color w:val="auto"/>
              </w:rPr>
            </w:pPr>
          </w:p>
        </w:tc>
        <w:tc>
          <w:tcPr>
            <w:tcW w:w="332" w:type="pct"/>
            <w:noWrap w:val="0"/>
            <w:vAlign w:val="center"/>
          </w:tcPr>
          <w:p>
            <w:pPr>
              <w:widowControl/>
              <w:snapToGrid w:val="0"/>
              <w:spacing w:line="300" w:lineRule="exact"/>
              <w:jc w:val="center"/>
              <w:rPr>
                <w:rFonts w:hint="eastAsia" w:ascii="宋体" w:hAnsi="宋体"/>
                <w:color w:val="auto"/>
                <w:kern w:val="0"/>
                <w:szCs w:val="21"/>
              </w:rPr>
            </w:pPr>
            <w:r>
              <w:rPr>
                <w:rFonts w:hint="eastAsia" w:ascii="宋体" w:hAnsi="宋体"/>
                <w:color w:val="auto"/>
                <w:kern w:val="0"/>
                <w:szCs w:val="21"/>
              </w:rPr>
              <w:t>1</w:t>
            </w:r>
          </w:p>
        </w:tc>
        <w:tc>
          <w:tcPr>
            <w:tcW w:w="1596" w:type="pct"/>
            <w:noWrap w:val="0"/>
            <w:vAlign w:val="center"/>
          </w:tcPr>
          <w:p>
            <w:pPr>
              <w:autoSpaceDN w:val="0"/>
              <w:snapToGrid w:val="0"/>
              <w:spacing w:line="300" w:lineRule="exact"/>
              <w:jc w:val="left"/>
              <w:textAlignment w:val="bottom"/>
              <w:rPr>
                <w:rFonts w:hint="eastAsia" w:ascii="宋体" w:hAnsi="宋体" w:eastAsia="宋体"/>
                <w:color w:val="auto"/>
                <w:szCs w:val="21"/>
                <w:lang w:eastAsia="zh-CN"/>
              </w:rPr>
            </w:pPr>
            <w:r>
              <w:rPr>
                <w:rFonts w:hint="eastAsia" w:ascii="宋体" w:hAnsi="宋体"/>
                <w:color w:val="auto"/>
                <w:szCs w:val="21"/>
                <w:lang w:eastAsia="zh-CN"/>
              </w:rPr>
              <w:t>肺部</w:t>
            </w:r>
            <w:r>
              <w:rPr>
                <w:rFonts w:hint="eastAsia" w:ascii="宋体" w:hAnsi="宋体"/>
                <w:color w:val="auto"/>
                <w:szCs w:val="21"/>
                <w:lang w:val="en-US" w:eastAsia="zh-CN"/>
              </w:rPr>
              <w:t>CT检查</w:t>
            </w:r>
          </w:p>
        </w:tc>
        <w:tc>
          <w:tcPr>
            <w:tcW w:w="2628" w:type="pct"/>
            <w:noWrap w:val="0"/>
            <w:vAlign w:val="center"/>
          </w:tcPr>
          <w:p>
            <w:pPr>
              <w:autoSpaceDN w:val="0"/>
              <w:snapToGrid w:val="0"/>
              <w:spacing w:line="300" w:lineRule="exact"/>
              <w:jc w:val="left"/>
              <w:textAlignment w:val="bottom"/>
              <w:rPr>
                <w:rFonts w:hint="eastAsia" w:ascii="宋体" w:hAnsi="宋体"/>
                <w:color w:val="auto"/>
                <w:sz w:val="24"/>
              </w:rPr>
            </w:pPr>
            <w:r>
              <w:rPr>
                <w:rFonts w:hint="eastAsia" w:ascii="宋体" w:hAnsi="宋体" w:eastAsia="新宋体"/>
                <w:color w:val="auto"/>
                <w:spacing w:val="-10"/>
                <w:szCs w:val="18"/>
              </w:rPr>
              <w:t>对支气管炎、肺炎、肺结核、肺部及纵隔占位等疾病诊断有参考意义。胸廓检查（包括肋骨、胸</w:t>
            </w:r>
            <w:r>
              <w:rPr>
                <w:rFonts w:hint="eastAsia" w:ascii="宋体" w:hAnsi="宋体" w:eastAsia="新宋体"/>
                <w:color w:val="auto"/>
                <w:spacing w:val="-10"/>
                <w:szCs w:val="18"/>
                <w:lang w:eastAsia="zh-CN"/>
              </w:rPr>
              <w:t>椎</w:t>
            </w:r>
            <w:r>
              <w:rPr>
                <w:rFonts w:hint="eastAsia" w:ascii="宋体" w:hAnsi="宋体" w:eastAsia="新宋体"/>
                <w:color w:val="auto"/>
                <w:spacing w:val="-10"/>
                <w:szCs w:val="18"/>
              </w:rPr>
              <w:t>等）、胸膜、心脏及大血管病变</w:t>
            </w:r>
            <w:r>
              <w:rPr>
                <w:rFonts w:hint="eastAsia" w:ascii="宋体" w:hAnsi="宋体" w:eastAsia="新宋体"/>
                <w:color w:val="auto"/>
                <w:spacing w:val="-1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2" w:type="pct"/>
            <w:noWrap w:val="0"/>
            <w:vAlign w:val="center"/>
          </w:tcPr>
          <w:p>
            <w:pPr>
              <w:autoSpaceDN w:val="0"/>
              <w:snapToGrid w:val="0"/>
              <w:spacing w:line="360" w:lineRule="exact"/>
              <w:jc w:val="center"/>
              <w:textAlignment w:val="center"/>
              <w:rPr>
                <w:rFonts w:hint="eastAsia" w:ascii="宋体" w:hAnsi="宋体"/>
                <w:b/>
                <w:color w:val="auto"/>
                <w:szCs w:val="21"/>
              </w:rPr>
            </w:pPr>
            <w:r>
              <w:rPr>
                <w:rFonts w:hint="eastAsia" w:ascii="宋体" w:hAnsi="宋体"/>
                <w:b/>
                <w:color w:val="auto"/>
                <w:szCs w:val="21"/>
              </w:rPr>
              <w:t>心电图</w:t>
            </w:r>
          </w:p>
        </w:tc>
        <w:tc>
          <w:tcPr>
            <w:tcW w:w="332" w:type="pct"/>
            <w:noWrap w:val="0"/>
            <w:vAlign w:val="center"/>
          </w:tcPr>
          <w:p>
            <w:pPr>
              <w:autoSpaceDN w:val="0"/>
              <w:snapToGrid w:val="0"/>
              <w:spacing w:line="360" w:lineRule="exact"/>
              <w:textAlignment w:val="bottom"/>
              <w:rPr>
                <w:rFonts w:hint="eastAsia" w:ascii="宋体" w:hAnsi="宋体"/>
                <w:color w:val="auto"/>
                <w:szCs w:val="21"/>
                <w:lang w:val="en-US" w:eastAsia="zh-CN"/>
              </w:rPr>
            </w:pPr>
            <w:r>
              <w:rPr>
                <w:rFonts w:hint="eastAsia" w:ascii="宋体" w:hAnsi="宋体"/>
                <w:color w:val="auto"/>
                <w:szCs w:val="21"/>
                <w:lang w:val="en-US" w:eastAsia="zh-CN"/>
              </w:rPr>
              <w:t xml:space="preserve">  1</w:t>
            </w:r>
          </w:p>
        </w:tc>
        <w:tc>
          <w:tcPr>
            <w:tcW w:w="1596" w:type="pct"/>
            <w:noWrap w:val="0"/>
            <w:vAlign w:val="center"/>
          </w:tcPr>
          <w:p>
            <w:pPr>
              <w:autoSpaceDN w:val="0"/>
              <w:snapToGrid w:val="0"/>
              <w:spacing w:line="360" w:lineRule="exact"/>
              <w:jc w:val="both"/>
              <w:textAlignment w:val="bottom"/>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12导联心电图</w:t>
            </w:r>
          </w:p>
        </w:tc>
        <w:tc>
          <w:tcPr>
            <w:tcW w:w="2628" w:type="pct"/>
            <w:noWrap w:val="0"/>
            <w:vAlign w:val="center"/>
          </w:tcPr>
          <w:p>
            <w:pPr>
              <w:autoSpaceDN w:val="0"/>
              <w:snapToGrid w:val="0"/>
              <w:textAlignment w:val="bottom"/>
              <w:rPr>
                <w:rFonts w:hint="eastAsia" w:ascii="宋体" w:hAnsi="宋体"/>
                <w:color w:val="auto"/>
                <w:szCs w:val="21"/>
              </w:rPr>
            </w:pPr>
            <w:r>
              <w:rPr>
                <w:rFonts w:hint="eastAsia" w:ascii="宋体" w:hAnsi="宋体"/>
                <w:color w:val="auto"/>
                <w:szCs w:val="21"/>
              </w:rPr>
              <w:t>了解心律不齐、心肌梗塞、心肌缺血、心率过缓/过速、心室电压增高等心脏疾病。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42" w:type="pct"/>
            <w:noWrap w:val="0"/>
            <w:vAlign w:val="center"/>
          </w:tcPr>
          <w:p>
            <w:pPr>
              <w:widowControl/>
              <w:snapToGrid w:val="0"/>
              <w:spacing w:line="360" w:lineRule="exact"/>
              <w:jc w:val="center"/>
              <w:rPr>
                <w:rFonts w:hint="eastAsia" w:ascii="宋体" w:hAnsi="宋体"/>
                <w:b w:val="0"/>
                <w:bCs w:val="0"/>
                <w:color w:val="auto"/>
                <w:szCs w:val="21"/>
              </w:rPr>
            </w:pPr>
            <w:r>
              <w:rPr>
                <w:rFonts w:hint="eastAsia" w:ascii="宋体" w:hAnsi="宋体"/>
                <w:b w:val="0"/>
                <w:bCs w:val="0"/>
                <w:color w:val="auto"/>
                <w:szCs w:val="21"/>
              </w:rPr>
              <w:t>心</w:t>
            </w:r>
            <w:r>
              <w:rPr>
                <w:rFonts w:hint="eastAsia" w:ascii="宋体" w:hAnsi="宋体"/>
                <w:b w:val="0"/>
                <w:bCs w:val="0"/>
                <w:color w:val="auto"/>
                <w:szCs w:val="21"/>
                <w:lang w:eastAsia="zh-CN"/>
              </w:rPr>
              <w:t>颈部血管</w:t>
            </w:r>
            <w:r>
              <w:rPr>
                <w:rFonts w:hint="eastAsia" w:ascii="宋体" w:hAnsi="宋体"/>
                <w:b w:val="0"/>
                <w:bCs w:val="0"/>
                <w:color w:val="auto"/>
                <w:szCs w:val="21"/>
              </w:rPr>
              <w:t>功能检查</w:t>
            </w:r>
          </w:p>
        </w:tc>
        <w:tc>
          <w:tcPr>
            <w:tcW w:w="332" w:type="pct"/>
            <w:noWrap w:val="0"/>
            <w:vAlign w:val="center"/>
          </w:tcPr>
          <w:p>
            <w:pPr>
              <w:widowControl/>
              <w:snapToGrid w:val="0"/>
              <w:spacing w:line="360" w:lineRule="exact"/>
              <w:jc w:val="center"/>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1</w:t>
            </w:r>
          </w:p>
        </w:tc>
        <w:tc>
          <w:tcPr>
            <w:tcW w:w="1596" w:type="pct"/>
            <w:noWrap w:val="0"/>
            <w:vAlign w:val="center"/>
          </w:tcPr>
          <w:p>
            <w:pPr>
              <w:widowControl/>
              <w:snapToGrid w:val="0"/>
              <w:spacing w:line="360" w:lineRule="exact"/>
              <w:jc w:val="both"/>
              <w:rPr>
                <w:rFonts w:hint="eastAsia" w:ascii="宋体" w:hAnsi="宋体"/>
                <w:b w:val="0"/>
                <w:bCs w:val="0"/>
                <w:color w:val="auto"/>
                <w:szCs w:val="21"/>
                <w:lang w:val="en-US" w:eastAsia="zh-CN"/>
              </w:rPr>
            </w:pPr>
            <w:r>
              <w:rPr>
                <w:rFonts w:hint="eastAsia" w:ascii="宋体" w:hAnsi="宋体"/>
                <w:b w:val="0"/>
                <w:bCs w:val="0"/>
                <w:color w:val="auto"/>
                <w:szCs w:val="21"/>
                <w:lang w:eastAsia="zh-CN"/>
              </w:rPr>
              <w:t>颈部血管彩超（男）</w:t>
            </w:r>
          </w:p>
        </w:tc>
        <w:tc>
          <w:tcPr>
            <w:tcW w:w="2628" w:type="pct"/>
            <w:noWrap w:val="0"/>
            <w:vAlign w:val="center"/>
          </w:tcPr>
          <w:p>
            <w:pPr>
              <w:widowControl/>
              <w:snapToGrid w:val="0"/>
              <w:spacing w:line="360" w:lineRule="exact"/>
              <w:jc w:val="both"/>
              <w:rPr>
                <w:rFonts w:hint="eastAsia" w:ascii="宋体" w:hAnsi="宋体"/>
                <w:b w:val="0"/>
                <w:bCs w:val="0"/>
                <w:color w:val="auto"/>
                <w:szCs w:val="21"/>
              </w:rPr>
            </w:pPr>
            <w:r>
              <w:rPr>
                <w:rFonts w:hint="eastAsia" w:ascii="宋体" w:hAnsi="宋体" w:eastAsia="新宋体"/>
                <w:spacing w:val="-10"/>
                <w:szCs w:val="18"/>
              </w:rPr>
              <w:t>了解有无颈部血管内膜增厚、斑块、狭窄等。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42" w:type="pct"/>
            <w:noWrap w:val="0"/>
            <w:vAlign w:val="center"/>
          </w:tcPr>
          <w:p>
            <w:pPr>
              <w:autoSpaceDN w:val="0"/>
              <w:jc w:val="center"/>
              <w:textAlignment w:val="center"/>
              <w:rPr>
                <w:rFonts w:hint="eastAsia" w:ascii="宋体" w:hAnsi="宋体"/>
                <w:color w:val="auto"/>
                <w:szCs w:val="21"/>
              </w:rPr>
            </w:pPr>
            <w:r>
              <w:rPr>
                <w:rFonts w:hint="eastAsia" w:ascii="宋体" w:hAnsi="宋体"/>
                <w:color w:val="auto"/>
                <w:sz w:val="16"/>
                <w:szCs w:val="16"/>
                <w:lang w:val="en-US" w:eastAsia="zh-CN"/>
              </w:rPr>
              <w:t>头血管检查</w:t>
            </w:r>
          </w:p>
        </w:tc>
        <w:tc>
          <w:tcPr>
            <w:tcW w:w="332" w:type="pct"/>
            <w:noWrap w:val="0"/>
            <w:vAlign w:val="center"/>
          </w:tcPr>
          <w:p>
            <w:pPr>
              <w:autoSpaceDN w:val="0"/>
              <w:jc w:val="center"/>
              <w:textAlignment w:val="center"/>
              <w:rPr>
                <w:rFonts w:hint="eastAsia" w:ascii="宋体" w:hAnsi="宋体"/>
                <w:color w:val="auto"/>
                <w:szCs w:val="21"/>
                <w:lang w:val="en-US" w:eastAsia="zh-CN"/>
              </w:rPr>
            </w:pPr>
            <w:r>
              <w:rPr>
                <w:rFonts w:hint="eastAsia" w:ascii="宋体" w:hAnsi="宋体"/>
                <w:color w:val="auto"/>
                <w:szCs w:val="21"/>
                <w:lang w:val="en-US" w:eastAsia="zh-CN"/>
              </w:rPr>
              <w:t>1</w:t>
            </w:r>
          </w:p>
        </w:tc>
        <w:tc>
          <w:tcPr>
            <w:tcW w:w="1596" w:type="pct"/>
            <w:noWrap w:val="0"/>
            <w:vAlign w:val="center"/>
          </w:tcPr>
          <w:p>
            <w:pPr>
              <w:autoSpaceDN w:val="0"/>
              <w:jc w:val="both"/>
              <w:textAlignment w:val="bottom"/>
              <w:rPr>
                <w:rFonts w:hint="eastAsia" w:ascii="宋体" w:hAnsi="宋体"/>
                <w:color w:val="auto"/>
                <w:szCs w:val="21"/>
                <w:lang w:eastAsia="zh-CN"/>
              </w:rPr>
            </w:pPr>
            <w:r>
              <w:rPr>
                <w:rFonts w:hint="eastAsia" w:ascii="宋体" w:hAnsi="宋体"/>
                <w:color w:val="auto"/>
                <w:szCs w:val="21"/>
                <w:lang w:eastAsia="zh-CN"/>
              </w:rPr>
              <w:t>颅内段血管彩色多普勒超声</w:t>
            </w:r>
          </w:p>
        </w:tc>
        <w:tc>
          <w:tcPr>
            <w:tcW w:w="2628" w:type="pct"/>
            <w:noWrap w:val="0"/>
            <w:vAlign w:val="center"/>
          </w:tcPr>
          <w:p>
            <w:pPr>
              <w:spacing w:line="340" w:lineRule="exact"/>
              <w:rPr>
                <w:rFonts w:hint="eastAsia" w:ascii="宋体" w:hAnsi="宋体"/>
                <w:color w:val="auto"/>
                <w:szCs w:val="21"/>
                <w:lang w:eastAsia="zh-CN"/>
              </w:rPr>
            </w:pPr>
            <w:r>
              <w:rPr>
                <w:rFonts w:hint="eastAsia" w:ascii="宋体" w:hAnsi="宋体" w:eastAsia="新宋体"/>
                <w:color w:val="auto"/>
                <w:spacing w:val="-10"/>
                <w:szCs w:val="18"/>
                <w:lang w:eastAsia="zh-CN"/>
              </w:rPr>
              <w:t>检测脑血流流速及血管弹性，评估脑血管功能。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2" w:type="pct"/>
            <w:noWrap w:val="0"/>
            <w:vAlign w:val="center"/>
          </w:tcPr>
          <w:p>
            <w:pPr>
              <w:widowControl/>
              <w:snapToGrid w:val="0"/>
              <w:spacing w:line="360" w:lineRule="exact"/>
              <w:jc w:val="center"/>
              <w:rPr>
                <w:rFonts w:hint="eastAsia" w:ascii="宋体" w:hAnsi="宋体"/>
                <w:b w:val="0"/>
                <w:bCs w:val="0"/>
                <w:color w:val="auto"/>
                <w:szCs w:val="21"/>
              </w:rPr>
            </w:pPr>
            <w:r>
              <w:rPr>
                <w:rFonts w:hint="eastAsia" w:ascii="宋体" w:hAnsi="宋体"/>
                <w:b w:val="0"/>
                <w:bCs w:val="0"/>
                <w:color w:val="auto"/>
                <w:szCs w:val="21"/>
                <w:lang w:eastAsia="zh-CN"/>
              </w:rPr>
              <w:t>特殊检查</w:t>
            </w:r>
          </w:p>
        </w:tc>
        <w:tc>
          <w:tcPr>
            <w:tcW w:w="332" w:type="pct"/>
            <w:noWrap w:val="0"/>
            <w:vAlign w:val="center"/>
          </w:tcPr>
          <w:p>
            <w:pPr>
              <w:widowControl/>
              <w:snapToGrid w:val="0"/>
              <w:spacing w:line="360" w:lineRule="exact"/>
              <w:jc w:val="center"/>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1</w:t>
            </w:r>
          </w:p>
        </w:tc>
        <w:tc>
          <w:tcPr>
            <w:tcW w:w="1596" w:type="pct"/>
            <w:noWrap w:val="0"/>
            <w:vAlign w:val="center"/>
          </w:tcPr>
          <w:p>
            <w:pPr>
              <w:widowControl/>
              <w:snapToGrid w:val="0"/>
              <w:spacing w:line="360" w:lineRule="exact"/>
              <w:jc w:val="both"/>
              <w:rPr>
                <w:rFonts w:hint="eastAsia" w:ascii="宋体" w:hAnsi="宋体"/>
                <w:b w:val="0"/>
                <w:bCs w:val="0"/>
                <w:color w:val="auto"/>
                <w:szCs w:val="21"/>
                <w:lang w:eastAsia="zh-CN"/>
              </w:rPr>
            </w:pPr>
            <w:r>
              <w:rPr>
                <w:rFonts w:hint="eastAsia" w:ascii="宋体" w:hAnsi="宋体"/>
                <w:b w:val="0"/>
                <w:bCs w:val="0"/>
                <w:color w:val="auto"/>
                <w:szCs w:val="21"/>
                <w:lang w:eastAsia="zh-CN"/>
              </w:rPr>
              <w:t>肝纤维化扫描</w:t>
            </w:r>
          </w:p>
        </w:tc>
        <w:tc>
          <w:tcPr>
            <w:tcW w:w="2628" w:type="pct"/>
            <w:noWrap w:val="0"/>
            <w:vAlign w:val="center"/>
          </w:tcPr>
          <w:p>
            <w:pPr>
              <w:widowControl/>
              <w:snapToGrid w:val="0"/>
              <w:spacing w:line="360" w:lineRule="exact"/>
              <w:jc w:val="center"/>
              <w:rPr>
                <w:rFonts w:hint="eastAsia" w:ascii="宋体" w:hAnsi="宋体"/>
                <w:b w:val="0"/>
                <w:bCs w:val="0"/>
                <w:color w:val="auto"/>
                <w:szCs w:val="21"/>
                <w:lang w:eastAsia="zh-CN"/>
              </w:rPr>
            </w:pPr>
            <w:r>
              <w:rPr>
                <w:rFonts w:hint="eastAsia" w:ascii="宋体" w:hAnsi="宋体"/>
                <w:b w:val="0"/>
                <w:bCs w:val="0"/>
                <w:color w:val="auto"/>
                <w:szCs w:val="21"/>
                <w:lang w:eastAsia="zh-CN"/>
              </w:rPr>
              <w:t>了解肝脏纤维化程度，早期肝硬化筛查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42" w:type="pct"/>
            <w:vMerge w:val="restart"/>
            <w:noWrap w:val="0"/>
            <w:vAlign w:val="center"/>
          </w:tcPr>
          <w:p>
            <w:pPr>
              <w:autoSpaceDN w:val="0"/>
              <w:snapToGrid w:val="0"/>
              <w:spacing w:line="360" w:lineRule="exact"/>
              <w:jc w:val="center"/>
              <w:textAlignment w:val="center"/>
              <w:rPr>
                <w:rFonts w:hint="eastAsia" w:ascii="宋体" w:hAnsi="宋体"/>
                <w:b w:val="0"/>
                <w:bCs w:val="0"/>
                <w:color w:val="auto"/>
                <w:szCs w:val="21"/>
              </w:rPr>
            </w:pPr>
          </w:p>
          <w:p>
            <w:pPr>
              <w:autoSpaceDN w:val="0"/>
              <w:snapToGrid w:val="0"/>
              <w:spacing w:line="360" w:lineRule="exact"/>
              <w:jc w:val="center"/>
              <w:textAlignment w:val="center"/>
              <w:rPr>
                <w:rFonts w:hint="eastAsia" w:ascii="宋体" w:hAnsi="宋体"/>
                <w:b w:val="0"/>
                <w:bCs w:val="0"/>
                <w:color w:val="auto"/>
                <w:szCs w:val="21"/>
              </w:rPr>
            </w:pPr>
          </w:p>
          <w:p>
            <w:pPr>
              <w:autoSpaceDN w:val="0"/>
              <w:snapToGrid w:val="0"/>
              <w:spacing w:line="360" w:lineRule="exact"/>
              <w:jc w:val="center"/>
              <w:textAlignment w:val="center"/>
              <w:rPr>
                <w:rFonts w:hint="eastAsia" w:ascii="宋体" w:hAnsi="宋体"/>
                <w:b w:val="0"/>
                <w:bCs w:val="0"/>
                <w:color w:val="auto"/>
                <w:szCs w:val="21"/>
              </w:rPr>
            </w:pPr>
            <w:r>
              <w:rPr>
                <w:rFonts w:hint="eastAsia" w:ascii="宋体" w:hAnsi="宋体"/>
                <w:b w:val="0"/>
                <w:bCs w:val="0"/>
                <w:color w:val="auto"/>
                <w:szCs w:val="21"/>
              </w:rPr>
              <w:t>超声</w:t>
            </w:r>
          </w:p>
          <w:p>
            <w:pPr>
              <w:autoSpaceDN w:val="0"/>
              <w:snapToGrid w:val="0"/>
              <w:spacing w:line="360" w:lineRule="exact"/>
              <w:jc w:val="center"/>
              <w:textAlignment w:val="center"/>
              <w:rPr>
                <w:rFonts w:hint="eastAsia" w:ascii="宋体" w:hAnsi="宋体"/>
                <w:b w:val="0"/>
                <w:bCs w:val="0"/>
                <w:color w:val="auto"/>
                <w:szCs w:val="21"/>
              </w:rPr>
            </w:pPr>
            <w:r>
              <w:rPr>
                <w:rFonts w:hint="eastAsia" w:ascii="宋体" w:hAnsi="宋体"/>
                <w:b w:val="0"/>
                <w:bCs w:val="0"/>
                <w:color w:val="auto"/>
                <w:szCs w:val="21"/>
              </w:rPr>
              <w:t>检查</w:t>
            </w:r>
          </w:p>
        </w:tc>
        <w:tc>
          <w:tcPr>
            <w:tcW w:w="332" w:type="pct"/>
            <w:noWrap w:val="0"/>
            <w:vAlign w:val="center"/>
          </w:tcPr>
          <w:p>
            <w:pPr>
              <w:widowControl/>
              <w:snapToGrid w:val="0"/>
              <w:spacing w:line="360" w:lineRule="exact"/>
              <w:jc w:val="center"/>
              <w:rPr>
                <w:rFonts w:hint="eastAsia" w:ascii="宋体" w:hAnsi="宋体"/>
                <w:b w:val="0"/>
                <w:bCs w:val="0"/>
                <w:color w:val="auto"/>
                <w:kern w:val="0"/>
                <w:szCs w:val="21"/>
              </w:rPr>
            </w:pPr>
            <w:r>
              <w:rPr>
                <w:rFonts w:hint="eastAsia" w:ascii="宋体" w:hAnsi="宋体"/>
                <w:b w:val="0"/>
                <w:bCs w:val="0"/>
                <w:color w:val="auto"/>
                <w:kern w:val="0"/>
                <w:szCs w:val="21"/>
              </w:rPr>
              <w:t>1</w:t>
            </w:r>
          </w:p>
        </w:tc>
        <w:tc>
          <w:tcPr>
            <w:tcW w:w="1596" w:type="pct"/>
            <w:noWrap w:val="0"/>
            <w:vAlign w:val="center"/>
          </w:tcPr>
          <w:p>
            <w:pPr>
              <w:autoSpaceDN w:val="0"/>
              <w:spacing w:line="300" w:lineRule="exact"/>
              <w:ind w:firstLine="105" w:firstLineChars="50"/>
              <w:textAlignment w:val="bottom"/>
              <w:rPr>
                <w:rFonts w:hint="eastAsia" w:ascii="宋体" w:hAnsi="宋体"/>
                <w:b w:val="0"/>
                <w:bCs w:val="0"/>
                <w:color w:val="auto"/>
                <w:szCs w:val="21"/>
              </w:rPr>
            </w:pPr>
            <w:r>
              <w:rPr>
                <w:rFonts w:hint="eastAsia" w:ascii="宋体" w:hAnsi="宋体"/>
                <w:b w:val="0"/>
                <w:bCs w:val="0"/>
                <w:color w:val="auto"/>
                <w:szCs w:val="21"/>
              </w:rPr>
              <w:t>肝、胆、脾、胰、双肾</w:t>
            </w:r>
          </w:p>
        </w:tc>
        <w:tc>
          <w:tcPr>
            <w:tcW w:w="2628" w:type="pct"/>
            <w:noWrap w:val="0"/>
            <w:vAlign w:val="top"/>
          </w:tcPr>
          <w:p>
            <w:pPr>
              <w:rPr>
                <w:rFonts w:ascii="宋体" w:hAnsi="宋体"/>
                <w:b w:val="0"/>
                <w:bCs w:val="0"/>
                <w:color w:val="auto"/>
                <w:szCs w:val="21"/>
              </w:rPr>
            </w:pPr>
            <w:r>
              <w:rPr>
                <w:rFonts w:hint="eastAsia" w:ascii="宋体" w:hAnsi="宋体"/>
                <w:b w:val="0"/>
                <w:bCs w:val="0"/>
                <w:color w:val="auto"/>
                <w:szCs w:val="21"/>
              </w:rPr>
              <w:t>了解肝硬化、肝囊肿、肝癌、肝脓肿、肝血管瘤、肝脂肪、胆囊结石、胆囊息肉、胰腺癌、脾肿大等疾病情况。通过肾了解有否肾结石、肾肿瘤。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42" w:type="pct"/>
            <w:vMerge w:val="continue"/>
            <w:noWrap w:val="0"/>
            <w:vAlign w:val="center"/>
          </w:tcPr>
          <w:p>
            <w:pPr>
              <w:autoSpaceDN w:val="0"/>
              <w:snapToGrid w:val="0"/>
              <w:spacing w:line="360" w:lineRule="exact"/>
              <w:jc w:val="center"/>
              <w:textAlignment w:val="center"/>
              <w:rPr>
                <w:rFonts w:hint="eastAsia" w:ascii="宋体" w:hAnsi="宋体"/>
                <w:b w:val="0"/>
                <w:bCs w:val="0"/>
                <w:color w:val="auto"/>
                <w:szCs w:val="21"/>
              </w:rPr>
            </w:pPr>
          </w:p>
        </w:tc>
        <w:tc>
          <w:tcPr>
            <w:tcW w:w="332" w:type="pct"/>
            <w:noWrap w:val="0"/>
            <w:vAlign w:val="center"/>
          </w:tcPr>
          <w:p>
            <w:pPr>
              <w:widowControl/>
              <w:snapToGrid w:val="0"/>
              <w:spacing w:line="360" w:lineRule="exact"/>
              <w:jc w:val="center"/>
              <w:rPr>
                <w:rFonts w:hint="eastAsia" w:ascii="宋体" w:hAnsi="宋体"/>
                <w:b w:val="0"/>
                <w:bCs w:val="0"/>
                <w:color w:val="auto"/>
                <w:kern w:val="0"/>
                <w:szCs w:val="21"/>
              </w:rPr>
            </w:pPr>
            <w:r>
              <w:rPr>
                <w:rFonts w:hint="eastAsia" w:ascii="宋体" w:hAnsi="宋体"/>
                <w:b w:val="0"/>
                <w:bCs w:val="0"/>
                <w:color w:val="auto"/>
                <w:kern w:val="0"/>
                <w:szCs w:val="21"/>
              </w:rPr>
              <w:t>2</w:t>
            </w:r>
          </w:p>
        </w:tc>
        <w:tc>
          <w:tcPr>
            <w:tcW w:w="1596" w:type="pct"/>
            <w:noWrap w:val="0"/>
            <w:vAlign w:val="center"/>
          </w:tcPr>
          <w:p>
            <w:pPr>
              <w:autoSpaceDN w:val="0"/>
              <w:spacing w:line="300" w:lineRule="exact"/>
              <w:ind w:firstLine="105" w:firstLineChars="50"/>
              <w:textAlignment w:val="bottom"/>
              <w:rPr>
                <w:rFonts w:hint="eastAsia" w:ascii="宋体" w:hAnsi="宋体"/>
                <w:b w:val="0"/>
                <w:bCs w:val="0"/>
                <w:color w:val="auto"/>
                <w:szCs w:val="21"/>
              </w:rPr>
            </w:pPr>
            <w:r>
              <w:rPr>
                <w:rFonts w:hint="eastAsia" w:ascii="宋体" w:hAnsi="宋体"/>
                <w:b w:val="0"/>
                <w:bCs w:val="0"/>
                <w:color w:val="auto"/>
                <w:szCs w:val="21"/>
              </w:rPr>
              <w:t>甲状腺</w:t>
            </w:r>
          </w:p>
        </w:tc>
        <w:tc>
          <w:tcPr>
            <w:tcW w:w="2628" w:type="pct"/>
            <w:noWrap w:val="0"/>
            <w:vAlign w:val="center"/>
          </w:tcPr>
          <w:p>
            <w:pPr>
              <w:rPr>
                <w:rFonts w:hint="eastAsia" w:ascii="宋体" w:hAnsi="宋体"/>
                <w:b w:val="0"/>
                <w:bCs w:val="0"/>
                <w:color w:val="auto"/>
                <w:szCs w:val="21"/>
              </w:rPr>
            </w:pPr>
            <w:r>
              <w:rPr>
                <w:rFonts w:hint="eastAsia" w:ascii="宋体" w:hAnsi="宋体"/>
                <w:b w:val="0"/>
                <w:bCs w:val="0"/>
                <w:color w:val="auto"/>
                <w:szCs w:val="21"/>
              </w:rPr>
              <w:t>了解有无甲状腺结节、囊肿、良/恶性占位等疾病。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442" w:type="pct"/>
            <w:vMerge w:val="continue"/>
            <w:noWrap w:val="0"/>
            <w:vAlign w:val="center"/>
          </w:tcPr>
          <w:p>
            <w:pPr>
              <w:autoSpaceDN w:val="0"/>
              <w:snapToGrid w:val="0"/>
              <w:spacing w:line="360" w:lineRule="exact"/>
              <w:jc w:val="center"/>
              <w:textAlignment w:val="center"/>
              <w:rPr>
                <w:rFonts w:hint="eastAsia" w:ascii="宋体" w:hAnsi="宋体"/>
                <w:b w:val="0"/>
                <w:bCs w:val="0"/>
                <w:color w:val="auto"/>
                <w:szCs w:val="21"/>
              </w:rPr>
            </w:pPr>
          </w:p>
        </w:tc>
        <w:tc>
          <w:tcPr>
            <w:tcW w:w="332" w:type="pct"/>
            <w:noWrap w:val="0"/>
            <w:vAlign w:val="center"/>
          </w:tcPr>
          <w:p>
            <w:pPr>
              <w:widowControl/>
              <w:snapToGrid w:val="0"/>
              <w:spacing w:line="360" w:lineRule="exact"/>
              <w:jc w:val="center"/>
              <w:rPr>
                <w:rFonts w:hint="eastAsia" w:ascii="宋体" w:hAnsi="宋体"/>
                <w:b w:val="0"/>
                <w:bCs w:val="0"/>
                <w:color w:val="auto"/>
                <w:kern w:val="0"/>
                <w:szCs w:val="21"/>
              </w:rPr>
            </w:pPr>
            <w:r>
              <w:rPr>
                <w:rFonts w:hint="eastAsia" w:ascii="宋体" w:hAnsi="宋体"/>
                <w:b w:val="0"/>
                <w:bCs w:val="0"/>
                <w:color w:val="auto"/>
                <w:kern w:val="0"/>
                <w:szCs w:val="21"/>
              </w:rPr>
              <w:t>3</w:t>
            </w:r>
          </w:p>
        </w:tc>
        <w:tc>
          <w:tcPr>
            <w:tcW w:w="1596" w:type="pct"/>
            <w:noWrap w:val="0"/>
            <w:vAlign w:val="center"/>
          </w:tcPr>
          <w:p>
            <w:pPr>
              <w:widowControl/>
              <w:snapToGrid w:val="0"/>
              <w:spacing w:line="360" w:lineRule="exact"/>
              <w:jc w:val="both"/>
              <w:rPr>
                <w:rFonts w:hint="eastAsia" w:ascii="宋体" w:hAnsi="宋体"/>
                <w:b w:val="0"/>
                <w:bCs w:val="0"/>
                <w:color w:val="auto"/>
                <w:szCs w:val="21"/>
                <w:lang w:eastAsia="zh-CN"/>
              </w:rPr>
            </w:pPr>
            <w:r>
              <w:rPr>
                <w:rFonts w:hint="eastAsia" w:ascii="宋体" w:hAnsi="宋体"/>
                <w:b w:val="0"/>
                <w:bCs w:val="0"/>
                <w:color w:val="auto"/>
                <w:szCs w:val="21"/>
                <w:lang w:eastAsia="zh-CN"/>
              </w:rPr>
              <w:t>男：前列腺、膀胱</w:t>
            </w:r>
          </w:p>
        </w:tc>
        <w:tc>
          <w:tcPr>
            <w:tcW w:w="2628" w:type="pct"/>
            <w:noWrap w:val="0"/>
            <w:vAlign w:val="center"/>
          </w:tcPr>
          <w:p>
            <w:pPr>
              <w:widowControl/>
              <w:snapToGrid w:val="0"/>
              <w:spacing w:line="360" w:lineRule="exact"/>
              <w:jc w:val="center"/>
              <w:rPr>
                <w:rFonts w:hint="eastAsia" w:ascii="宋体" w:hAnsi="宋体"/>
                <w:b w:val="0"/>
                <w:bCs w:val="0"/>
                <w:color w:val="auto"/>
                <w:szCs w:val="21"/>
                <w:lang w:eastAsia="zh-CN"/>
              </w:rPr>
            </w:pPr>
            <w:r>
              <w:rPr>
                <w:rFonts w:hint="eastAsia" w:ascii="宋体" w:hAnsi="宋体"/>
                <w:b w:val="0"/>
                <w:bCs w:val="0"/>
                <w:color w:val="auto"/>
                <w:szCs w:val="21"/>
                <w:lang w:eastAsia="zh-CN"/>
              </w:rPr>
              <w:t>了解前列腺增大、增生、钙化、结石、占位等疾病。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42" w:type="pct"/>
            <w:vMerge w:val="continue"/>
            <w:noWrap w:val="0"/>
            <w:vAlign w:val="center"/>
          </w:tcPr>
          <w:p>
            <w:pPr>
              <w:autoSpaceDN w:val="0"/>
              <w:snapToGrid w:val="0"/>
              <w:spacing w:line="360" w:lineRule="exact"/>
              <w:jc w:val="center"/>
              <w:textAlignment w:val="center"/>
              <w:rPr>
                <w:rFonts w:hint="eastAsia" w:ascii="宋体" w:hAnsi="宋体"/>
                <w:b/>
                <w:color w:val="000000"/>
                <w:szCs w:val="21"/>
              </w:rPr>
            </w:pPr>
          </w:p>
        </w:tc>
        <w:tc>
          <w:tcPr>
            <w:tcW w:w="332" w:type="pct"/>
            <w:noWrap w:val="0"/>
            <w:vAlign w:val="center"/>
          </w:tcPr>
          <w:p>
            <w:pPr>
              <w:widowControl/>
              <w:snapToGrid w:val="0"/>
              <w:spacing w:line="360" w:lineRule="exact"/>
              <w:jc w:val="center"/>
              <w:rPr>
                <w:rFonts w:hint="eastAsia" w:ascii="宋体" w:hAnsi="宋体"/>
                <w:color w:val="000000"/>
                <w:kern w:val="0"/>
                <w:szCs w:val="21"/>
              </w:rPr>
            </w:pPr>
            <w:r>
              <w:rPr>
                <w:rFonts w:hint="eastAsia" w:ascii="宋体" w:hAnsi="宋体"/>
                <w:color w:val="000000"/>
                <w:kern w:val="0"/>
                <w:szCs w:val="21"/>
              </w:rPr>
              <w:t>4</w:t>
            </w:r>
          </w:p>
        </w:tc>
        <w:tc>
          <w:tcPr>
            <w:tcW w:w="1596" w:type="pct"/>
            <w:noWrap w:val="0"/>
            <w:vAlign w:val="center"/>
          </w:tcPr>
          <w:p>
            <w:pPr>
              <w:autoSpaceDN w:val="0"/>
              <w:spacing w:line="300" w:lineRule="exact"/>
              <w:textAlignment w:val="bottom"/>
              <w:rPr>
                <w:rFonts w:hint="eastAsia" w:ascii="宋体" w:hAnsi="宋体" w:eastAsia="宋体"/>
                <w:szCs w:val="21"/>
                <w:lang w:eastAsia="zh-CN"/>
              </w:rPr>
            </w:pPr>
            <w:r>
              <w:rPr>
                <w:rFonts w:hint="eastAsia" w:ascii="宋体" w:hAnsi="宋体"/>
                <w:szCs w:val="21"/>
                <w:lang w:eastAsia="zh-CN"/>
              </w:rPr>
              <w:t>已婚</w:t>
            </w:r>
            <w:r>
              <w:rPr>
                <w:rFonts w:hint="eastAsia" w:ascii="宋体" w:hAnsi="宋体"/>
                <w:szCs w:val="21"/>
              </w:rPr>
              <w:t>女：阴道B超</w:t>
            </w:r>
          </w:p>
        </w:tc>
        <w:tc>
          <w:tcPr>
            <w:tcW w:w="2628" w:type="pct"/>
            <w:noWrap w:val="0"/>
            <w:vAlign w:val="top"/>
          </w:tcPr>
          <w:p>
            <w:pPr>
              <w:rPr>
                <w:rFonts w:hint="eastAsia" w:ascii="宋体" w:hAnsi="宋体"/>
                <w:szCs w:val="21"/>
              </w:rPr>
            </w:pPr>
          </w:p>
          <w:p>
            <w:pPr>
              <w:rPr>
                <w:rFonts w:ascii="宋体" w:hAnsi="宋体"/>
                <w:szCs w:val="21"/>
              </w:rPr>
            </w:pPr>
            <w:r>
              <w:rPr>
                <w:rFonts w:hint="eastAsia" w:ascii="宋体" w:hAnsi="宋体"/>
                <w:szCs w:val="21"/>
              </w:rPr>
              <w:t>了解子宫肌瘤，宫颈癌，卵巢肿物、盆腔炎</w:t>
            </w:r>
            <w:r>
              <w:rPr>
                <w:rFonts w:hint="eastAsia" w:ascii="宋体" w:hAnsi="宋体"/>
                <w:szCs w:val="21"/>
                <w:lang w:eastAsia="zh-CN"/>
              </w:rPr>
              <w:t>等疾病</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42" w:type="pct"/>
            <w:vMerge w:val="continue"/>
            <w:noWrap w:val="0"/>
            <w:vAlign w:val="center"/>
          </w:tcPr>
          <w:p>
            <w:pPr>
              <w:autoSpaceDN w:val="0"/>
              <w:snapToGrid w:val="0"/>
              <w:spacing w:line="360" w:lineRule="exact"/>
              <w:jc w:val="center"/>
              <w:textAlignment w:val="center"/>
              <w:rPr>
                <w:rFonts w:hint="eastAsia" w:ascii="宋体" w:hAnsi="宋体"/>
                <w:b/>
                <w:color w:val="000000"/>
                <w:szCs w:val="21"/>
              </w:rPr>
            </w:pPr>
          </w:p>
        </w:tc>
        <w:tc>
          <w:tcPr>
            <w:tcW w:w="332" w:type="pct"/>
            <w:noWrap w:val="0"/>
            <w:vAlign w:val="center"/>
          </w:tcPr>
          <w:p>
            <w:pPr>
              <w:widowControl/>
              <w:snapToGrid w:val="0"/>
              <w:spacing w:line="360" w:lineRule="exact"/>
              <w:jc w:val="center"/>
              <w:rPr>
                <w:rFonts w:hint="eastAsia" w:ascii="宋体" w:hAnsi="宋体"/>
                <w:color w:val="000000"/>
                <w:kern w:val="0"/>
                <w:szCs w:val="21"/>
              </w:rPr>
            </w:pPr>
            <w:r>
              <w:rPr>
                <w:rFonts w:hint="eastAsia" w:ascii="宋体" w:hAnsi="宋体"/>
                <w:color w:val="000000"/>
                <w:kern w:val="0"/>
                <w:szCs w:val="21"/>
              </w:rPr>
              <w:t>5</w:t>
            </w:r>
          </w:p>
        </w:tc>
        <w:tc>
          <w:tcPr>
            <w:tcW w:w="1596" w:type="pct"/>
            <w:noWrap w:val="0"/>
            <w:vAlign w:val="center"/>
          </w:tcPr>
          <w:p>
            <w:pPr>
              <w:autoSpaceDN w:val="0"/>
              <w:spacing w:line="300" w:lineRule="exact"/>
              <w:ind w:firstLine="105" w:firstLineChars="50"/>
              <w:textAlignment w:val="bottom"/>
              <w:rPr>
                <w:rFonts w:hint="eastAsia" w:ascii="宋体" w:hAnsi="宋体"/>
                <w:szCs w:val="21"/>
              </w:rPr>
            </w:pPr>
            <w:r>
              <w:rPr>
                <w:rFonts w:hint="eastAsia" w:ascii="宋体" w:hAnsi="宋体"/>
                <w:szCs w:val="21"/>
              </w:rPr>
              <w:t>女：乳腺彩超</w:t>
            </w:r>
          </w:p>
        </w:tc>
        <w:tc>
          <w:tcPr>
            <w:tcW w:w="2628" w:type="pct"/>
            <w:noWrap w:val="0"/>
            <w:vAlign w:val="top"/>
          </w:tcPr>
          <w:p>
            <w:pPr>
              <w:rPr>
                <w:rFonts w:hint="eastAsia" w:ascii="宋体" w:hAnsi="宋体"/>
                <w:szCs w:val="21"/>
              </w:rPr>
            </w:pPr>
            <w:r>
              <w:rPr>
                <w:rFonts w:hint="eastAsia" w:ascii="宋体" w:hAnsi="宋体"/>
                <w:szCs w:val="21"/>
              </w:rPr>
              <w:t>排除乳腺增生、乳腺结节、乳腺纤维瘤、乳腺癌等疾病。乳房组织病变诊断。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42" w:type="pct"/>
            <w:noWrap w:val="0"/>
            <w:vAlign w:val="center"/>
          </w:tcPr>
          <w:p>
            <w:pPr>
              <w:autoSpaceDN w:val="0"/>
              <w:snapToGrid w:val="0"/>
              <w:spacing w:line="360" w:lineRule="exact"/>
              <w:jc w:val="center"/>
              <w:textAlignment w:val="center"/>
              <w:rPr>
                <w:rFonts w:hint="eastAsia" w:ascii="宋体" w:hAnsi="宋体"/>
                <w:b/>
                <w:color w:val="000000"/>
                <w:szCs w:val="21"/>
              </w:rPr>
            </w:pPr>
            <w:r>
              <w:rPr>
                <w:rFonts w:hint="eastAsia" w:ascii="宋体" w:hAnsi="宋体"/>
                <w:b/>
                <w:color w:val="000000"/>
                <w:szCs w:val="21"/>
              </w:rPr>
              <w:t>妇科检查</w:t>
            </w:r>
          </w:p>
        </w:tc>
        <w:tc>
          <w:tcPr>
            <w:tcW w:w="332" w:type="pct"/>
            <w:noWrap w:val="0"/>
            <w:vAlign w:val="center"/>
          </w:tcPr>
          <w:p>
            <w:pPr>
              <w:widowControl/>
              <w:snapToGrid w:val="0"/>
              <w:spacing w:line="360" w:lineRule="exact"/>
              <w:jc w:val="center"/>
              <w:rPr>
                <w:rFonts w:hint="eastAsia" w:ascii="宋体" w:hAnsi="宋体"/>
                <w:color w:val="000000"/>
                <w:kern w:val="0"/>
                <w:szCs w:val="21"/>
              </w:rPr>
            </w:pPr>
            <w:r>
              <w:rPr>
                <w:rFonts w:hint="eastAsia" w:ascii="宋体" w:hAnsi="宋体"/>
                <w:color w:val="000000"/>
                <w:kern w:val="0"/>
                <w:szCs w:val="21"/>
              </w:rPr>
              <w:t>1</w:t>
            </w:r>
          </w:p>
        </w:tc>
        <w:tc>
          <w:tcPr>
            <w:tcW w:w="1596" w:type="pct"/>
            <w:noWrap w:val="0"/>
            <w:vAlign w:val="center"/>
          </w:tcPr>
          <w:p>
            <w:pPr>
              <w:autoSpaceDN w:val="0"/>
              <w:spacing w:line="300" w:lineRule="exact"/>
              <w:ind w:firstLine="105" w:firstLineChars="50"/>
              <w:textAlignment w:val="bottom"/>
              <w:rPr>
                <w:rFonts w:hint="eastAsia" w:ascii="宋体" w:hAnsi="宋体"/>
                <w:szCs w:val="21"/>
              </w:rPr>
            </w:pPr>
            <w:r>
              <w:rPr>
                <w:rFonts w:hint="eastAsia" w:ascii="宋体" w:hAnsi="宋体"/>
                <w:color w:val="000000"/>
                <w:szCs w:val="21"/>
                <w:lang w:eastAsia="zh-CN"/>
              </w:rPr>
              <w:t>已婚：</w:t>
            </w:r>
            <w:r>
              <w:rPr>
                <w:rFonts w:hint="eastAsia" w:ascii="宋体" w:hAnsi="宋体"/>
                <w:color w:val="000000"/>
                <w:szCs w:val="21"/>
              </w:rPr>
              <w:t>妇科</w:t>
            </w:r>
            <w:r>
              <w:rPr>
                <w:rFonts w:hint="eastAsia" w:ascii="宋体" w:hAnsi="宋体"/>
                <w:color w:val="000000"/>
                <w:szCs w:val="21"/>
                <w:lang w:val="en-US" w:eastAsia="zh-CN"/>
              </w:rPr>
              <w:t>TCT</w:t>
            </w:r>
            <w:r>
              <w:rPr>
                <w:rFonts w:hint="eastAsia" w:ascii="宋体" w:hAnsi="宋体"/>
                <w:color w:val="000000"/>
                <w:szCs w:val="21"/>
                <w:lang w:eastAsia="zh-CN"/>
              </w:rPr>
              <w:t>检查</w:t>
            </w:r>
          </w:p>
        </w:tc>
        <w:tc>
          <w:tcPr>
            <w:tcW w:w="2628" w:type="pct"/>
            <w:noWrap w:val="0"/>
            <w:vAlign w:val="center"/>
          </w:tcPr>
          <w:p>
            <w:pPr>
              <w:snapToGrid w:val="0"/>
              <w:spacing w:line="300" w:lineRule="exact"/>
              <w:rPr>
                <w:rFonts w:hint="eastAsia" w:ascii="宋体" w:hAnsi="宋体"/>
                <w:szCs w:val="21"/>
              </w:rPr>
            </w:pPr>
            <w:r>
              <w:rPr>
                <w:rFonts w:hint="eastAsia" w:ascii="宋体" w:hAnsi="宋体"/>
                <w:szCs w:val="21"/>
              </w:rPr>
              <w:t>妇查（子宫肌瘤、卵巢囊肿、阴道炎）；宫颈防癌普查（宫颈炎、宫颈癌）；白带常规（查滴虫、霉菌）。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71" w:type="pct"/>
            <w:gridSpan w:val="3"/>
            <w:noWrap w:val="0"/>
            <w:vAlign w:val="center"/>
          </w:tcPr>
          <w:p>
            <w:pPr>
              <w:autoSpaceDN w:val="0"/>
              <w:snapToGrid w:val="0"/>
              <w:spacing w:line="300" w:lineRule="auto"/>
              <w:textAlignment w:val="bottom"/>
              <w:rPr>
                <w:rFonts w:hint="eastAsia" w:ascii="宋体" w:hAnsi="宋体"/>
                <w:b/>
                <w:color w:val="000000"/>
                <w:sz w:val="24"/>
                <w:lang w:val="en-US" w:eastAsia="zh-CN"/>
              </w:rPr>
            </w:pPr>
            <w:r>
              <w:rPr>
                <w:rFonts w:hint="eastAsia" w:ascii="宋体" w:hAnsi="宋体"/>
                <w:b/>
                <w:color w:val="000000"/>
                <w:sz w:val="24"/>
                <w:lang w:val="en-US" w:eastAsia="zh-CN"/>
              </w:rPr>
              <w:t>建议可自费增加项目：</w:t>
            </w:r>
          </w:p>
        </w:tc>
        <w:tc>
          <w:tcPr>
            <w:tcW w:w="2628" w:type="pct"/>
            <w:noWrap w:val="0"/>
            <w:vAlign w:val="center"/>
          </w:tcPr>
          <w:p>
            <w:pPr>
              <w:autoSpaceDN w:val="0"/>
              <w:snapToGrid w:val="0"/>
              <w:spacing w:line="300" w:lineRule="auto"/>
              <w:textAlignment w:val="bottom"/>
              <w:rPr>
                <w:rFonts w:hint="eastAsia" w:ascii="宋体" w:hAnsi="宋体"/>
                <w:b/>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2" w:type="pct"/>
            <w:vMerge w:val="restart"/>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r>
              <w:rPr>
                <w:rFonts w:hint="eastAsia" w:ascii="宋体" w:hAnsi="宋体"/>
                <w:b w:val="0"/>
                <w:bCs w:val="0"/>
                <w:color w:val="auto"/>
                <w:szCs w:val="21"/>
              </w:rPr>
              <w:t>心</w:t>
            </w:r>
            <w:r>
              <w:rPr>
                <w:rFonts w:hint="eastAsia" w:ascii="宋体" w:hAnsi="宋体"/>
                <w:b w:val="0"/>
                <w:bCs w:val="0"/>
                <w:color w:val="auto"/>
                <w:szCs w:val="21"/>
                <w:lang w:eastAsia="zh-CN"/>
              </w:rPr>
              <w:t>血管</w:t>
            </w:r>
            <w:r>
              <w:rPr>
                <w:rFonts w:hint="eastAsia" w:ascii="宋体" w:hAnsi="宋体"/>
                <w:b w:val="0"/>
                <w:bCs w:val="0"/>
                <w:color w:val="auto"/>
                <w:szCs w:val="21"/>
              </w:rPr>
              <w:t>功能检查</w:t>
            </w:r>
          </w:p>
        </w:tc>
        <w:tc>
          <w:tcPr>
            <w:tcW w:w="332" w:type="pct"/>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r>
              <w:rPr>
                <w:rFonts w:hint="eastAsia" w:ascii="宋体" w:hAnsi="宋体"/>
                <w:b w:val="0"/>
                <w:bCs w:val="0"/>
                <w:color w:val="auto"/>
                <w:szCs w:val="21"/>
                <w:lang w:val="en-US" w:eastAsia="zh-CN"/>
              </w:rPr>
              <w:t>1</w:t>
            </w:r>
          </w:p>
        </w:tc>
        <w:tc>
          <w:tcPr>
            <w:tcW w:w="1596" w:type="pct"/>
            <w:noWrap w:val="0"/>
            <w:vAlign w:val="center"/>
          </w:tcPr>
          <w:p>
            <w:pPr>
              <w:adjustRightInd w:val="0"/>
              <w:snapToGrid w:val="0"/>
              <w:spacing w:line="400" w:lineRule="exact"/>
              <w:jc w:val="center"/>
              <w:rPr>
                <w:rFonts w:hint="eastAsia" w:ascii="宋体" w:hAnsi="宋体" w:eastAsia="新宋体" w:cs="Times New Roman"/>
                <w:spacing w:val="-10"/>
                <w:sz w:val="18"/>
                <w:szCs w:val="18"/>
                <w:lang w:val="en-US" w:eastAsia="zh-CN"/>
              </w:rPr>
            </w:pPr>
            <w:r>
              <w:rPr>
                <w:rFonts w:hint="eastAsia" w:ascii="宋体" w:hAnsi="宋体" w:eastAsia="新宋体" w:cs="Times New Roman"/>
                <w:spacing w:val="-10"/>
                <w:sz w:val="18"/>
                <w:szCs w:val="18"/>
                <w:lang w:val="en-US" w:eastAsia="zh-CN"/>
              </w:rPr>
              <w:t>心脏彩超</w:t>
            </w:r>
          </w:p>
        </w:tc>
        <w:tc>
          <w:tcPr>
            <w:tcW w:w="2628" w:type="pct"/>
            <w:noWrap w:val="0"/>
            <w:vAlign w:val="center"/>
          </w:tcPr>
          <w:p>
            <w:pPr>
              <w:autoSpaceDN w:val="0"/>
              <w:snapToGrid w:val="0"/>
              <w:spacing w:line="300" w:lineRule="auto"/>
              <w:textAlignment w:val="bottom"/>
              <w:rPr>
                <w:rFonts w:hint="eastAsia" w:ascii="宋体" w:hAnsi="宋体"/>
                <w:b/>
                <w:color w:val="000000"/>
                <w:sz w:val="24"/>
                <w:lang w:val="en-US" w:eastAsia="zh-CN"/>
              </w:rPr>
            </w:pPr>
            <w:r>
              <w:rPr>
                <w:rFonts w:hint="eastAsia" w:ascii="宋体" w:hAnsi="宋体" w:eastAsia="新宋体"/>
                <w:spacing w:val="-10"/>
                <w:szCs w:val="18"/>
              </w:rPr>
              <w:t>了解心脏结构，评价心功能。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2" w:type="pct"/>
            <w:vMerge w:val="continue"/>
            <w:noWrap w:val="0"/>
            <w:vAlign w:val="center"/>
          </w:tcPr>
          <w:p>
            <w:pPr>
              <w:widowControl/>
              <w:snapToGrid w:val="0"/>
              <w:spacing w:line="360" w:lineRule="exact"/>
              <w:jc w:val="center"/>
              <w:rPr>
                <w:rFonts w:hint="eastAsia" w:ascii="宋体" w:hAnsi="宋体"/>
                <w:b w:val="0"/>
                <w:bCs w:val="0"/>
                <w:color w:val="auto"/>
                <w:szCs w:val="21"/>
              </w:rPr>
            </w:pPr>
          </w:p>
        </w:tc>
        <w:tc>
          <w:tcPr>
            <w:tcW w:w="332" w:type="pct"/>
            <w:noWrap w:val="0"/>
            <w:vAlign w:val="center"/>
          </w:tcPr>
          <w:p>
            <w:pPr>
              <w:widowControl/>
              <w:snapToGrid w:val="0"/>
              <w:spacing w:line="360" w:lineRule="exact"/>
              <w:jc w:val="center"/>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2</w:t>
            </w:r>
          </w:p>
        </w:tc>
        <w:tc>
          <w:tcPr>
            <w:tcW w:w="1596" w:type="pct"/>
            <w:noWrap w:val="0"/>
            <w:vAlign w:val="center"/>
          </w:tcPr>
          <w:p>
            <w:pPr>
              <w:adjustRightInd w:val="0"/>
              <w:snapToGrid w:val="0"/>
              <w:spacing w:line="400" w:lineRule="exact"/>
              <w:jc w:val="center"/>
              <w:rPr>
                <w:rFonts w:hint="eastAsia" w:ascii="宋体" w:hAnsi="宋体" w:eastAsia="新宋体" w:cs="Times New Roman"/>
                <w:spacing w:val="-10"/>
                <w:sz w:val="18"/>
                <w:szCs w:val="18"/>
                <w:lang w:val="en-US" w:eastAsia="zh-CN"/>
              </w:rPr>
            </w:pPr>
            <w:r>
              <w:rPr>
                <w:rFonts w:hint="eastAsia" w:ascii="宋体" w:hAnsi="宋体" w:eastAsia="新宋体" w:cs="Times New Roman"/>
                <w:spacing w:val="-10"/>
                <w:sz w:val="18"/>
                <w:szCs w:val="18"/>
                <w:lang w:val="en-US" w:eastAsia="zh-CN"/>
              </w:rPr>
              <w:t>颈部血管彩超（女）</w:t>
            </w:r>
          </w:p>
        </w:tc>
        <w:tc>
          <w:tcPr>
            <w:tcW w:w="2628" w:type="pct"/>
            <w:noWrap w:val="0"/>
            <w:vAlign w:val="center"/>
          </w:tcPr>
          <w:p>
            <w:pPr>
              <w:adjustRightInd w:val="0"/>
              <w:snapToGrid w:val="0"/>
              <w:spacing w:line="400" w:lineRule="exact"/>
              <w:jc w:val="both"/>
              <w:rPr>
                <w:rFonts w:hint="eastAsia" w:ascii="宋体" w:hAnsi="宋体" w:eastAsia="新宋体" w:cs="Times New Roman"/>
                <w:spacing w:val="-10"/>
                <w:sz w:val="20"/>
                <w:szCs w:val="20"/>
                <w:lang w:val="en-US" w:eastAsia="zh-CN"/>
              </w:rPr>
            </w:pPr>
            <w:r>
              <w:rPr>
                <w:rFonts w:hint="eastAsia" w:ascii="宋体" w:hAnsi="宋体" w:eastAsia="新宋体" w:cs="Times New Roman"/>
                <w:spacing w:val="-10"/>
                <w:sz w:val="20"/>
                <w:szCs w:val="20"/>
                <w:lang w:val="en-US" w:eastAsia="zh-CN"/>
              </w:rPr>
              <w:t>了解有无颈部血管内膜增厚、斑块、狭窄等。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2" w:type="pct"/>
            <w:vMerge w:val="continue"/>
            <w:noWrap w:val="0"/>
            <w:vAlign w:val="center"/>
          </w:tcPr>
          <w:p>
            <w:pPr>
              <w:widowControl/>
              <w:snapToGrid w:val="0"/>
              <w:spacing w:line="360" w:lineRule="exact"/>
              <w:jc w:val="both"/>
              <w:rPr>
                <w:rFonts w:hint="eastAsia" w:ascii="宋体" w:hAnsi="宋体" w:eastAsia="宋体"/>
                <w:b w:val="0"/>
                <w:bCs w:val="0"/>
                <w:color w:val="auto"/>
                <w:szCs w:val="21"/>
                <w:lang w:eastAsia="zh-CN"/>
              </w:rPr>
            </w:pPr>
          </w:p>
        </w:tc>
        <w:tc>
          <w:tcPr>
            <w:tcW w:w="332" w:type="pct"/>
            <w:noWrap w:val="0"/>
            <w:vAlign w:val="center"/>
          </w:tcPr>
          <w:p>
            <w:pPr>
              <w:adjustRightInd w:val="0"/>
              <w:snapToGrid w:val="0"/>
              <w:spacing w:line="400" w:lineRule="exact"/>
              <w:ind w:firstLine="160" w:firstLineChars="100"/>
              <w:rPr>
                <w:rFonts w:hint="default"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3</w:t>
            </w:r>
          </w:p>
        </w:tc>
        <w:tc>
          <w:tcPr>
            <w:tcW w:w="1596" w:type="pct"/>
            <w:noWrap w:val="0"/>
            <w:vAlign w:val="center"/>
          </w:tcPr>
          <w:p>
            <w:pPr>
              <w:adjustRightInd w:val="0"/>
              <w:snapToGrid w:val="0"/>
              <w:spacing w:line="400" w:lineRule="exact"/>
              <w:jc w:val="center"/>
              <w:rPr>
                <w:rFonts w:hint="eastAsia" w:ascii="宋体" w:hAnsi="宋体" w:eastAsia="新宋体" w:cs="Times New Roman"/>
                <w:spacing w:val="-10"/>
                <w:sz w:val="18"/>
                <w:szCs w:val="18"/>
                <w:lang w:val="en-US" w:eastAsia="zh-CN"/>
              </w:rPr>
            </w:pPr>
            <w:r>
              <w:rPr>
                <w:rFonts w:hint="eastAsia" w:ascii="宋体" w:hAnsi="宋体" w:eastAsia="新宋体" w:cs="Times New Roman"/>
                <w:spacing w:val="-10"/>
                <w:sz w:val="18"/>
                <w:szCs w:val="18"/>
              </w:rPr>
              <w:t>四肢多普勒血流图检查</w:t>
            </w:r>
          </w:p>
        </w:tc>
        <w:tc>
          <w:tcPr>
            <w:tcW w:w="2628" w:type="pct"/>
            <w:noWrap w:val="0"/>
            <w:vAlign w:val="center"/>
          </w:tcPr>
          <w:p>
            <w:pPr>
              <w:tabs>
                <w:tab w:val="left" w:pos="886"/>
              </w:tabs>
              <w:adjustRightInd w:val="0"/>
              <w:snapToGrid w:val="0"/>
              <w:spacing w:line="24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对四肢血管弹性、硬化程度及动脉管腔的阻塞程度进行综合评估。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2" w:type="pct"/>
            <w:noWrap w:val="0"/>
            <w:vAlign w:val="center"/>
          </w:tcPr>
          <w:p>
            <w:pPr>
              <w:widowControl/>
              <w:snapToGrid w:val="0"/>
              <w:spacing w:line="360" w:lineRule="exact"/>
              <w:jc w:val="both"/>
              <w:rPr>
                <w:rFonts w:hint="eastAsia" w:ascii="宋体" w:hAnsi="宋体" w:eastAsia="新宋体"/>
                <w:b w:val="0"/>
                <w:bCs w:val="0"/>
                <w:color w:val="auto"/>
                <w:szCs w:val="21"/>
                <w:lang w:eastAsia="zh-CN"/>
              </w:rPr>
            </w:pPr>
            <w:r>
              <w:rPr>
                <w:rFonts w:hint="eastAsia" w:ascii="宋体" w:hAnsi="宋体" w:eastAsia="新宋体"/>
                <w:spacing w:val="-10"/>
                <w:szCs w:val="18"/>
              </w:rPr>
              <w:t>幽门螺旋杆菌</w:t>
            </w:r>
            <w:r>
              <w:rPr>
                <w:rFonts w:hint="eastAsia" w:ascii="宋体" w:hAnsi="宋体" w:eastAsia="新宋体"/>
                <w:spacing w:val="-10"/>
                <w:szCs w:val="18"/>
                <w:lang w:eastAsia="zh-CN"/>
              </w:rPr>
              <w:t>检查</w:t>
            </w:r>
          </w:p>
        </w:tc>
        <w:tc>
          <w:tcPr>
            <w:tcW w:w="332" w:type="pct"/>
            <w:noWrap w:val="0"/>
            <w:vAlign w:val="center"/>
          </w:tcPr>
          <w:p>
            <w:pPr>
              <w:adjustRightInd w:val="0"/>
              <w:snapToGrid w:val="0"/>
              <w:spacing w:line="400" w:lineRule="exact"/>
              <w:rPr>
                <w:rFonts w:hint="default"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 xml:space="preserve">  1</w:t>
            </w:r>
          </w:p>
        </w:tc>
        <w:tc>
          <w:tcPr>
            <w:tcW w:w="1596" w:type="pct"/>
            <w:noWrap w:val="0"/>
            <w:vAlign w:val="center"/>
          </w:tcPr>
          <w:p>
            <w:pPr>
              <w:adjustRightInd w:val="0"/>
              <w:snapToGrid w:val="0"/>
              <w:spacing w:line="400" w:lineRule="exact"/>
              <w:jc w:val="center"/>
              <w:rPr>
                <w:rFonts w:hint="eastAsia" w:ascii="宋体" w:hAnsi="宋体" w:eastAsia="新宋体" w:cs="Times New Roman"/>
                <w:spacing w:val="-10"/>
                <w:sz w:val="18"/>
                <w:szCs w:val="18"/>
                <w:lang w:val="en-US" w:eastAsia="zh-CN"/>
              </w:rPr>
            </w:pPr>
            <w:r>
              <w:rPr>
                <w:rFonts w:hint="eastAsia" w:ascii="宋体" w:hAnsi="宋体" w:eastAsia="新宋体" w:cs="Times New Roman"/>
                <w:spacing w:val="-10"/>
                <w:sz w:val="18"/>
                <w:szCs w:val="18"/>
              </w:rPr>
              <w:t>C13尿素呼气试验</w:t>
            </w:r>
          </w:p>
        </w:tc>
        <w:tc>
          <w:tcPr>
            <w:tcW w:w="2628" w:type="pct"/>
            <w:noWrap w:val="0"/>
            <w:vAlign w:val="center"/>
          </w:tcPr>
          <w:p>
            <w:pPr>
              <w:adjustRightInd w:val="0"/>
              <w:snapToGrid w:val="0"/>
              <w:spacing w:line="24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了解有无幽门螺旋杆菌的感染。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2" w:type="pct"/>
            <w:vMerge w:val="restart"/>
            <w:noWrap w:val="0"/>
            <w:vAlign w:val="center"/>
          </w:tcPr>
          <w:p>
            <w:pPr>
              <w:widowControl/>
              <w:snapToGrid w:val="0"/>
              <w:spacing w:line="360" w:lineRule="exact"/>
              <w:jc w:val="both"/>
              <w:rPr>
                <w:rFonts w:hint="eastAsia" w:ascii="宋体" w:hAnsi="宋体" w:eastAsia="新宋体"/>
                <w:spacing w:val="-10"/>
                <w:szCs w:val="18"/>
                <w:lang w:eastAsia="zh-CN"/>
              </w:rPr>
            </w:pPr>
            <w:r>
              <w:rPr>
                <w:rFonts w:hint="eastAsia" w:ascii="宋体" w:hAnsi="宋体" w:eastAsia="新宋体"/>
                <w:spacing w:val="-10"/>
                <w:szCs w:val="18"/>
                <w:lang w:eastAsia="zh-CN"/>
              </w:rPr>
              <w:t>肿瘤血液筛查</w:t>
            </w:r>
          </w:p>
        </w:tc>
        <w:tc>
          <w:tcPr>
            <w:tcW w:w="332" w:type="pct"/>
            <w:noWrap w:val="0"/>
            <w:vAlign w:val="center"/>
          </w:tcPr>
          <w:p>
            <w:pPr>
              <w:adjustRightInd w:val="0"/>
              <w:snapToGrid w:val="0"/>
              <w:spacing w:line="400" w:lineRule="exact"/>
              <w:ind w:firstLine="160" w:firstLineChars="100"/>
              <w:rPr>
                <w:rFonts w:hint="default"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1</w:t>
            </w:r>
          </w:p>
        </w:tc>
        <w:tc>
          <w:tcPr>
            <w:tcW w:w="1596" w:type="pct"/>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癌胚抗原(CEA)</w:t>
            </w:r>
          </w:p>
        </w:tc>
        <w:tc>
          <w:tcPr>
            <w:tcW w:w="2628" w:type="pct"/>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消化系统肿瘤筛查，早期预警或辅助诊断。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2" w:type="pct"/>
            <w:vMerge w:val="continue"/>
            <w:noWrap w:val="0"/>
            <w:vAlign w:val="center"/>
          </w:tcPr>
          <w:p>
            <w:pPr>
              <w:widowControl/>
              <w:snapToGrid w:val="0"/>
              <w:spacing w:line="360" w:lineRule="exact"/>
              <w:jc w:val="both"/>
              <w:rPr>
                <w:rFonts w:hint="eastAsia" w:ascii="宋体" w:hAnsi="宋体" w:eastAsia="宋体"/>
                <w:b w:val="0"/>
                <w:bCs w:val="0"/>
                <w:color w:val="auto"/>
                <w:szCs w:val="21"/>
                <w:lang w:eastAsia="zh-CN"/>
              </w:rPr>
            </w:pPr>
          </w:p>
        </w:tc>
        <w:tc>
          <w:tcPr>
            <w:tcW w:w="332" w:type="pct"/>
            <w:noWrap w:val="0"/>
            <w:vAlign w:val="center"/>
          </w:tcPr>
          <w:p>
            <w:pPr>
              <w:adjustRightInd w:val="0"/>
              <w:snapToGrid w:val="0"/>
              <w:spacing w:line="400" w:lineRule="exact"/>
              <w:ind w:firstLine="160" w:firstLineChars="100"/>
              <w:rPr>
                <w:rFonts w:hint="default"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2</w:t>
            </w:r>
          </w:p>
        </w:tc>
        <w:tc>
          <w:tcPr>
            <w:tcW w:w="1596" w:type="pct"/>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总前列腺特异抗原(TPSA)</w:t>
            </w:r>
            <w:r>
              <w:rPr>
                <w:rFonts w:hint="eastAsia" w:ascii="宋体" w:hAnsi="宋体" w:eastAsia="新宋体"/>
                <w:spacing w:val="-10"/>
                <w:sz w:val="18"/>
                <w:szCs w:val="18"/>
                <w:lang w:eastAsia="zh-CN"/>
              </w:rPr>
              <w:t>（男）</w:t>
            </w:r>
          </w:p>
        </w:tc>
        <w:tc>
          <w:tcPr>
            <w:tcW w:w="2628" w:type="pct"/>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前列腺炎症、前列腺良/恶性病变等筛查，早期预警或辅助诊断。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2" w:type="pct"/>
            <w:vMerge w:val="continue"/>
            <w:noWrap w:val="0"/>
            <w:vAlign w:val="center"/>
          </w:tcPr>
          <w:p>
            <w:pPr>
              <w:widowControl/>
              <w:snapToGrid w:val="0"/>
              <w:spacing w:line="360" w:lineRule="exact"/>
              <w:jc w:val="both"/>
              <w:rPr>
                <w:rFonts w:hint="eastAsia" w:ascii="宋体" w:hAnsi="宋体" w:eastAsia="宋体"/>
                <w:b w:val="0"/>
                <w:bCs w:val="0"/>
                <w:color w:val="auto"/>
                <w:szCs w:val="21"/>
                <w:lang w:eastAsia="zh-CN"/>
              </w:rPr>
            </w:pPr>
          </w:p>
        </w:tc>
        <w:tc>
          <w:tcPr>
            <w:tcW w:w="332" w:type="pct"/>
            <w:noWrap w:val="0"/>
            <w:vAlign w:val="center"/>
          </w:tcPr>
          <w:p>
            <w:pPr>
              <w:adjustRightInd w:val="0"/>
              <w:snapToGrid w:val="0"/>
              <w:spacing w:line="400" w:lineRule="exact"/>
              <w:ind w:firstLine="160" w:firstLineChars="100"/>
              <w:rPr>
                <w:rFonts w:hint="default"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3</w:t>
            </w:r>
          </w:p>
        </w:tc>
        <w:tc>
          <w:tcPr>
            <w:tcW w:w="1596" w:type="pct"/>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糖类抗原(CA 125)</w:t>
            </w:r>
            <w:r>
              <w:rPr>
                <w:rFonts w:hint="eastAsia" w:ascii="宋体" w:hAnsi="宋体" w:eastAsia="新宋体"/>
                <w:spacing w:val="-10"/>
                <w:sz w:val="18"/>
                <w:szCs w:val="18"/>
                <w:lang w:eastAsia="zh-CN"/>
              </w:rPr>
              <w:t>（女）</w:t>
            </w:r>
          </w:p>
        </w:tc>
        <w:tc>
          <w:tcPr>
            <w:tcW w:w="2628" w:type="pct"/>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卵巢肿瘤筛查，早期预警或辅助诊断。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2" w:type="pct"/>
            <w:vMerge w:val="continue"/>
            <w:noWrap w:val="0"/>
            <w:vAlign w:val="center"/>
          </w:tcPr>
          <w:p>
            <w:pPr>
              <w:widowControl/>
              <w:snapToGrid w:val="0"/>
              <w:spacing w:line="360" w:lineRule="exact"/>
              <w:jc w:val="both"/>
              <w:rPr>
                <w:rFonts w:hint="eastAsia" w:ascii="宋体" w:hAnsi="宋体" w:eastAsia="宋体"/>
                <w:b w:val="0"/>
                <w:bCs w:val="0"/>
                <w:color w:val="auto"/>
                <w:szCs w:val="21"/>
                <w:lang w:eastAsia="zh-CN"/>
              </w:rPr>
            </w:pPr>
          </w:p>
        </w:tc>
        <w:tc>
          <w:tcPr>
            <w:tcW w:w="332" w:type="pct"/>
            <w:noWrap w:val="0"/>
            <w:vAlign w:val="center"/>
          </w:tcPr>
          <w:p>
            <w:pPr>
              <w:adjustRightInd w:val="0"/>
              <w:snapToGrid w:val="0"/>
              <w:spacing w:line="400" w:lineRule="exact"/>
              <w:ind w:firstLine="160" w:firstLineChars="100"/>
              <w:rPr>
                <w:rFonts w:hint="default"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4</w:t>
            </w:r>
          </w:p>
        </w:tc>
        <w:tc>
          <w:tcPr>
            <w:tcW w:w="1596" w:type="pct"/>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糖类抗原(CA 153）</w:t>
            </w:r>
            <w:r>
              <w:rPr>
                <w:rFonts w:hint="eastAsia" w:ascii="宋体" w:hAnsi="宋体" w:eastAsia="新宋体"/>
                <w:spacing w:val="-10"/>
                <w:sz w:val="18"/>
                <w:szCs w:val="18"/>
                <w:lang w:eastAsia="zh-CN"/>
              </w:rPr>
              <w:t>（女）</w:t>
            </w:r>
          </w:p>
        </w:tc>
        <w:tc>
          <w:tcPr>
            <w:tcW w:w="2628" w:type="pct"/>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乳腺癌的筛查，早期预警或辅助诊断。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2" w:type="pct"/>
            <w:vMerge w:val="continue"/>
            <w:noWrap w:val="0"/>
            <w:vAlign w:val="center"/>
          </w:tcPr>
          <w:p>
            <w:pPr>
              <w:widowControl/>
              <w:snapToGrid w:val="0"/>
              <w:spacing w:line="360" w:lineRule="exact"/>
              <w:jc w:val="both"/>
              <w:rPr>
                <w:rFonts w:hint="eastAsia" w:ascii="宋体" w:hAnsi="宋体" w:eastAsia="宋体"/>
                <w:b w:val="0"/>
                <w:bCs w:val="0"/>
                <w:color w:val="auto"/>
                <w:szCs w:val="21"/>
                <w:lang w:eastAsia="zh-CN"/>
              </w:rPr>
            </w:pPr>
          </w:p>
        </w:tc>
        <w:tc>
          <w:tcPr>
            <w:tcW w:w="332" w:type="pct"/>
            <w:noWrap w:val="0"/>
            <w:vAlign w:val="center"/>
          </w:tcPr>
          <w:p>
            <w:pPr>
              <w:adjustRightInd w:val="0"/>
              <w:snapToGrid w:val="0"/>
              <w:spacing w:line="400" w:lineRule="exact"/>
              <w:ind w:firstLine="160" w:firstLineChars="100"/>
              <w:rPr>
                <w:rFonts w:hint="default"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5</w:t>
            </w:r>
          </w:p>
        </w:tc>
        <w:tc>
          <w:tcPr>
            <w:tcW w:w="1596" w:type="pct"/>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糖类抗原(CA 199）</w:t>
            </w:r>
          </w:p>
        </w:tc>
        <w:tc>
          <w:tcPr>
            <w:tcW w:w="2628" w:type="pct"/>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胰腺癌，胃、结直肠癌的筛查，早期预警或辅助诊断。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2" w:type="pct"/>
            <w:noWrap w:val="0"/>
            <w:vAlign w:val="center"/>
          </w:tcPr>
          <w:p>
            <w:pPr>
              <w:widowControl/>
              <w:snapToGrid w:val="0"/>
              <w:spacing w:line="360" w:lineRule="exact"/>
              <w:jc w:val="both"/>
              <w:rPr>
                <w:rFonts w:hint="eastAsia" w:ascii="宋体" w:hAnsi="宋体" w:eastAsia="宋体"/>
                <w:b w:val="0"/>
                <w:bCs w:val="0"/>
                <w:color w:val="auto"/>
                <w:szCs w:val="21"/>
                <w:lang w:eastAsia="zh-CN"/>
              </w:rPr>
            </w:pPr>
            <w:r>
              <w:rPr>
                <w:rFonts w:hint="eastAsia" w:ascii="宋体" w:hAnsi="宋体"/>
                <w:b w:val="0"/>
                <w:bCs w:val="0"/>
                <w:color w:val="auto"/>
                <w:szCs w:val="21"/>
                <w:lang w:eastAsia="zh-CN"/>
              </w:rPr>
              <w:t>妇科检查</w:t>
            </w:r>
          </w:p>
        </w:tc>
        <w:tc>
          <w:tcPr>
            <w:tcW w:w="332" w:type="pct"/>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lang w:val="en-US" w:eastAsia="zh-CN"/>
              </w:rPr>
              <w:t>1</w:t>
            </w:r>
          </w:p>
        </w:tc>
        <w:tc>
          <w:tcPr>
            <w:tcW w:w="1596" w:type="pct"/>
            <w:noWrap w:val="0"/>
            <w:vAlign w:val="center"/>
          </w:tcPr>
          <w:p>
            <w:pPr>
              <w:adjustRightInd w:val="0"/>
              <w:snapToGrid w:val="0"/>
              <w:spacing w:line="240" w:lineRule="exact"/>
              <w:jc w:val="center"/>
              <w:rPr>
                <w:rFonts w:hint="eastAsia" w:ascii="宋体" w:hAnsi="宋体" w:eastAsia="新宋体"/>
                <w:spacing w:val="-10"/>
                <w:kern w:val="2"/>
                <w:sz w:val="21"/>
                <w:szCs w:val="18"/>
                <w:lang w:val="en-US" w:eastAsia="zh-CN" w:bidi="ar-SA"/>
              </w:rPr>
            </w:pPr>
            <w:r>
              <w:rPr>
                <w:rFonts w:hint="eastAsia" w:ascii="宋体" w:hAnsi="宋体" w:eastAsia="新宋体"/>
                <w:spacing w:val="-10"/>
                <w:sz w:val="18"/>
                <w:szCs w:val="18"/>
              </w:rPr>
              <w:t>人乳头瘤状病毒DNA(妇科HPV)</w:t>
            </w:r>
            <w:r>
              <w:rPr>
                <w:rFonts w:hint="eastAsia" w:ascii="宋体" w:hAnsi="宋体" w:eastAsia="新宋体"/>
                <w:spacing w:val="-10"/>
                <w:sz w:val="18"/>
                <w:szCs w:val="18"/>
                <w:lang w:eastAsia="zh-CN"/>
              </w:rPr>
              <w:t>（女）</w:t>
            </w:r>
          </w:p>
        </w:tc>
        <w:tc>
          <w:tcPr>
            <w:tcW w:w="2628" w:type="pct"/>
            <w:noWrap w:val="0"/>
            <w:vAlign w:val="center"/>
          </w:tcPr>
          <w:p>
            <w:pPr>
              <w:adjustRightInd w:val="0"/>
              <w:snapToGrid w:val="0"/>
              <w:spacing w:line="24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确定有无人乳头状瘤病毒感染及类型。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442" w:type="pct"/>
            <w:noWrap w:val="0"/>
            <w:vAlign w:val="center"/>
          </w:tcPr>
          <w:p>
            <w:pPr>
              <w:jc w:val="center"/>
              <w:rPr>
                <w:rFonts w:hint="eastAsia" w:ascii="宋体" w:hAnsi="宋体"/>
                <w:b/>
                <w:sz w:val="24"/>
              </w:rPr>
            </w:pPr>
            <w:r>
              <w:rPr>
                <w:rFonts w:hint="eastAsia" w:ascii="宋体" w:hAnsi="宋体"/>
                <w:b/>
                <w:sz w:val="24"/>
              </w:rPr>
              <w:t>体</w:t>
            </w:r>
          </w:p>
          <w:p>
            <w:pPr>
              <w:jc w:val="center"/>
              <w:rPr>
                <w:rFonts w:hint="eastAsia" w:ascii="宋体" w:hAnsi="宋体"/>
                <w:b/>
                <w:sz w:val="24"/>
              </w:rPr>
            </w:pPr>
            <w:r>
              <w:rPr>
                <w:rFonts w:hint="eastAsia" w:ascii="宋体" w:hAnsi="宋体"/>
                <w:b/>
                <w:sz w:val="24"/>
              </w:rPr>
              <w:t>检</w:t>
            </w:r>
          </w:p>
          <w:p>
            <w:pPr>
              <w:jc w:val="center"/>
              <w:rPr>
                <w:rFonts w:hint="eastAsia" w:ascii="宋体" w:hAnsi="宋体"/>
                <w:b/>
                <w:sz w:val="24"/>
                <w:lang w:eastAsia="zh-CN"/>
              </w:rPr>
            </w:pPr>
            <w:r>
              <w:rPr>
                <w:rFonts w:hint="eastAsia" w:ascii="宋体" w:hAnsi="宋体"/>
                <w:b/>
                <w:sz w:val="24"/>
                <w:lang w:eastAsia="zh-CN"/>
              </w:rPr>
              <w:t>特</w:t>
            </w:r>
          </w:p>
          <w:p>
            <w:pPr>
              <w:jc w:val="center"/>
              <w:rPr>
                <w:rFonts w:hint="eastAsia" w:ascii="宋体" w:hAnsi="宋体" w:eastAsia="宋体"/>
                <w:b/>
                <w:sz w:val="24"/>
                <w:lang w:eastAsia="zh-CN"/>
              </w:rPr>
            </w:pPr>
            <w:r>
              <w:rPr>
                <w:rFonts w:hint="eastAsia" w:ascii="宋体" w:hAnsi="宋体"/>
                <w:b/>
                <w:sz w:val="24"/>
                <w:lang w:eastAsia="zh-CN"/>
              </w:rPr>
              <w:t>色</w:t>
            </w:r>
          </w:p>
          <w:p>
            <w:pPr>
              <w:jc w:val="center"/>
              <w:rPr>
                <w:rFonts w:hint="eastAsia" w:ascii="宋体" w:hAnsi="宋体"/>
                <w:b/>
                <w:sz w:val="24"/>
              </w:rPr>
            </w:pPr>
            <w:r>
              <w:rPr>
                <w:rFonts w:hint="eastAsia" w:ascii="宋体" w:hAnsi="宋体"/>
                <w:b/>
                <w:sz w:val="24"/>
              </w:rPr>
              <w:t>服</w:t>
            </w:r>
          </w:p>
          <w:p>
            <w:pPr>
              <w:autoSpaceDN w:val="0"/>
              <w:snapToGrid w:val="0"/>
              <w:spacing w:line="360" w:lineRule="exact"/>
              <w:jc w:val="center"/>
              <w:textAlignment w:val="center"/>
              <w:rPr>
                <w:rFonts w:hint="eastAsia" w:ascii="宋体" w:hAnsi="宋体"/>
                <w:b/>
                <w:szCs w:val="21"/>
              </w:rPr>
            </w:pPr>
            <w:r>
              <w:rPr>
                <w:rFonts w:hint="eastAsia" w:ascii="宋体" w:hAnsi="宋体"/>
                <w:b/>
                <w:sz w:val="24"/>
              </w:rPr>
              <w:t>务</w:t>
            </w:r>
          </w:p>
        </w:tc>
        <w:tc>
          <w:tcPr>
            <w:tcW w:w="4557" w:type="pct"/>
            <w:gridSpan w:val="3"/>
            <w:noWrap w:val="0"/>
            <w:vAlign w:val="center"/>
          </w:tcPr>
          <w:p>
            <w:pPr>
              <w:spacing w:line="360" w:lineRule="auto"/>
              <w:rPr>
                <w:rFonts w:ascii="宋体" w:hAnsi="宋体"/>
                <w:sz w:val="24"/>
              </w:rPr>
            </w:pPr>
            <w:r>
              <w:rPr>
                <w:rFonts w:hint="eastAsia" w:ascii="宋体" w:hAnsi="宋体"/>
                <w:sz w:val="24"/>
              </w:rPr>
              <w:t>1、提供免费营养早餐；</w:t>
            </w:r>
          </w:p>
          <w:p>
            <w:pPr>
              <w:spacing w:line="360" w:lineRule="auto"/>
              <w:rPr>
                <w:rFonts w:hint="eastAsia" w:ascii="宋体" w:hAnsi="宋体"/>
                <w:sz w:val="24"/>
              </w:rPr>
            </w:pPr>
            <w:r>
              <w:rPr>
                <w:rFonts w:hint="eastAsia" w:ascii="宋体" w:hAnsi="宋体"/>
                <w:sz w:val="24"/>
              </w:rPr>
              <w:t>2、建立健康档案，并向单位提供电子版体检信息；</w:t>
            </w:r>
          </w:p>
          <w:p>
            <w:pPr>
              <w:spacing w:line="360" w:lineRule="auto"/>
              <w:rPr>
                <w:rFonts w:hint="eastAsia" w:ascii="宋体" w:hAnsi="宋体"/>
                <w:sz w:val="24"/>
              </w:rPr>
            </w:pPr>
            <w:r>
              <w:rPr>
                <w:rFonts w:hint="eastAsia" w:ascii="宋体" w:hAnsi="宋体"/>
                <w:sz w:val="24"/>
              </w:rPr>
              <w:t>3、实施体检后24-48小时重大疾病通报制度；</w:t>
            </w:r>
          </w:p>
          <w:p>
            <w:pPr>
              <w:spacing w:line="360" w:lineRule="auto"/>
              <w:rPr>
                <w:rFonts w:hint="eastAsia" w:ascii="宋体" w:hAnsi="宋体"/>
                <w:sz w:val="24"/>
              </w:rPr>
            </w:pPr>
            <w:r>
              <w:rPr>
                <w:rFonts w:hint="eastAsia" w:ascii="宋体" w:hAnsi="宋体"/>
                <w:sz w:val="24"/>
              </w:rPr>
              <w:t>4、开通就诊绿色通道，为检出患者预约挂号就诊；</w:t>
            </w:r>
          </w:p>
          <w:p>
            <w:pPr>
              <w:autoSpaceDN w:val="0"/>
              <w:snapToGrid w:val="0"/>
              <w:spacing w:line="360" w:lineRule="auto"/>
              <w:textAlignment w:val="bottom"/>
              <w:rPr>
                <w:rFonts w:hint="eastAsia" w:ascii="宋体" w:hAnsi="宋体"/>
                <w:sz w:val="24"/>
              </w:rPr>
            </w:pPr>
            <w:r>
              <w:rPr>
                <w:rFonts w:hint="eastAsia" w:ascii="宋体" w:hAnsi="宋体"/>
                <w:sz w:val="24"/>
              </w:rPr>
              <w:t>5、提供免费检后咨询及健康教育服务，针对团体体检的高发疾病、常见疾病开展健康讲座。</w:t>
            </w:r>
          </w:p>
        </w:tc>
      </w:tr>
    </w:tbl>
    <w:p>
      <w:pPr>
        <w:spacing w:line="440" w:lineRule="exact"/>
        <w:ind w:firstLine="472" w:firstLineChars="200"/>
        <w:rPr>
          <w:rFonts w:hint="eastAsia" w:ascii="宋体" w:hAnsi="宋体"/>
          <w:spacing w:val="-2"/>
          <w:sz w:val="24"/>
          <w:szCs w:val="24"/>
        </w:rPr>
      </w:pPr>
    </w:p>
    <w:p>
      <w:pPr>
        <w:widowControl/>
        <w:snapToGrid w:val="0"/>
        <w:spacing w:line="216" w:lineRule="auto"/>
        <w:ind w:firstLine="1687" w:firstLineChars="600"/>
        <w:textAlignment w:val="baseline"/>
        <w:rPr>
          <w:rFonts w:hint="eastAsia" w:eastAsia="宋体"/>
          <w:b/>
          <w:sz w:val="28"/>
          <w:lang w:val="en-US" w:eastAsia="zh-CN"/>
        </w:rPr>
      </w:pPr>
      <w:r>
        <w:rPr>
          <w:rFonts w:hint="eastAsia"/>
          <w:b/>
          <w:sz w:val="28"/>
          <w:lang w:eastAsia="zh-CN"/>
        </w:rPr>
        <w:t>2025年度高新区(新市区)</w:t>
      </w:r>
      <w:r>
        <w:rPr>
          <w:rFonts w:hint="eastAsia"/>
          <w:b/>
          <w:sz w:val="28"/>
          <w:lang w:val="en-US" w:eastAsia="zh-CN"/>
        </w:rPr>
        <w:t>)政府干部职工</w:t>
      </w:r>
      <w:r>
        <w:rPr>
          <w:rFonts w:hint="eastAsia"/>
          <w:b/>
          <w:sz w:val="28"/>
        </w:rPr>
        <w:t>体检计划</w:t>
      </w:r>
      <w:r>
        <w:rPr>
          <w:rFonts w:hint="eastAsia"/>
          <w:b/>
          <w:sz w:val="28"/>
          <w:lang w:val="en-US" w:eastAsia="zh-CN"/>
        </w:rPr>
        <w:t>A</w:t>
      </w:r>
    </w:p>
    <w:tbl>
      <w:tblPr>
        <w:tblStyle w:val="47"/>
        <w:tblpPr w:leftFromText="180" w:rightFromText="180" w:vertAnchor="text" w:horzAnchor="page" w:tblpX="973" w:tblpY="91"/>
        <w:tblOverlap w:val="never"/>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25"/>
        <w:gridCol w:w="2970"/>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80" w:type="dxa"/>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项目分类</w:t>
            </w:r>
          </w:p>
        </w:tc>
        <w:tc>
          <w:tcPr>
            <w:tcW w:w="3595" w:type="dxa"/>
            <w:gridSpan w:val="2"/>
            <w:noWrap w:val="0"/>
            <w:vAlign w:val="center"/>
          </w:tcPr>
          <w:p>
            <w:pPr>
              <w:autoSpaceDN w:val="0"/>
              <w:snapToGrid w:val="0"/>
              <w:spacing w:line="300" w:lineRule="exact"/>
              <w:ind w:left="-334" w:leftChars="-159"/>
              <w:jc w:val="center"/>
              <w:textAlignment w:val="bottom"/>
              <w:rPr>
                <w:rFonts w:hint="eastAsia" w:ascii="宋体" w:hAnsi="宋体"/>
                <w:b/>
                <w:snapToGrid w:val="0"/>
                <w:color w:val="000000"/>
                <w:szCs w:val="21"/>
              </w:rPr>
            </w:pPr>
            <w:r>
              <w:rPr>
                <w:rFonts w:hint="eastAsia" w:ascii="宋体" w:hAnsi="宋体"/>
                <w:b/>
                <w:snapToGrid w:val="0"/>
                <w:color w:val="000000"/>
                <w:szCs w:val="21"/>
              </w:rPr>
              <w:t>检查项目</w:t>
            </w:r>
          </w:p>
        </w:tc>
        <w:tc>
          <w:tcPr>
            <w:tcW w:w="4835" w:type="dxa"/>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项目含义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80" w:type="dxa"/>
            <w:vMerge w:val="restart"/>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一般检查</w:t>
            </w:r>
          </w:p>
        </w:tc>
        <w:tc>
          <w:tcPr>
            <w:tcW w:w="3595" w:type="dxa"/>
            <w:gridSpan w:val="2"/>
            <w:noWrap w:val="0"/>
            <w:vAlign w:val="center"/>
          </w:tcPr>
          <w:p>
            <w:pPr>
              <w:autoSpaceDN w:val="0"/>
              <w:snapToGrid w:val="0"/>
              <w:spacing w:line="300" w:lineRule="exact"/>
              <w:jc w:val="center"/>
              <w:textAlignment w:val="bottom"/>
              <w:rPr>
                <w:rFonts w:hint="eastAsia" w:ascii="宋体" w:hAnsi="宋体"/>
                <w:color w:val="000000"/>
                <w:szCs w:val="21"/>
              </w:rPr>
            </w:pPr>
            <w:r>
              <w:rPr>
                <w:rFonts w:hint="eastAsia" w:ascii="宋体" w:hAnsi="宋体"/>
                <w:color w:val="000000"/>
                <w:szCs w:val="21"/>
              </w:rPr>
              <w:t>身高、体重、血压、</w:t>
            </w:r>
          </w:p>
          <w:p>
            <w:pPr>
              <w:autoSpaceDN w:val="0"/>
              <w:snapToGrid w:val="0"/>
              <w:spacing w:line="300" w:lineRule="exact"/>
              <w:ind w:firstLine="735" w:firstLineChars="350"/>
              <w:textAlignment w:val="bottom"/>
              <w:rPr>
                <w:rFonts w:hint="eastAsia" w:ascii="宋体" w:hAnsi="宋体"/>
                <w:snapToGrid w:val="0"/>
                <w:color w:val="000000"/>
                <w:szCs w:val="21"/>
              </w:rPr>
            </w:pPr>
            <w:r>
              <w:rPr>
                <w:rFonts w:hint="eastAsia" w:ascii="宋体" w:hAnsi="宋体"/>
                <w:color w:val="000000"/>
                <w:szCs w:val="21"/>
              </w:rPr>
              <w:t>体重指数、臀围、</w:t>
            </w:r>
            <w:r>
              <w:rPr>
                <w:rFonts w:hint="eastAsia" w:ascii="宋体" w:hAnsi="宋体"/>
                <w:color w:val="000000"/>
                <w:szCs w:val="21"/>
                <w:lang w:eastAsia="zh-CN"/>
              </w:rPr>
              <w:t>腰</w:t>
            </w:r>
            <w:r>
              <w:rPr>
                <w:rFonts w:hint="eastAsia" w:ascii="宋体" w:hAnsi="宋体"/>
                <w:color w:val="000000"/>
                <w:szCs w:val="21"/>
              </w:rPr>
              <w:t>围</w:t>
            </w:r>
          </w:p>
        </w:tc>
        <w:tc>
          <w:tcPr>
            <w:tcW w:w="4835" w:type="dxa"/>
            <w:noWrap w:val="0"/>
            <w:vAlign w:val="center"/>
          </w:tcPr>
          <w:p>
            <w:pPr>
              <w:autoSpaceDN w:val="0"/>
              <w:snapToGrid w:val="0"/>
              <w:spacing w:line="300" w:lineRule="exact"/>
              <w:textAlignment w:val="bottom"/>
              <w:rPr>
                <w:rFonts w:hint="eastAsia" w:ascii="宋体" w:hAnsi="宋体"/>
                <w:b/>
                <w:snapToGrid w:val="0"/>
                <w:color w:val="000000"/>
                <w:szCs w:val="21"/>
              </w:rPr>
            </w:pPr>
            <w:r>
              <w:rPr>
                <w:rFonts w:hint="eastAsia" w:ascii="宋体" w:hAnsi="宋体"/>
                <w:color w:val="000000"/>
                <w:sz w:val="22"/>
                <w:szCs w:val="22"/>
              </w:rPr>
              <w:t>了解身高、体重、血压、</w:t>
            </w:r>
            <w:r>
              <w:rPr>
                <w:rFonts w:hint="eastAsia" w:ascii="宋体" w:hAnsi="宋体"/>
                <w:color w:val="000000"/>
                <w:szCs w:val="21"/>
              </w:rPr>
              <w:t>臀围、</w:t>
            </w:r>
            <w:r>
              <w:rPr>
                <w:rFonts w:hint="eastAsia" w:ascii="宋体" w:hAnsi="宋体"/>
                <w:color w:val="000000"/>
                <w:sz w:val="22"/>
                <w:szCs w:val="22"/>
              </w:rPr>
              <w:t>腹围等基本情况以及是否有体重超标等。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0" w:type="dxa"/>
            <w:vMerge w:val="continue"/>
            <w:noWrap w:val="0"/>
            <w:vAlign w:val="center"/>
          </w:tcPr>
          <w:p>
            <w:pPr>
              <w:autoSpaceDN w:val="0"/>
              <w:snapToGrid w:val="0"/>
              <w:spacing w:line="300" w:lineRule="exact"/>
              <w:jc w:val="center"/>
              <w:textAlignment w:val="bottom"/>
              <w:rPr>
                <w:rFonts w:hint="eastAsia" w:ascii="宋体" w:hAnsi="宋体"/>
                <w:b/>
                <w:szCs w:val="21"/>
              </w:rPr>
            </w:pPr>
          </w:p>
        </w:tc>
        <w:tc>
          <w:tcPr>
            <w:tcW w:w="3595" w:type="dxa"/>
            <w:gridSpan w:val="2"/>
            <w:noWrap w:val="0"/>
            <w:vAlign w:val="center"/>
          </w:tcPr>
          <w:p>
            <w:pPr>
              <w:autoSpaceDN w:val="0"/>
              <w:snapToGrid w:val="0"/>
              <w:spacing w:line="300" w:lineRule="exact"/>
              <w:jc w:val="center"/>
              <w:textAlignment w:val="bottom"/>
              <w:rPr>
                <w:rFonts w:hint="eastAsia" w:ascii="宋体" w:hAnsi="宋体"/>
                <w:color w:val="000000"/>
                <w:szCs w:val="21"/>
              </w:rPr>
            </w:pPr>
            <w:r>
              <w:rPr>
                <w:rFonts w:hint="eastAsia" w:ascii="宋体" w:hAnsi="宋体"/>
                <w:color w:val="000000"/>
                <w:szCs w:val="21"/>
              </w:rPr>
              <w:t>体检问卷</w:t>
            </w:r>
          </w:p>
        </w:tc>
        <w:tc>
          <w:tcPr>
            <w:tcW w:w="4835" w:type="dxa"/>
            <w:noWrap w:val="0"/>
            <w:vAlign w:val="center"/>
          </w:tcPr>
          <w:p>
            <w:pPr>
              <w:spacing w:line="240" w:lineRule="atLeast"/>
              <w:rPr>
                <w:rFonts w:hint="eastAsia" w:ascii="宋体" w:hAnsi="宋体"/>
                <w:b/>
                <w:color w:val="000000"/>
                <w:sz w:val="24"/>
              </w:rPr>
            </w:pPr>
            <w:r>
              <w:rPr>
                <w:rFonts w:hint="eastAsia" w:ascii="宋体" w:hAnsi="宋体"/>
                <w:snapToGrid w:val="0"/>
                <w:color w:val="000000"/>
                <w:szCs w:val="21"/>
              </w:rPr>
              <w:t>了解生活方式、个人史、家族史、健康体检史等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0" w:type="dxa"/>
            <w:vMerge w:val="restart"/>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临床</w:t>
            </w:r>
          </w:p>
          <w:p>
            <w:pPr>
              <w:autoSpaceDN w:val="0"/>
              <w:snapToGrid w:val="0"/>
              <w:spacing w:line="300" w:lineRule="exact"/>
              <w:jc w:val="center"/>
              <w:textAlignment w:val="bottom"/>
              <w:rPr>
                <w:rFonts w:hint="eastAsia" w:ascii="宋体" w:hAnsi="宋体"/>
                <w:b/>
                <w:szCs w:val="21"/>
              </w:rPr>
            </w:pPr>
            <w:r>
              <w:rPr>
                <w:rFonts w:hint="eastAsia" w:ascii="宋体" w:hAnsi="宋体"/>
                <w:b/>
                <w:snapToGrid w:val="0"/>
                <w:color w:val="000000"/>
                <w:szCs w:val="21"/>
              </w:rPr>
              <w:t>检查</w:t>
            </w:r>
          </w:p>
        </w:tc>
        <w:tc>
          <w:tcPr>
            <w:tcW w:w="3595" w:type="dxa"/>
            <w:gridSpan w:val="2"/>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eastAsia="新宋体"/>
                <w:spacing w:val="-10"/>
                <w:szCs w:val="18"/>
              </w:rPr>
              <w:t>内科</w:t>
            </w:r>
          </w:p>
        </w:tc>
        <w:tc>
          <w:tcPr>
            <w:tcW w:w="4835" w:type="dxa"/>
            <w:noWrap w:val="0"/>
            <w:vAlign w:val="center"/>
          </w:tcPr>
          <w:p>
            <w:pPr>
              <w:adjustRightInd w:val="0"/>
              <w:snapToGrid w:val="0"/>
              <w:spacing w:line="400" w:lineRule="exact"/>
              <w:rPr>
                <w:rFonts w:hint="eastAsia" w:ascii="宋体" w:hAnsi="宋体"/>
                <w:snapToGrid w:val="0"/>
                <w:color w:val="000000"/>
                <w:szCs w:val="21"/>
              </w:rPr>
            </w:pPr>
            <w:r>
              <w:rPr>
                <w:rFonts w:hint="eastAsia" w:ascii="宋体" w:hAnsi="宋体" w:eastAsia="新宋体"/>
                <w:spacing w:val="-10"/>
                <w:szCs w:val="18"/>
              </w:rPr>
              <w:t>心血管、呼吸系统、神经系统、肝脾、发育营养等。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0" w:type="dxa"/>
            <w:vMerge w:val="continue"/>
            <w:noWrap w:val="0"/>
            <w:vAlign w:val="center"/>
          </w:tcPr>
          <w:p>
            <w:pPr>
              <w:autoSpaceDN w:val="0"/>
              <w:snapToGrid w:val="0"/>
              <w:spacing w:line="300" w:lineRule="exact"/>
              <w:jc w:val="center"/>
              <w:textAlignment w:val="bottom"/>
              <w:rPr>
                <w:rFonts w:hint="eastAsia" w:ascii="宋体" w:hAnsi="宋体"/>
                <w:b/>
                <w:szCs w:val="21"/>
              </w:rPr>
            </w:pPr>
          </w:p>
        </w:tc>
        <w:tc>
          <w:tcPr>
            <w:tcW w:w="3595" w:type="dxa"/>
            <w:gridSpan w:val="2"/>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eastAsia="新宋体"/>
                <w:spacing w:val="-10"/>
                <w:szCs w:val="18"/>
              </w:rPr>
              <w:t>外科</w:t>
            </w:r>
          </w:p>
        </w:tc>
        <w:tc>
          <w:tcPr>
            <w:tcW w:w="4835" w:type="dxa"/>
            <w:noWrap w:val="0"/>
            <w:vAlign w:val="center"/>
          </w:tcPr>
          <w:p>
            <w:pPr>
              <w:adjustRightInd w:val="0"/>
              <w:snapToGrid w:val="0"/>
              <w:spacing w:line="400" w:lineRule="exact"/>
              <w:rPr>
                <w:rFonts w:hint="eastAsia" w:ascii="宋体" w:hAnsi="宋体"/>
                <w:snapToGrid w:val="0"/>
                <w:color w:val="000000"/>
                <w:szCs w:val="21"/>
              </w:rPr>
            </w:pPr>
            <w:r>
              <w:rPr>
                <w:rFonts w:hint="eastAsia" w:ascii="宋体" w:hAnsi="宋体" w:eastAsia="新宋体"/>
                <w:spacing w:val="-10"/>
                <w:szCs w:val="18"/>
              </w:rPr>
              <w:t>浅表淋巴、皮肤黏膜、脊柱、四肢、关节活动、甲状腺。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0" w:type="dxa"/>
            <w:vMerge w:val="continue"/>
            <w:noWrap w:val="0"/>
            <w:vAlign w:val="center"/>
          </w:tcPr>
          <w:p>
            <w:pPr>
              <w:autoSpaceDN w:val="0"/>
              <w:snapToGrid w:val="0"/>
              <w:spacing w:line="300" w:lineRule="exact"/>
              <w:jc w:val="center"/>
              <w:textAlignment w:val="bottom"/>
              <w:rPr>
                <w:rFonts w:hint="eastAsia" w:ascii="宋体" w:hAnsi="宋体" w:eastAsia="宋体"/>
                <w:b/>
                <w:szCs w:val="21"/>
                <w:lang w:eastAsia="zh-CN"/>
              </w:rPr>
            </w:pPr>
          </w:p>
        </w:tc>
        <w:tc>
          <w:tcPr>
            <w:tcW w:w="3595" w:type="dxa"/>
            <w:gridSpan w:val="2"/>
            <w:noWrap w:val="0"/>
            <w:vAlign w:val="center"/>
          </w:tcPr>
          <w:p>
            <w:pPr>
              <w:adjustRightInd w:val="0"/>
              <w:snapToGrid w:val="0"/>
              <w:spacing w:line="400" w:lineRule="exact"/>
              <w:jc w:val="center"/>
              <w:rPr>
                <w:rFonts w:hint="eastAsia" w:ascii="宋体" w:hAnsi="宋体" w:eastAsia="新宋体"/>
                <w:b w:val="0"/>
                <w:bCs/>
                <w:spacing w:val="-10"/>
                <w:szCs w:val="18"/>
              </w:rPr>
            </w:pPr>
            <w:r>
              <w:rPr>
                <w:rFonts w:hint="eastAsia" w:ascii="宋体" w:hAnsi="宋体"/>
                <w:b w:val="0"/>
                <w:bCs/>
                <w:szCs w:val="21"/>
                <w:lang w:eastAsia="zh-CN"/>
              </w:rPr>
              <w:t>口腔科</w:t>
            </w:r>
          </w:p>
        </w:tc>
        <w:tc>
          <w:tcPr>
            <w:tcW w:w="4835" w:type="dxa"/>
            <w:noWrap w:val="0"/>
            <w:vAlign w:val="center"/>
          </w:tcPr>
          <w:p>
            <w:pPr>
              <w:adjustRightInd w:val="0"/>
              <w:snapToGrid w:val="0"/>
              <w:spacing w:line="400" w:lineRule="exact"/>
              <w:rPr>
                <w:rFonts w:hint="eastAsia" w:ascii="宋体" w:hAnsi="宋体" w:eastAsia="新宋体"/>
                <w:spacing w:val="-10"/>
                <w:szCs w:val="18"/>
              </w:rPr>
            </w:pPr>
            <w:r>
              <w:rPr>
                <w:rFonts w:hint="eastAsia" w:ascii="宋体" w:hAnsi="宋体" w:eastAsia="新宋体"/>
                <w:spacing w:val="-10"/>
                <w:szCs w:val="18"/>
                <w:lang w:eastAsia="zh-CN"/>
              </w:rPr>
              <w:t>牙体</w:t>
            </w:r>
            <w:r>
              <w:rPr>
                <w:rFonts w:hint="eastAsia" w:ascii="宋体" w:hAnsi="宋体" w:eastAsia="新宋体"/>
                <w:spacing w:val="-10"/>
                <w:szCs w:val="18"/>
              </w:rPr>
              <w:t>、牙列、牙龈、</w:t>
            </w:r>
            <w:r>
              <w:rPr>
                <w:rFonts w:hint="eastAsia" w:ascii="宋体" w:hAnsi="宋体" w:eastAsia="新宋体"/>
                <w:spacing w:val="-10"/>
                <w:szCs w:val="18"/>
                <w:lang w:eastAsia="zh-CN"/>
              </w:rPr>
              <w:t>牙周及</w:t>
            </w:r>
            <w:r>
              <w:rPr>
                <w:rFonts w:hint="eastAsia" w:ascii="宋体" w:hAnsi="宋体" w:eastAsia="新宋体"/>
                <w:spacing w:val="-10"/>
                <w:szCs w:val="18"/>
              </w:rPr>
              <w:t>粘膜等。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restart"/>
            <w:noWrap w:val="0"/>
            <w:vAlign w:val="center"/>
          </w:tcPr>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血</w:t>
            </w:r>
          </w:p>
          <w:p>
            <w:pPr>
              <w:autoSpaceDN w:val="0"/>
              <w:snapToGrid w:val="0"/>
              <w:spacing w:line="300" w:lineRule="exact"/>
              <w:jc w:val="center"/>
              <w:textAlignment w:val="center"/>
              <w:rPr>
                <w:rFonts w:hint="eastAsia" w:ascii="宋体" w:hAnsi="宋体" w:eastAsia="宋体"/>
                <w:b/>
                <w:color w:val="000000"/>
                <w:szCs w:val="21"/>
                <w:lang w:eastAsia="zh-CN"/>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常</w:t>
            </w:r>
          </w:p>
          <w:p>
            <w:pPr>
              <w:autoSpaceDN w:val="0"/>
              <w:snapToGrid w:val="0"/>
              <w:spacing w:line="300" w:lineRule="exact"/>
              <w:jc w:val="center"/>
              <w:textAlignment w:val="center"/>
              <w:rPr>
                <w:rFonts w:hint="eastAsia" w:ascii="宋体" w:hAnsi="宋体" w:eastAsia="宋体"/>
                <w:b/>
                <w:color w:val="000000"/>
                <w:szCs w:val="21"/>
                <w:lang w:eastAsia="zh-CN"/>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规</w:t>
            </w:r>
          </w:p>
          <w:p>
            <w:pPr>
              <w:autoSpaceDN w:val="0"/>
              <w:snapToGrid w:val="0"/>
              <w:spacing w:line="30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白细胞（WBC）</w:t>
            </w:r>
          </w:p>
        </w:tc>
        <w:tc>
          <w:tcPr>
            <w:tcW w:w="4835" w:type="dxa"/>
            <w:vMerge w:val="restart"/>
            <w:noWrap w:val="0"/>
            <w:vAlign w:val="center"/>
          </w:tcPr>
          <w:p>
            <w:pPr>
              <w:autoSpaceDN w:val="0"/>
              <w:snapToGrid w:val="0"/>
              <w:spacing w:line="300" w:lineRule="auto"/>
              <w:textAlignment w:val="bottom"/>
              <w:rPr>
                <w:rFonts w:hint="eastAsia" w:ascii="宋体" w:hAnsi="宋体"/>
                <w:color w:val="000000"/>
                <w:szCs w:val="21"/>
              </w:rPr>
            </w:pPr>
            <w:r>
              <w:rPr>
                <w:rFonts w:hint="eastAsia" w:ascii="宋体" w:hAnsi="宋体"/>
                <w:szCs w:val="21"/>
              </w:rPr>
              <w:t>了解病毒或细菌感染，如面色苍白或皮下出血点应及时查一次，以便及早发现血液系统疾病（白血病、贫血、溶血、败血症及凝血功能）。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中性粒细胞百分比（NE%）</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淋巴细胞百分比（LY%）</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单核细胞百分比（MO%）</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嗜酸性细胞百分比（EO%）</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嗜碱性细胞百分比（BA%）</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7</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中性粒细胞计数(NE#)</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8</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淋巴细胞计数(LY#)</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9</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单核细胞计数(MO#)</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10</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嗜酸性细胞技术(EO#)</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嗜碱性细胞计数(BA#)</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有核红细胞百分比(NRBC%)</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有核红细胞计数(NRBC#)</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红细胞计数(RBC)</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血红蛋白(HGB)</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红细胞压积(HCT)</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17</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平均红细胞体积(MCV)</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18</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平均血红蛋白(MCH)</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19</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平均血红蛋白浓度(MCHC)</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20</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红细胞分布宽度(RDW)</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血小板计数(PLT)</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血小板平均体积(MPV)</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血小板压积(PCT)</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血小板平均分布宽度(PDW)</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restart"/>
            <w:noWrap w:val="0"/>
            <w:vAlign w:val="center"/>
          </w:tcPr>
          <w:p>
            <w:pPr>
              <w:snapToGrid w:val="0"/>
              <w:spacing w:line="300" w:lineRule="exact"/>
              <w:jc w:val="center"/>
              <w:rPr>
                <w:rFonts w:hint="eastAsia" w:ascii="宋体" w:hAnsi="宋体"/>
                <w:b/>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尿</w:t>
            </w: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常</w:t>
            </w:r>
          </w:p>
          <w:p>
            <w:pPr>
              <w:snapToGrid w:val="0"/>
              <w:spacing w:line="300" w:lineRule="exact"/>
              <w:jc w:val="center"/>
              <w:rPr>
                <w:rFonts w:hint="eastAsia" w:ascii="宋体" w:hAnsi="宋体" w:eastAsia="宋体"/>
                <w:b/>
                <w:color w:val="000000"/>
                <w:szCs w:val="21"/>
                <w:lang w:eastAsia="zh-CN"/>
              </w:rPr>
            </w:pPr>
          </w:p>
          <w:p>
            <w:pPr>
              <w:snapToGrid w:val="0"/>
              <w:spacing w:line="300" w:lineRule="exact"/>
              <w:jc w:val="center"/>
              <w:rPr>
                <w:rFonts w:hint="eastAsia" w:ascii="宋体" w:hAnsi="宋体"/>
                <w:b/>
                <w:szCs w:val="21"/>
              </w:rPr>
            </w:pPr>
            <w:r>
              <w:rPr>
                <w:rFonts w:hint="eastAsia" w:ascii="宋体" w:hAnsi="宋体"/>
                <w:b/>
                <w:color w:val="000000"/>
                <w:szCs w:val="21"/>
              </w:rPr>
              <w:t>规</w:t>
            </w: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尿葡萄糖</w:t>
            </w:r>
          </w:p>
        </w:tc>
        <w:tc>
          <w:tcPr>
            <w:tcW w:w="4835" w:type="dxa"/>
            <w:vMerge w:val="restart"/>
            <w:noWrap w:val="0"/>
            <w:vAlign w:val="center"/>
          </w:tcPr>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color w:val="000000"/>
                <w:szCs w:val="21"/>
              </w:rPr>
            </w:pPr>
            <w:r>
              <w:rPr>
                <w:rFonts w:hint="eastAsia" w:ascii="宋体" w:hAnsi="宋体"/>
                <w:szCs w:val="21"/>
              </w:rPr>
              <w:t>尿常规13项检查，了解有否尿道感染、肾炎或血尿，以便排除肾或输尿管或膀胱、或高血压病、糖尿病中、晚期等疾病引起的肾脏功能改变。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胆红素</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尿比重</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潜血</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酸碱度</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尿蛋白</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7</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尿胆原</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8</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亚硝酸盐</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9</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尿白细胞</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10</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颜色</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混浊度</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白细胞（镜检）</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红细胞（镜检）</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上皮细胞（镜检）</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颗粒管型（镜检）</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透明管型（镜检）</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80" w:type="dxa"/>
            <w:vMerge w:val="restart"/>
            <w:noWrap w:val="0"/>
            <w:vAlign w:val="center"/>
          </w:tcPr>
          <w:p>
            <w:pPr>
              <w:autoSpaceDN w:val="0"/>
              <w:spacing w:line="280" w:lineRule="exact"/>
              <w:jc w:val="center"/>
              <w:textAlignment w:val="bottom"/>
              <w:rPr>
                <w:rFonts w:hint="eastAsia" w:ascii="宋体" w:hAnsi="宋体"/>
                <w:color w:val="000000"/>
                <w:kern w:val="0"/>
                <w:szCs w:val="21"/>
                <w:lang w:val="en-US" w:eastAsia="zh-CN"/>
              </w:rPr>
            </w:pPr>
            <w:r>
              <w:rPr>
                <w:rFonts w:hint="eastAsia" w:ascii="宋体" w:hAnsi="宋体"/>
                <w:b/>
                <w:color w:val="000000"/>
                <w:szCs w:val="21"/>
              </w:rPr>
              <w:t>肾功能</w:t>
            </w:r>
          </w:p>
        </w:tc>
        <w:tc>
          <w:tcPr>
            <w:tcW w:w="625" w:type="dxa"/>
            <w:noWrap w:val="0"/>
            <w:vAlign w:val="center"/>
          </w:tcPr>
          <w:p>
            <w:pPr>
              <w:autoSpaceDN w:val="0"/>
              <w:spacing w:line="280" w:lineRule="exact"/>
              <w:jc w:val="center"/>
              <w:textAlignment w:val="bottom"/>
              <w:rPr>
                <w:rFonts w:hint="eastAsia" w:ascii="宋体" w:hAnsi="宋体"/>
                <w:color w:val="000000"/>
                <w:kern w:val="0"/>
                <w:szCs w:val="21"/>
              </w:rPr>
            </w:pPr>
            <w:r>
              <w:rPr>
                <w:rFonts w:hint="eastAsia" w:ascii="宋体" w:hAnsi="宋体"/>
                <w:color w:val="000000"/>
                <w:kern w:val="0"/>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血糖</w:t>
            </w:r>
          </w:p>
        </w:tc>
        <w:tc>
          <w:tcPr>
            <w:tcW w:w="4835" w:type="dxa"/>
            <w:vMerge w:val="restart"/>
            <w:noWrap w:val="0"/>
            <w:vAlign w:val="center"/>
          </w:tcPr>
          <w:p>
            <w:pPr>
              <w:autoSpaceDN w:val="0"/>
              <w:snapToGrid w:val="0"/>
              <w:spacing w:line="300" w:lineRule="auto"/>
              <w:textAlignment w:val="bottom"/>
              <w:rPr>
                <w:rFonts w:hint="eastAsia" w:ascii="宋体" w:hAnsi="宋体"/>
                <w:color w:val="000000"/>
                <w:szCs w:val="21"/>
              </w:rPr>
            </w:pPr>
            <w:r>
              <w:rPr>
                <w:rFonts w:hint="eastAsia" w:ascii="宋体" w:hAnsi="宋体" w:eastAsia="新宋体"/>
                <w:spacing w:val="-10"/>
                <w:szCs w:val="18"/>
                <w:lang w:eastAsia="zh-CN"/>
              </w:rPr>
              <w:t>了解</w:t>
            </w:r>
            <w:r>
              <w:rPr>
                <w:rFonts w:hint="eastAsia" w:ascii="宋体" w:hAnsi="宋体" w:eastAsia="新宋体"/>
                <w:spacing w:val="-10"/>
                <w:szCs w:val="18"/>
              </w:rPr>
              <w:t>有无空腹血糖受损、胰岛腺体功能受损，糖尿病早期筛查</w:t>
            </w:r>
            <w:r>
              <w:rPr>
                <w:rFonts w:hint="eastAsia" w:ascii="宋体" w:hAnsi="宋体" w:eastAsia="新宋体"/>
                <w:spacing w:val="-10"/>
                <w:szCs w:val="18"/>
                <w:lang w:eastAsia="zh-CN"/>
              </w:rPr>
              <w:t>；</w:t>
            </w:r>
            <w:r>
              <w:rPr>
                <w:rFonts w:hint="eastAsia" w:ascii="宋体" w:hAnsi="宋体"/>
                <w:szCs w:val="21"/>
              </w:rPr>
              <w:t>了解有否肾炎，肾病综合征</w:t>
            </w:r>
            <w:r>
              <w:rPr>
                <w:rFonts w:hint="eastAsia" w:ascii="宋体" w:hAnsi="宋体"/>
                <w:szCs w:val="21"/>
                <w:lang w:val="en-US" w:eastAsia="zh-CN"/>
              </w:rPr>
              <w:t>；</w:t>
            </w:r>
            <w:r>
              <w:rPr>
                <w:rFonts w:hint="eastAsia" w:ascii="宋体" w:hAnsi="宋体" w:eastAsia="新宋体"/>
                <w:spacing w:val="-10"/>
                <w:szCs w:val="18"/>
              </w:rPr>
              <w:t>检查有无痛风可能，其次是肾功能减退、白血病、多发性骨髓瘤</w:t>
            </w:r>
            <w:r>
              <w:rPr>
                <w:rFonts w:hint="eastAsia" w:ascii="宋体" w:hAnsi="宋体" w:eastAsia="新宋体"/>
                <w:spacing w:val="-1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vMerge w:val="continue"/>
            <w:noWrap w:val="0"/>
            <w:vAlign w:val="center"/>
          </w:tcPr>
          <w:p>
            <w:pPr>
              <w:autoSpaceDN w:val="0"/>
              <w:spacing w:line="280" w:lineRule="exact"/>
              <w:jc w:val="center"/>
              <w:textAlignment w:val="bottom"/>
              <w:rPr>
                <w:rFonts w:hint="eastAsia" w:ascii="宋体" w:hAnsi="宋体"/>
                <w:color w:val="000000"/>
                <w:kern w:val="0"/>
                <w:szCs w:val="21"/>
                <w:lang w:val="en-US" w:eastAsia="zh-CN"/>
              </w:rPr>
            </w:pPr>
          </w:p>
        </w:tc>
        <w:tc>
          <w:tcPr>
            <w:tcW w:w="625" w:type="dxa"/>
            <w:noWrap w:val="0"/>
            <w:vAlign w:val="center"/>
          </w:tcPr>
          <w:p>
            <w:pPr>
              <w:autoSpaceDN w:val="0"/>
              <w:spacing w:line="280" w:lineRule="exact"/>
              <w:jc w:val="center"/>
              <w:textAlignment w:val="bottom"/>
              <w:rPr>
                <w:rFonts w:hint="eastAsia" w:ascii="宋体" w:hAnsi="宋体"/>
                <w:color w:val="000000"/>
                <w:kern w:val="0"/>
                <w:szCs w:val="21"/>
              </w:rPr>
            </w:pPr>
            <w:r>
              <w:rPr>
                <w:rFonts w:hint="eastAsia" w:ascii="宋体" w:hAnsi="宋体"/>
                <w:color w:val="000000"/>
                <w:kern w:val="0"/>
                <w:szCs w:val="21"/>
                <w:lang w:val="en-US" w:eastAsia="zh-CN"/>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尿酸</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widowControl/>
              <w:snapToGrid w:val="0"/>
              <w:spacing w:line="300" w:lineRule="exact"/>
              <w:jc w:val="center"/>
            </w:pPr>
          </w:p>
        </w:tc>
        <w:tc>
          <w:tcPr>
            <w:tcW w:w="625" w:type="dxa"/>
            <w:vMerge w:val="restart"/>
            <w:noWrap w:val="0"/>
            <w:vAlign w:val="center"/>
          </w:tcPr>
          <w:p>
            <w:pPr>
              <w:autoSpaceDN w:val="0"/>
              <w:spacing w:line="280" w:lineRule="exact"/>
              <w:jc w:val="center"/>
              <w:textAlignment w:val="bottom"/>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肾功二项</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尿素氮：肌酐</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80" w:type="dxa"/>
            <w:vMerge w:val="continue"/>
            <w:noWrap w:val="0"/>
            <w:vAlign w:val="center"/>
          </w:tcPr>
          <w:p>
            <w:pPr>
              <w:widowControl/>
              <w:snapToGrid w:val="0"/>
              <w:spacing w:line="300" w:lineRule="exact"/>
              <w:jc w:val="center"/>
            </w:pPr>
          </w:p>
        </w:tc>
        <w:tc>
          <w:tcPr>
            <w:tcW w:w="625" w:type="dxa"/>
            <w:vMerge w:val="continue"/>
            <w:noWrap w:val="0"/>
            <w:vAlign w:val="center"/>
          </w:tcPr>
          <w:p>
            <w:pPr>
              <w:autoSpaceDN w:val="0"/>
              <w:spacing w:line="280" w:lineRule="exact"/>
              <w:jc w:val="center"/>
              <w:textAlignment w:val="bottom"/>
              <w:rPr>
                <w:rFonts w:hint="eastAsia" w:ascii="宋体" w:hAnsi="宋体" w:eastAsia="宋体"/>
                <w:color w:val="000000"/>
                <w:kern w:val="0"/>
                <w:szCs w:val="21"/>
                <w:lang w:val="en-US" w:eastAsia="zh-CN"/>
              </w:rPr>
            </w:pP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肌酐</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80" w:type="dxa"/>
            <w:vMerge w:val="continue"/>
            <w:noWrap w:val="0"/>
            <w:vAlign w:val="center"/>
          </w:tcPr>
          <w:p>
            <w:pPr>
              <w:widowControl/>
              <w:snapToGrid w:val="0"/>
              <w:spacing w:line="300" w:lineRule="exact"/>
              <w:jc w:val="center"/>
            </w:pPr>
          </w:p>
        </w:tc>
        <w:tc>
          <w:tcPr>
            <w:tcW w:w="625" w:type="dxa"/>
            <w:vMerge w:val="continue"/>
            <w:noWrap w:val="0"/>
            <w:vAlign w:val="center"/>
          </w:tcPr>
          <w:p>
            <w:pPr>
              <w:autoSpaceDN w:val="0"/>
              <w:spacing w:line="280" w:lineRule="exact"/>
              <w:jc w:val="center"/>
              <w:textAlignment w:val="bottom"/>
              <w:rPr>
                <w:rFonts w:hint="eastAsia" w:ascii="宋体" w:hAnsi="宋体" w:eastAsia="宋体"/>
                <w:color w:val="000000"/>
                <w:kern w:val="0"/>
                <w:szCs w:val="21"/>
                <w:lang w:val="en-US" w:eastAsia="zh-CN"/>
              </w:rPr>
            </w:pP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尿素氮</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restart"/>
            <w:noWrap w:val="0"/>
            <w:vAlign w:val="center"/>
          </w:tcPr>
          <w:p>
            <w:pPr>
              <w:snapToGrid w:val="0"/>
              <w:spacing w:line="360" w:lineRule="exact"/>
              <w:jc w:val="center"/>
              <w:rPr>
                <w:rFonts w:hint="eastAsia" w:ascii="宋体" w:hAnsi="宋体"/>
                <w:b/>
                <w:szCs w:val="21"/>
              </w:rPr>
            </w:pPr>
            <w:r>
              <w:rPr>
                <w:rFonts w:hint="eastAsia" w:ascii="宋体" w:hAnsi="宋体"/>
                <w:b/>
                <w:szCs w:val="21"/>
              </w:rPr>
              <w:t>血脂四项</w:t>
            </w:r>
          </w:p>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甘油三酯</w:t>
            </w:r>
          </w:p>
        </w:tc>
        <w:tc>
          <w:tcPr>
            <w:tcW w:w="4835" w:type="dxa"/>
            <w:vMerge w:val="restart"/>
            <w:noWrap w:val="0"/>
            <w:vAlign w:val="center"/>
          </w:tcPr>
          <w:p>
            <w:pPr>
              <w:jc w:val="both"/>
              <w:rPr>
                <w:rFonts w:hint="eastAsia" w:ascii="宋体" w:hAnsi="宋体"/>
                <w:szCs w:val="21"/>
              </w:rPr>
            </w:pPr>
          </w:p>
          <w:p>
            <w:pPr>
              <w:jc w:val="both"/>
            </w:pPr>
            <w:r>
              <w:rPr>
                <w:rFonts w:hint="eastAsia" w:ascii="宋体" w:hAnsi="宋体"/>
                <w:szCs w:val="21"/>
              </w:rPr>
              <w:t>了解目前甘油三酯及总胆固醇的变化情况，有无血脂代谢异常等，及早把异常高脂血症的危险降低到最安全的范围，减少冠心病发生率及死亡率。</w:t>
            </w:r>
          </w:p>
          <w:p>
            <w:pPr>
              <w:autoSpaceDN w:val="0"/>
              <w:snapToGrid w:val="0"/>
              <w:spacing w:line="300" w:lineRule="auto"/>
              <w:jc w:val="both"/>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总胆固醇</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3</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高密度脂蛋白胆固醇</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4</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低密度脂蛋白胆固醇</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0" w:type="dxa"/>
            <w:noWrap w:val="0"/>
            <w:vAlign w:val="center"/>
          </w:tcPr>
          <w:p>
            <w:pPr>
              <w:snapToGrid w:val="0"/>
              <w:spacing w:line="300" w:lineRule="exact"/>
              <w:jc w:val="center"/>
              <w:rPr>
                <w:rFonts w:hint="eastAsia" w:ascii="宋体" w:hAnsi="宋体"/>
                <w:b/>
                <w:szCs w:val="21"/>
              </w:rPr>
            </w:pPr>
          </w:p>
        </w:tc>
        <w:tc>
          <w:tcPr>
            <w:tcW w:w="625" w:type="dxa"/>
            <w:noWrap w:val="0"/>
            <w:vAlign w:val="center"/>
          </w:tcPr>
          <w:p>
            <w:pPr>
              <w:autoSpaceDN w:val="0"/>
              <w:spacing w:line="280" w:lineRule="exact"/>
              <w:jc w:val="center"/>
              <w:textAlignment w:val="bottom"/>
              <w:rPr>
                <w:rFonts w:hint="eastAsia" w:ascii="宋体" w:hAnsi="宋体"/>
                <w:color w:val="auto"/>
                <w:kern w:val="0"/>
                <w:sz w:val="21"/>
                <w:szCs w:val="21"/>
                <w:lang w:val="en-US" w:eastAsia="zh-CN" w:bidi="ar-SA"/>
              </w:rPr>
            </w:pPr>
            <w:r>
              <w:rPr>
                <w:rFonts w:hint="eastAsia" w:ascii="宋体" w:hAnsi="宋体"/>
                <w:color w:val="auto"/>
                <w:kern w:val="0"/>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szCs w:val="21"/>
                <w:lang w:val="en-US" w:eastAsia="zh-CN"/>
              </w:rPr>
              <w:t>电解质组合（血清）</w:t>
            </w:r>
          </w:p>
        </w:tc>
        <w:tc>
          <w:tcPr>
            <w:tcW w:w="4835" w:type="dxa"/>
            <w:noWrap w:val="0"/>
            <w:vAlign w:val="center"/>
          </w:tcPr>
          <w:p>
            <w:pPr>
              <w:autoSpaceDN w:val="0"/>
              <w:snapToGrid w:val="0"/>
              <w:spacing w:line="300" w:lineRule="exact"/>
              <w:textAlignment w:val="bottom"/>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szCs w:val="21"/>
                <w:lang w:val="en-US" w:eastAsia="zh-CN"/>
              </w:rPr>
              <w:t>测定血清钾、钠、氯、钙。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80" w:type="dxa"/>
            <w:vMerge w:val="restart"/>
            <w:noWrap w:val="0"/>
            <w:vAlign w:val="center"/>
          </w:tcPr>
          <w:p>
            <w:pPr>
              <w:snapToGrid w:val="0"/>
              <w:spacing w:line="360" w:lineRule="exact"/>
              <w:jc w:val="center"/>
              <w:rPr>
                <w:rFonts w:hint="eastAsia" w:ascii="宋体" w:hAnsi="宋体"/>
                <w:b/>
                <w:color w:val="000000"/>
                <w:szCs w:val="21"/>
              </w:rPr>
            </w:pPr>
            <w:r>
              <w:rPr>
                <w:rFonts w:hint="eastAsia" w:ascii="宋体" w:hAnsi="宋体"/>
                <w:b/>
                <w:color w:val="000000"/>
                <w:szCs w:val="21"/>
              </w:rPr>
              <w:t>肝功</w:t>
            </w:r>
            <w:r>
              <w:rPr>
                <w:rFonts w:hint="eastAsia" w:ascii="宋体" w:hAnsi="宋体"/>
                <w:b/>
                <w:color w:val="000000"/>
                <w:szCs w:val="21"/>
                <w:lang w:eastAsia="zh-CN"/>
              </w:rPr>
              <w:t>五</w:t>
            </w:r>
            <w:r>
              <w:rPr>
                <w:rFonts w:hint="eastAsia" w:ascii="宋体" w:hAnsi="宋体"/>
                <w:b/>
                <w:color w:val="000000"/>
                <w:szCs w:val="21"/>
              </w:rPr>
              <w:t>项</w:t>
            </w:r>
          </w:p>
          <w:p>
            <w:pPr>
              <w:widowControl/>
              <w:snapToGrid w:val="0"/>
              <w:spacing w:line="360" w:lineRule="exact"/>
              <w:jc w:val="center"/>
              <w:rPr>
                <w:rFonts w:hint="eastAsia" w:ascii="宋体" w:hAnsi="宋体"/>
                <w:b/>
                <w:szCs w:val="21"/>
              </w:rPr>
            </w:pPr>
          </w:p>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1</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总胆红素</w:t>
            </w:r>
          </w:p>
        </w:tc>
        <w:tc>
          <w:tcPr>
            <w:tcW w:w="4835" w:type="dxa"/>
            <w:vMerge w:val="restart"/>
            <w:noWrap w:val="0"/>
            <w:vAlign w:val="center"/>
          </w:tcPr>
          <w:p>
            <w:pPr>
              <w:autoSpaceDN w:val="0"/>
              <w:snapToGrid w:val="0"/>
              <w:spacing w:line="300" w:lineRule="auto"/>
              <w:jc w:val="both"/>
              <w:textAlignment w:val="bottom"/>
              <w:rPr>
                <w:rFonts w:hint="eastAsia" w:ascii="宋体" w:hAnsi="宋体"/>
                <w:color w:val="000000"/>
                <w:szCs w:val="21"/>
              </w:rPr>
            </w:pPr>
            <w:r>
              <w:rPr>
                <w:rFonts w:hint="eastAsia" w:ascii="宋体" w:hAnsi="宋体"/>
                <w:szCs w:val="21"/>
              </w:rPr>
              <w:t>了解有无肝功能损害及目前损害的程度及是否影响到肝脏代谢功能。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2</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门冬氨酸氨基转移酶</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丙氨酸氨基转移酶</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4</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lang w:eastAsia="zh-CN"/>
              </w:rPr>
              <w:t>白蛋白</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5</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lang w:eastAsia="zh-CN"/>
              </w:rPr>
              <w:t>总蛋白</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restart"/>
            <w:noWrap w:val="0"/>
            <w:vAlign w:val="center"/>
          </w:tcPr>
          <w:p>
            <w:pPr>
              <w:snapToGrid w:val="0"/>
              <w:spacing w:line="360" w:lineRule="exact"/>
              <w:jc w:val="center"/>
              <w:rPr>
                <w:rFonts w:hint="eastAsia" w:ascii="宋体" w:hAnsi="宋体"/>
                <w:b/>
                <w:szCs w:val="21"/>
              </w:rPr>
            </w:pPr>
            <w:r>
              <w:rPr>
                <w:rFonts w:hint="eastAsia" w:ascii="宋体" w:hAnsi="宋体" w:eastAsia="宋体" w:cs="宋体"/>
                <w:b/>
                <w:bCs w:val="0"/>
                <w:i w:val="0"/>
                <w:iCs w:val="0"/>
                <w:color w:val="000000"/>
                <w:sz w:val="22"/>
                <w:szCs w:val="22"/>
                <w:lang w:eastAsia="zh-CN"/>
              </w:rPr>
              <w:t>甲状腺功能三项</w:t>
            </w:r>
          </w:p>
        </w:tc>
        <w:tc>
          <w:tcPr>
            <w:tcW w:w="625" w:type="dxa"/>
            <w:noWrap w:val="0"/>
            <w:vAlign w:val="center"/>
          </w:tcPr>
          <w:p>
            <w:pPr>
              <w:widowControl/>
              <w:snapToGrid w:val="0"/>
              <w:spacing w:line="340" w:lineRule="exact"/>
              <w:jc w:val="center"/>
              <w:rPr>
                <w:rFonts w:hint="eastAsia" w:ascii="宋体" w:hAnsi="宋体"/>
                <w:color w:val="000000"/>
                <w:kern w:val="0"/>
                <w:szCs w:val="21"/>
                <w:lang w:val="en-US" w:eastAsia="zh-CN"/>
              </w:rPr>
            </w:pPr>
            <w:r>
              <w:rPr>
                <w:rFonts w:hint="eastAsia" w:ascii="宋体" w:hAnsi="宋体" w:eastAsia="宋体" w:cs="宋体"/>
                <w:b w:val="0"/>
                <w:bCs/>
                <w:i w:val="0"/>
                <w:iCs w:val="0"/>
                <w:color w:val="000000"/>
                <w:kern w:val="0"/>
                <w:sz w:val="22"/>
                <w:szCs w:val="22"/>
                <w:lang w:val="en-US" w:eastAsia="zh-CN"/>
              </w:rPr>
              <w:t>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三碘甲状腺原氨酸</w:t>
            </w:r>
          </w:p>
        </w:tc>
        <w:tc>
          <w:tcPr>
            <w:tcW w:w="4835" w:type="dxa"/>
            <w:vMerge w:val="restart"/>
            <w:noWrap w:val="0"/>
            <w:vAlign w:val="center"/>
          </w:tcPr>
          <w:p>
            <w:pPr>
              <w:spacing w:line="400" w:lineRule="exact"/>
              <w:rPr>
                <w:rFonts w:hint="eastAsia" w:ascii="宋体" w:hAnsi="宋体"/>
                <w:color w:val="000000"/>
                <w:szCs w:val="21"/>
              </w:rPr>
            </w:pPr>
            <w:r>
              <w:rPr>
                <w:rFonts w:hint="eastAsia" w:ascii="宋体" w:hAnsi="宋体" w:eastAsia="新宋体"/>
                <w:spacing w:val="-10"/>
                <w:szCs w:val="18"/>
                <w:lang w:eastAsia="zh-CN"/>
              </w:rPr>
              <w:t>了解目前有无甲状腺功能改变及甲状腺病变的具体类型、病变程度等。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甲状腺素</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促甲状腺素</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restart"/>
            <w:noWrap w:val="0"/>
            <w:vAlign w:val="center"/>
          </w:tcPr>
          <w:p>
            <w:pPr>
              <w:widowControl/>
              <w:snapToGrid w:val="0"/>
              <w:spacing w:line="360" w:lineRule="exact"/>
              <w:jc w:val="center"/>
              <w:rPr>
                <w:rFonts w:hint="eastAsia" w:ascii="宋体" w:hAnsi="宋体"/>
                <w:b/>
                <w:color w:val="auto"/>
                <w:szCs w:val="21"/>
              </w:rPr>
            </w:pPr>
            <w:r>
              <w:rPr>
                <w:rFonts w:hint="eastAsia" w:ascii="宋体" w:hAnsi="宋体"/>
                <w:color w:val="auto"/>
                <w:szCs w:val="21"/>
              </w:rPr>
              <w:t>肿瘤筛查</w:t>
            </w:r>
          </w:p>
        </w:tc>
        <w:tc>
          <w:tcPr>
            <w:tcW w:w="625" w:type="dxa"/>
            <w:noWrap w:val="0"/>
            <w:vAlign w:val="center"/>
          </w:tcPr>
          <w:p>
            <w:pPr>
              <w:autoSpaceDN w:val="0"/>
              <w:snapToGrid w:val="0"/>
              <w:spacing w:line="300" w:lineRule="exact"/>
              <w:ind w:firstLine="210" w:firstLineChars="100"/>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甲胎蛋白(AFP)</w:t>
            </w:r>
            <w:r>
              <w:rPr>
                <w:rFonts w:hint="eastAsia" w:ascii="宋体" w:hAnsi="宋体"/>
                <w:b w:val="0"/>
                <w:bCs/>
                <w:color w:val="auto"/>
                <w:sz w:val="24"/>
                <w:lang w:val="en-US" w:eastAsia="zh-CN"/>
              </w:rPr>
              <w:t>（男、未婚女）</w:t>
            </w:r>
          </w:p>
        </w:tc>
        <w:tc>
          <w:tcPr>
            <w:tcW w:w="4835"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原发性肝癌筛查。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color w:val="auto"/>
                <w:szCs w:val="21"/>
              </w:rPr>
            </w:pPr>
          </w:p>
        </w:tc>
        <w:tc>
          <w:tcPr>
            <w:tcW w:w="625" w:type="dxa"/>
            <w:noWrap w:val="0"/>
            <w:vAlign w:val="center"/>
          </w:tcPr>
          <w:p>
            <w:pPr>
              <w:widowControl/>
              <w:snapToGrid w:val="0"/>
              <w:spacing w:line="300" w:lineRule="exact"/>
              <w:jc w:val="center"/>
              <w:rPr>
                <w:rFonts w:hint="eastAsia" w:ascii="宋体" w:hAnsi="宋体"/>
                <w:color w:val="auto"/>
                <w:kern w:val="0"/>
                <w:szCs w:val="21"/>
                <w:lang w:val="en-US" w:eastAsia="zh-CN"/>
              </w:rPr>
            </w:pPr>
            <w:r>
              <w:rPr>
                <w:rFonts w:hint="eastAsia" w:ascii="宋体" w:hAnsi="宋体"/>
                <w:color w:val="auto"/>
                <w:kern w:val="0"/>
                <w:szCs w:val="21"/>
              </w:rPr>
              <w:t>2</w:t>
            </w:r>
          </w:p>
        </w:tc>
        <w:tc>
          <w:tcPr>
            <w:tcW w:w="2970" w:type="dxa"/>
            <w:noWrap w:val="0"/>
            <w:vAlign w:val="center"/>
          </w:tcPr>
          <w:p>
            <w:pPr>
              <w:autoSpaceDN w:val="0"/>
              <w:snapToGrid w:val="0"/>
              <w:spacing w:line="300" w:lineRule="exact"/>
              <w:textAlignment w:val="bottom"/>
              <w:rPr>
                <w:rFonts w:hint="eastAsia" w:ascii="宋体" w:hAnsi="宋体"/>
                <w:color w:val="auto"/>
                <w:szCs w:val="21"/>
              </w:rPr>
            </w:pPr>
            <w:r>
              <w:rPr>
                <w:rFonts w:hint="eastAsia" w:ascii="宋体" w:hAnsi="宋体"/>
                <w:color w:val="auto"/>
                <w:szCs w:val="21"/>
              </w:rPr>
              <w:t>癌胚抗原(CEA)</w:t>
            </w:r>
            <w:r>
              <w:rPr>
                <w:rFonts w:hint="eastAsia" w:ascii="宋体" w:hAnsi="宋体"/>
                <w:b w:val="0"/>
                <w:bCs/>
                <w:color w:val="auto"/>
                <w:sz w:val="24"/>
                <w:lang w:val="en-US" w:eastAsia="zh-CN"/>
              </w:rPr>
              <w:t>（男）</w:t>
            </w:r>
          </w:p>
        </w:tc>
        <w:tc>
          <w:tcPr>
            <w:tcW w:w="4835" w:type="dxa"/>
            <w:noWrap w:val="0"/>
            <w:vAlign w:val="center"/>
          </w:tcPr>
          <w:p>
            <w:pPr>
              <w:rPr>
                <w:rFonts w:hint="eastAsia" w:ascii="宋体" w:hAnsi="宋体"/>
                <w:color w:val="auto"/>
                <w:szCs w:val="21"/>
              </w:rPr>
            </w:pPr>
            <w:r>
              <w:rPr>
                <w:rFonts w:hint="eastAsia" w:ascii="宋体" w:hAnsi="宋体" w:eastAsia="新宋体"/>
                <w:color w:val="auto"/>
                <w:spacing w:val="-10"/>
                <w:szCs w:val="18"/>
              </w:rPr>
              <w:t>消化系统及泌尿系统肿瘤筛查。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color w:val="auto"/>
                <w:szCs w:val="21"/>
              </w:rPr>
            </w:pPr>
          </w:p>
        </w:tc>
        <w:tc>
          <w:tcPr>
            <w:tcW w:w="625" w:type="dxa"/>
            <w:noWrap w:val="0"/>
            <w:vAlign w:val="center"/>
          </w:tcPr>
          <w:p>
            <w:pPr>
              <w:widowControl/>
              <w:snapToGrid w:val="0"/>
              <w:spacing w:line="300" w:lineRule="exact"/>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3</w:t>
            </w:r>
          </w:p>
        </w:tc>
        <w:tc>
          <w:tcPr>
            <w:tcW w:w="2970" w:type="dxa"/>
            <w:noWrap w:val="0"/>
            <w:vAlign w:val="center"/>
          </w:tcPr>
          <w:p>
            <w:pPr>
              <w:autoSpaceDN w:val="0"/>
              <w:snapToGrid w:val="0"/>
              <w:spacing w:line="300" w:lineRule="exact"/>
              <w:textAlignment w:val="bottom"/>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血清铁蛋白测定</w:t>
            </w:r>
            <w:r>
              <w:rPr>
                <w:rFonts w:hint="eastAsia" w:ascii="宋体" w:hAnsi="宋体"/>
                <w:b w:val="0"/>
                <w:bCs/>
                <w:color w:val="auto"/>
                <w:sz w:val="24"/>
                <w:lang w:val="en-US" w:eastAsia="zh-CN"/>
              </w:rPr>
              <w:t>（男）</w:t>
            </w:r>
          </w:p>
        </w:tc>
        <w:tc>
          <w:tcPr>
            <w:tcW w:w="4835" w:type="dxa"/>
            <w:noWrap w:val="0"/>
            <w:vAlign w:val="center"/>
          </w:tcPr>
          <w:p>
            <w:pPr>
              <w:autoSpaceDN w:val="0"/>
              <w:snapToGrid w:val="0"/>
              <w:spacing w:line="300" w:lineRule="exact"/>
              <w:textAlignment w:val="bottom"/>
              <w:rPr>
                <w:rFonts w:hint="eastAsia" w:ascii="宋体" w:hAnsi="宋体" w:eastAsia="宋体" w:cs="Times New Roman"/>
                <w:color w:val="auto"/>
                <w:szCs w:val="21"/>
              </w:rPr>
            </w:pPr>
            <w:r>
              <w:rPr>
                <w:rFonts w:hint="eastAsia" w:ascii="宋体" w:hAnsi="宋体" w:eastAsia="宋体" w:cs="Times New Roman"/>
                <w:color w:val="auto"/>
                <w:szCs w:val="21"/>
              </w:rPr>
              <w:t>肝癌、贫血的筛查，早期预警或辅助诊断。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color w:val="auto"/>
                <w:szCs w:val="21"/>
              </w:rPr>
            </w:pPr>
          </w:p>
        </w:tc>
        <w:tc>
          <w:tcPr>
            <w:tcW w:w="625" w:type="dxa"/>
            <w:noWrap w:val="0"/>
            <w:vAlign w:val="center"/>
          </w:tcPr>
          <w:p>
            <w:pPr>
              <w:widowControl/>
              <w:snapToGrid w:val="0"/>
              <w:spacing w:line="30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4</w:t>
            </w:r>
          </w:p>
        </w:tc>
        <w:tc>
          <w:tcPr>
            <w:tcW w:w="2970" w:type="dxa"/>
            <w:noWrap w:val="0"/>
            <w:vAlign w:val="center"/>
          </w:tcPr>
          <w:p>
            <w:pPr>
              <w:adjustRightInd w:val="0"/>
              <w:snapToGrid w:val="0"/>
              <w:spacing w:line="400" w:lineRule="exact"/>
              <w:jc w:val="center"/>
              <w:rPr>
                <w:rFonts w:hint="eastAsia" w:ascii="宋体" w:hAnsi="宋体" w:eastAsia="新宋体"/>
                <w:color w:val="auto"/>
                <w:spacing w:val="-10"/>
                <w:kern w:val="2"/>
                <w:sz w:val="18"/>
                <w:szCs w:val="18"/>
                <w:lang w:val="en-US" w:eastAsia="zh-CN" w:bidi="ar-SA"/>
              </w:rPr>
            </w:pPr>
            <w:r>
              <w:rPr>
                <w:rFonts w:hint="eastAsia" w:ascii="宋体" w:hAnsi="宋体" w:eastAsia="宋体" w:cs="Times New Roman"/>
                <w:color w:val="auto"/>
                <w:szCs w:val="21"/>
              </w:rPr>
              <w:t>总前列腺特异抗原(TPSA)</w:t>
            </w:r>
            <w:r>
              <w:rPr>
                <w:rFonts w:hint="eastAsia" w:ascii="宋体" w:hAnsi="宋体" w:eastAsia="宋体" w:cs="Times New Roman"/>
                <w:color w:val="auto"/>
                <w:szCs w:val="21"/>
                <w:lang w:eastAsia="zh-CN"/>
              </w:rPr>
              <w:t>（男）</w:t>
            </w:r>
          </w:p>
        </w:tc>
        <w:tc>
          <w:tcPr>
            <w:tcW w:w="4835" w:type="dxa"/>
            <w:noWrap w:val="0"/>
            <w:vAlign w:val="center"/>
          </w:tcPr>
          <w:p>
            <w:pPr>
              <w:adjustRightInd w:val="0"/>
              <w:snapToGrid w:val="0"/>
              <w:spacing w:line="400" w:lineRule="exact"/>
              <w:rPr>
                <w:rFonts w:hint="eastAsia" w:ascii="宋体" w:hAnsi="宋体" w:eastAsia="新宋体"/>
                <w:color w:val="auto"/>
                <w:spacing w:val="-10"/>
                <w:kern w:val="2"/>
                <w:sz w:val="21"/>
                <w:szCs w:val="18"/>
                <w:lang w:val="en-US" w:eastAsia="zh-CN" w:bidi="ar-SA"/>
              </w:rPr>
            </w:pPr>
            <w:r>
              <w:rPr>
                <w:rFonts w:hint="eastAsia" w:ascii="宋体" w:hAnsi="宋体" w:eastAsia="新宋体"/>
                <w:color w:val="auto"/>
                <w:spacing w:val="-10"/>
                <w:szCs w:val="18"/>
              </w:rPr>
              <w:t>前列腺炎症、前列腺良/恶性病变等筛查，早期预警或辅助诊断。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color w:val="auto"/>
                <w:szCs w:val="21"/>
              </w:rPr>
            </w:pPr>
          </w:p>
        </w:tc>
        <w:tc>
          <w:tcPr>
            <w:tcW w:w="625" w:type="dxa"/>
            <w:noWrap w:val="0"/>
            <w:vAlign w:val="center"/>
          </w:tcPr>
          <w:p>
            <w:pPr>
              <w:widowControl/>
              <w:snapToGrid w:val="0"/>
              <w:spacing w:line="30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5</w:t>
            </w:r>
          </w:p>
        </w:tc>
        <w:tc>
          <w:tcPr>
            <w:tcW w:w="2970" w:type="dxa"/>
            <w:noWrap w:val="0"/>
            <w:vAlign w:val="center"/>
          </w:tcPr>
          <w:p>
            <w:pPr>
              <w:adjustRightInd w:val="0"/>
              <w:snapToGrid w:val="0"/>
              <w:spacing w:line="400" w:lineRule="exact"/>
              <w:rPr>
                <w:rFonts w:hint="eastAsia" w:ascii="宋体" w:hAnsi="宋体" w:eastAsia="新宋体"/>
                <w:color w:val="auto"/>
                <w:spacing w:val="-10"/>
                <w:kern w:val="2"/>
                <w:sz w:val="18"/>
                <w:szCs w:val="18"/>
                <w:lang w:val="en-US" w:eastAsia="zh-CN" w:bidi="ar-SA"/>
              </w:rPr>
            </w:pPr>
            <w:r>
              <w:rPr>
                <w:rFonts w:hint="eastAsia" w:ascii="宋体" w:hAnsi="宋体" w:eastAsia="宋体" w:cs="Times New Roman"/>
                <w:b w:val="0"/>
                <w:bCs/>
                <w:color w:val="auto"/>
                <w:sz w:val="24"/>
                <w:lang w:val="en-US" w:eastAsia="zh-CN"/>
              </w:rPr>
              <w:t>糖类抗原(CA 153）</w:t>
            </w:r>
            <w:r>
              <w:rPr>
                <w:rFonts w:hint="eastAsia" w:ascii="宋体" w:hAnsi="宋体"/>
                <w:b w:val="0"/>
                <w:bCs/>
                <w:color w:val="auto"/>
                <w:sz w:val="24"/>
                <w:lang w:val="en-US" w:eastAsia="zh-CN"/>
              </w:rPr>
              <w:t>（未婚女）</w:t>
            </w:r>
          </w:p>
        </w:tc>
        <w:tc>
          <w:tcPr>
            <w:tcW w:w="4835" w:type="dxa"/>
            <w:noWrap w:val="0"/>
            <w:vAlign w:val="center"/>
          </w:tcPr>
          <w:p>
            <w:pPr>
              <w:autoSpaceDN w:val="0"/>
              <w:snapToGrid w:val="0"/>
              <w:spacing w:line="300" w:lineRule="exact"/>
              <w:textAlignment w:val="bottom"/>
              <w:rPr>
                <w:rFonts w:hint="eastAsia" w:ascii="宋体" w:hAnsi="宋体" w:eastAsia="宋体" w:cs="Times New Roman"/>
                <w:color w:val="auto"/>
                <w:szCs w:val="21"/>
              </w:rPr>
            </w:pPr>
            <w:r>
              <w:rPr>
                <w:rFonts w:hint="eastAsia" w:ascii="宋体" w:hAnsi="宋体" w:eastAsia="新宋体"/>
                <w:color w:val="auto"/>
                <w:spacing w:val="-10"/>
                <w:szCs w:val="18"/>
              </w:rPr>
              <w:t>乳腺癌的筛查，早期预警或辅助诊断。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0" w:type="dxa"/>
            <w:noWrap w:val="0"/>
            <w:vAlign w:val="center"/>
          </w:tcPr>
          <w:p>
            <w:pPr>
              <w:widowControl/>
              <w:snapToGrid w:val="0"/>
              <w:spacing w:line="300" w:lineRule="exact"/>
              <w:jc w:val="center"/>
              <w:rPr>
                <w:rFonts w:hint="eastAsia" w:ascii="宋体" w:hAnsi="宋体"/>
                <w:b/>
                <w:color w:val="auto"/>
                <w:szCs w:val="21"/>
                <w:lang w:eastAsia="zh-CN"/>
              </w:rPr>
            </w:pPr>
            <w:r>
              <w:rPr>
                <w:rFonts w:hint="eastAsia" w:ascii="宋体" w:hAnsi="宋体"/>
                <w:b/>
                <w:color w:val="auto"/>
                <w:szCs w:val="21"/>
                <w:lang w:eastAsia="zh-CN"/>
              </w:rPr>
              <w:t>糖尿病</w:t>
            </w:r>
          </w:p>
          <w:p>
            <w:pPr>
              <w:widowControl/>
              <w:snapToGrid w:val="0"/>
              <w:spacing w:line="300" w:lineRule="exact"/>
              <w:jc w:val="center"/>
              <w:rPr>
                <w:rFonts w:hint="eastAsia" w:ascii="宋体" w:hAnsi="宋体"/>
                <w:b/>
                <w:color w:val="auto"/>
                <w:szCs w:val="21"/>
              </w:rPr>
            </w:pPr>
            <w:r>
              <w:rPr>
                <w:rFonts w:hint="eastAsia" w:ascii="宋体" w:hAnsi="宋体"/>
                <w:b/>
                <w:color w:val="auto"/>
                <w:szCs w:val="21"/>
                <w:lang w:eastAsia="zh-CN"/>
              </w:rPr>
              <w:t>早期</w:t>
            </w:r>
            <w:r>
              <w:rPr>
                <w:rFonts w:hint="eastAsia" w:ascii="宋体" w:hAnsi="宋体"/>
                <w:b/>
                <w:color w:val="auto"/>
                <w:szCs w:val="21"/>
              </w:rPr>
              <w:t>筛查</w:t>
            </w:r>
          </w:p>
        </w:tc>
        <w:tc>
          <w:tcPr>
            <w:tcW w:w="625" w:type="dxa"/>
            <w:noWrap w:val="0"/>
            <w:vAlign w:val="center"/>
          </w:tcPr>
          <w:p>
            <w:pPr>
              <w:widowControl/>
              <w:snapToGrid w:val="0"/>
              <w:spacing w:line="300" w:lineRule="exact"/>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color w:val="auto"/>
                <w:szCs w:val="21"/>
                <w:lang w:eastAsia="zh-CN"/>
              </w:rPr>
            </w:pPr>
            <w:r>
              <w:rPr>
                <w:rFonts w:hint="eastAsia" w:ascii="宋体" w:hAnsi="宋体" w:eastAsia="新宋体"/>
                <w:color w:val="auto"/>
                <w:spacing w:val="-10"/>
                <w:szCs w:val="18"/>
              </w:rPr>
              <w:t>糖化血红蛋白</w:t>
            </w:r>
          </w:p>
        </w:tc>
        <w:tc>
          <w:tcPr>
            <w:tcW w:w="4835" w:type="dxa"/>
            <w:noWrap w:val="0"/>
            <w:vAlign w:val="center"/>
          </w:tcPr>
          <w:p>
            <w:pPr>
              <w:autoSpaceDN w:val="0"/>
              <w:snapToGrid w:val="0"/>
              <w:spacing w:line="300" w:lineRule="auto"/>
              <w:textAlignment w:val="bottom"/>
              <w:rPr>
                <w:rFonts w:hint="eastAsia" w:ascii="宋体" w:hAnsi="宋体"/>
                <w:color w:val="auto"/>
                <w:szCs w:val="21"/>
                <w:lang w:eastAsia="zh-CN"/>
              </w:rPr>
            </w:pPr>
            <w:r>
              <w:rPr>
                <w:rFonts w:hint="eastAsia" w:ascii="宋体" w:hAnsi="宋体" w:eastAsia="新宋体"/>
                <w:color w:val="auto"/>
                <w:spacing w:val="-10"/>
                <w:szCs w:val="18"/>
              </w:rPr>
              <w:t>反映近2-3个月血糖平均水平。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幽门螺旋杆菌检测</w:t>
            </w:r>
          </w:p>
        </w:tc>
        <w:tc>
          <w:tcPr>
            <w:tcW w:w="625" w:type="dxa"/>
            <w:noWrap w:val="0"/>
            <w:vAlign w:val="center"/>
          </w:tcPr>
          <w:p>
            <w:pPr>
              <w:autoSpaceDN w:val="0"/>
              <w:snapToGrid w:val="0"/>
              <w:spacing w:line="300" w:lineRule="exact"/>
              <w:ind w:firstLine="210" w:firstLineChars="100"/>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 xml:space="preserve"> C14尿素呼气试验</w:t>
            </w:r>
          </w:p>
        </w:tc>
        <w:tc>
          <w:tcPr>
            <w:tcW w:w="4835"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了解有无幽门螺旋杆菌的感染。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特殊检查</w:t>
            </w:r>
          </w:p>
        </w:tc>
        <w:tc>
          <w:tcPr>
            <w:tcW w:w="625" w:type="dxa"/>
            <w:noWrap w:val="0"/>
            <w:vAlign w:val="center"/>
          </w:tcPr>
          <w:p>
            <w:pPr>
              <w:autoSpaceDN w:val="0"/>
              <w:snapToGrid w:val="0"/>
              <w:spacing w:line="300" w:lineRule="exact"/>
              <w:ind w:firstLine="210" w:firstLineChars="100"/>
              <w:textAlignment w:val="bottom"/>
              <w:rPr>
                <w:rFonts w:hint="default"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肝纤维化扫描</w:t>
            </w:r>
          </w:p>
        </w:tc>
        <w:tc>
          <w:tcPr>
            <w:tcW w:w="4835"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了解肝脏纤维化程度，早期肝硬化筛查。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noWrap w:val="0"/>
            <w:vAlign w:val="center"/>
          </w:tcPr>
          <w:p>
            <w:pPr>
              <w:autoSpaceDN w:val="0"/>
              <w:spacing w:line="300" w:lineRule="exact"/>
              <w:textAlignment w:val="center"/>
              <w:rPr>
                <w:rFonts w:hint="eastAsia" w:ascii="宋体" w:hAnsi="宋体"/>
                <w:b/>
                <w:color w:val="auto"/>
              </w:rPr>
            </w:pPr>
          </w:p>
          <w:p>
            <w:pPr>
              <w:autoSpaceDN w:val="0"/>
              <w:spacing w:line="300" w:lineRule="exact"/>
              <w:textAlignment w:val="center"/>
              <w:rPr>
                <w:rFonts w:hint="eastAsia" w:ascii="宋体" w:hAnsi="宋体"/>
                <w:b/>
                <w:color w:val="auto"/>
              </w:rPr>
            </w:pPr>
            <w:r>
              <w:rPr>
                <w:rFonts w:hint="eastAsia" w:ascii="宋体" w:hAnsi="宋体"/>
                <w:b/>
                <w:color w:val="auto"/>
              </w:rPr>
              <w:t>放射</w:t>
            </w:r>
            <w:r>
              <w:rPr>
                <w:rFonts w:hint="eastAsia" w:ascii="宋体" w:hAnsi="宋体"/>
                <w:b/>
                <w:color w:val="auto"/>
                <w:lang w:eastAsia="zh-CN"/>
              </w:rPr>
              <w:t>检查</w:t>
            </w:r>
          </w:p>
          <w:p>
            <w:pPr>
              <w:widowControl/>
              <w:snapToGrid w:val="0"/>
              <w:spacing w:line="300" w:lineRule="exact"/>
              <w:rPr>
                <w:rFonts w:hint="eastAsia" w:ascii="宋体" w:hAnsi="宋体"/>
                <w:b/>
                <w:color w:val="auto"/>
              </w:rPr>
            </w:pPr>
          </w:p>
        </w:tc>
        <w:tc>
          <w:tcPr>
            <w:tcW w:w="625" w:type="dxa"/>
            <w:noWrap w:val="0"/>
            <w:vAlign w:val="center"/>
          </w:tcPr>
          <w:p>
            <w:pPr>
              <w:widowControl/>
              <w:snapToGrid w:val="0"/>
              <w:spacing w:line="300" w:lineRule="exact"/>
              <w:jc w:val="center"/>
              <w:rPr>
                <w:rFonts w:hint="eastAsia" w:ascii="宋体" w:hAnsi="宋体"/>
                <w:color w:val="auto"/>
                <w:kern w:val="0"/>
                <w:szCs w:val="21"/>
              </w:rPr>
            </w:pPr>
            <w:r>
              <w:rPr>
                <w:rFonts w:hint="eastAsia" w:ascii="宋体" w:hAnsi="宋体"/>
                <w:color w:val="auto"/>
                <w:kern w:val="0"/>
                <w:szCs w:val="21"/>
              </w:rPr>
              <w:t>1</w:t>
            </w:r>
          </w:p>
        </w:tc>
        <w:tc>
          <w:tcPr>
            <w:tcW w:w="2970" w:type="dxa"/>
            <w:noWrap w:val="0"/>
            <w:vAlign w:val="center"/>
          </w:tcPr>
          <w:p>
            <w:pPr>
              <w:autoSpaceDN w:val="0"/>
              <w:snapToGrid w:val="0"/>
              <w:spacing w:line="300" w:lineRule="exact"/>
              <w:textAlignment w:val="bottom"/>
              <w:rPr>
                <w:rFonts w:hint="eastAsia" w:ascii="宋体" w:hAnsi="宋体" w:eastAsia="宋体"/>
                <w:color w:val="auto"/>
                <w:szCs w:val="21"/>
                <w:lang w:eastAsia="zh-CN"/>
              </w:rPr>
            </w:pPr>
            <w:r>
              <w:rPr>
                <w:rFonts w:hint="eastAsia" w:ascii="宋体" w:hAnsi="宋体" w:eastAsia="宋体"/>
                <w:color w:val="auto"/>
                <w:szCs w:val="21"/>
                <w:lang w:val="en-US" w:eastAsia="zh-CN"/>
              </w:rPr>
              <w:t xml:space="preserve"> </w:t>
            </w:r>
            <w:r>
              <w:rPr>
                <w:rFonts w:hint="eastAsia" w:ascii="宋体" w:hAnsi="宋体" w:eastAsia="宋体"/>
                <w:color w:val="auto"/>
                <w:szCs w:val="21"/>
                <w:lang w:eastAsia="zh-CN"/>
              </w:rPr>
              <w:t>胸部正位片</w:t>
            </w:r>
          </w:p>
        </w:tc>
        <w:tc>
          <w:tcPr>
            <w:tcW w:w="4835" w:type="dxa"/>
            <w:noWrap w:val="0"/>
            <w:vAlign w:val="center"/>
          </w:tcPr>
          <w:p>
            <w:pPr>
              <w:spacing w:line="400" w:lineRule="exact"/>
              <w:rPr>
                <w:rFonts w:hint="eastAsia" w:ascii="宋体" w:hAnsi="宋体"/>
                <w:color w:val="auto"/>
                <w:sz w:val="24"/>
              </w:rPr>
            </w:pPr>
            <w:r>
              <w:rPr>
                <w:rFonts w:hint="eastAsia" w:ascii="宋体" w:hAnsi="宋体"/>
                <w:color w:val="auto"/>
                <w:szCs w:val="21"/>
              </w:rPr>
              <w:t>了解有无肺部、胸廓、纵膈等部位的疾病。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80" w:type="dxa"/>
            <w:noWrap w:val="0"/>
            <w:vAlign w:val="center"/>
          </w:tcPr>
          <w:p>
            <w:pPr>
              <w:autoSpaceDN w:val="0"/>
              <w:snapToGrid w:val="0"/>
              <w:spacing w:line="360" w:lineRule="exact"/>
              <w:jc w:val="center"/>
              <w:textAlignment w:val="center"/>
              <w:rPr>
                <w:rFonts w:hint="eastAsia" w:ascii="宋体" w:hAnsi="宋体"/>
                <w:b/>
                <w:color w:val="auto"/>
                <w:szCs w:val="21"/>
              </w:rPr>
            </w:pPr>
            <w:r>
              <w:rPr>
                <w:rFonts w:hint="eastAsia" w:ascii="宋体" w:hAnsi="宋体"/>
                <w:b/>
                <w:color w:val="auto"/>
                <w:szCs w:val="21"/>
              </w:rPr>
              <w:t>心电图</w:t>
            </w:r>
          </w:p>
        </w:tc>
        <w:tc>
          <w:tcPr>
            <w:tcW w:w="625" w:type="dxa"/>
            <w:noWrap w:val="0"/>
            <w:vAlign w:val="center"/>
          </w:tcPr>
          <w:p>
            <w:pPr>
              <w:autoSpaceDN w:val="0"/>
              <w:snapToGrid w:val="0"/>
              <w:spacing w:line="360" w:lineRule="exact"/>
              <w:textAlignment w:val="bottom"/>
              <w:rPr>
                <w:rFonts w:hint="eastAsia" w:ascii="宋体" w:hAnsi="宋体"/>
                <w:color w:val="auto"/>
                <w:szCs w:val="21"/>
                <w:lang w:val="en-US" w:eastAsia="zh-CN"/>
              </w:rPr>
            </w:pPr>
            <w:r>
              <w:rPr>
                <w:rFonts w:hint="eastAsia" w:ascii="宋体" w:hAnsi="宋体"/>
                <w:color w:val="auto"/>
                <w:szCs w:val="21"/>
                <w:lang w:val="en-US" w:eastAsia="zh-CN"/>
              </w:rPr>
              <w:t xml:space="preserve">  1</w:t>
            </w:r>
          </w:p>
        </w:tc>
        <w:tc>
          <w:tcPr>
            <w:tcW w:w="2970" w:type="dxa"/>
            <w:noWrap w:val="0"/>
            <w:vAlign w:val="center"/>
          </w:tcPr>
          <w:p>
            <w:pPr>
              <w:autoSpaceDN w:val="0"/>
              <w:snapToGrid w:val="0"/>
              <w:spacing w:line="360" w:lineRule="exact"/>
              <w:jc w:val="both"/>
              <w:textAlignment w:val="bottom"/>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12导联心电图</w:t>
            </w:r>
          </w:p>
        </w:tc>
        <w:tc>
          <w:tcPr>
            <w:tcW w:w="4835" w:type="dxa"/>
            <w:noWrap w:val="0"/>
            <w:vAlign w:val="center"/>
          </w:tcPr>
          <w:p>
            <w:pPr>
              <w:autoSpaceDN w:val="0"/>
              <w:snapToGrid w:val="0"/>
              <w:textAlignment w:val="bottom"/>
              <w:rPr>
                <w:rFonts w:hint="eastAsia" w:ascii="宋体" w:hAnsi="宋体"/>
                <w:color w:val="auto"/>
                <w:szCs w:val="21"/>
              </w:rPr>
            </w:pPr>
            <w:r>
              <w:rPr>
                <w:rFonts w:hint="eastAsia" w:ascii="宋体" w:hAnsi="宋体"/>
                <w:color w:val="auto"/>
                <w:szCs w:val="21"/>
              </w:rPr>
              <w:t>了解心律不齐、心肌梗塞、心肌缺血、心率过缓/过速、心室电压增高等心脏疾病。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vMerge w:val="restart"/>
            <w:noWrap w:val="0"/>
            <w:vAlign w:val="center"/>
          </w:tcPr>
          <w:p>
            <w:pPr>
              <w:autoSpaceDN w:val="0"/>
              <w:snapToGrid w:val="0"/>
              <w:spacing w:line="360" w:lineRule="exact"/>
              <w:jc w:val="center"/>
              <w:textAlignment w:val="center"/>
              <w:rPr>
                <w:rFonts w:hint="eastAsia" w:ascii="宋体" w:hAnsi="宋体"/>
                <w:b/>
                <w:color w:val="auto"/>
                <w:szCs w:val="21"/>
              </w:rPr>
            </w:pPr>
          </w:p>
          <w:p>
            <w:pPr>
              <w:autoSpaceDN w:val="0"/>
              <w:snapToGrid w:val="0"/>
              <w:spacing w:line="360" w:lineRule="exact"/>
              <w:jc w:val="center"/>
              <w:textAlignment w:val="center"/>
              <w:rPr>
                <w:rFonts w:hint="eastAsia" w:ascii="宋体" w:hAnsi="宋体"/>
                <w:b/>
                <w:color w:val="auto"/>
                <w:szCs w:val="21"/>
              </w:rPr>
            </w:pPr>
          </w:p>
          <w:p>
            <w:pPr>
              <w:autoSpaceDN w:val="0"/>
              <w:snapToGrid w:val="0"/>
              <w:spacing w:line="360" w:lineRule="exact"/>
              <w:jc w:val="center"/>
              <w:textAlignment w:val="center"/>
              <w:rPr>
                <w:rFonts w:hint="eastAsia" w:ascii="宋体" w:hAnsi="宋体"/>
                <w:b/>
                <w:color w:val="auto"/>
                <w:szCs w:val="21"/>
              </w:rPr>
            </w:pPr>
            <w:r>
              <w:rPr>
                <w:rFonts w:hint="eastAsia" w:ascii="宋体" w:hAnsi="宋体"/>
                <w:b/>
                <w:color w:val="auto"/>
                <w:szCs w:val="21"/>
              </w:rPr>
              <w:t>超声</w:t>
            </w:r>
          </w:p>
          <w:p>
            <w:pPr>
              <w:autoSpaceDN w:val="0"/>
              <w:snapToGrid w:val="0"/>
              <w:spacing w:line="360" w:lineRule="exact"/>
              <w:jc w:val="center"/>
              <w:textAlignment w:val="center"/>
              <w:rPr>
                <w:rFonts w:hint="eastAsia" w:ascii="宋体" w:hAnsi="宋体"/>
                <w:b/>
                <w:color w:val="auto"/>
                <w:szCs w:val="21"/>
              </w:rPr>
            </w:pPr>
            <w:r>
              <w:rPr>
                <w:rFonts w:hint="eastAsia" w:ascii="宋体" w:hAnsi="宋体"/>
                <w:b/>
                <w:color w:val="auto"/>
                <w:szCs w:val="21"/>
              </w:rPr>
              <w:t>检查</w:t>
            </w:r>
          </w:p>
        </w:tc>
        <w:tc>
          <w:tcPr>
            <w:tcW w:w="625" w:type="dxa"/>
            <w:noWrap w:val="0"/>
            <w:vAlign w:val="center"/>
          </w:tcPr>
          <w:p>
            <w:pPr>
              <w:widowControl/>
              <w:snapToGrid w:val="0"/>
              <w:spacing w:line="360" w:lineRule="exact"/>
              <w:jc w:val="center"/>
              <w:rPr>
                <w:rFonts w:hint="eastAsia" w:ascii="宋体" w:hAnsi="宋体"/>
                <w:color w:val="auto"/>
                <w:kern w:val="0"/>
                <w:szCs w:val="21"/>
              </w:rPr>
            </w:pPr>
            <w:r>
              <w:rPr>
                <w:rFonts w:hint="eastAsia" w:ascii="宋体" w:hAnsi="宋体"/>
                <w:color w:val="auto"/>
                <w:kern w:val="0"/>
                <w:szCs w:val="21"/>
              </w:rPr>
              <w:t>1</w:t>
            </w:r>
          </w:p>
        </w:tc>
        <w:tc>
          <w:tcPr>
            <w:tcW w:w="2970" w:type="dxa"/>
            <w:noWrap w:val="0"/>
            <w:vAlign w:val="center"/>
          </w:tcPr>
          <w:p>
            <w:pPr>
              <w:autoSpaceDN w:val="0"/>
              <w:spacing w:line="300" w:lineRule="exact"/>
              <w:ind w:firstLine="105" w:firstLineChars="50"/>
              <w:textAlignment w:val="bottom"/>
              <w:rPr>
                <w:rFonts w:hint="eastAsia" w:ascii="宋体" w:hAnsi="宋体"/>
                <w:color w:val="auto"/>
                <w:szCs w:val="21"/>
              </w:rPr>
            </w:pPr>
            <w:r>
              <w:rPr>
                <w:rFonts w:hint="eastAsia" w:ascii="宋体" w:hAnsi="宋体"/>
                <w:color w:val="auto"/>
                <w:szCs w:val="21"/>
              </w:rPr>
              <w:t>肝、胆、脾、胰、双肾</w:t>
            </w:r>
          </w:p>
        </w:tc>
        <w:tc>
          <w:tcPr>
            <w:tcW w:w="4835" w:type="dxa"/>
            <w:noWrap w:val="0"/>
            <w:vAlign w:val="top"/>
          </w:tcPr>
          <w:p>
            <w:pPr>
              <w:rPr>
                <w:rFonts w:ascii="宋体" w:hAnsi="宋体"/>
                <w:color w:val="auto"/>
                <w:szCs w:val="21"/>
              </w:rPr>
            </w:pPr>
            <w:r>
              <w:rPr>
                <w:rFonts w:hint="eastAsia" w:ascii="宋体" w:hAnsi="宋体"/>
                <w:color w:val="auto"/>
                <w:szCs w:val="21"/>
              </w:rPr>
              <w:t>了解肝硬化、肝囊肿、肝癌、肝脓肿、肝血管瘤、肝脂肪、胆囊结石、胆囊息肉、胰腺癌、脾肿大等疾病情况。通过肾了解有否肾结石、肾肿瘤。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auto"/>
                <w:szCs w:val="21"/>
              </w:rPr>
            </w:pPr>
          </w:p>
        </w:tc>
        <w:tc>
          <w:tcPr>
            <w:tcW w:w="625" w:type="dxa"/>
            <w:noWrap w:val="0"/>
            <w:vAlign w:val="center"/>
          </w:tcPr>
          <w:p>
            <w:pPr>
              <w:widowControl/>
              <w:snapToGrid w:val="0"/>
              <w:spacing w:line="360" w:lineRule="exact"/>
              <w:jc w:val="center"/>
              <w:rPr>
                <w:rFonts w:hint="eastAsia" w:ascii="宋体" w:hAnsi="宋体"/>
                <w:color w:val="auto"/>
                <w:kern w:val="0"/>
                <w:szCs w:val="21"/>
              </w:rPr>
            </w:pPr>
            <w:r>
              <w:rPr>
                <w:rFonts w:hint="eastAsia" w:ascii="宋体" w:hAnsi="宋体"/>
                <w:color w:val="auto"/>
                <w:kern w:val="0"/>
                <w:szCs w:val="21"/>
              </w:rPr>
              <w:t>2</w:t>
            </w:r>
          </w:p>
        </w:tc>
        <w:tc>
          <w:tcPr>
            <w:tcW w:w="2970" w:type="dxa"/>
            <w:noWrap w:val="0"/>
            <w:vAlign w:val="center"/>
          </w:tcPr>
          <w:p>
            <w:pPr>
              <w:autoSpaceDN w:val="0"/>
              <w:spacing w:line="300" w:lineRule="exact"/>
              <w:ind w:firstLine="105" w:firstLineChars="50"/>
              <w:textAlignment w:val="bottom"/>
              <w:rPr>
                <w:rFonts w:hint="eastAsia" w:ascii="宋体" w:hAnsi="宋体"/>
                <w:color w:val="auto"/>
                <w:szCs w:val="21"/>
              </w:rPr>
            </w:pPr>
            <w:r>
              <w:rPr>
                <w:rFonts w:hint="eastAsia" w:ascii="宋体" w:hAnsi="宋体"/>
                <w:color w:val="auto"/>
                <w:szCs w:val="21"/>
              </w:rPr>
              <w:t>甲状腺</w:t>
            </w:r>
          </w:p>
        </w:tc>
        <w:tc>
          <w:tcPr>
            <w:tcW w:w="4835" w:type="dxa"/>
            <w:noWrap w:val="0"/>
            <w:vAlign w:val="center"/>
          </w:tcPr>
          <w:p>
            <w:pPr>
              <w:rPr>
                <w:rFonts w:hint="eastAsia" w:ascii="宋体" w:hAnsi="宋体"/>
                <w:color w:val="auto"/>
                <w:szCs w:val="21"/>
              </w:rPr>
            </w:pPr>
            <w:r>
              <w:rPr>
                <w:rFonts w:hint="eastAsia" w:ascii="宋体" w:hAnsi="宋体"/>
                <w:color w:val="auto"/>
                <w:szCs w:val="21"/>
              </w:rPr>
              <w:t>了解有无甲状腺结节、囊肿、良/恶性占位等疾病。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auto"/>
                <w:szCs w:val="21"/>
              </w:rPr>
            </w:pPr>
          </w:p>
        </w:tc>
        <w:tc>
          <w:tcPr>
            <w:tcW w:w="625" w:type="dxa"/>
            <w:noWrap w:val="0"/>
            <w:vAlign w:val="center"/>
          </w:tcPr>
          <w:p>
            <w:pPr>
              <w:widowControl/>
              <w:snapToGrid w:val="0"/>
              <w:spacing w:line="360" w:lineRule="exact"/>
              <w:jc w:val="center"/>
              <w:rPr>
                <w:rFonts w:hint="eastAsia" w:ascii="宋体" w:hAnsi="宋体"/>
                <w:color w:val="auto"/>
                <w:kern w:val="0"/>
                <w:szCs w:val="21"/>
              </w:rPr>
            </w:pPr>
            <w:r>
              <w:rPr>
                <w:rFonts w:hint="eastAsia" w:ascii="宋体" w:hAnsi="宋体"/>
                <w:color w:val="auto"/>
                <w:kern w:val="0"/>
                <w:szCs w:val="21"/>
              </w:rPr>
              <w:t>3</w:t>
            </w:r>
          </w:p>
        </w:tc>
        <w:tc>
          <w:tcPr>
            <w:tcW w:w="2970" w:type="dxa"/>
            <w:noWrap w:val="0"/>
            <w:vAlign w:val="center"/>
          </w:tcPr>
          <w:p>
            <w:pPr>
              <w:autoSpaceDN w:val="0"/>
              <w:spacing w:line="300" w:lineRule="exact"/>
              <w:ind w:firstLine="105" w:firstLineChars="50"/>
              <w:textAlignment w:val="bottom"/>
              <w:rPr>
                <w:rFonts w:hint="eastAsia" w:ascii="宋体" w:hAnsi="宋体"/>
                <w:color w:val="auto"/>
                <w:szCs w:val="21"/>
              </w:rPr>
            </w:pPr>
            <w:r>
              <w:rPr>
                <w:rFonts w:hint="eastAsia" w:ascii="宋体" w:hAnsi="宋体"/>
                <w:color w:val="auto"/>
                <w:szCs w:val="21"/>
              </w:rPr>
              <w:t>男：前列腺、膀胱</w:t>
            </w:r>
          </w:p>
        </w:tc>
        <w:tc>
          <w:tcPr>
            <w:tcW w:w="4835" w:type="dxa"/>
            <w:noWrap w:val="0"/>
            <w:vAlign w:val="center"/>
          </w:tcPr>
          <w:p>
            <w:pPr>
              <w:rPr>
                <w:rFonts w:ascii="宋体" w:hAnsi="宋体"/>
                <w:color w:val="auto"/>
                <w:szCs w:val="21"/>
              </w:rPr>
            </w:pPr>
            <w:r>
              <w:rPr>
                <w:rFonts w:hint="eastAsia" w:ascii="宋体" w:hAnsi="宋体"/>
                <w:color w:val="auto"/>
                <w:szCs w:val="21"/>
              </w:rPr>
              <w:t>了解前列腺增大、增生、钙化、结石、占位等疾病。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auto"/>
                <w:szCs w:val="21"/>
              </w:rPr>
            </w:pPr>
          </w:p>
        </w:tc>
        <w:tc>
          <w:tcPr>
            <w:tcW w:w="625" w:type="dxa"/>
            <w:noWrap w:val="0"/>
            <w:vAlign w:val="center"/>
          </w:tcPr>
          <w:p>
            <w:pPr>
              <w:widowControl/>
              <w:snapToGrid w:val="0"/>
              <w:spacing w:line="360" w:lineRule="exact"/>
              <w:jc w:val="center"/>
              <w:rPr>
                <w:rFonts w:hint="eastAsia" w:ascii="宋体" w:hAnsi="宋体"/>
                <w:color w:val="auto"/>
                <w:kern w:val="0"/>
                <w:szCs w:val="21"/>
              </w:rPr>
            </w:pPr>
            <w:r>
              <w:rPr>
                <w:rFonts w:hint="eastAsia" w:ascii="宋体" w:hAnsi="宋体"/>
                <w:color w:val="auto"/>
                <w:kern w:val="0"/>
                <w:szCs w:val="21"/>
              </w:rPr>
              <w:t>4</w:t>
            </w:r>
          </w:p>
        </w:tc>
        <w:tc>
          <w:tcPr>
            <w:tcW w:w="2970" w:type="dxa"/>
            <w:noWrap w:val="0"/>
            <w:vAlign w:val="center"/>
          </w:tcPr>
          <w:p>
            <w:pPr>
              <w:autoSpaceDN w:val="0"/>
              <w:spacing w:line="300" w:lineRule="exact"/>
              <w:ind w:firstLine="105" w:firstLineChars="50"/>
              <w:textAlignment w:val="bottom"/>
              <w:rPr>
                <w:rFonts w:hint="eastAsia" w:ascii="宋体" w:hAnsi="宋体"/>
                <w:color w:val="auto"/>
                <w:szCs w:val="21"/>
              </w:rPr>
            </w:pPr>
            <w:r>
              <w:rPr>
                <w:rFonts w:hint="eastAsia" w:ascii="宋体" w:hAnsi="宋体"/>
                <w:color w:val="auto"/>
                <w:szCs w:val="21"/>
                <w:lang w:eastAsia="zh-CN"/>
              </w:rPr>
              <w:t>已婚</w:t>
            </w:r>
            <w:r>
              <w:rPr>
                <w:rFonts w:hint="eastAsia" w:ascii="宋体" w:hAnsi="宋体"/>
                <w:color w:val="auto"/>
                <w:szCs w:val="21"/>
              </w:rPr>
              <w:t>女：阴道B超</w:t>
            </w:r>
          </w:p>
          <w:p>
            <w:pPr>
              <w:autoSpaceDN w:val="0"/>
              <w:spacing w:line="300" w:lineRule="exact"/>
              <w:ind w:firstLine="105" w:firstLineChars="50"/>
              <w:textAlignment w:val="bottom"/>
              <w:rPr>
                <w:rFonts w:hint="eastAsia" w:ascii="宋体" w:hAnsi="宋体" w:eastAsia="宋体"/>
                <w:color w:val="auto"/>
                <w:szCs w:val="21"/>
                <w:lang w:eastAsia="zh-CN"/>
              </w:rPr>
            </w:pPr>
            <w:r>
              <w:rPr>
                <w:rFonts w:hint="eastAsia" w:ascii="宋体" w:hAnsi="宋体"/>
                <w:color w:val="auto"/>
                <w:szCs w:val="21"/>
                <w:lang w:eastAsia="zh-CN"/>
              </w:rPr>
              <w:t>未婚女：子宫、附件</w:t>
            </w:r>
            <w:r>
              <w:rPr>
                <w:rFonts w:hint="eastAsia" w:ascii="宋体" w:hAnsi="宋体"/>
                <w:color w:val="auto"/>
                <w:szCs w:val="21"/>
                <w:lang w:val="en-US" w:eastAsia="zh-CN"/>
              </w:rPr>
              <w:t>B</w:t>
            </w:r>
            <w:r>
              <w:rPr>
                <w:rFonts w:hint="eastAsia" w:ascii="宋体" w:hAnsi="宋体"/>
                <w:color w:val="auto"/>
                <w:szCs w:val="21"/>
                <w:lang w:eastAsia="zh-CN"/>
              </w:rPr>
              <w:t>超</w:t>
            </w:r>
          </w:p>
        </w:tc>
        <w:tc>
          <w:tcPr>
            <w:tcW w:w="4835" w:type="dxa"/>
            <w:noWrap w:val="0"/>
            <w:vAlign w:val="top"/>
          </w:tcPr>
          <w:p>
            <w:pPr>
              <w:rPr>
                <w:rFonts w:hint="eastAsia" w:ascii="宋体" w:hAnsi="宋体"/>
                <w:color w:val="auto"/>
                <w:szCs w:val="21"/>
              </w:rPr>
            </w:pPr>
          </w:p>
          <w:p>
            <w:pPr>
              <w:rPr>
                <w:rFonts w:ascii="宋体" w:hAnsi="宋体"/>
                <w:color w:val="auto"/>
                <w:szCs w:val="21"/>
              </w:rPr>
            </w:pPr>
            <w:r>
              <w:rPr>
                <w:rFonts w:hint="eastAsia" w:ascii="宋体" w:hAnsi="宋体"/>
                <w:color w:val="auto"/>
                <w:szCs w:val="21"/>
              </w:rPr>
              <w:t>了解子宫肌瘤，宫颈癌，卵巢肿物、盆腔炎</w:t>
            </w:r>
            <w:r>
              <w:rPr>
                <w:rFonts w:hint="eastAsia" w:ascii="宋体" w:hAnsi="宋体"/>
                <w:color w:val="auto"/>
                <w:szCs w:val="21"/>
                <w:lang w:eastAsia="zh-CN"/>
              </w:rPr>
              <w:t>等疾病</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auto"/>
                <w:szCs w:val="21"/>
              </w:rPr>
            </w:pPr>
          </w:p>
        </w:tc>
        <w:tc>
          <w:tcPr>
            <w:tcW w:w="625" w:type="dxa"/>
            <w:noWrap w:val="0"/>
            <w:vAlign w:val="center"/>
          </w:tcPr>
          <w:p>
            <w:pPr>
              <w:widowControl/>
              <w:snapToGrid w:val="0"/>
              <w:spacing w:line="360" w:lineRule="exact"/>
              <w:jc w:val="center"/>
              <w:rPr>
                <w:rFonts w:hint="eastAsia" w:ascii="宋体" w:hAnsi="宋体"/>
                <w:color w:val="auto"/>
                <w:kern w:val="0"/>
                <w:szCs w:val="21"/>
              </w:rPr>
            </w:pPr>
            <w:r>
              <w:rPr>
                <w:rFonts w:hint="eastAsia" w:ascii="宋体" w:hAnsi="宋体"/>
                <w:color w:val="auto"/>
                <w:kern w:val="0"/>
                <w:szCs w:val="21"/>
              </w:rPr>
              <w:t>5</w:t>
            </w:r>
          </w:p>
        </w:tc>
        <w:tc>
          <w:tcPr>
            <w:tcW w:w="2970" w:type="dxa"/>
            <w:noWrap w:val="0"/>
            <w:vAlign w:val="center"/>
          </w:tcPr>
          <w:p>
            <w:pPr>
              <w:autoSpaceDN w:val="0"/>
              <w:spacing w:line="300" w:lineRule="exact"/>
              <w:ind w:firstLine="105" w:firstLineChars="50"/>
              <w:textAlignment w:val="bottom"/>
              <w:rPr>
                <w:rFonts w:hint="eastAsia" w:ascii="宋体" w:hAnsi="宋体"/>
                <w:color w:val="auto"/>
                <w:szCs w:val="21"/>
              </w:rPr>
            </w:pPr>
            <w:r>
              <w:rPr>
                <w:rFonts w:hint="eastAsia" w:ascii="宋体" w:hAnsi="宋体"/>
                <w:color w:val="auto"/>
                <w:szCs w:val="21"/>
              </w:rPr>
              <w:t>女：乳腺彩超</w:t>
            </w:r>
          </w:p>
        </w:tc>
        <w:tc>
          <w:tcPr>
            <w:tcW w:w="4835" w:type="dxa"/>
            <w:noWrap w:val="0"/>
            <w:vAlign w:val="top"/>
          </w:tcPr>
          <w:p>
            <w:pPr>
              <w:rPr>
                <w:rFonts w:hint="eastAsia" w:ascii="宋体" w:hAnsi="宋体"/>
                <w:color w:val="auto"/>
                <w:szCs w:val="21"/>
              </w:rPr>
            </w:pPr>
            <w:r>
              <w:rPr>
                <w:rFonts w:hint="eastAsia" w:ascii="宋体" w:hAnsi="宋体"/>
                <w:color w:val="auto"/>
                <w:szCs w:val="21"/>
              </w:rPr>
              <w:t>排除乳腺增生、乳腺结节、乳腺纤维瘤、乳腺癌等疾病。乳房组织病变诊断。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妇科检查</w:t>
            </w:r>
          </w:p>
        </w:tc>
        <w:tc>
          <w:tcPr>
            <w:tcW w:w="625" w:type="dxa"/>
            <w:noWrap w:val="0"/>
            <w:vAlign w:val="center"/>
          </w:tcPr>
          <w:p>
            <w:pPr>
              <w:autoSpaceDN w:val="0"/>
              <w:snapToGrid w:val="0"/>
              <w:spacing w:line="300" w:lineRule="exact"/>
              <w:ind w:firstLine="210" w:firstLineChars="100"/>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已婚：妇科TCT检查</w:t>
            </w:r>
          </w:p>
        </w:tc>
        <w:tc>
          <w:tcPr>
            <w:tcW w:w="4835"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妇查（子宫肌瘤、卵巢囊肿、阴道炎）；宫颈防癌普查（宫颈炎、宫颈癌）；白带常规（查滴虫、霉菌）。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675" w:type="dxa"/>
            <w:gridSpan w:val="3"/>
            <w:noWrap w:val="0"/>
            <w:vAlign w:val="center"/>
          </w:tcPr>
          <w:p>
            <w:pPr>
              <w:autoSpaceDN w:val="0"/>
              <w:snapToGrid w:val="0"/>
              <w:spacing w:line="300" w:lineRule="auto"/>
              <w:textAlignment w:val="bottom"/>
              <w:rPr>
                <w:rFonts w:hint="eastAsia" w:ascii="宋体" w:hAnsi="宋体"/>
                <w:b/>
                <w:color w:val="auto"/>
                <w:sz w:val="24"/>
                <w:lang w:val="en-US" w:eastAsia="zh-CN"/>
              </w:rPr>
            </w:pPr>
            <w:r>
              <w:rPr>
                <w:rFonts w:hint="eastAsia" w:ascii="宋体" w:hAnsi="宋体"/>
                <w:b/>
                <w:color w:val="auto"/>
                <w:sz w:val="24"/>
                <w:lang w:val="en-US" w:eastAsia="zh-CN"/>
              </w:rPr>
              <w:t>建议可自费增加项目：</w:t>
            </w:r>
          </w:p>
        </w:tc>
        <w:tc>
          <w:tcPr>
            <w:tcW w:w="4835" w:type="dxa"/>
            <w:noWrap w:val="0"/>
            <w:vAlign w:val="center"/>
          </w:tcPr>
          <w:p>
            <w:pPr>
              <w:autoSpaceDN w:val="0"/>
              <w:snapToGrid w:val="0"/>
              <w:spacing w:line="300" w:lineRule="auto"/>
              <w:textAlignment w:val="bottom"/>
              <w:rPr>
                <w:rFonts w:hint="eastAsia" w:ascii="宋体" w:hAnsi="宋体"/>
                <w:b/>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restart"/>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r>
              <w:rPr>
                <w:rFonts w:hint="eastAsia" w:ascii="宋体" w:hAnsi="宋体"/>
                <w:b w:val="0"/>
                <w:bCs w:val="0"/>
                <w:color w:val="auto"/>
                <w:szCs w:val="21"/>
              </w:rPr>
              <w:t>心</w:t>
            </w:r>
            <w:r>
              <w:rPr>
                <w:rFonts w:hint="eastAsia" w:ascii="宋体" w:hAnsi="宋体"/>
                <w:b w:val="0"/>
                <w:bCs w:val="0"/>
                <w:color w:val="auto"/>
                <w:szCs w:val="21"/>
                <w:lang w:eastAsia="zh-CN"/>
              </w:rPr>
              <w:t>脑血管</w:t>
            </w:r>
            <w:r>
              <w:rPr>
                <w:rFonts w:hint="eastAsia" w:ascii="宋体" w:hAnsi="宋体"/>
                <w:b w:val="0"/>
                <w:bCs w:val="0"/>
                <w:color w:val="auto"/>
                <w:szCs w:val="21"/>
              </w:rPr>
              <w:t>功能检查</w:t>
            </w:r>
          </w:p>
        </w:tc>
        <w:tc>
          <w:tcPr>
            <w:tcW w:w="625" w:type="dxa"/>
            <w:noWrap w:val="0"/>
            <w:vAlign w:val="center"/>
          </w:tcPr>
          <w:p>
            <w:pPr>
              <w:autoSpaceDN w:val="0"/>
              <w:snapToGrid w:val="0"/>
              <w:spacing w:line="300" w:lineRule="auto"/>
              <w:textAlignment w:val="bottom"/>
              <w:rPr>
                <w:rFonts w:hint="default" w:ascii="宋体" w:hAnsi="宋体"/>
                <w:b/>
                <w:bCs/>
                <w:color w:val="auto"/>
                <w:szCs w:val="21"/>
                <w:lang w:val="en-US" w:eastAsia="zh-CN"/>
              </w:rPr>
            </w:pPr>
            <w:r>
              <w:rPr>
                <w:rFonts w:hint="eastAsia" w:ascii="宋体" w:hAnsi="宋体"/>
                <w:b/>
                <w:bCs/>
                <w:color w:val="auto"/>
                <w:szCs w:val="21"/>
                <w:lang w:val="en-US" w:eastAsia="zh-CN"/>
              </w:rPr>
              <w:t xml:space="preserve"> </w:t>
            </w:r>
            <w:r>
              <w:rPr>
                <w:rFonts w:hint="eastAsia" w:ascii="宋体" w:hAnsi="宋体" w:eastAsia="宋体" w:cs="Times New Roman"/>
                <w:b w:val="0"/>
                <w:bCs w:val="0"/>
                <w:color w:val="auto"/>
                <w:szCs w:val="21"/>
                <w:lang w:val="en-US" w:eastAsia="zh-CN"/>
              </w:rPr>
              <w:t>1</w:t>
            </w:r>
          </w:p>
        </w:tc>
        <w:tc>
          <w:tcPr>
            <w:tcW w:w="2970" w:type="dxa"/>
            <w:noWrap w:val="0"/>
            <w:vAlign w:val="center"/>
          </w:tcPr>
          <w:p>
            <w:pPr>
              <w:widowControl/>
              <w:snapToGrid w:val="0"/>
              <w:spacing w:line="360" w:lineRule="exact"/>
              <w:jc w:val="center"/>
              <w:rPr>
                <w:rFonts w:hint="eastAsia" w:ascii="宋体" w:hAnsi="宋体"/>
                <w:b/>
                <w:color w:val="auto"/>
                <w:sz w:val="24"/>
                <w:lang w:val="en-US" w:eastAsia="zh-CN"/>
              </w:rPr>
            </w:pPr>
            <w:r>
              <w:rPr>
                <w:rFonts w:hint="eastAsia" w:ascii="宋体" w:hAnsi="宋体" w:eastAsia="新宋体" w:cs="Times New Roman"/>
                <w:color w:val="auto"/>
                <w:spacing w:val="-10"/>
                <w:sz w:val="18"/>
                <w:szCs w:val="18"/>
                <w:lang w:eastAsia="zh-CN"/>
              </w:rPr>
              <w:t>颈部血管彩超</w:t>
            </w:r>
          </w:p>
        </w:tc>
        <w:tc>
          <w:tcPr>
            <w:tcW w:w="4835" w:type="dxa"/>
            <w:noWrap w:val="0"/>
            <w:vAlign w:val="center"/>
          </w:tcPr>
          <w:p>
            <w:pPr>
              <w:widowControl/>
              <w:snapToGrid w:val="0"/>
              <w:spacing w:line="360" w:lineRule="exact"/>
              <w:jc w:val="both"/>
              <w:rPr>
                <w:rFonts w:hint="eastAsia" w:ascii="宋体" w:hAnsi="宋体"/>
                <w:b/>
                <w:color w:val="auto"/>
                <w:sz w:val="24"/>
                <w:lang w:val="en-US" w:eastAsia="zh-CN"/>
              </w:rPr>
            </w:pPr>
            <w:r>
              <w:rPr>
                <w:rFonts w:hint="eastAsia" w:ascii="宋体" w:hAnsi="宋体" w:eastAsia="新宋体"/>
                <w:color w:val="auto"/>
                <w:spacing w:val="-10"/>
                <w:szCs w:val="18"/>
              </w:rPr>
              <w:t>了解有无颈部血管内膜增厚、斑块、狭窄等。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p>
        </w:tc>
        <w:tc>
          <w:tcPr>
            <w:tcW w:w="625" w:type="dxa"/>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r>
              <w:rPr>
                <w:rFonts w:hint="eastAsia" w:ascii="宋体" w:hAnsi="宋体"/>
                <w:b w:val="0"/>
                <w:bCs w:val="0"/>
                <w:color w:val="auto"/>
                <w:szCs w:val="21"/>
                <w:lang w:val="en-US" w:eastAsia="zh-CN"/>
              </w:rPr>
              <w:t>2</w:t>
            </w:r>
          </w:p>
        </w:tc>
        <w:tc>
          <w:tcPr>
            <w:tcW w:w="2970" w:type="dxa"/>
            <w:noWrap w:val="0"/>
            <w:vAlign w:val="center"/>
          </w:tcPr>
          <w:p>
            <w:pPr>
              <w:adjustRightInd w:val="0"/>
              <w:snapToGrid w:val="0"/>
              <w:spacing w:line="400" w:lineRule="exact"/>
              <w:jc w:val="center"/>
              <w:rPr>
                <w:rFonts w:hint="eastAsia" w:ascii="宋体" w:hAnsi="宋体" w:eastAsia="新宋体" w:cs="Times New Roman"/>
                <w:color w:val="auto"/>
                <w:spacing w:val="-10"/>
                <w:kern w:val="2"/>
                <w:sz w:val="18"/>
                <w:szCs w:val="18"/>
                <w:lang w:val="en-US" w:eastAsia="zh-CN" w:bidi="ar-SA"/>
              </w:rPr>
            </w:pPr>
            <w:r>
              <w:rPr>
                <w:rFonts w:hint="eastAsia" w:ascii="宋体" w:hAnsi="宋体" w:eastAsia="新宋体" w:cs="Times New Roman"/>
                <w:color w:val="auto"/>
                <w:spacing w:val="-10"/>
                <w:sz w:val="18"/>
                <w:szCs w:val="18"/>
                <w:lang w:val="en-US" w:eastAsia="zh-CN"/>
              </w:rPr>
              <w:t>心脏彩超</w:t>
            </w:r>
          </w:p>
        </w:tc>
        <w:tc>
          <w:tcPr>
            <w:tcW w:w="4835" w:type="dxa"/>
            <w:noWrap w:val="0"/>
            <w:vAlign w:val="center"/>
          </w:tcPr>
          <w:p>
            <w:pPr>
              <w:autoSpaceDN w:val="0"/>
              <w:snapToGrid w:val="0"/>
              <w:spacing w:line="300" w:lineRule="auto"/>
              <w:textAlignment w:val="bottom"/>
              <w:rPr>
                <w:rFonts w:hint="eastAsia" w:ascii="宋体" w:hAnsi="宋体"/>
                <w:b/>
                <w:color w:val="auto"/>
                <w:kern w:val="2"/>
                <w:sz w:val="24"/>
                <w:szCs w:val="24"/>
                <w:lang w:val="en-US" w:eastAsia="zh-CN" w:bidi="ar-SA"/>
              </w:rPr>
            </w:pPr>
            <w:r>
              <w:rPr>
                <w:rFonts w:hint="eastAsia" w:ascii="宋体" w:hAnsi="宋体" w:eastAsia="新宋体"/>
                <w:color w:val="auto"/>
                <w:spacing w:val="-10"/>
                <w:szCs w:val="18"/>
              </w:rPr>
              <w:t>了解心脏结构，评价心功能。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auto"/>
                <w:sz w:val="24"/>
                <w:lang w:eastAsia="zh-CN"/>
              </w:rPr>
            </w:pPr>
          </w:p>
        </w:tc>
        <w:tc>
          <w:tcPr>
            <w:tcW w:w="625" w:type="dxa"/>
            <w:noWrap w:val="0"/>
            <w:vAlign w:val="center"/>
          </w:tcPr>
          <w:p>
            <w:pPr>
              <w:adjustRightInd w:val="0"/>
              <w:snapToGrid w:val="0"/>
              <w:spacing w:line="400" w:lineRule="exact"/>
              <w:ind w:firstLine="160" w:firstLineChars="100"/>
              <w:rPr>
                <w:rFonts w:hint="eastAsia" w:ascii="宋体" w:hAnsi="宋体" w:eastAsia="新宋体"/>
                <w:color w:val="auto"/>
                <w:spacing w:val="-10"/>
                <w:kern w:val="2"/>
                <w:sz w:val="18"/>
                <w:szCs w:val="18"/>
                <w:lang w:val="en-US" w:eastAsia="zh-CN" w:bidi="ar-SA"/>
              </w:rPr>
            </w:pPr>
            <w:r>
              <w:rPr>
                <w:rFonts w:hint="eastAsia" w:ascii="宋体" w:hAnsi="宋体" w:eastAsia="新宋体"/>
                <w:color w:val="auto"/>
                <w:spacing w:val="-10"/>
                <w:kern w:val="2"/>
                <w:sz w:val="18"/>
                <w:szCs w:val="18"/>
                <w:lang w:val="en-US" w:eastAsia="zh-CN" w:bidi="ar-SA"/>
              </w:rPr>
              <w:t>3</w:t>
            </w:r>
          </w:p>
        </w:tc>
        <w:tc>
          <w:tcPr>
            <w:tcW w:w="2970" w:type="dxa"/>
            <w:noWrap w:val="0"/>
            <w:vAlign w:val="center"/>
          </w:tcPr>
          <w:p>
            <w:pPr>
              <w:adjustRightInd w:val="0"/>
              <w:snapToGrid w:val="0"/>
              <w:spacing w:line="400" w:lineRule="exact"/>
              <w:jc w:val="center"/>
              <w:rPr>
                <w:rFonts w:hint="eastAsia" w:ascii="宋体" w:hAnsi="宋体" w:eastAsia="新宋体" w:cs="Times New Roman"/>
                <w:color w:val="auto"/>
                <w:spacing w:val="-10"/>
                <w:kern w:val="2"/>
                <w:sz w:val="18"/>
                <w:szCs w:val="18"/>
                <w:lang w:val="en-US" w:eastAsia="zh-CN" w:bidi="ar-SA"/>
              </w:rPr>
            </w:pPr>
            <w:r>
              <w:rPr>
                <w:rFonts w:hint="eastAsia" w:ascii="宋体" w:hAnsi="宋体" w:eastAsia="新宋体" w:cs="Times New Roman"/>
                <w:color w:val="auto"/>
                <w:spacing w:val="-10"/>
                <w:sz w:val="18"/>
                <w:szCs w:val="18"/>
              </w:rPr>
              <w:t>四肢多普勒血流图检查</w:t>
            </w:r>
          </w:p>
        </w:tc>
        <w:tc>
          <w:tcPr>
            <w:tcW w:w="4835" w:type="dxa"/>
            <w:noWrap w:val="0"/>
            <w:vAlign w:val="center"/>
          </w:tcPr>
          <w:p>
            <w:pPr>
              <w:tabs>
                <w:tab w:val="left" w:pos="886"/>
              </w:tabs>
              <w:adjustRightInd w:val="0"/>
              <w:snapToGrid w:val="0"/>
              <w:spacing w:line="240" w:lineRule="exact"/>
              <w:rPr>
                <w:rFonts w:hint="eastAsia" w:ascii="宋体" w:hAnsi="宋体" w:eastAsia="新宋体"/>
                <w:color w:val="auto"/>
                <w:spacing w:val="-10"/>
                <w:kern w:val="2"/>
                <w:sz w:val="21"/>
                <w:szCs w:val="18"/>
                <w:lang w:val="en-US" w:eastAsia="zh-CN" w:bidi="ar-SA"/>
              </w:rPr>
            </w:pPr>
            <w:r>
              <w:rPr>
                <w:rFonts w:hint="eastAsia" w:ascii="宋体" w:hAnsi="宋体" w:eastAsia="新宋体"/>
                <w:color w:val="auto"/>
                <w:spacing w:val="-10"/>
                <w:szCs w:val="18"/>
              </w:rPr>
              <w:t>对四肢血管弹性、硬化程度及动脉管腔的阻塞程度进行综合评估。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auto"/>
                <w:sz w:val="24"/>
                <w:lang w:eastAsia="zh-CN"/>
              </w:rPr>
            </w:pPr>
          </w:p>
        </w:tc>
        <w:tc>
          <w:tcPr>
            <w:tcW w:w="625" w:type="dxa"/>
            <w:noWrap w:val="0"/>
            <w:vAlign w:val="center"/>
          </w:tcPr>
          <w:p>
            <w:pPr>
              <w:adjustRightInd w:val="0"/>
              <w:snapToGrid w:val="0"/>
              <w:spacing w:line="400" w:lineRule="exact"/>
              <w:ind w:firstLine="160" w:firstLineChars="100"/>
              <w:rPr>
                <w:rFonts w:hint="default" w:ascii="宋体" w:hAnsi="宋体" w:eastAsia="新宋体"/>
                <w:color w:val="auto"/>
                <w:spacing w:val="-10"/>
                <w:kern w:val="2"/>
                <w:sz w:val="18"/>
                <w:szCs w:val="18"/>
                <w:lang w:val="en-US" w:eastAsia="zh-CN" w:bidi="ar-SA"/>
              </w:rPr>
            </w:pPr>
            <w:r>
              <w:rPr>
                <w:rFonts w:hint="eastAsia" w:ascii="宋体" w:hAnsi="宋体" w:eastAsia="新宋体"/>
                <w:color w:val="auto"/>
                <w:spacing w:val="-10"/>
                <w:kern w:val="2"/>
                <w:sz w:val="18"/>
                <w:szCs w:val="18"/>
                <w:lang w:val="en-US" w:eastAsia="zh-CN" w:bidi="ar-SA"/>
              </w:rPr>
              <w:t>4</w:t>
            </w:r>
          </w:p>
        </w:tc>
        <w:tc>
          <w:tcPr>
            <w:tcW w:w="2970" w:type="dxa"/>
            <w:noWrap w:val="0"/>
            <w:vAlign w:val="center"/>
          </w:tcPr>
          <w:p>
            <w:pPr>
              <w:adjustRightInd w:val="0"/>
              <w:snapToGrid w:val="0"/>
              <w:spacing w:line="400" w:lineRule="exact"/>
              <w:jc w:val="center"/>
              <w:rPr>
                <w:rFonts w:hint="eastAsia" w:ascii="宋体" w:hAnsi="宋体" w:eastAsia="新宋体" w:cs="Times New Roman"/>
                <w:color w:val="auto"/>
                <w:spacing w:val="-10"/>
                <w:sz w:val="18"/>
                <w:szCs w:val="18"/>
                <w:lang w:val="en-US" w:eastAsia="zh-CN"/>
              </w:rPr>
            </w:pPr>
            <w:r>
              <w:rPr>
                <w:rFonts w:hint="eastAsia" w:ascii="宋体" w:hAnsi="宋体" w:eastAsia="新宋体" w:cs="Times New Roman"/>
                <w:color w:val="auto"/>
                <w:spacing w:val="-10"/>
                <w:sz w:val="18"/>
                <w:szCs w:val="18"/>
                <w:lang w:val="en-US" w:eastAsia="zh-CN"/>
              </w:rPr>
              <w:t>颅内段血管彩色多普勒超声</w:t>
            </w:r>
          </w:p>
        </w:tc>
        <w:tc>
          <w:tcPr>
            <w:tcW w:w="4835" w:type="dxa"/>
            <w:noWrap w:val="0"/>
            <w:vAlign w:val="center"/>
          </w:tcPr>
          <w:p>
            <w:pPr>
              <w:adjustRightInd w:val="0"/>
              <w:snapToGrid w:val="0"/>
              <w:spacing w:line="400" w:lineRule="exact"/>
              <w:jc w:val="center"/>
              <w:rPr>
                <w:rFonts w:hint="eastAsia" w:ascii="宋体" w:hAnsi="宋体" w:eastAsia="新宋体" w:cs="Times New Roman"/>
                <w:color w:val="auto"/>
                <w:spacing w:val="-10"/>
                <w:sz w:val="18"/>
                <w:szCs w:val="18"/>
                <w:lang w:val="en-US" w:eastAsia="zh-CN"/>
              </w:rPr>
            </w:pPr>
            <w:r>
              <w:rPr>
                <w:rFonts w:hint="eastAsia" w:ascii="宋体" w:hAnsi="宋体" w:eastAsia="新宋体" w:cs="Times New Roman"/>
                <w:color w:val="auto"/>
                <w:spacing w:val="-10"/>
                <w:sz w:val="18"/>
                <w:szCs w:val="18"/>
                <w:lang w:val="en-US" w:eastAsia="zh-CN"/>
              </w:rPr>
              <w:t>通过检测颈动脉血流流速、血管弹性及血管阻力，评估脑血管功能，进行脑卒中风险筛查。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restart"/>
            <w:noWrap w:val="0"/>
            <w:vAlign w:val="center"/>
          </w:tcPr>
          <w:p>
            <w:pPr>
              <w:widowControl/>
              <w:snapToGrid w:val="0"/>
              <w:spacing w:line="360" w:lineRule="exact"/>
              <w:jc w:val="both"/>
              <w:rPr>
                <w:rFonts w:hint="eastAsia" w:ascii="宋体" w:hAnsi="宋体" w:eastAsia="新宋体"/>
                <w:spacing w:val="-10"/>
                <w:kern w:val="2"/>
                <w:sz w:val="21"/>
                <w:szCs w:val="18"/>
                <w:lang w:val="en-US" w:eastAsia="zh-CN" w:bidi="ar-SA"/>
              </w:rPr>
            </w:pPr>
            <w:r>
              <w:rPr>
                <w:rFonts w:hint="eastAsia" w:ascii="宋体" w:hAnsi="宋体" w:eastAsia="新宋体"/>
                <w:spacing w:val="-10"/>
                <w:szCs w:val="18"/>
                <w:lang w:eastAsia="zh-CN"/>
              </w:rPr>
              <w:t>肿瘤血液筛查</w:t>
            </w: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1</w:t>
            </w:r>
          </w:p>
        </w:tc>
        <w:tc>
          <w:tcPr>
            <w:tcW w:w="2970" w:type="dxa"/>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癌胚抗原(CEA)</w:t>
            </w:r>
            <w:r>
              <w:rPr>
                <w:rFonts w:hint="eastAsia" w:ascii="宋体" w:hAnsi="宋体" w:eastAsia="新宋体"/>
                <w:spacing w:val="-10"/>
                <w:sz w:val="18"/>
                <w:szCs w:val="18"/>
                <w:lang w:eastAsia="zh-CN"/>
              </w:rPr>
              <w:t>（女）</w:t>
            </w:r>
          </w:p>
        </w:tc>
        <w:tc>
          <w:tcPr>
            <w:tcW w:w="4835" w:type="dxa"/>
            <w:noWrap w:val="0"/>
            <w:vAlign w:val="center"/>
          </w:tcPr>
          <w:p>
            <w:pPr>
              <w:adjustRightInd w:val="0"/>
              <w:snapToGrid w:val="0"/>
              <w:spacing w:line="400" w:lineRule="exact"/>
              <w:rPr>
                <w:rFonts w:hint="eastAsia" w:ascii="宋体" w:hAnsi="宋体" w:eastAsia="新宋体"/>
                <w:spacing w:val="-10"/>
                <w:szCs w:val="18"/>
                <w:lang w:val="en-US" w:eastAsia="zh-CN"/>
              </w:rPr>
            </w:pPr>
            <w:r>
              <w:rPr>
                <w:rFonts w:hint="eastAsia" w:ascii="宋体" w:hAnsi="宋体" w:eastAsia="新宋体"/>
                <w:spacing w:val="-10"/>
                <w:szCs w:val="18"/>
              </w:rPr>
              <w:t>消化系统肿瘤筛查，早期预警或辅助诊断。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000000"/>
                <w:sz w:val="24"/>
                <w:lang w:eastAsia="zh-CN"/>
              </w:rPr>
            </w:pP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2</w:t>
            </w:r>
          </w:p>
        </w:tc>
        <w:tc>
          <w:tcPr>
            <w:tcW w:w="2970" w:type="dxa"/>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糖类抗原(CA 125)</w:t>
            </w:r>
            <w:r>
              <w:rPr>
                <w:rFonts w:hint="eastAsia" w:ascii="宋体" w:hAnsi="宋体" w:eastAsia="新宋体"/>
                <w:spacing w:val="-10"/>
                <w:sz w:val="18"/>
                <w:szCs w:val="18"/>
                <w:lang w:eastAsia="zh-CN"/>
              </w:rPr>
              <w:t>（女）</w:t>
            </w:r>
          </w:p>
        </w:tc>
        <w:tc>
          <w:tcPr>
            <w:tcW w:w="4835" w:type="dxa"/>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卵巢肿瘤筛查，早期预警或辅助诊断。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000000"/>
                <w:sz w:val="24"/>
                <w:lang w:eastAsia="zh-CN"/>
              </w:rPr>
            </w:pPr>
          </w:p>
        </w:tc>
        <w:tc>
          <w:tcPr>
            <w:tcW w:w="625" w:type="dxa"/>
            <w:noWrap w:val="0"/>
            <w:vAlign w:val="center"/>
          </w:tcPr>
          <w:p>
            <w:pPr>
              <w:adjustRightInd w:val="0"/>
              <w:snapToGrid w:val="0"/>
              <w:spacing w:line="400" w:lineRule="exact"/>
              <w:ind w:firstLine="160" w:firstLineChars="100"/>
              <w:rPr>
                <w:rFonts w:hint="default"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3</w:t>
            </w:r>
          </w:p>
        </w:tc>
        <w:tc>
          <w:tcPr>
            <w:tcW w:w="2970" w:type="dxa"/>
            <w:noWrap w:val="0"/>
            <w:vAlign w:val="center"/>
          </w:tcPr>
          <w:p>
            <w:pPr>
              <w:adjustRightInd w:val="0"/>
              <w:snapToGrid w:val="0"/>
              <w:spacing w:line="400" w:lineRule="exact"/>
              <w:jc w:val="center"/>
              <w:rPr>
                <w:rFonts w:hint="eastAsia" w:ascii="宋体" w:hAnsi="宋体" w:eastAsia="新宋体" w:cs="Times New Roman"/>
                <w:spacing w:val="-10"/>
                <w:sz w:val="18"/>
                <w:szCs w:val="18"/>
                <w:lang w:val="en-US" w:eastAsia="zh-CN"/>
              </w:rPr>
            </w:pPr>
            <w:r>
              <w:rPr>
                <w:rFonts w:hint="eastAsia" w:ascii="宋体" w:hAnsi="宋体" w:eastAsia="新宋体" w:cs="Times New Roman"/>
                <w:spacing w:val="-10"/>
                <w:sz w:val="18"/>
                <w:szCs w:val="18"/>
                <w:lang w:val="en-US" w:eastAsia="zh-CN"/>
              </w:rPr>
              <w:t>甲胎蛋白(AFP)（已婚女）</w:t>
            </w:r>
          </w:p>
        </w:tc>
        <w:tc>
          <w:tcPr>
            <w:tcW w:w="4835" w:type="dxa"/>
            <w:noWrap w:val="0"/>
            <w:vAlign w:val="center"/>
          </w:tcPr>
          <w:p>
            <w:pPr>
              <w:adjustRightInd w:val="0"/>
              <w:snapToGrid w:val="0"/>
              <w:spacing w:line="400" w:lineRule="exact"/>
              <w:jc w:val="center"/>
              <w:rPr>
                <w:rFonts w:hint="eastAsia" w:ascii="宋体" w:hAnsi="宋体" w:eastAsia="新宋体" w:cs="Times New Roman"/>
                <w:spacing w:val="-10"/>
                <w:sz w:val="18"/>
                <w:szCs w:val="18"/>
                <w:lang w:val="en-US" w:eastAsia="zh-CN"/>
              </w:rPr>
            </w:pPr>
            <w:r>
              <w:rPr>
                <w:rFonts w:hint="eastAsia" w:ascii="宋体" w:hAnsi="宋体" w:eastAsia="新宋体" w:cs="Times New Roman"/>
                <w:spacing w:val="-10"/>
                <w:sz w:val="18"/>
                <w:szCs w:val="18"/>
                <w:lang w:val="en-US" w:eastAsia="zh-CN"/>
              </w:rPr>
              <w:t>原发性肝癌筛查。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000000"/>
                <w:sz w:val="24"/>
                <w:lang w:eastAsia="zh-CN"/>
              </w:rPr>
            </w:pP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4</w:t>
            </w:r>
          </w:p>
        </w:tc>
        <w:tc>
          <w:tcPr>
            <w:tcW w:w="2970" w:type="dxa"/>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糖类抗原(CA 153）</w:t>
            </w:r>
            <w:r>
              <w:rPr>
                <w:rFonts w:hint="eastAsia" w:ascii="宋体" w:hAnsi="宋体" w:eastAsia="新宋体"/>
                <w:spacing w:val="-10"/>
                <w:sz w:val="18"/>
                <w:szCs w:val="18"/>
                <w:lang w:eastAsia="zh-CN"/>
              </w:rPr>
              <w:t>（已婚女）</w:t>
            </w:r>
          </w:p>
        </w:tc>
        <w:tc>
          <w:tcPr>
            <w:tcW w:w="4835" w:type="dxa"/>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乳腺癌的筛查，早期预警或辅助诊断。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000000"/>
                <w:sz w:val="24"/>
                <w:lang w:eastAsia="zh-CN"/>
              </w:rPr>
            </w:pP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5</w:t>
            </w:r>
          </w:p>
        </w:tc>
        <w:tc>
          <w:tcPr>
            <w:tcW w:w="2970" w:type="dxa"/>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糖类抗原(CA 199）</w:t>
            </w:r>
          </w:p>
        </w:tc>
        <w:tc>
          <w:tcPr>
            <w:tcW w:w="4835" w:type="dxa"/>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胰腺癌，胃、结直肠癌的筛查，早期预警或辅助诊断。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noWrap w:val="0"/>
            <w:vAlign w:val="center"/>
          </w:tcPr>
          <w:p>
            <w:pPr>
              <w:widowControl/>
              <w:snapToGrid w:val="0"/>
              <w:spacing w:line="360" w:lineRule="exact"/>
              <w:jc w:val="both"/>
              <w:rPr>
                <w:rFonts w:hint="eastAsia" w:ascii="宋体" w:hAnsi="宋体" w:eastAsia="宋体"/>
                <w:b w:val="0"/>
                <w:bCs w:val="0"/>
                <w:color w:val="auto"/>
                <w:kern w:val="2"/>
                <w:sz w:val="21"/>
                <w:szCs w:val="21"/>
                <w:lang w:val="en-US" w:eastAsia="zh-CN" w:bidi="ar-SA"/>
              </w:rPr>
            </w:pPr>
            <w:r>
              <w:rPr>
                <w:rFonts w:hint="eastAsia" w:ascii="宋体" w:hAnsi="宋体"/>
                <w:b w:val="0"/>
                <w:bCs w:val="0"/>
                <w:color w:val="auto"/>
                <w:szCs w:val="21"/>
                <w:lang w:eastAsia="zh-CN"/>
              </w:rPr>
              <w:t>妇科检查</w:t>
            </w: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lang w:val="en-US" w:eastAsia="zh-CN"/>
              </w:rPr>
              <w:t>1</w:t>
            </w:r>
          </w:p>
        </w:tc>
        <w:tc>
          <w:tcPr>
            <w:tcW w:w="2970" w:type="dxa"/>
            <w:noWrap w:val="0"/>
            <w:vAlign w:val="center"/>
          </w:tcPr>
          <w:p>
            <w:pPr>
              <w:adjustRightInd w:val="0"/>
              <w:snapToGrid w:val="0"/>
              <w:spacing w:line="240" w:lineRule="exact"/>
              <w:jc w:val="left"/>
              <w:rPr>
                <w:rFonts w:hint="eastAsia" w:ascii="宋体" w:hAnsi="宋体" w:eastAsia="新宋体"/>
                <w:spacing w:val="-10"/>
                <w:kern w:val="2"/>
                <w:sz w:val="21"/>
                <w:szCs w:val="18"/>
                <w:lang w:val="en-US" w:eastAsia="zh-CN" w:bidi="ar-SA"/>
              </w:rPr>
            </w:pPr>
            <w:r>
              <w:rPr>
                <w:rFonts w:hint="eastAsia" w:ascii="宋体" w:hAnsi="宋体" w:eastAsia="新宋体"/>
                <w:spacing w:val="-10"/>
                <w:sz w:val="18"/>
                <w:szCs w:val="18"/>
              </w:rPr>
              <w:t>人乳头瘤状病毒DNA(妇科HPV)</w:t>
            </w:r>
            <w:r>
              <w:rPr>
                <w:rFonts w:hint="eastAsia" w:ascii="宋体" w:hAnsi="宋体" w:eastAsia="新宋体"/>
                <w:spacing w:val="-10"/>
                <w:sz w:val="18"/>
                <w:szCs w:val="18"/>
                <w:lang w:eastAsia="zh-CN"/>
              </w:rPr>
              <w:t>（已婚女）</w:t>
            </w:r>
          </w:p>
        </w:tc>
        <w:tc>
          <w:tcPr>
            <w:tcW w:w="4835" w:type="dxa"/>
            <w:noWrap w:val="0"/>
            <w:vAlign w:val="center"/>
          </w:tcPr>
          <w:p>
            <w:pPr>
              <w:adjustRightInd w:val="0"/>
              <w:snapToGrid w:val="0"/>
              <w:spacing w:line="24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确定有无人乳头状瘤病毒感染及类型。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1080" w:type="dxa"/>
            <w:noWrap w:val="0"/>
            <w:vAlign w:val="center"/>
          </w:tcPr>
          <w:p>
            <w:pPr>
              <w:jc w:val="center"/>
              <w:rPr>
                <w:rFonts w:hint="eastAsia" w:ascii="宋体" w:hAnsi="宋体"/>
                <w:b/>
                <w:sz w:val="24"/>
              </w:rPr>
            </w:pPr>
            <w:r>
              <w:rPr>
                <w:rFonts w:hint="eastAsia" w:ascii="宋体" w:hAnsi="宋体"/>
                <w:b/>
                <w:sz w:val="24"/>
              </w:rPr>
              <w:t>体</w:t>
            </w:r>
          </w:p>
          <w:p>
            <w:pPr>
              <w:jc w:val="center"/>
              <w:rPr>
                <w:rFonts w:hint="eastAsia" w:ascii="宋体" w:hAnsi="宋体"/>
                <w:b/>
                <w:sz w:val="24"/>
              </w:rPr>
            </w:pPr>
            <w:r>
              <w:rPr>
                <w:rFonts w:hint="eastAsia" w:ascii="宋体" w:hAnsi="宋体"/>
                <w:b/>
                <w:sz w:val="24"/>
              </w:rPr>
              <w:t>检</w:t>
            </w:r>
          </w:p>
          <w:p>
            <w:pPr>
              <w:jc w:val="center"/>
              <w:rPr>
                <w:rFonts w:hint="eastAsia" w:ascii="宋体" w:hAnsi="宋体"/>
                <w:b/>
                <w:sz w:val="24"/>
                <w:lang w:eastAsia="zh-CN"/>
              </w:rPr>
            </w:pPr>
            <w:r>
              <w:rPr>
                <w:rFonts w:hint="eastAsia" w:ascii="宋体" w:hAnsi="宋体"/>
                <w:b/>
                <w:sz w:val="24"/>
                <w:lang w:eastAsia="zh-CN"/>
              </w:rPr>
              <w:t>特</w:t>
            </w:r>
          </w:p>
          <w:p>
            <w:pPr>
              <w:jc w:val="center"/>
              <w:rPr>
                <w:rFonts w:hint="eastAsia" w:ascii="宋体" w:hAnsi="宋体" w:eastAsia="宋体"/>
                <w:b/>
                <w:sz w:val="24"/>
                <w:lang w:eastAsia="zh-CN"/>
              </w:rPr>
            </w:pPr>
            <w:r>
              <w:rPr>
                <w:rFonts w:hint="eastAsia" w:ascii="宋体" w:hAnsi="宋体"/>
                <w:b/>
                <w:sz w:val="24"/>
                <w:lang w:eastAsia="zh-CN"/>
              </w:rPr>
              <w:t>色</w:t>
            </w:r>
          </w:p>
          <w:p>
            <w:pPr>
              <w:jc w:val="center"/>
              <w:rPr>
                <w:rFonts w:hint="eastAsia" w:ascii="宋体" w:hAnsi="宋体"/>
                <w:b/>
                <w:sz w:val="24"/>
              </w:rPr>
            </w:pPr>
            <w:r>
              <w:rPr>
                <w:rFonts w:hint="eastAsia" w:ascii="宋体" w:hAnsi="宋体"/>
                <w:b/>
                <w:sz w:val="24"/>
              </w:rPr>
              <w:t>服</w:t>
            </w:r>
          </w:p>
          <w:p>
            <w:pPr>
              <w:autoSpaceDN w:val="0"/>
              <w:snapToGrid w:val="0"/>
              <w:spacing w:line="360" w:lineRule="exact"/>
              <w:jc w:val="center"/>
              <w:textAlignment w:val="center"/>
              <w:rPr>
                <w:rFonts w:hint="eastAsia" w:ascii="宋体" w:hAnsi="宋体"/>
                <w:b/>
                <w:szCs w:val="21"/>
              </w:rPr>
            </w:pPr>
            <w:r>
              <w:rPr>
                <w:rFonts w:hint="eastAsia" w:ascii="宋体" w:hAnsi="宋体"/>
                <w:b/>
                <w:sz w:val="24"/>
              </w:rPr>
              <w:t>务</w:t>
            </w:r>
          </w:p>
        </w:tc>
        <w:tc>
          <w:tcPr>
            <w:tcW w:w="8430" w:type="dxa"/>
            <w:gridSpan w:val="3"/>
            <w:noWrap w:val="0"/>
            <w:vAlign w:val="center"/>
          </w:tcPr>
          <w:p>
            <w:pPr>
              <w:spacing w:line="360" w:lineRule="auto"/>
              <w:rPr>
                <w:rFonts w:ascii="宋体" w:hAnsi="宋体"/>
                <w:sz w:val="24"/>
              </w:rPr>
            </w:pPr>
            <w:r>
              <w:rPr>
                <w:rFonts w:hint="eastAsia" w:ascii="宋体" w:hAnsi="宋体"/>
                <w:sz w:val="24"/>
              </w:rPr>
              <w:t>1、提供免费营养早餐；</w:t>
            </w:r>
          </w:p>
          <w:p>
            <w:pPr>
              <w:spacing w:line="360" w:lineRule="auto"/>
              <w:rPr>
                <w:rFonts w:hint="eastAsia" w:ascii="宋体" w:hAnsi="宋体"/>
                <w:sz w:val="24"/>
              </w:rPr>
            </w:pPr>
            <w:r>
              <w:rPr>
                <w:rFonts w:hint="eastAsia" w:ascii="宋体" w:hAnsi="宋体"/>
                <w:sz w:val="24"/>
              </w:rPr>
              <w:t>2、建立健康档案，并向单位提供电子版体检信息；</w:t>
            </w:r>
          </w:p>
          <w:p>
            <w:pPr>
              <w:spacing w:line="360" w:lineRule="auto"/>
              <w:rPr>
                <w:rFonts w:hint="eastAsia" w:ascii="宋体" w:hAnsi="宋体"/>
                <w:sz w:val="24"/>
              </w:rPr>
            </w:pPr>
            <w:r>
              <w:rPr>
                <w:rFonts w:hint="eastAsia" w:ascii="宋体" w:hAnsi="宋体"/>
                <w:sz w:val="24"/>
              </w:rPr>
              <w:t>3、实施体检后24-48小时重大疾病通报制度；</w:t>
            </w:r>
          </w:p>
          <w:p>
            <w:pPr>
              <w:spacing w:line="360" w:lineRule="auto"/>
              <w:rPr>
                <w:rFonts w:hint="eastAsia" w:ascii="宋体" w:hAnsi="宋体"/>
                <w:sz w:val="24"/>
              </w:rPr>
            </w:pPr>
            <w:r>
              <w:rPr>
                <w:rFonts w:hint="eastAsia" w:ascii="宋体" w:hAnsi="宋体"/>
                <w:sz w:val="24"/>
              </w:rPr>
              <w:t>4、开通就诊绿色通道，为检出患者预约挂号就诊；</w:t>
            </w:r>
          </w:p>
          <w:p>
            <w:pPr>
              <w:autoSpaceDN w:val="0"/>
              <w:snapToGrid w:val="0"/>
              <w:spacing w:line="360" w:lineRule="auto"/>
              <w:textAlignment w:val="bottom"/>
              <w:rPr>
                <w:rFonts w:hint="eastAsia" w:ascii="宋体" w:hAnsi="宋体"/>
                <w:sz w:val="24"/>
              </w:rPr>
            </w:pPr>
            <w:r>
              <w:rPr>
                <w:rFonts w:hint="eastAsia" w:ascii="宋体" w:hAnsi="宋体"/>
                <w:sz w:val="24"/>
              </w:rPr>
              <w:t>5、提供免费检后咨询及健康教育服务，针对团体体检的高发疾病、常见疾病开展健康讲座。</w:t>
            </w:r>
          </w:p>
        </w:tc>
      </w:tr>
    </w:tbl>
    <w:p>
      <w:pPr>
        <w:widowControl/>
        <w:snapToGrid w:val="0"/>
        <w:spacing w:line="216" w:lineRule="auto"/>
        <w:ind w:firstLine="1687" w:firstLineChars="600"/>
        <w:textAlignment w:val="baseline"/>
        <w:rPr>
          <w:rFonts w:hint="eastAsia" w:eastAsia="宋体"/>
          <w:b/>
          <w:sz w:val="28"/>
          <w:lang w:val="en-US" w:eastAsia="zh-CN"/>
        </w:rPr>
      </w:pPr>
      <w:r>
        <w:rPr>
          <w:rFonts w:hint="eastAsia"/>
          <w:b/>
          <w:sz w:val="28"/>
          <w:lang w:val="en-US" w:eastAsia="zh-CN"/>
        </w:rPr>
        <w:t xml:space="preserve"> 2025年度</w:t>
      </w:r>
      <w:r>
        <w:rPr>
          <w:rFonts w:hint="eastAsia"/>
          <w:b/>
          <w:sz w:val="28"/>
          <w:lang w:eastAsia="zh-CN"/>
        </w:rPr>
        <w:t>高新区(新市区)</w:t>
      </w:r>
      <w:r>
        <w:rPr>
          <w:rFonts w:hint="eastAsia"/>
          <w:b/>
          <w:sz w:val="28"/>
          <w:lang w:val="en-US" w:eastAsia="zh-CN"/>
        </w:rPr>
        <w:t>)政府干部职工</w:t>
      </w:r>
      <w:r>
        <w:rPr>
          <w:rFonts w:hint="eastAsia"/>
          <w:b/>
          <w:sz w:val="28"/>
        </w:rPr>
        <w:t>体检计划</w:t>
      </w:r>
      <w:r>
        <w:rPr>
          <w:rFonts w:hint="eastAsia"/>
          <w:b/>
          <w:sz w:val="28"/>
          <w:lang w:val="en-US" w:eastAsia="zh-CN"/>
        </w:rPr>
        <w:t>B</w:t>
      </w:r>
    </w:p>
    <w:tbl>
      <w:tblPr>
        <w:tblStyle w:val="47"/>
        <w:tblpPr w:leftFromText="180" w:rightFromText="180" w:vertAnchor="text" w:horzAnchor="page" w:tblpX="973" w:tblpY="91"/>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25"/>
        <w:gridCol w:w="2970"/>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80" w:type="dxa"/>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项目分类</w:t>
            </w:r>
          </w:p>
        </w:tc>
        <w:tc>
          <w:tcPr>
            <w:tcW w:w="3595" w:type="dxa"/>
            <w:gridSpan w:val="2"/>
            <w:noWrap w:val="0"/>
            <w:vAlign w:val="center"/>
          </w:tcPr>
          <w:p>
            <w:pPr>
              <w:autoSpaceDN w:val="0"/>
              <w:snapToGrid w:val="0"/>
              <w:spacing w:line="300" w:lineRule="exact"/>
              <w:ind w:left="-334" w:leftChars="-159"/>
              <w:jc w:val="center"/>
              <w:textAlignment w:val="bottom"/>
              <w:rPr>
                <w:rFonts w:hint="eastAsia" w:ascii="宋体" w:hAnsi="宋体"/>
                <w:b/>
                <w:snapToGrid w:val="0"/>
                <w:color w:val="000000"/>
                <w:szCs w:val="21"/>
              </w:rPr>
            </w:pPr>
            <w:r>
              <w:rPr>
                <w:rFonts w:hint="eastAsia" w:ascii="宋体" w:hAnsi="宋体"/>
                <w:b/>
                <w:snapToGrid w:val="0"/>
                <w:color w:val="000000"/>
                <w:szCs w:val="21"/>
              </w:rPr>
              <w:t>检查项目</w:t>
            </w:r>
          </w:p>
        </w:tc>
        <w:tc>
          <w:tcPr>
            <w:tcW w:w="4830" w:type="dxa"/>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项目含义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80" w:type="dxa"/>
            <w:vMerge w:val="restart"/>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一般检查</w:t>
            </w:r>
          </w:p>
        </w:tc>
        <w:tc>
          <w:tcPr>
            <w:tcW w:w="3595" w:type="dxa"/>
            <w:gridSpan w:val="2"/>
            <w:noWrap w:val="0"/>
            <w:vAlign w:val="center"/>
          </w:tcPr>
          <w:p>
            <w:pPr>
              <w:autoSpaceDN w:val="0"/>
              <w:snapToGrid w:val="0"/>
              <w:spacing w:line="300" w:lineRule="exact"/>
              <w:jc w:val="center"/>
              <w:textAlignment w:val="bottom"/>
              <w:rPr>
                <w:rFonts w:hint="eastAsia" w:ascii="宋体" w:hAnsi="宋体"/>
                <w:color w:val="000000"/>
                <w:szCs w:val="21"/>
              </w:rPr>
            </w:pPr>
            <w:r>
              <w:rPr>
                <w:rFonts w:hint="eastAsia" w:ascii="宋体" w:hAnsi="宋体"/>
                <w:color w:val="000000"/>
                <w:szCs w:val="21"/>
              </w:rPr>
              <w:t>身高、体重、血压、</w:t>
            </w:r>
          </w:p>
          <w:p>
            <w:pPr>
              <w:autoSpaceDN w:val="0"/>
              <w:snapToGrid w:val="0"/>
              <w:spacing w:line="300" w:lineRule="exact"/>
              <w:ind w:firstLine="735" w:firstLineChars="350"/>
              <w:textAlignment w:val="bottom"/>
              <w:rPr>
                <w:rFonts w:hint="eastAsia" w:ascii="宋体" w:hAnsi="宋体"/>
                <w:snapToGrid w:val="0"/>
                <w:color w:val="000000"/>
                <w:szCs w:val="21"/>
              </w:rPr>
            </w:pPr>
            <w:r>
              <w:rPr>
                <w:rFonts w:hint="eastAsia" w:ascii="宋体" w:hAnsi="宋体"/>
                <w:color w:val="000000"/>
                <w:szCs w:val="21"/>
              </w:rPr>
              <w:t>体重指数、臀围、</w:t>
            </w:r>
            <w:r>
              <w:rPr>
                <w:rFonts w:hint="eastAsia" w:ascii="宋体" w:hAnsi="宋体"/>
                <w:color w:val="000000"/>
                <w:szCs w:val="21"/>
                <w:lang w:eastAsia="zh-CN"/>
              </w:rPr>
              <w:t>腰</w:t>
            </w:r>
            <w:r>
              <w:rPr>
                <w:rFonts w:hint="eastAsia" w:ascii="宋体" w:hAnsi="宋体"/>
                <w:color w:val="000000"/>
                <w:szCs w:val="21"/>
              </w:rPr>
              <w:t>围</w:t>
            </w:r>
          </w:p>
        </w:tc>
        <w:tc>
          <w:tcPr>
            <w:tcW w:w="4830" w:type="dxa"/>
            <w:noWrap w:val="0"/>
            <w:vAlign w:val="center"/>
          </w:tcPr>
          <w:p>
            <w:pPr>
              <w:autoSpaceDN w:val="0"/>
              <w:snapToGrid w:val="0"/>
              <w:spacing w:line="300" w:lineRule="exact"/>
              <w:textAlignment w:val="bottom"/>
              <w:rPr>
                <w:rFonts w:hint="eastAsia" w:ascii="宋体" w:hAnsi="宋体"/>
                <w:b/>
                <w:snapToGrid w:val="0"/>
                <w:color w:val="000000"/>
                <w:szCs w:val="21"/>
              </w:rPr>
            </w:pPr>
            <w:r>
              <w:rPr>
                <w:rFonts w:hint="eastAsia" w:ascii="宋体" w:hAnsi="宋体"/>
                <w:color w:val="000000"/>
                <w:sz w:val="22"/>
                <w:szCs w:val="22"/>
              </w:rPr>
              <w:t>了解身高、体重、血压、</w:t>
            </w:r>
            <w:r>
              <w:rPr>
                <w:rFonts w:hint="eastAsia" w:ascii="宋体" w:hAnsi="宋体"/>
                <w:color w:val="000000"/>
                <w:szCs w:val="21"/>
              </w:rPr>
              <w:t>臀围、</w:t>
            </w:r>
            <w:r>
              <w:rPr>
                <w:rFonts w:hint="eastAsia" w:ascii="宋体" w:hAnsi="宋体"/>
                <w:color w:val="000000"/>
                <w:sz w:val="22"/>
                <w:szCs w:val="22"/>
              </w:rPr>
              <w:t>腹围等基本情况以及是否有体重超标等。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0" w:type="dxa"/>
            <w:vMerge w:val="continue"/>
            <w:noWrap w:val="0"/>
            <w:vAlign w:val="center"/>
          </w:tcPr>
          <w:p>
            <w:pPr>
              <w:autoSpaceDN w:val="0"/>
              <w:snapToGrid w:val="0"/>
              <w:spacing w:line="300" w:lineRule="exact"/>
              <w:jc w:val="center"/>
              <w:textAlignment w:val="bottom"/>
              <w:rPr>
                <w:rFonts w:hint="eastAsia" w:ascii="宋体" w:hAnsi="宋体"/>
                <w:b/>
                <w:szCs w:val="21"/>
              </w:rPr>
            </w:pPr>
          </w:p>
        </w:tc>
        <w:tc>
          <w:tcPr>
            <w:tcW w:w="3595" w:type="dxa"/>
            <w:gridSpan w:val="2"/>
            <w:noWrap w:val="0"/>
            <w:vAlign w:val="center"/>
          </w:tcPr>
          <w:p>
            <w:pPr>
              <w:autoSpaceDN w:val="0"/>
              <w:snapToGrid w:val="0"/>
              <w:spacing w:line="300" w:lineRule="exact"/>
              <w:jc w:val="center"/>
              <w:textAlignment w:val="bottom"/>
              <w:rPr>
                <w:rFonts w:hint="eastAsia" w:ascii="宋体" w:hAnsi="宋体"/>
                <w:color w:val="000000"/>
                <w:szCs w:val="21"/>
              </w:rPr>
            </w:pPr>
            <w:r>
              <w:rPr>
                <w:rFonts w:hint="eastAsia" w:ascii="宋体" w:hAnsi="宋体"/>
                <w:color w:val="000000"/>
                <w:szCs w:val="21"/>
              </w:rPr>
              <w:t>体检问卷</w:t>
            </w:r>
          </w:p>
        </w:tc>
        <w:tc>
          <w:tcPr>
            <w:tcW w:w="4830" w:type="dxa"/>
            <w:noWrap w:val="0"/>
            <w:vAlign w:val="center"/>
          </w:tcPr>
          <w:p>
            <w:pPr>
              <w:spacing w:line="240" w:lineRule="atLeast"/>
              <w:rPr>
                <w:rFonts w:hint="eastAsia" w:ascii="宋体" w:hAnsi="宋体"/>
                <w:b/>
                <w:color w:val="000000"/>
                <w:sz w:val="24"/>
              </w:rPr>
            </w:pPr>
            <w:r>
              <w:rPr>
                <w:rFonts w:hint="eastAsia" w:ascii="宋体" w:hAnsi="宋体"/>
                <w:snapToGrid w:val="0"/>
                <w:color w:val="000000"/>
                <w:szCs w:val="21"/>
              </w:rPr>
              <w:t>了解生活方式、个人史、家族史、健康体检史等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restart"/>
            <w:noWrap w:val="0"/>
            <w:vAlign w:val="center"/>
          </w:tcPr>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血</w:t>
            </w:r>
          </w:p>
          <w:p>
            <w:pPr>
              <w:autoSpaceDN w:val="0"/>
              <w:snapToGrid w:val="0"/>
              <w:spacing w:line="300" w:lineRule="exact"/>
              <w:jc w:val="center"/>
              <w:textAlignment w:val="center"/>
              <w:rPr>
                <w:rFonts w:hint="eastAsia" w:ascii="宋体" w:hAnsi="宋体" w:eastAsia="宋体"/>
                <w:b/>
                <w:color w:val="000000"/>
                <w:szCs w:val="21"/>
                <w:lang w:eastAsia="zh-CN"/>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常</w:t>
            </w:r>
          </w:p>
          <w:p>
            <w:pPr>
              <w:autoSpaceDN w:val="0"/>
              <w:snapToGrid w:val="0"/>
              <w:spacing w:line="300" w:lineRule="exact"/>
              <w:jc w:val="center"/>
              <w:textAlignment w:val="center"/>
              <w:rPr>
                <w:rFonts w:hint="eastAsia" w:ascii="宋体" w:hAnsi="宋体" w:eastAsia="宋体"/>
                <w:b/>
                <w:color w:val="000000"/>
                <w:szCs w:val="21"/>
                <w:lang w:eastAsia="zh-CN"/>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规</w:t>
            </w:r>
          </w:p>
          <w:p>
            <w:pPr>
              <w:autoSpaceDN w:val="0"/>
              <w:snapToGrid w:val="0"/>
              <w:spacing w:line="30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白细胞（WBC）</w:t>
            </w:r>
          </w:p>
        </w:tc>
        <w:tc>
          <w:tcPr>
            <w:tcW w:w="4830" w:type="dxa"/>
            <w:vMerge w:val="restart"/>
            <w:noWrap w:val="0"/>
            <w:vAlign w:val="center"/>
          </w:tcPr>
          <w:p>
            <w:pPr>
              <w:autoSpaceDN w:val="0"/>
              <w:snapToGrid w:val="0"/>
              <w:spacing w:line="300" w:lineRule="auto"/>
              <w:textAlignment w:val="bottom"/>
              <w:rPr>
                <w:rFonts w:hint="eastAsia" w:ascii="宋体" w:hAnsi="宋体"/>
                <w:color w:val="000000"/>
                <w:szCs w:val="21"/>
              </w:rPr>
            </w:pPr>
            <w:r>
              <w:rPr>
                <w:rFonts w:hint="eastAsia" w:ascii="宋体" w:hAnsi="宋体"/>
                <w:szCs w:val="21"/>
              </w:rPr>
              <w:t>了解病毒或细菌感染，如面色苍白或皮下出血点应及时查一次，以便及早发现血液系统疾病（白血病、贫血、溶血、败血症及凝血功能）。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中性粒细胞百分比（NE%）</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淋巴细胞百分比（LY%）</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单核细胞百分比（MO%）</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嗜酸性细胞百分比（EO%）</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嗜碱性细胞百分比（BA%）</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7</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中性粒细胞计数(NE#)</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8</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淋巴细胞计数(LY#)</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9</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单核细胞计数(MO#)</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10</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嗜酸性细胞技术(EO#)</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嗜碱性细胞计数(BA#)</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有核红细胞百分比(NRBC%)</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有核红细胞计数(NRBC#)</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红细胞计数(RBC)</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血红蛋白(HGB)</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红细胞压积(HCT)</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17</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平均红细胞体积(MCV)</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18</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平均血红蛋白(MCH)</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19</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平均血红蛋白浓度(MCHC)</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20</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红细胞分布宽度(RDW)</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血小板计数(PLT)</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血小板平均体积(MPV)</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血小板压积(PCT)</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血小板平均分布宽度(PDW)</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restart"/>
            <w:noWrap w:val="0"/>
            <w:vAlign w:val="center"/>
          </w:tcPr>
          <w:p>
            <w:pPr>
              <w:snapToGrid w:val="0"/>
              <w:spacing w:line="300" w:lineRule="exact"/>
              <w:jc w:val="center"/>
              <w:rPr>
                <w:rFonts w:hint="eastAsia" w:ascii="宋体" w:hAnsi="宋体"/>
                <w:b/>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尿</w:t>
            </w: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常</w:t>
            </w:r>
          </w:p>
          <w:p>
            <w:pPr>
              <w:snapToGrid w:val="0"/>
              <w:spacing w:line="300" w:lineRule="exact"/>
              <w:jc w:val="center"/>
              <w:rPr>
                <w:rFonts w:hint="eastAsia" w:ascii="宋体" w:hAnsi="宋体" w:eastAsia="宋体"/>
                <w:b/>
                <w:color w:val="000000"/>
                <w:szCs w:val="21"/>
                <w:lang w:eastAsia="zh-CN"/>
              </w:rPr>
            </w:pPr>
          </w:p>
          <w:p>
            <w:pPr>
              <w:snapToGrid w:val="0"/>
              <w:spacing w:line="300" w:lineRule="exact"/>
              <w:jc w:val="center"/>
              <w:rPr>
                <w:rFonts w:hint="eastAsia" w:ascii="宋体" w:hAnsi="宋体"/>
                <w:b/>
                <w:szCs w:val="21"/>
              </w:rPr>
            </w:pPr>
            <w:r>
              <w:rPr>
                <w:rFonts w:hint="eastAsia" w:ascii="宋体" w:hAnsi="宋体"/>
                <w:b/>
                <w:color w:val="000000"/>
                <w:szCs w:val="21"/>
              </w:rPr>
              <w:t>规</w:t>
            </w: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尿葡萄糖</w:t>
            </w:r>
          </w:p>
        </w:tc>
        <w:tc>
          <w:tcPr>
            <w:tcW w:w="4830" w:type="dxa"/>
            <w:vMerge w:val="restart"/>
            <w:noWrap w:val="0"/>
            <w:vAlign w:val="center"/>
          </w:tcPr>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color w:val="000000"/>
                <w:szCs w:val="21"/>
              </w:rPr>
            </w:pPr>
            <w:r>
              <w:rPr>
                <w:rFonts w:hint="eastAsia" w:ascii="宋体" w:hAnsi="宋体"/>
                <w:szCs w:val="21"/>
              </w:rPr>
              <w:t>尿常规13项检查，了解有否尿道感染、肾炎或血尿，以便排除肾或输尿管或膀胱、或高血压病、糖尿病中、晚期等疾病引起的肾脏功能改变。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胆红素</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尿比重</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潜血</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酸碱度</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尿蛋白</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7</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尿胆原</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8</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亚硝酸盐</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9</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尿白细胞</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10</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颜色</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混浊度</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白细胞（镜检）</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红细胞（镜检）</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上皮细胞（镜检）</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颗粒管型（镜检）</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透明管型（镜检）</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80" w:type="dxa"/>
            <w:vMerge w:val="restart"/>
            <w:noWrap w:val="0"/>
            <w:vAlign w:val="center"/>
          </w:tcPr>
          <w:p>
            <w:pPr>
              <w:autoSpaceDN w:val="0"/>
              <w:spacing w:line="280" w:lineRule="exact"/>
              <w:jc w:val="center"/>
              <w:textAlignment w:val="bottom"/>
              <w:rPr>
                <w:rFonts w:hint="eastAsia" w:ascii="宋体" w:hAnsi="宋体"/>
                <w:color w:val="000000"/>
                <w:kern w:val="0"/>
                <w:szCs w:val="21"/>
                <w:lang w:val="en-US" w:eastAsia="zh-CN"/>
              </w:rPr>
            </w:pPr>
            <w:r>
              <w:rPr>
                <w:rFonts w:hint="eastAsia" w:ascii="宋体" w:hAnsi="宋体"/>
                <w:b/>
                <w:color w:val="000000"/>
                <w:szCs w:val="21"/>
              </w:rPr>
              <w:t>肾功能</w:t>
            </w:r>
          </w:p>
        </w:tc>
        <w:tc>
          <w:tcPr>
            <w:tcW w:w="625" w:type="dxa"/>
            <w:noWrap w:val="0"/>
            <w:vAlign w:val="center"/>
          </w:tcPr>
          <w:p>
            <w:pPr>
              <w:autoSpaceDN w:val="0"/>
              <w:spacing w:line="280" w:lineRule="exact"/>
              <w:jc w:val="center"/>
              <w:textAlignment w:val="bottom"/>
              <w:rPr>
                <w:rFonts w:hint="eastAsia" w:ascii="宋体" w:hAnsi="宋体"/>
                <w:color w:val="000000"/>
                <w:kern w:val="0"/>
                <w:szCs w:val="21"/>
              </w:rPr>
            </w:pPr>
            <w:r>
              <w:rPr>
                <w:rFonts w:hint="eastAsia" w:ascii="宋体" w:hAnsi="宋体"/>
                <w:color w:val="000000"/>
                <w:kern w:val="0"/>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血糖</w:t>
            </w:r>
          </w:p>
        </w:tc>
        <w:tc>
          <w:tcPr>
            <w:tcW w:w="4830" w:type="dxa"/>
            <w:vMerge w:val="restart"/>
            <w:noWrap w:val="0"/>
            <w:vAlign w:val="center"/>
          </w:tcPr>
          <w:p>
            <w:pPr>
              <w:autoSpaceDN w:val="0"/>
              <w:snapToGrid w:val="0"/>
              <w:spacing w:line="300" w:lineRule="auto"/>
              <w:textAlignment w:val="bottom"/>
              <w:rPr>
                <w:rFonts w:hint="eastAsia" w:ascii="宋体" w:hAnsi="宋体"/>
                <w:color w:val="000000"/>
                <w:szCs w:val="21"/>
              </w:rPr>
            </w:pPr>
            <w:r>
              <w:rPr>
                <w:rFonts w:hint="eastAsia" w:ascii="宋体" w:hAnsi="宋体" w:eastAsia="新宋体"/>
                <w:spacing w:val="-10"/>
                <w:szCs w:val="18"/>
                <w:lang w:eastAsia="zh-CN"/>
              </w:rPr>
              <w:t>了解</w:t>
            </w:r>
            <w:r>
              <w:rPr>
                <w:rFonts w:hint="eastAsia" w:ascii="宋体" w:hAnsi="宋体" w:eastAsia="新宋体"/>
                <w:spacing w:val="-10"/>
                <w:szCs w:val="18"/>
              </w:rPr>
              <w:t>有无空腹血糖受损、胰岛腺体功能受损，糖尿病早期筛查</w:t>
            </w:r>
            <w:r>
              <w:rPr>
                <w:rFonts w:hint="eastAsia" w:ascii="宋体" w:hAnsi="宋体" w:eastAsia="新宋体"/>
                <w:spacing w:val="-10"/>
                <w:szCs w:val="18"/>
                <w:lang w:eastAsia="zh-CN"/>
              </w:rPr>
              <w:t>；</w:t>
            </w:r>
            <w:r>
              <w:rPr>
                <w:rFonts w:hint="eastAsia" w:ascii="宋体" w:hAnsi="宋体"/>
                <w:szCs w:val="21"/>
              </w:rPr>
              <w:t>了解有否肾炎，肾病综合征</w:t>
            </w:r>
            <w:r>
              <w:rPr>
                <w:rFonts w:hint="eastAsia" w:ascii="宋体" w:hAnsi="宋体"/>
                <w:szCs w:val="21"/>
                <w:lang w:val="en-US" w:eastAsia="zh-CN"/>
              </w:rPr>
              <w:t>；</w:t>
            </w:r>
            <w:r>
              <w:rPr>
                <w:rFonts w:hint="eastAsia" w:ascii="宋体" w:hAnsi="宋体" w:eastAsia="新宋体"/>
                <w:spacing w:val="-10"/>
                <w:szCs w:val="18"/>
              </w:rPr>
              <w:t>检查有无痛风可能，其次是肾功能减退、白血病、多发性骨髓瘤</w:t>
            </w:r>
            <w:r>
              <w:rPr>
                <w:rFonts w:hint="eastAsia" w:ascii="宋体" w:hAnsi="宋体" w:eastAsia="新宋体"/>
                <w:spacing w:val="-1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vMerge w:val="continue"/>
            <w:noWrap w:val="0"/>
            <w:vAlign w:val="center"/>
          </w:tcPr>
          <w:p>
            <w:pPr>
              <w:autoSpaceDN w:val="0"/>
              <w:spacing w:line="280" w:lineRule="exact"/>
              <w:jc w:val="center"/>
              <w:textAlignment w:val="bottom"/>
              <w:rPr>
                <w:rFonts w:hint="eastAsia" w:ascii="宋体" w:hAnsi="宋体"/>
                <w:color w:val="000000"/>
                <w:kern w:val="0"/>
                <w:szCs w:val="21"/>
                <w:lang w:val="en-US" w:eastAsia="zh-CN"/>
              </w:rPr>
            </w:pPr>
          </w:p>
        </w:tc>
        <w:tc>
          <w:tcPr>
            <w:tcW w:w="625" w:type="dxa"/>
            <w:noWrap w:val="0"/>
            <w:vAlign w:val="center"/>
          </w:tcPr>
          <w:p>
            <w:pPr>
              <w:autoSpaceDN w:val="0"/>
              <w:spacing w:line="280" w:lineRule="exact"/>
              <w:jc w:val="center"/>
              <w:textAlignment w:val="bottom"/>
              <w:rPr>
                <w:rFonts w:hint="eastAsia" w:ascii="宋体" w:hAnsi="宋体"/>
                <w:color w:val="000000"/>
                <w:kern w:val="0"/>
                <w:szCs w:val="21"/>
              </w:rPr>
            </w:pPr>
            <w:r>
              <w:rPr>
                <w:rFonts w:hint="eastAsia" w:ascii="宋体" w:hAnsi="宋体"/>
                <w:color w:val="000000"/>
                <w:kern w:val="0"/>
                <w:szCs w:val="21"/>
                <w:lang w:val="en-US" w:eastAsia="zh-CN"/>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尿酸</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widowControl/>
              <w:snapToGrid w:val="0"/>
              <w:spacing w:line="300" w:lineRule="exact"/>
              <w:jc w:val="center"/>
            </w:pPr>
          </w:p>
        </w:tc>
        <w:tc>
          <w:tcPr>
            <w:tcW w:w="625" w:type="dxa"/>
            <w:noWrap w:val="0"/>
            <w:vAlign w:val="center"/>
          </w:tcPr>
          <w:p>
            <w:pPr>
              <w:autoSpaceDN w:val="0"/>
              <w:spacing w:line="280" w:lineRule="exact"/>
              <w:jc w:val="center"/>
              <w:textAlignment w:val="bottom"/>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尿素氮：肌酐</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80" w:type="dxa"/>
            <w:vMerge w:val="continue"/>
            <w:noWrap w:val="0"/>
            <w:vAlign w:val="center"/>
          </w:tcPr>
          <w:p>
            <w:pPr>
              <w:widowControl/>
              <w:snapToGrid w:val="0"/>
              <w:spacing w:line="300" w:lineRule="exact"/>
              <w:jc w:val="center"/>
            </w:pPr>
          </w:p>
        </w:tc>
        <w:tc>
          <w:tcPr>
            <w:tcW w:w="625" w:type="dxa"/>
            <w:noWrap w:val="0"/>
            <w:vAlign w:val="center"/>
          </w:tcPr>
          <w:p>
            <w:pPr>
              <w:autoSpaceDN w:val="0"/>
              <w:spacing w:line="280" w:lineRule="exact"/>
              <w:jc w:val="center"/>
              <w:textAlignment w:val="bottom"/>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肌酐</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80" w:type="dxa"/>
            <w:vMerge w:val="continue"/>
            <w:noWrap w:val="0"/>
            <w:vAlign w:val="center"/>
          </w:tcPr>
          <w:p>
            <w:pPr>
              <w:widowControl/>
              <w:snapToGrid w:val="0"/>
              <w:spacing w:line="300" w:lineRule="exact"/>
              <w:jc w:val="center"/>
            </w:pPr>
          </w:p>
        </w:tc>
        <w:tc>
          <w:tcPr>
            <w:tcW w:w="625" w:type="dxa"/>
            <w:noWrap w:val="0"/>
            <w:vAlign w:val="center"/>
          </w:tcPr>
          <w:p>
            <w:pPr>
              <w:autoSpaceDN w:val="0"/>
              <w:spacing w:line="280" w:lineRule="exact"/>
              <w:jc w:val="center"/>
              <w:textAlignment w:val="bottom"/>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尿素氮</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80" w:type="dxa"/>
            <w:vMerge w:val="restart"/>
            <w:noWrap w:val="0"/>
            <w:vAlign w:val="center"/>
          </w:tcPr>
          <w:p>
            <w:pPr>
              <w:snapToGrid w:val="0"/>
              <w:spacing w:line="300" w:lineRule="exact"/>
              <w:jc w:val="both"/>
              <w:rPr>
                <w:rFonts w:hint="eastAsia" w:ascii="宋体" w:hAnsi="宋体"/>
                <w:b/>
                <w:szCs w:val="21"/>
              </w:rPr>
            </w:pPr>
            <w:r>
              <w:rPr>
                <w:rFonts w:hint="eastAsia" w:ascii="宋体" w:hAnsi="宋体"/>
                <w:b/>
                <w:szCs w:val="21"/>
              </w:rPr>
              <w:t>血脂</w:t>
            </w:r>
            <w:r>
              <w:rPr>
                <w:rFonts w:hint="eastAsia" w:ascii="宋体" w:hAnsi="宋体"/>
                <w:b/>
                <w:szCs w:val="21"/>
                <w:lang w:eastAsia="zh-CN"/>
              </w:rPr>
              <w:t>二</w:t>
            </w:r>
            <w:r>
              <w:rPr>
                <w:rFonts w:hint="eastAsia" w:ascii="宋体" w:hAnsi="宋体"/>
                <w:b/>
                <w:szCs w:val="21"/>
              </w:rPr>
              <w:t>项</w:t>
            </w: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甘油三酯</w:t>
            </w:r>
          </w:p>
        </w:tc>
        <w:tc>
          <w:tcPr>
            <w:tcW w:w="4830" w:type="dxa"/>
            <w:vMerge w:val="restart"/>
            <w:noWrap w:val="0"/>
            <w:vAlign w:val="center"/>
          </w:tcPr>
          <w:p>
            <w:pPr>
              <w:jc w:val="both"/>
              <w:rPr>
                <w:rFonts w:hint="eastAsia" w:ascii="宋体" w:hAnsi="宋体"/>
                <w:color w:val="000000"/>
                <w:szCs w:val="21"/>
              </w:rPr>
            </w:pPr>
            <w:r>
              <w:rPr>
                <w:rFonts w:hint="eastAsia" w:ascii="宋体" w:hAnsi="宋体"/>
                <w:szCs w:val="21"/>
              </w:rPr>
              <w:t>了解目前甘油三酯及总胆固醇的变化情况，有无血脂代谢异常等，及早把异常高脂血症的危险降低到最安全的范围，减少冠心病发生率及死亡率。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总胆固醇</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noWrap w:val="0"/>
            <w:vAlign w:val="center"/>
          </w:tcPr>
          <w:p>
            <w:pPr>
              <w:snapToGrid w:val="0"/>
              <w:spacing w:line="300" w:lineRule="exact"/>
              <w:jc w:val="center"/>
              <w:rPr>
                <w:rFonts w:hint="eastAsia" w:ascii="宋体" w:hAnsi="宋体"/>
                <w:b/>
                <w:szCs w:val="21"/>
              </w:rPr>
            </w:pPr>
          </w:p>
        </w:tc>
        <w:tc>
          <w:tcPr>
            <w:tcW w:w="625" w:type="dxa"/>
            <w:noWrap w:val="0"/>
            <w:vAlign w:val="center"/>
          </w:tcPr>
          <w:p>
            <w:pPr>
              <w:autoSpaceDN w:val="0"/>
              <w:spacing w:line="280" w:lineRule="exact"/>
              <w:jc w:val="center"/>
              <w:textAlignment w:val="bottom"/>
              <w:rPr>
                <w:rFonts w:hint="eastAsia" w:ascii="宋体" w:hAnsi="宋体"/>
                <w:color w:val="auto"/>
                <w:kern w:val="0"/>
                <w:sz w:val="21"/>
                <w:szCs w:val="21"/>
                <w:lang w:val="en-US" w:eastAsia="zh-CN" w:bidi="ar-SA"/>
              </w:rPr>
            </w:pPr>
            <w:r>
              <w:rPr>
                <w:rFonts w:hint="eastAsia" w:ascii="宋体" w:hAnsi="宋体"/>
                <w:color w:val="auto"/>
                <w:kern w:val="0"/>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szCs w:val="21"/>
                <w:lang w:val="en-US" w:eastAsia="zh-CN"/>
              </w:rPr>
              <w:t>电解质组合（血清）</w:t>
            </w:r>
          </w:p>
        </w:tc>
        <w:tc>
          <w:tcPr>
            <w:tcW w:w="4830" w:type="dxa"/>
            <w:noWrap w:val="0"/>
            <w:vAlign w:val="center"/>
          </w:tcPr>
          <w:p>
            <w:pPr>
              <w:autoSpaceDN w:val="0"/>
              <w:snapToGrid w:val="0"/>
              <w:spacing w:line="300" w:lineRule="exact"/>
              <w:textAlignment w:val="bottom"/>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szCs w:val="21"/>
                <w:lang w:val="en-US" w:eastAsia="zh-CN"/>
              </w:rPr>
              <w:t>测定血清钾、钠、氯、钙。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80" w:type="dxa"/>
            <w:vMerge w:val="restart"/>
            <w:noWrap w:val="0"/>
            <w:vAlign w:val="center"/>
          </w:tcPr>
          <w:p>
            <w:pPr>
              <w:widowControl/>
              <w:snapToGrid w:val="0"/>
              <w:spacing w:line="360" w:lineRule="exact"/>
              <w:jc w:val="both"/>
              <w:rPr>
                <w:rFonts w:hint="eastAsia" w:ascii="宋体" w:hAnsi="宋体"/>
                <w:b/>
                <w:szCs w:val="21"/>
              </w:rPr>
            </w:pPr>
            <w:r>
              <w:rPr>
                <w:rFonts w:hint="eastAsia" w:ascii="宋体" w:hAnsi="宋体"/>
                <w:b/>
                <w:color w:val="000000"/>
                <w:szCs w:val="21"/>
              </w:rPr>
              <w:t>肝功</w:t>
            </w:r>
            <w:r>
              <w:rPr>
                <w:rFonts w:hint="eastAsia" w:ascii="宋体" w:hAnsi="宋体"/>
                <w:b/>
                <w:color w:val="000000"/>
                <w:szCs w:val="21"/>
                <w:lang w:eastAsia="zh-CN"/>
              </w:rPr>
              <w:t>五</w:t>
            </w:r>
            <w:r>
              <w:rPr>
                <w:rFonts w:hint="eastAsia" w:ascii="宋体" w:hAnsi="宋体"/>
                <w:b/>
                <w:color w:val="000000"/>
                <w:szCs w:val="21"/>
              </w:rPr>
              <w:t>项</w:t>
            </w:r>
          </w:p>
        </w:tc>
        <w:tc>
          <w:tcPr>
            <w:tcW w:w="625" w:type="dxa"/>
            <w:noWrap w:val="0"/>
            <w:vAlign w:val="center"/>
          </w:tcPr>
          <w:p>
            <w:pPr>
              <w:widowControl/>
              <w:snapToGrid w:val="0"/>
              <w:spacing w:line="340" w:lineRule="exact"/>
              <w:jc w:val="center"/>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1</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总胆红素</w:t>
            </w:r>
          </w:p>
        </w:tc>
        <w:tc>
          <w:tcPr>
            <w:tcW w:w="4830" w:type="dxa"/>
            <w:vMerge w:val="restart"/>
            <w:noWrap w:val="0"/>
            <w:vAlign w:val="center"/>
          </w:tcPr>
          <w:p>
            <w:pPr>
              <w:autoSpaceDN w:val="0"/>
              <w:snapToGrid w:val="0"/>
              <w:spacing w:line="300" w:lineRule="auto"/>
              <w:jc w:val="both"/>
              <w:textAlignment w:val="bottom"/>
              <w:rPr>
                <w:rFonts w:hint="eastAsia" w:ascii="宋体" w:hAnsi="宋体"/>
                <w:color w:val="000000"/>
                <w:szCs w:val="21"/>
              </w:rPr>
            </w:pPr>
            <w:r>
              <w:rPr>
                <w:rFonts w:hint="eastAsia" w:ascii="宋体" w:hAnsi="宋体"/>
                <w:szCs w:val="21"/>
              </w:rPr>
              <w:t>了解有无肝功能损害及目前损害的程度及是否影响到肝脏代谢功能。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2</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门冬氨酸氨基转移酶</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丙氨酸氨基转移酶</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4</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lang w:eastAsia="zh-CN"/>
              </w:rPr>
              <w:t>白蛋白</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5</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lang w:eastAsia="zh-CN"/>
              </w:rPr>
              <w:t>总蛋白</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restart"/>
            <w:noWrap w:val="0"/>
            <w:vAlign w:val="center"/>
          </w:tcPr>
          <w:p>
            <w:pPr>
              <w:snapToGrid w:val="0"/>
              <w:spacing w:line="360" w:lineRule="exact"/>
              <w:jc w:val="center"/>
              <w:rPr>
                <w:rFonts w:hint="eastAsia" w:ascii="宋体" w:hAnsi="宋体"/>
                <w:b/>
                <w:szCs w:val="21"/>
              </w:rPr>
            </w:pPr>
            <w:r>
              <w:rPr>
                <w:rFonts w:hint="eastAsia" w:ascii="宋体" w:hAnsi="宋体" w:eastAsia="宋体" w:cs="宋体"/>
                <w:b/>
                <w:bCs w:val="0"/>
                <w:i w:val="0"/>
                <w:iCs w:val="0"/>
                <w:color w:val="000000"/>
                <w:sz w:val="22"/>
                <w:szCs w:val="22"/>
                <w:lang w:eastAsia="zh-CN"/>
              </w:rPr>
              <w:t>甲状腺功能三项</w:t>
            </w:r>
            <w:r>
              <w:rPr>
                <w:rFonts w:hint="eastAsia" w:ascii="宋体" w:hAnsi="宋体"/>
                <w:color w:val="000000"/>
                <w:szCs w:val="21"/>
                <w:lang w:eastAsia="zh-CN"/>
              </w:rPr>
              <w:t>（游离）</w:t>
            </w:r>
          </w:p>
        </w:tc>
        <w:tc>
          <w:tcPr>
            <w:tcW w:w="625" w:type="dxa"/>
            <w:noWrap w:val="0"/>
            <w:vAlign w:val="center"/>
          </w:tcPr>
          <w:p>
            <w:pPr>
              <w:widowControl/>
              <w:snapToGrid w:val="0"/>
              <w:spacing w:line="340" w:lineRule="exact"/>
              <w:jc w:val="center"/>
              <w:rPr>
                <w:rFonts w:hint="eastAsia" w:ascii="宋体" w:hAnsi="宋体"/>
                <w:color w:val="000000"/>
                <w:kern w:val="0"/>
                <w:szCs w:val="21"/>
                <w:lang w:val="en-US" w:eastAsia="zh-CN"/>
              </w:rPr>
            </w:pPr>
            <w:r>
              <w:rPr>
                <w:rFonts w:hint="eastAsia" w:ascii="宋体" w:hAnsi="宋体" w:eastAsia="宋体" w:cs="宋体"/>
                <w:b w:val="0"/>
                <w:bCs/>
                <w:i w:val="0"/>
                <w:iCs w:val="0"/>
                <w:color w:val="000000"/>
                <w:kern w:val="0"/>
                <w:sz w:val="22"/>
                <w:szCs w:val="22"/>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olor w:val="000000"/>
                <w:szCs w:val="21"/>
                <w:lang w:eastAsia="zh-CN"/>
              </w:rPr>
            </w:pPr>
            <w:r>
              <w:rPr>
                <w:rFonts w:hint="eastAsia" w:ascii="宋体" w:hAnsi="宋体"/>
                <w:color w:val="000000"/>
                <w:szCs w:val="21"/>
              </w:rPr>
              <w:t>三碘甲状腺原氨酸</w:t>
            </w:r>
            <w:r>
              <w:rPr>
                <w:rFonts w:hint="eastAsia" w:ascii="宋体" w:hAnsi="宋体"/>
                <w:color w:val="000000"/>
                <w:szCs w:val="21"/>
                <w:lang w:eastAsia="zh-CN"/>
              </w:rPr>
              <w:t>（游离）</w:t>
            </w:r>
          </w:p>
        </w:tc>
        <w:tc>
          <w:tcPr>
            <w:tcW w:w="4830" w:type="dxa"/>
            <w:vMerge w:val="restart"/>
            <w:noWrap w:val="0"/>
            <w:vAlign w:val="center"/>
          </w:tcPr>
          <w:p>
            <w:pPr>
              <w:spacing w:line="400" w:lineRule="exact"/>
              <w:rPr>
                <w:rFonts w:hint="eastAsia" w:ascii="宋体" w:hAnsi="宋体"/>
                <w:color w:val="000000"/>
                <w:szCs w:val="21"/>
              </w:rPr>
            </w:pPr>
            <w:r>
              <w:rPr>
                <w:rFonts w:hint="eastAsia" w:ascii="宋体" w:hAnsi="宋体" w:eastAsia="新宋体"/>
                <w:spacing w:val="-10"/>
                <w:szCs w:val="18"/>
                <w:lang w:eastAsia="zh-CN"/>
              </w:rPr>
              <w:t>了解目前有无甲状腺功能改变及甲状腺病变的具体类型、病变程度等。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甲状腺素</w:t>
            </w:r>
            <w:r>
              <w:rPr>
                <w:rFonts w:hint="eastAsia" w:ascii="宋体" w:hAnsi="宋体"/>
                <w:color w:val="000000"/>
                <w:szCs w:val="21"/>
                <w:lang w:eastAsia="zh-CN"/>
              </w:rPr>
              <w:t>（游离）</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促甲状腺素</w:t>
            </w:r>
            <w:r>
              <w:rPr>
                <w:rFonts w:hint="eastAsia" w:ascii="宋体" w:hAnsi="宋体"/>
                <w:color w:val="000000"/>
                <w:szCs w:val="21"/>
                <w:lang w:eastAsia="zh-CN"/>
              </w:rPr>
              <w:t>（游离）</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糖尿病筛查</w:t>
            </w:r>
          </w:p>
        </w:tc>
        <w:tc>
          <w:tcPr>
            <w:tcW w:w="625" w:type="dxa"/>
            <w:noWrap w:val="0"/>
            <w:vAlign w:val="center"/>
          </w:tcPr>
          <w:p>
            <w:pPr>
              <w:autoSpaceDN w:val="0"/>
              <w:snapToGrid w:val="0"/>
              <w:spacing w:line="300" w:lineRule="exact"/>
              <w:jc w:val="center"/>
              <w:textAlignment w:val="bottom"/>
              <w:rPr>
                <w:rFonts w:hint="default"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糖化血红蛋白</w:t>
            </w:r>
          </w:p>
        </w:tc>
        <w:tc>
          <w:tcPr>
            <w:tcW w:w="483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用于评定身体内2-3个月血糖的水平程度。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restart"/>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肿瘤筛查</w:t>
            </w:r>
          </w:p>
        </w:tc>
        <w:tc>
          <w:tcPr>
            <w:tcW w:w="625" w:type="dxa"/>
            <w:noWrap w:val="0"/>
            <w:vAlign w:val="center"/>
          </w:tcPr>
          <w:p>
            <w:pPr>
              <w:autoSpaceDN w:val="0"/>
              <w:snapToGrid w:val="0"/>
              <w:spacing w:line="300" w:lineRule="exact"/>
              <w:jc w:val="center"/>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癌胚抗原(CEA)</w:t>
            </w:r>
          </w:p>
        </w:tc>
        <w:tc>
          <w:tcPr>
            <w:tcW w:w="483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消化系统及泌尿系统肿瘤筛查。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p>
        </w:tc>
        <w:tc>
          <w:tcPr>
            <w:tcW w:w="625" w:type="dxa"/>
            <w:noWrap w:val="0"/>
            <w:vAlign w:val="center"/>
          </w:tcPr>
          <w:p>
            <w:pPr>
              <w:autoSpaceDN w:val="0"/>
              <w:snapToGrid w:val="0"/>
              <w:spacing w:line="300" w:lineRule="exact"/>
              <w:jc w:val="center"/>
              <w:textAlignment w:val="bottom"/>
              <w:rPr>
                <w:rFonts w:hint="default"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2</w:t>
            </w:r>
          </w:p>
        </w:tc>
        <w:tc>
          <w:tcPr>
            <w:tcW w:w="2970" w:type="dxa"/>
            <w:noWrap w:val="0"/>
            <w:vAlign w:val="center"/>
          </w:tcPr>
          <w:p>
            <w:pPr>
              <w:adjustRightInd w:val="0"/>
              <w:snapToGrid w:val="0"/>
              <w:spacing w:line="400" w:lineRule="exact"/>
              <w:jc w:val="center"/>
              <w:rPr>
                <w:rFonts w:hint="eastAsia" w:ascii="宋体" w:hAnsi="宋体" w:eastAsia="新宋体"/>
                <w:color w:val="auto"/>
                <w:spacing w:val="-10"/>
                <w:kern w:val="2"/>
                <w:sz w:val="18"/>
                <w:szCs w:val="18"/>
                <w:lang w:val="en-US" w:eastAsia="zh-CN" w:bidi="ar-SA"/>
              </w:rPr>
            </w:pPr>
            <w:r>
              <w:rPr>
                <w:rFonts w:hint="eastAsia" w:ascii="宋体" w:hAnsi="宋体" w:eastAsia="宋体" w:cs="Times New Roman"/>
                <w:color w:val="auto"/>
                <w:szCs w:val="21"/>
              </w:rPr>
              <w:t>总前列腺特异抗原(TPSA)</w:t>
            </w:r>
            <w:r>
              <w:rPr>
                <w:rFonts w:hint="eastAsia" w:ascii="宋体" w:hAnsi="宋体" w:eastAsia="宋体" w:cs="Times New Roman"/>
                <w:color w:val="auto"/>
                <w:szCs w:val="21"/>
                <w:lang w:eastAsia="zh-CN"/>
              </w:rPr>
              <w:t>（男）</w:t>
            </w:r>
          </w:p>
        </w:tc>
        <w:tc>
          <w:tcPr>
            <w:tcW w:w="4830" w:type="dxa"/>
            <w:noWrap w:val="0"/>
            <w:vAlign w:val="center"/>
          </w:tcPr>
          <w:p>
            <w:pPr>
              <w:adjustRightInd w:val="0"/>
              <w:snapToGrid w:val="0"/>
              <w:spacing w:line="400" w:lineRule="exact"/>
              <w:rPr>
                <w:rFonts w:hint="eastAsia" w:ascii="宋体" w:hAnsi="宋体" w:eastAsia="新宋体"/>
                <w:color w:val="auto"/>
                <w:spacing w:val="-10"/>
                <w:kern w:val="2"/>
                <w:sz w:val="21"/>
                <w:szCs w:val="18"/>
                <w:lang w:val="en-US" w:eastAsia="zh-CN" w:bidi="ar-SA"/>
              </w:rPr>
            </w:pPr>
            <w:r>
              <w:rPr>
                <w:rFonts w:hint="eastAsia" w:ascii="宋体" w:hAnsi="宋体" w:eastAsia="新宋体"/>
                <w:color w:val="auto"/>
                <w:spacing w:val="-10"/>
                <w:szCs w:val="18"/>
              </w:rPr>
              <w:t>前列腺炎症、前列腺良/恶性病变等筛查，早期预警或辅助诊断。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p>
        </w:tc>
        <w:tc>
          <w:tcPr>
            <w:tcW w:w="625" w:type="dxa"/>
            <w:noWrap w:val="0"/>
            <w:vAlign w:val="center"/>
          </w:tcPr>
          <w:p>
            <w:pPr>
              <w:autoSpaceDN w:val="0"/>
              <w:snapToGrid w:val="0"/>
              <w:spacing w:line="300" w:lineRule="exact"/>
              <w:jc w:val="center"/>
              <w:textAlignment w:val="bottom"/>
              <w:rPr>
                <w:rFonts w:hint="default"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3</w:t>
            </w:r>
          </w:p>
        </w:tc>
        <w:tc>
          <w:tcPr>
            <w:tcW w:w="2970" w:type="dxa"/>
            <w:noWrap w:val="0"/>
            <w:vAlign w:val="center"/>
          </w:tcPr>
          <w:p>
            <w:pPr>
              <w:adjustRightInd w:val="0"/>
              <w:snapToGrid w:val="0"/>
              <w:spacing w:line="400" w:lineRule="exact"/>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糖类抗原(CA 153）</w:t>
            </w:r>
            <w:r>
              <w:rPr>
                <w:rFonts w:hint="eastAsia" w:ascii="宋体" w:hAnsi="宋体" w:eastAsia="宋体" w:cs="Times New Roman"/>
                <w:color w:val="auto"/>
                <w:szCs w:val="21"/>
                <w:lang w:eastAsia="zh-CN"/>
              </w:rPr>
              <w:t>（已婚女）</w:t>
            </w:r>
          </w:p>
        </w:tc>
        <w:tc>
          <w:tcPr>
            <w:tcW w:w="4830" w:type="dxa"/>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乳腺癌的筛查，早期预警或辅助诊断。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特殊检查</w:t>
            </w:r>
          </w:p>
        </w:tc>
        <w:tc>
          <w:tcPr>
            <w:tcW w:w="625" w:type="dxa"/>
            <w:noWrap w:val="0"/>
            <w:vAlign w:val="center"/>
          </w:tcPr>
          <w:p>
            <w:pPr>
              <w:autoSpaceDN w:val="0"/>
              <w:snapToGrid w:val="0"/>
              <w:spacing w:line="300" w:lineRule="exact"/>
              <w:jc w:val="center"/>
              <w:textAlignment w:val="bottom"/>
              <w:rPr>
                <w:rFonts w:hint="default"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颅内段血管彩色多普勒超声</w:t>
            </w:r>
          </w:p>
        </w:tc>
        <w:tc>
          <w:tcPr>
            <w:tcW w:w="483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通过检测颈动脉血流流速、血管弹性及血管阻力，评估脑血管功能，进行脑卒中风险筛查。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noWrap w:val="0"/>
            <w:vAlign w:val="center"/>
          </w:tcPr>
          <w:p>
            <w:pPr>
              <w:autoSpaceDN w:val="0"/>
              <w:spacing w:line="280" w:lineRule="exact"/>
              <w:jc w:val="center"/>
              <w:textAlignment w:val="bottom"/>
              <w:rPr>
                <w:rFonts w:hint="eastAsia" w:ascii="宋体" w:hAnsi="宋体" w:eastAsia="宋体" w:cs="Times New Roman"/>
                <w:color w:val="auto"/>
                <w:kern w:val="0"/>
                <w:szCs w:val="21"/>
                <w:lang w:val="en-US" w:eastAsia="zh-CN"/>
              </w:rPr>
            </w:pPr>
          </w:p>
          <w:p>
            <w:pPr>
              <w:autoSpaceDN w:val="0"/>
              <w:spacing w:line="280" w:lineRule="exact"/>
              <w:jc w:val="center"/>
              <w:textAlignment w:val="bottom"/>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CT 检查</w:t>
            </w:r>
          </w:p>
          <w:p>
            <w:pPr>
              <w:autoSpaceDN w:val="0"/>
              <w:spacing w:line="280" w:lineRule="exact"/>
              <w:jc w:val="center"/>
              <w:textAlignment w:val="bottom"/>
              <w:rPr>
                <w:rFonts w:hint="eastAsia" w:ascii="宋体" w:hAnsi="宋体" w:eastAsia="宋体" w:cs="Times New Roman"/>
                <w:color w:val="auto"/>
                <w:kern w:val="0"/>
                <w:szCs w:val="21"/>
                <w:lang w:val="en-US" w:eastAsia="zh-CN"/>
              </w:rPr>
            </w:pPr>
          </w:p>
        </w:tc>
        <w:tc>
          <w:tcPr>
            <w:tcW w:w="625" w:type="dxa"/>
            <w:noWrap w:val="0"/>
            <w:vAlign w:val="center"/>
          </w:tcPr>
          <w:p>
            <w:pPr>
              <w:autoSpaceDN w:val="0"/>
              <w:spacing w:line="280" w:lineRule="exact"/>
              <w:jc w:val="center"/>
              <w:textAlignment w:val="bottom"/>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1</w:t>
            </w:r>
          </w:p>
        </w:tc>
        <w:tc>
          <w:tcPr>
            <w:tcW w:w="2970" w:type="dxa"/>
            <w:noWrap w:val="0"/>
            <w:vAlign w:val="center"/>
          </w:tcPr>
          <w:p>
            <w:pPr>
              <w:autoSpaceDN w:val="0"/>
              <w:spacing w:line="280" w:lineRule="exact"/>
              <w:jc w:val="both"/>
              <w:textAlignment w:val="bottom"/>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肺部CT检查</w:t>
            </w:r>
          </w:p>
        </w:tc>
        <w:tc>
          <w:tcPr>
            <w:tcW w:w="4830" w:type="dxa"/>
            <w:noWrap w:val="0"/>
            <w:vAlign w:val="center"/>
          </w:tcPr>
          <w:p>
            <w:pPr>
              <w:autoSpaceDN w:val="0"/>
              <w:spacing w:line="280" w:lineRule="exact"/>
              <w:jc w:val="center"/>
              <w:textAlignment w:val="bottom"/>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了解有无肺部、胸廓、纵膈等部位的疾病。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80" w:type="dxa"/>
            <w:noWrap w:val="0"/>
            <w:vAlign w:val="center"/>
          </w:tcPr>
          <w:p>
            <w:pPr>
              <w:autoSpaceDN w:val="0"/>
              <w:snapToGrid w:val="0"/>
              <w:spacing w:line="360" w:lineRule="exact"/>
              <w:jc w:val="center"/>
              <w:textAlignment w:val="center"/>
              <w:rPr>
                <w:rFonts w:hint="eastAsia" w:ascii="宋体" w:hAnsi="宋体"/>
                <w:b/>
                <w:color w:val="000000"/>
                <w:szCs w:val="21"/>
              </w:rPr>
            </w:pPr>
            <w:r>
              <w:rPr>
                <w:rFonts w:hint="eastAsia" w:ascii="宋体" w:hAnsi="宋体"/>
                <w:b/>
                <w:color w:val="000000"/>
                <w:szCs w:val="21"/>
              </w:rPr>
              <w:t>心电图</w:t>
            </w:r>
          </w:p>
        </w:tc>
        <w:tc>
          <w:tcPr>
            <w:tcW w:w="625" w:type="dxa"/>
            <w:noWrap w:val="0"/>
            <w:vAlign w:val="center"/>
          </w:tcPr>
          <w:p>
            <w:pPr>
              <w:autoSpaceDN w:val="0"/>
              <w:snapToGrid w:val="0"/>
              <w:spacing w:line="360" w:lineRule="exact"/>
              <w:textAlignment w:val="bottom"/>
              <w:rPr>
                <w:rFonts w:hint="eastAsia" w:ascii="宋体" w:hAnsi="宋体"/>
                <w:color w:val="000000"/>
                <w:szCs w:val="21"/>
                <w:lang w:val="en-US" w:eastAsia="zh-CN"/>
              </w:rPr>
            </w:pPr>
            <w:r>
              <w:rPr>
                <w:rFonts w:hint="eastAsia" w:ascii="宋体" w:hAnsi="宋体"/>
                <w:color w:val="000000"/>
                <w:szCs w:val="21"/>
                <w:lang w:val="en-US" w:eastAsia="zh-CN"/>
              </w:rPr>
              <w:t xml:space="preserve">  1</w:t>
            </w:r>
          </w:p>
        </w:tc>
        <w:tc>
          <w:tcPr>
            <w:tcW w:w="2970" w:type="dxa"/>
            <w:noWrap w:val="0"/>
            <w:vAlign w:val="center"/>
          </w:tcPr>
          <w:p>
            <w:pPr>
              <w:autoSpaceDN w:val="0"/>
              <w:snapToGrid w:val="0"/>
              <w:spacing w:line="360" w:lineRule="exact"/>
              <w:jc w:val="both"/>
              <w:textAlignment w:val="bottom"/>
              <w:rPr>
                <w:rFonts w:hint="eastAsia" w:ascii="宋体" w:hAnsi="宋体"/>
                <w:color w:val="000000"/>
                <w:szCs w:val="21"/>
              </w:rPr>
            </w:pPr>
            <w:r>
              <w:rPr>
                <w:rFonts w:hint="eastAsia" w:ascii="宋体" w:hAnsi="宋体"/>
                <w:color w:val="000000"/>
                <w:szCs w:val="21"/>
              </w:rPr>
              <w:t>12导联心电图</w:t>
            </w:r>
          </w:p>
        </w:tc>
        <w:tc>
          <w:tcPr>
            <w:tcW w:w="4830" w:type="dxa"/>
            <w:noWrap w:val="0"/>
            <w:vAlign w:val="center"/>
          </w:tcPr>
          <w:p>
            <w:pPr>
              <w:autoSpaceDN w:val="0"/>
              <w:snapToGrid w:val="0"/>
              <w:textAlignment w:val="bottom"/>
              <w:rPr>
                <w:rFonts w:hint="eastAsia" w:ascii="宋体" w:hAnsi="宋体"/>
                <w:color w:val="000000"/>
                <w:szCs w:val="21"/>
              </w:rPr>
            </w:pPr>
            <w:r>
              <w:rPr>
                <w:rFonts w:hint="eastAsia" w:ascii="宋体" w:hAnsi="宋体"/>
                <w:szCs w:val="21"/>
              </w:rPr>
              <w:t>了解心律不齐、心肌梗塞、心肌缺血、心率过缓/过速、心室电压增高等心脏疾病。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vMerge w:val="restart"/>
            <w:noWrap w:val="0"/>
            <w:vAlign w:val="center"/>
          </w:tcPr>
          <w:p>
            <w:pPr>
              <w:autoSpaceDN w:val="0"/>
              <w:snapToGrid w:val="0"/>
              <w:spacing w:line="360" w:lineRule="exact"/>
              <w:jc w:val="center"/>
              <w:textAlignment w:val="center"/>
              <w:rPr>
                <w:rFonts w:hint="eastAsia" w:ascii="宋体" w:hAnsi="宋体"/>
                <w:b/>
                <w:color w:val="000000"/>
                <w:szCs w:val="21"/>
              </w:rPr>
            </w:pPr>
          </w:p>
          <w:p>
            <w:pPr>
              <w:autoSpaceDN w:val="0"/>
              <w:snapToGrid w:val="0"/>
              <w:spacing w:line="360" w:lineRule="exact"/>
              <w:jc w:val="center"/>
              <w:textAlignment w:val="center"/>
              <w:rPr>
                <w:rFonts w:hint="eastAsia" w:ascii="宋体" w:hAnsi="宋体"/>
                <w:b/>
                <w:color w:val="000000"/>
                <w:szCs w:val="21"/>
              </w:rPr>
            </w:pPr>
          </w:p>
          <w:p>
            <w:pPr>
              <w:autoSpaceDN w:val="0"/>
              <w:snapToGrid w:val="0"/>
              <w:spacing w:line="360" w:lineRule="exact"/>
              <w:jc w:val="center"/>
              <w:textAlignment w:val="center"/>
              <w:rPr>
                <w:rFonts w:hint="eastAsia" w:ascii="宋体" w:hAnsi="宋体"/>
                <w:b/>
                <w:color w:val="000000"/>
                <w:szCs w:val="21"/>
              </w:rPr>
            </w:pPr>
            <w:r>
              <w:rPr>
                <w:rFonts w:hint="eastAsia" w:ascii="宋体" w:hAnsi="宋体"/>
                <w:b/>
                <w:color w:val="000000"/>
                <w:szCs w:val="21"/>
              </w:rPr>
              <w:t>超声</w:t>
            </w:r>
          </w:p>
          <w:p>
            <w:pPr>
              <w:autoSpaceDN w:val="0"/>
              <w:snapToGrid w:val="0"/>
              <w:spacing w:line="360" w:lineRule="exact"/>
              <w:jc w:val="center"/>
              <w:textAlignment w:val="center"/>
              <w:rPr>
                <w:rFonts w:hint="eastAsia" w:ascii="宋体" w:hAnsi="宋体"/>
                <w:b/>
                <w:color w:val="000000"/>
                <w:szCs w:val="21"/>
              </w:rPr>
            </w:pPr>
            <w:r>
              <w:rPr>
                <w:rFonts w:hint="eastAsia" w:ascii="宋体" w:hAnsi="宋体"/>
                <w:b/>
                <w:color w:val="000000"/>
                <w:szCs w:val="21"/>
              </w:rPr>
              <w:t>检查</w:t>
            </w:r>
          </w:p>
        </w:tc>
        <w:tc>
          <w:tcPr>
            <w:tcW w:w="625" w:type="dxa"/>
            <w:noWrap w:val="0"/>
            <w:vAlign w:val="center"/>
          </w:tcPr>
          <w:p>
            <w:pPr>
              <w:widowControl/>
              <w:snapToGrid w:val="0"/>
              <w:spacing w:line="360" w:lineRule="exact"/>
              <w:jc w:val="center"/>
              <w:rPr>
                <w:rFonts w:hint="eastAsia" w:ascii="宋体" w:hAnsi="宋体"/>
                <w:color w:val="000000"/>
                <w:kern w:val="0"/>
                <w:szCs w:val="21"/>
              </w:rPr>
            </w:pPr>
            <w:r>
              <w:rPr>
                <w:rFonts w:hint="eastAsia" w:ascii="宋体" w:hAnsi="宋体"/>
                <w:color w:val="000000"/>
                <w:kern w:val="0"/>
                <w:szCs w:val="21"/>
              </w:rPr>
              <w:t>1</w:t>
            </w:r>
          </w:p>
        </w:tc>
        <w:tc>
          <w:tcPr>
            <w:tcW w:w="2970" w:type="dxa"/>
            <w:noWrap w:val="0"/>
            <w:vAlign w:val="center"/>
          </w:tcPr>
          <w:p>
            <w:pPr>
              <w:autoSpaceDN w:val="0"/>
              <w:spacing w:line="300" w:lineRule="exact"/>
              <w:ind w:firstLine="105" w:firstLineChars="50"/>
              <w:textAlignment w:val="bottom"/>
              <w:rPr>
                <w:rFonts w:hint="eastAsia" w:ascii="宋体" w:hAnsi="宋体"/>
                <w:color w:val="000000"/>
                <w:szCs w:val="21"/>
              </w:rPr>
            </w:pPr>
            <w:r>
              <w:rPr>
                <w:rFonts w:hint="eastAsia" w:ascii="宋体" w:hAnsi="宋体"/>
                <w:szCs w:val="21"/>
              </w:rPr>
              <w:t>肝、胆、脾、胰、双肾</w:t>
            </w:r>
          </w:p>
        </w:tc>
        <w:tc>
          <w:tcPr>
            <w:tcW w:w="4830" w:type="dxa"/>
            <w:noWrap w:val="0"/>
            <w:vAlign w:val="top"/>
          </w:tcPr>
          <w:p>
            <w:pPr>
              <w:rPr>
                <w:rFonts w:ascii="宋体" w:hAnsi="宋体"/>
                <w:szCs w:val="21"/>
              </w:rPr>
            </w:pPr>
            <w:r>
              <w:rPr>
                <w:rFonts w:hint="eastAsia" w:ascii="宋体" w:hAnsi="宋体"/>
                <w:szCs w:val="21"/>
              </w:rPr>
              <w:t>了解肝硬化、肝囊肿、肝癌、肝脓肿、肝血管瘤、肝脂肪、胆囊结石、胆囊息肉、胰腺癌、脾肿大等疾病情况。通过肾了解有否肾结石、肾肿瘤。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60" w:lineRule="exact"/>
              <w:jc w:val="center"/>
              <w:rPr>
                <w:rFonts w:hint="eastAsia" w:ascii="宋体" w:hAnsi="宋体"/>
                <w:color w:val="000000"/>
                <w:kern w:val="0"/>
                <w:szCs w:val="21"/>
              </w:rPr>
            </w:pPr>
            <w:r>
              <w:rPr>
                <w:rFonts w:hint="eastAsia" w:ascii="宋体" w:hAnsi="宋体"/>
                <w:color w:val="000000"/>
                <w:kern w:val="0"/>
                <w:szCs w:val="21"/>
              </w:rPr>
              <w:t>2</w:t>
            </w:r>
          </w:p>
        </w:tc>
        <w:tc>
          <w:tcPr>
            <w:tcW w:w="2970" w:type="dxa"/>
            <w:noWrap w:val="0"/>
            <w:vAlign w:val="center"/>
          </w:tcPr>
          <w:p>
            <w:pPr>
              <w:autoSpaceDN w:val="0"/>
              <w:spacing w:line="300" w:lineRule="exact"/>
              <w:ind w:firstLine="105" w:firstLineChars="50"/>
              <w:textAlignment w:val="bottom"/>
              <w:rPr>
                <w:rFonts w:hint="eastAsia" w:ascii="宋体" w:hAnsi="宋体"/>
                <w:szCs w:val="21"/>
              </w:rPr>
            </w:pPr>
            <w:r>
              <w:rPr>
                <w:rFonts w:hint="eastAsia" w:ascii="宋体" w:hAnsi="宋体"/>
                <w:szCs w:val="21"/>
              </w:rPr>
              <w:t>甲状腺</w:t>
            </w:r>
          </w:p>
        </w:tc>
        <w:tc>
          <w:tcPr>
            <w:tcW w:w="4830" w:type="dxa"/>
            <w:noWrap w:val="0"/>
            <w:vAlign w:val="center"/>
          </w:tcPr>
          <w:p>
            <w:pPr>
              <w:rPr>
                <w:rFonts w:hint="eastAsia" w:ascii="宋体" w:hAnsi="宋体"/>
                <w:szCs w:val="21"/>
              </w:rPr>
            </w:pPr>
            <w:r>
              <w:rPr>
                <w:rFonts w:hint="eastAsia" w:ascii="宋体" w:hAnsi="宋体"/>
                <w:szCs w:val="21"/>
              </w:rPr>
              <w:t>了解有无甲状腺结节、囊肿、良/恶性占位等疾病。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60" w:lineRule="exact"/>
              <w:jc w:val="center"/>
              <w:rPr>
                <w:rFonts w:hint="eastAsia" w:ascii="宋体" w:hAnsi="宋体"/>
                <w:color w:val="000000"/>
                <w:kern w:val="0"/>
                <w:szCs w:val="21"/>
              </w:rPr>
            </w:pPr>
            <w:r>
              <w:rPr>
                <w:rFonts w:hint="eastAsia" w:ascii="宋体" w:hAnsi="宋体"/>
                <w:color w:val="000000"/>
                <w:kern w:val="0"/>
                <w:szCs w:val="21"/>
              </w:rPr>
              <w:t>3</w:t>
            </w:r>
          </w:p>
        </w:tc>
        <w:tc>
          <w:tcPr>
            <w:tcW w:w="2970" w:type="dxa"/>
            <w:noWrap w:val="0"/>
            <w:vAlign w:val="center"/>
          </w:tcPr>
          <w:p>
            <w:pPr>
              <w:autoSpaceDN w:val="0"/>
              <w:spacing w:line="300" w:lineRule="exact"/>
              <w:ind w:firstLine="105" w:firstLineChars="50"/>
              <w:textAlignment w:val="bottom"/>
              <w:rPr>
                <w:rFonts w:hint="eastAsia" w:ascii="宋体" w:hAnsi="宋体"/>
                <w:color w:val="000000"/>
                <w:szCs w:val="21"/>
              </w:rPr>
            </w:pPr>
            <w:r>
              <w:rPr>
                <w:rFonts w:hint="eastAsia" w:ascii="宋体" w:hAnsi="宋体"/>
                <w:szCs w:val="21"/>
              </w:rPr>
              <w:t>男：前列腺、膀胱</w:t>
            </w:r>
          </w:p>
        </w:tc>
        <w:tc>
          <w:tcPr>
            <w:tcW w:w="4830" w:type="dxa"/>
            <w:noWrap w:val="0"/>
            <w:vAlign w:val="center"/>
          </w:tcPr>
          <w:p>
            <w:pPr>
              <w:rPr>
                <w:rFonts w:ascii="宋体" w:hAnsi="宋体"/>
                <w:szCs w:val="21"/>
              </w:rPr>
            </w:pPr>
            <w:r>
              <w:rPr>
                <w:rFonts w:hint="eastAsia" w:ascii="宋体" w:hAnsi="宋体"/>
                <w:szCs w:val="21"/>
              </w:rPr>
              <w:t>了解前列腺增大、增生、钙化、结石、占位等疾病。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60" w:lineRule="exact"/>
              <w:jc w:val="center"/>
              <w:rPr>
                <w:rFonts w:hint="eastAsia" w:ascii="宋体" w:hAnsi="宋体"/>
                <w:color w:val="000000"/>
                <w:kern w:val="0"/>
                <w:szCs w:val="21"/>
              </w:rPr>
            </w:pPr>
            <w:r>
              <w:rPr>
                <w:rFonts w:hint="eastAsia" w:ascii="宋体" w:hAnsi="宋体"/>
                <w:color w:val="000000"/>
                <w:kern w:val="0"/>
                <w:szCs w:val="21"/>
              </w:rPr>
              <w:t>4</w:t>
            </w:r>
          </w:p>
        </w:tc>
        <w:tc>
          <w:tcPr>
            <w:tcW w:w="2970" w:type="dxa"/>
            <w:noWrap w:val="0"/>
            <w:vAlign w:val="center"/>
          </w:tcPr>
          <w:p>
            <w:pPr>
              <w:autoSpaceDN w:val="0"/>
              <w:spacing w:line="300" w:lineRule="exact"/>
              <w:ind w:firstLine="105" w:firstLineChars="50"/>
              <w:textAlignment w:val="bottom"/>
              <w:rPr>
                <w:rFonts w:hint="eastAsia" w:ascii="宋体" w:hAnsi="宋体"/>
                <w:szCs w:val="21"/>
              </w:rPr>
            </w:pPr>
            <w:r>
              <w:rPr>
                <w:rFonts w:hint="eastAsia" w:ascii="宋体" w:hAnsi="宋体"/>
                <w:szCs w:val="21"/>
                <w:lang w:eastAsia="zh-CN"/>
              </w:rPr>
              <w:t>已婚</w:t>
            </w:r>
            <w:r>
              <w:rPr>
                <w:rFonts w:hint="eastAsia" w:ascii="宋体" w:hAnsi="宋体"/>
                <w:szCs w:val="21"/>
              </w:rPr>
              <w:t>女：阴道B超</w:t>
            </w:r>
          </w:p>
          <w:p>
            <w:pPr>
              <w:autoSpaceDN w:val="0"/>
              <w:spacing w:line="300" w:lineRule="exact"/>
              <w:ind w:firstLine="105" w:firstLineChars="50"/>
              <w:textAlignment w:val="bottom"/>
              <w:rPr>
                <w:rFonts w:hint="eastAsia" w:ascii="宋体" w:hAnsi="宋体" w:eastAsia="宋体"/>
                <w:szCs w:val="21"/>
                <w:lang w:eastAsia="zh-CN"/>
              </w:rPr>
            </w:pPr>
            <w:r>
              <w:rPr>
                <w:rFonts w:hint="eastAsia" w:ascii="宋体" w:hAnsi="宋体"/>
                <w:szCs w:val="21"/>
                <w:lang w:eastAsia="zh-CN"/>
              </w:rPr>
              <w:t>未婚女：子宫、附件</w:t>
            </w:r>
            <w:r>
              <w:rPr>
                <w:rFonts w:hint="eastAsia" w:ascii="宋体" w:hAnsi="宋体"/>
                <w:szCs w:val="21"/>
                <w:lang w:val="en-US" w:eastAsia="zh-CN"/>
              </w:rPr>
              <w:t>B</w:t>
            </w:r>
            <w:r>
              <w:rPr>
                <w:rFonts w:hint="eastAsia" w:ascii="宋体" w:hAnsi="宋体"/>
                <w:szCs w:val="21"/>
                <w:lang w:eastAsia="zh-CN"/>
              </w:rPr>
              <w:t>超</w:t>
            </w:r>
          </w:p>
        </w:tc>
        <w:tc>
          <w:tcPr>
            <w:tcW w:w="4830" w:type="dxa"/>
            <w:noWrap w:val="0"/>
            <w:vAlign w:val="top"/>
          </w:tcPr>
          <w:p>
            <w:pPr>
              <w:rPr>
                <w:rFonts w:hint="eastAsia" w:ascii="宋体" w:hAnsi="宋体"/>
                <w:szCs w:val="21"/>
              </w:rPr>
            </w:pPr>
          </w:p>
          <w:p>
            <w:pPr>
              <w:rPr>
                <w:rFonts w:ascii="宋体" w:hAnsi="宋体"/>
                <w:szCs w:val="21"/>
              </w:rPr>
            </w:pPr>
            <w:r>
              <w:rPr>
                <w:rFonts w:hint="eastAsia" w:ascii="宋体" w:hAnsi="宋体"/>
                <w:szCs w:val="21"/>
              </w:rPr>
              <w:t>了解子宫肌瘤，宫颈癌，卵巢肿物、盆腔炎</w:t>
            </w:r>
            <w:r>
              <w:rPr>
                <w:rFonts w:hint="eastAsia" w:ascii="宋体" w:hAnsi="宋体"/>
                <w:szCs w:val="21"/>
                <w:lang w:eastAsia="zh-CN"/>
              </w:rPr>
              <w:t>等疾病</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60" w:lineRule="exact"/>
              <w:jc w:val="center"/>
              <w:rPr>
                <w:rFonts w:hint="eastAsia" w:ascii="宋体" w:hAnsi="宋体"/>
                <w:color w:val="000000"/>
                <w:kern w:val="0"/>
                <w:szCs w:val="21"/>
              </w:rPr>
            </w:pPr>
            <w:r>
              <w:rPr>
                <w:rFonts w:hint="eastAsia" w:ascii="宋体" w:hAnsi="宋体"/>
                <w:color w:val="000000"/>
                <w:kern w:val="0"/>
                <w:szCs w:val="21"/>
              </w:rPr>
              <w:t>5</w:t>
            </w:r>
          </w:p>
        </w:tc>
        <w:tc>
          <w:tcPr>
            <w:tcW w:w="2970" w:type="dxa"/>
            <w:noWrap w:val="0"/>
            <w:vAlign w:val="center"/>
          </w:tcPr>
          <w:p>
            <w:pPr>
              <w:autoSpaceDN w:val="0"/>
              <w:spacing w:line="300" w:lineRule="exact"/>
              <w:ind w:firstLine="105" w:firstLineChars="50"/>
              <w:textAlignment w:val="bottom"/>
              <w:rPr>
                <w:rFonts w:hint="eastAsia" w:ascii="宋体" w:hAnsi="宋体"/>
                <w:szCs w:val="21"/>
              </w:rPr>
            </w:pPr>
            <w:r>
              <w:rPr>
                <w:rFonts w:hint="eastAsia" w:ascii="宋体" w:hAnsi="宋体"/>
                <w:szCs w:val="21"/>
              </w:rPr>
              <w:t>女：乳腺彩超</w:t>
            </w:r>
          </w:p>
        </w:tc>
        <w:tc>
          <w:tcPr>
            <w:tcW w:w="4830" w:type="dxa"/>
            <w:noWrap w:val="0"/>
            <w:vAlign w:val="top"/>
          </w:tcPr>
          <w:p>
            <w:pPr>
              <w:rPr>
                <w:rFonts w:hint="eastAsia" w:ascii="宋体" w:hAnsi="宋体"/>
                <w:szCs w:val="21"/>
              </w:rPr>
            </w:pPr>
            <w:r>
              <w:rPr>
                <w:rFonts w:hint="eastAsia" w:ascii="宋体" w:hAnsi="宋体"/>
                <w:szCs w:val="21"/>
              </w:rPr>
              <w:t>排除乳腺增生、乳腺结节、乳腺纤维瘤、乳腺癌等疾病。乳房组织病变诊断。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妇科检查</w:t>
            </w:r>
          </w:p>
        </w:tc>
        <w:tc>
          <w:tcPr>
            <w:tcW w:w="625"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已婚：妇科检查</w:t>
            </w:r>
          </w:p>
        </w:tc>
        <w:tc>
          <w:tcPr>
            <w:tcW w:w="483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妇查（子宫肌瘤、卵巢囊肿、阴道炎）；宫颈防癌普查（宫颈炎、宫颈癌）；白带常规（查滴虫、霉菌）。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675" w:type="dxa"/>
            <w:gridSpan w:val="3"/>
            <w:noWrap w:val="0"/>
            <w:vAlign w:val="center"/>
          </w:tcPr>
          <w:p>
            <w:pPr>
              <w:autoSpaceDN w:val="0"/>
              <w:snapToGrid w:val="0"/>
              <w:spacing w:line="300" w:lineRule="auto"/>
              <w:textAlignment w:val="bottom"/>
              <w:rPr>
                <w:rFonts w:hint="eastAsia" w:ascii="宋体" w:hAnsi="宋体"/>
                <w:b/>
                <w:color w:val="000000"/>
                <w:sz w:val="24"/>
                <w:lang w:val="en-US" w:eastAsia="zh-CN"/>
              </w:rPr>
            </w:pPr>
            <w:r>
              <w:rPr>
                <w:rFonts w:hint="eastAsia" w:ascii="宋体" w:hAnsi="宋体"/>
                <w:b/>
                <w:color w:val="000000"/>
                <w:sz w:val="24"/>
                <w:lang w:val="en-US" w:eastAsia="zh-CN"/>
              </w:rPr>
              <w:t>建议可自费增加项目：</w:t>
            </w:r>
          </w:p>
        </w:tc>
        <w:tc>
          <w:tcPr>
            <w:tcW w:w="4830" w:type="dxa"/>
            <w:noWrap w:val="0"/>
            <w:vAlign w:val="center"/>
          </w:tcPr>
          <w:p>
            <w:pPr>
              <w:autoSpaceDN w:val="0"/>
              <w:snapToGrid w:val="0"/>
              <w:spacing w:line="300" w:lineRule="auto"/>
              <w:textAlignment w:val="bottom"/>
              <w:rPr>
                <w:rFonts w:hint="eastAsia" w:ascii="宋体" w:hAnsi="宋体"/>
                <w:b/>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restart"/>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r>
              <w:rPr>
                <w:rFonts w:hint="eastAsia" w:ascii="宋体" w:hAnsi="宋体"/>
                <w:b w:val="0"/>
                <w:bCs w:val="0"/>
                <w:color w:val="auto"/>
                <w:szCs w:val="21"/>
              </w:rPr>
              <w:t>心</w:t>
            </w:r>
            <w:r>
              <w:rPr>
                <w:rFonts w:hint="eastAsia" w:ascii="宋体" w:hAnsi="宋体"/>
                <w:b w:val="0"/>
                <w:bCs w:val="0"/>
                <w:color w:val="auto"/>
                <w:szCs w:val="21"/>
                <w:lang w:eastAsia="zh-CN"/>
              </w:rPr>
              <w:t>血管</w:t>
            </w:r>
            <w:r>
              <w:rPr>
                <w:rFonts w:hint="eastAsia" w:ascii="宋体" w:hAnsi="宋体"/>
                <w:b w:val="0"/>
                <w:bCs w:val="0"/>
                <w:color w:val="auto"/>
                <w:szCs w:val="21"/>
              </w:rPr>
              <w:t>功能检查</w:t>
            </w:r>
          </w:p>
        </w:tc>
        <w:tc>
          <w:tcPr>
            <w:tcW w:w="625" w:type="dxa"/>
            <w:noWrap w:val="0"/>
            <w:vAlign w:val="center"/>
          </w:tcPr>
          <w:p>
            <w:pPr>
              <w:autoSpaceDN w:val="0"/>
              <w:snapToGrid w:val="0"/>
              <w:spacing w:line="300" w:lineRule="auto"/>
              <w:textAlignment w:val="bottom"/>
              <w:rPr>
                <w:rFonts w:hint="default" w:ascii="宋体" w:hAnsi="宋体"/>
                <w:b/>
                <w:bCs/>
                <w:color w:val="000000"/>
                <w:szCs w:val="21"/>
                <w:lang w:val="en-US" w:eastAsia="zh-CN"/>
              </w:rPr>
            </w:pPr>
            <w:r>
              <w:rPr>
                <w:rFonts w:hint="eastAsia" w:ascii="宋体" w:hAnsi="宋体"/>
                <w:b/>
                <w:bCs/>
                <w:color w:val="000000"/>
                <w:szCs w:val="21"/>
                <w:lang w:val="en-US" w:eastAsia="zh-CN"/>
              </w:rPr>
              <w:t xml:space="preserve"> </w:t>
            </w:r>
            <w:r>
              <w:rPr>
                <w:rFonts w:hint="eastAsia" w:ascii="宋体" w:hAnsi="宋体" w:eastAsia="宋体" w:cs="Times New Roman"/>
                <w:b w:val="0"/>
                <w:bCs w:val="0"/>
                <w:color w:val="auto"/>
                <w:szCs w:val="21"/>
                <w:lang w:val="en-US" w:eastAsia="zh-CN"/>
              </w:rPr>
              <w:t>1</w:t>
            </w:r>
          </w:p>
        </w:tc>
        <w:tc>
          <w:tcPr>
            <w:tcW w:w="2970" w:type="dxa"/>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r>
              <w:rPr>
                <w:rFonts w:hint="eastAsia" w:ascii="宋体" w:hAnsi="宋体" w:eastAsia="新宋体" w:cs="Times New Roman"/>
                <w:spacing w:val="-10"/>
                <w:sz w:val="18"/>
                <w:szCs w:val="18"/>
                <w:lang w:eastAsia="zh-CN"/>
              </w:rPr>
              <w:t>颈部血管彩超</w:t>
            </w:r>
          </w:p>
        </w:tc>
        <w:tc>
          <w:tcPr>
            <w:tcW w:w="4830" w:type="dxa"/>
            <w:noWrap w:val="0"/>
            <w:vAlign w:val="center"/>
          </w:tcPr>
          <w:p>
            <w:pPr>
              <w:widowControl/>
              <w:snapToGrid w:val="0"/>
              <w:spacing w:line="360" w:lineRule="exact"/>
              <w:jc w:val="both"/>
              <w:rPr>
                <w:rFonts w:hint="eastAsia" w:ascii="宋体" w:hAnsi="宋体"/>
                <w:b w:val="0"/>
                <w:bCs w:val="0"/>
                <w:color w:val="auto"/>
                <w:kern w:val="2"/>
                <w:sz w:val="21"/>
                <w:szCs w:val="21"/>
                <w:lang w:val="en-US" w:eastAsia="zh-CN" w:bidi="ar-SA"/>
              </w:rPr>
            </w:pPr>
            <w:r>
              <w:rPr>
                <w:rFonts w:hint="eastAsia" w:ascii="宋体" w:hAnsi="宋体" w:eastAsia="新宋体"/>
                <w:spacing w:val="-10"/>
                <w:szCs w:val="18"/>
              </w:rPr>
              <w:t>了解有无颈部血管内膜增厚、斑块、狭窄等。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80" w:type="dxa"/>
            <w:vMerge w:val="continue"/>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p>
        </w:tc>
        <w:tc>
          <w:tcPr>
            <w:tcW w:w="625" w:type="dxa"/>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r>
              <w:rPr>
                <w:rFonts w:hint="eastAsia" w:ascii="宋体" w:hAnsi="宋体"/>
                <w:b w:val="0"/>
                <w:bCs w:val="0"/>
                <w:color w:val="auto"/>
                <w:szCs w:val="21"/>
                <w:lang w:val="en-US" w:eastAsia="zh-CN"/>
              </w:rPr>
              <w:t>2</w:t>
            </w:r>
          </w:p>
        </w:tc>
        <w:tc>
          <w:tcPr>
            <w:tcW w:w="2970" w:type="dxa"/>
            <w:noWrap w:val="0"/>
            <w:vAlign w:val="center"/>
          </w:tcPr>
          <w:p>
            <w:pPr>
              <w:adjustRightInd w:val="0"/>
              <w:snapToGrid w:val="0"/>
              <w:spacing w:line="400" w:lineRule="exact"/>
              <w:jc w:val="center"/>
              <w:rPr>
                <w:rFonts w:hint="eastAsia" w:ascii="宋体" w:hAnsi="宋体" w:eastAsia="新宋体" w:cs="Times New Roman"/>
                <w:spacing w:val="-10"/>
                <w:kern w:val="2"/>
                <w:sz w:val="18"/>
                <w:szCs w:val="18"/>
                <w:lang w:val="en-US" w:eastAsia="zh-CN" w:bidi="ar-SA"/>
              </w:rPr>
            </w:pPr>
            <w:r>
              <w:rPr>
                <w:rFonts w:hint="eastAsia" w:ascii="宋体" w:hAnsi="宋体" w:eastAsia="新宋体" w:cs="Times New Roman"/>
                <w:spacing w:val="-10"/>
                <w:sz w:val="18"/>
                <w:szCs w:val="18"/>
                <w:lang w:val="en-US" w:eastAsia="zh-CN"/>
              </w:rPr>
              <w:t>心脏彩超</w:t>
            </w:r>
          </w:p>
        </w:tc>
        <w:tc>
          <w:tcPr>
            <w:tcW w:w="4830" w:type="dxa"/>
            <w:noWrap w:val="0"/>
            <w:vAlign w:val="center"/>
          </w:tcPr>
          <w:p>
            <w:pPr>
              <w:autoSpaceDN w:val="0"/>
              <w:snapToGrid w:val="0"/>
              <w:spacing w:line="300" w:lineRule="auto"/>
              <w:textAlignment w:val="bottom"/>
              <w:rPr>
                <w:rFonts w:hint="eastAsia" w:ascii="宋体" w:hAnsi="宋体"/>
                <w:b/>
                <w:color w:val="000000"/>
                <w:kern w:val="2"/>
                <w:sz w:val="24"/>
                <w:szCs w:val="24"/>
                <w:lang w:val="en-US" w:eastAsia="zh-CN" w:bidi="ar-SA"/>
              </w:rPr>
            </w:pPr>
            <w:r>
              <w:rPr>
                <w:rFonts w:hint="eastAsia" w:ascii="宋体" w:hAnsi="宋体" w:eastAsia="新宋体"/>
                <w:spacing w:val="-10"/>
                <w:szCs w:val="18"/>
              </w:rPr>
              <w:t>了解心脏结构，评价心功能。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000000"/>
                <w:sz w:val="24"/>
                <w:lang w:eastAsia="zh-CN"/>
              </w:rPr>
            </w:pP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4</w:t>
            </w:r>
          </w:p>
        </w:tc>
        <w:tc>
          <w:tcPr>
            <w:tcW w:w="2970" w:type="dxa"/>
            <w:noWrap w:val="0"/>
            <w:vAlign w:val="center"/>
          </w:tcPr>
          <w:p>
            <w:pPr>
              <w:adjustRightInd w:val="0"/>
              <w:snapToGrid w:val="0"/>
              <w:spacing w:line="400" w:lineRule="exact"/>
              <w:jc w:val="center"/>
              <w:rPr>
                <w:rFonts w:hint="eastAsia" w:ascii="宋体" w:hAnsi="宋体" w:eastAsia="新宋体" w:cs="Times New Roman"/>
                <w:spacing w:val="-10"/>
                <w:kern w:val="2"/>
                <w:sz w:val="18"/>
                <w:szCs w:val="18"/>
                <w:lang w:val="en-US" w:eastAsia="zh-CN" w:bidi="ar-SA"/>
              </w:rPr>
            </w:pPr>
            <w:r>
              <w:rPr>
                <w:rFonts w:hint="eastAsia" w:ascii="宋体" w:hAnsi="宋体" w:eastAsia="新宋体" w:cs="Times New Roman"/>
                <w:spacing w:val="-10"/>
                <w:sz w:val="18"/>
                <w:szCs w:val="18"/>
              </w:rPr>
              <w:t>四肢多普勒血流图检查</w:t>
            </w:r>
          </w:p>
        </w:tc>
        <w:tc>
          <w:tcPr>
            <w:tcW w:w="4830" w:type="dxa"/>
            <w:noWrap w:val="0"/>
            <w:vAlign w:val="center"/>
          </w:tcPr>
          <w:p>
            <w:pPr>
              <w:tabs>
                <w:tab w:val="left" w:pos="886"/>
              </w:tabs>
              <w:adjustRightInd w:val="0"/>
              <w:snapToGrid w:val="0"/>
              <w:spacing w:line="24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对四肢血管弹性、硬化程度及动脉管腔的阻塞程度进行综合评估。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noWrap w:val="0"/>
            <w:vAlign w:val="center"/>
          </w:tcPr>
          <w:p>
            <w:pPr>
              <w:widowControl/>
              <w:snapToGrid w:val="0"/>
              <w:spacing w:line="360" w:lineRule="exact"/>
              <w:jc w:val="both"/>
              <w:rPr>
                <w:rFonts w:hint="eastAsia" w:ascii="宋体" w:hAnsi="宋体" w:eastAsia="新宋体"/>
                <w:b w:val="0"/>
                <w:bCs w:val="0"/>
                <w:color w:val="auto"/>
                <w:kern w:val="2"/>
                <w:sz w:val="21"/>
                <w:szCs w:val="21"/>
                <w:lang w:val="en-US" w:eastAsia="zh-CN" w:bidi="ar-SA"/>
              </w:rPr>
            </w:pPr>
            <w:r>
              <w:rPr>
                <w:rFonts w:hint="eastAsia" w:ascii="宋体" w:hAnsi="宋体" w:eastAsia="新宋体"/>
                <w:spacing w:val="-10"/>
                <w:szCs w:val="18"/>
              </w:rPr>
              <w:t>幽门螺旋杆菌</w:t>
            </w:r>
            <w:r>
              <w:rPr>
                <w:rFonts w:hint="eastAsia" w:ascii="宋体" w:hAnsi="宋体" w:eastAsia="新宋体"/>
                <w:spacing w:val="-10"/>
                <w:szCs w:val="18"/>
                <w:lang w:eastAsia="zh-CN"/>
              </w:rPr>
              <w:t>检查</w:t>
            </w:r>
          </w:p>
        </w:tc>
        <w:tc>
          <w:tcPr>
            <w:tcW w:w="625" w:type="dxa"/>
            <w:noWrap w:val="0"/>
            <w:vAlign w:val="center"/>
          </w:tcPr>
          <w:p>
            <w:pPr>
              <w:adjustRightInd w:val="0"/>
              <w:snapToGrid w:val="0"/>
              <w:spacing w:line="400" w:lineRule="exact"/>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 xml:space="preserve">  1</w:t>
            </w:r>
          </w:p>
        </w:tc>
        <w:tc>
          <w:tcPr>
            <w:tcW w:w="2970" w:type="dxa"/>
            <w:noWrap w:val="0"/>
            <w:vAlign w:val="center"/>
          </w:tcPr>
          <w:p>
            <w:pPr>
              <w:adjustRightInd w:val="0"/>
              <w:snapToGrid w:val="0"/>
              <w:spacing w:line="400" w:lineRule="exact"/>
              <w:jc w:val="center"/>
              <w:rPr>
                <w:rFonts w:hint="eastAsia" w:ascii="宋体" w:hAnsi="宋体" w:eastAsia="新宋体" w:cs="Times New Roman"/>
                <w:spacing w:val="-10"/>
                <w:kern w:val="2"/>
                <w:sz w:val="18"/>
                <w:szCs w:val="18"/>
                <w:lang w:val="en-US" w:eastAsia="zh-CN" w:bidi="ar-SA"/>
              </w:rPr>
            </w:pPr>
            <w:r>
              <w:rPr>
                <w:rFonts w:hint="eastAsia" w:ascii="宋体" w:hAnsi="宋体" w:eastAsia="新宋体" w:cs="Times New Roman"/>
                <w:spacing w:val="-10"/>
                <w:sz w:val="18"/>
                <w:szCs w:val="18"/>
              </w:rPr>
              <w:t>C13尿素呼气试验</w:t>
            </w:r>
          </w:p>
        </w:tc>
        <w:tc>
          <w:tcPr>
            <w:tcW w:w="4830" w:type="dxa"/>
            <w:noWrap w:val="0"/>
            <w:vAlign w:val="center"/>
          </w:tcPr>
          <w:p>
            <w:pPr>
              <w:adjustRightInd w:val="0"/>
              <w:snapToGrid w:val="0"/>
              <w:spacing w:line="24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了解有无幽门螺旋杆菌的感染。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restart"/>
            <w:noWrap w:val="0"/>
            <w:vAlign w:val="center"/>
          </w:tcPr>
          <w:p>
            <w:pPr>
              <w:widowControl/>
              <w:snapToGrid w:val="0"/>
              <w:spacing w:line="360" w:lineRule="exact"/>
              <w:jc w:val="both"/>
              <w:rPr>
                <w:rFonts w:hint="eastAsia" w:ascii="宋体" w:hAnsi="宋体" w:eastAsia="新宋体"/>
                <w:spacing w:val="-10"/>
                <w:kern w:val="2"/>
                <w:sz w:val="21"/>
                <w:szCs w:val="18"/>
                <w:lang w:val="en-US" w:eastAsia="zh-CN" w:bidi="ar-SA"/>
              </w:rPr>
            </w:pPr>
            <w:r>
              <w:rPr>
                <w:rFonts w:hint="eastAsia" w:ascii="宋体" w:hAnsi="宋体" w:eastAsia="新宋体"/>
                <w:spacing w:val="-10"/>
                <w:szCs w:val="18"/>
                <w:lang w:eastAsia="zh-CN"/>
              </w:rPr>
              <w:t>肿瘤血液筛查</w:t>
            </w: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1</w:t>
            </w:r>
          </w:p>
        </w:tc>
        <w:tc>
          <w:tcPr>
            <w:tcW w:w="2970" w:type="dxa"/>
            <w:noWrap w:val="0"/>
            <w:vAlign w:val="center"/>
          </w:tcPr>
          <w:p>
            <w:pPr>
              <w:adjustRightInd w:val="0"/>
              <w:snapToGrid w:val="0"/>
              <w:spacing w:line="400" w:lineRule="exact"/>
              <w:jc w:val="center"/>
              <w:rPr>
                <w:rFonts w:hint="eastAsia" w:ascii="宋体" w:hAnsi="宋体" w:eastAsia="新宋体" w:cs="Times New Roman"/>
                <w:spacing w:val="-10"/>
                <w:sz w:val="18"/>
                <w:szCs w:val="18"/>
                <w:lang w:val="en-US" w:eastAsia="zh-CN"/>
              </w:rPr>
            </w:pPr>
            <w:r>
              <w:rPr>
                <w:rFonts w:hint="eastAsia" w:ascii="宋体" w:hAnsi="宋体" w:eastAsia="新宋体" w:cs="Times New Roman"/>
                <w:spacing w:val="-10"/>
                <w:sz w:val="18"/>
                <w:szCs w:val="18"/>
                <w:lang w:val="en-US" w:eastAsia="zh-CN"/>
              </w:rPr>
              <w:t>甲胎蛋白(AFP)</w:t>
            </w:r>
          </w:p>
        </w:tc>
        <w:tc>
          <w:tcPr>
            <w:tcW w:w="4830" w:type="dxa"/>
            <w:noWrap w:val="0"/>
            <w:vAlign w:val="center"/>
          </w:tcPr>
          <w:p>
            <w:pPr>
              <w:adjustRightInd w:val="0"/>
              <w:snapToGrid w:val="0"/>
              <w:spacing w:line="400" w:lineRule="exact"/>
              <w:jc w:val="both"/>
              <w:rPr>
                <w:rFonts w:hint="eastAsia" w:ascii="宋体" w:hAnsi="宋体" w:eastAsia="新宋体" w:cs="Times New Roman"/>
                <w:spacing w:val="-10"/>
                <w:sz w:val="18"/>
                <w:szCs w:val="18"/>
                <w:lang w:val="en-US" w:eastAsia="zh-CN"/>
              </w:rPr>
            </w:pPr>
            <w:r>
              <w:rPr>
                <w:rFonts w:hint="eastAsia" w:ascii="宋体" w:hAnsi="宋体" w:eastAsia="新宋体" w:cs="Times New Roman"/>
                <w:spacing w:val="-10"/>
                <w:sz w:val="18"/>
                <w:szCs w:val="18"/>
                <w:lang w:val="en-US" w:eastAsia="zh-CN"/>
              </w:rPr>
              <w:t>原发性肝癌筛查。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000000"/>
                <w:sz w:val="24"/>
                <w:lang w:eastAsia="zh-CN"/>
              </w:rPr>
            </w:pP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2</w:t>
            </w:r>
          </w:p>
        </w:tc>
        <w:tc>
          <w:tcPr>
            <w:tcW w:w="2970" w:type="dxa"/>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糖类抗原(CA 125)</w:t>
            </w:r>
            <w:r>
              <w:rPr>
                <w:rFonts w:hint="eastAsia" w:ascii="宋体" w:hAnsi="宋体" w:eastAsia="新宋体"/>
                <w:spacing w:val="-10"/>
                <w:sz w:val="18"/>
                <w:szCs w:val="18"/>
                <w:lang w:eastAsia="zh-CN"/>
              </w:rPr>
              <w:t>（女）</w:t>
            </w:r>
          </w:p>
        </w:tc>
        <w:tc>
          <w:tcPr>
            <w:tcW w:w="4830" w:type="dxa"/>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卵巢肿瘤筛查，早期预警或辅助诊断。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000000"/>
                <w:sz w:val="24"/>
                <w:lang w:eastAsia="zh-CN"/>
              </w:rPr>
            </w:pP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3</w:t>
            </w:r>
          </w:p>
        </w:tc>
        <w:tc>
          <w:tcPr>
            <w:tcW w:w="2970" w:type="dxa"/>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糖类抗原(CA 199）</w:t>
            </w:r>
          </w:p>
        </w:tc>
        <w:tc>
          <w:tcPr>
            <w:tcW w:w="4830" w:type="dxa"/>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胰腺癌，胃、结直肠癌的筛查，早期预警或辅助诊断。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noWrap w:val="0"/>
            <w:vAlign w:val="center"/>
          </w:tcPr>
          <w:p>
            <w:pPr>
              <w:widowControl/>
              <w:snapToGrid w:val="0"/>
              <w:spacing w:line="360" w:lineRule="exact"/>
              <w:jc w:val="both"/>
              <w:rPr>
                <w:rFonts w:hint="eastAsia" w:ascii="宋体" w:hAnsi="宋体" w:eastAsia="宋体"/>
                <w:b w:val="0"/>
                <w:bCs w:val="0"/>
                <w:color w:val="auto"/>
                <w:kern w:val="2"/>
                <w:sz w:val="21"/>
                <w:szCs w:val="21"/>
                <w:lang w:val="en-US" w:eastAsia="zh-CN" w:bidi="ar-SA"/>
              </w:rPr>
            </w:pPr>
            <w:r>
              <w:rPr>
                <w:rFonts w:hint="eastAsia" w:ascii="宋体" w:hAnsi="宋体"/>
                <w:b w:val="0"/>
                <w:bCs w:val="0"/>
                <w:color w:val="auto"/>
                <w:szCs w:val="21"/>
                <w:lang w:eastAsia="zh-CN"/>
              </w:rPr>
              <w:t>妇科检查</w:t>
            </w: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lang w:val="en-US" w:eastAsia="zh-CN"/>
              </w:rPr>
              <w:t>1</w:t>
            </w:r>
          </w:p>
        </w:tc>
        <w:tc>
          <w:tcPr>
            <w:tcW w:w="2970" w:type="dxa"/>
            <w:noWrap w:val="0"/>
            <w:vAlign w:val="center"/>
          </w:tcPr>
          <w:p>
            <w:pPr>
              <w:adjustRightInd w:val="0"/>
              <w:snapToGrid w:val="0"/>
              <w:spacing w:line="240" w:lineRule="exact"/>
              <w:jc w:val="center"/>
              <w:rPr>
                <w:rFonts w:hint="eastAsia" w:ascii="宋体" w:hAnsi="宋体" w:eastAsia="新宋体"/>
                <w:spacing w:val="-10"/>
                <w:kern w:val="2"/>
                <w:sz w:val="21"/>
                <w:szCs w:val="18"/>
                <w:lang w:val="en-US" w:eastAsia="zh-CN" w:bidi="ar-SA"/>
              </w:rPr>
            </w:pPr>
            <w:r>
              <w:rPr>
                <w:rFonts w:hint="eastAsia" w:ascii="宋体" w:hAnsi="宋体" w:eastAsia="新宋体"/>
                <w:spacing w:val="-10"/>
                <w:sz w:val="18"/>
                <w:szCs w:val="18"/>
              </w:rPr>
              <w:t>人乳头瘤状病毒DNA(妇科HPV)</w:t>
            </w:r>
            <w:r>
              <w:rPr>
                <w:rFonts w:hint="eastAsia" w:ascii="宋体" w:hAnsi="宋体" w:eastAsia="新宋体"/>
                <w:spacing w:val="-10"/>
                <w:sz w:val="18"/>
                <w:szCs w:val="18"/>
                <w:lang w:eastAsia="zh-CN"/>
              </w:rPr>
              <w:t>（女）</w:t>
            </w:r>
          </w:p>
        </w:tc>
        <w:tc>
          <w:tcPr>
            <w:tcW w:w="4830" w:type="dxa"/>
            <w:noWrap w:val="0"/>
            <w:vAlign w:val="center"/>
          </w:tcPr>
          <w:p>
            <w:pPr>
              <w:adjustRightInd w:val="0"/>
              <w:snapToGrid w:val="0"/>
              <w:spacing w:line="24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确定有无人乳头状瘤病毒感染及类型。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1080" w:type="dxa"/>
            <w:noWrap w:val="0"/>
            <w:vAlign w:val="center"/>
          </w:tcPr>
          <w:p>
            <w:pPr>
              <w:jc w:val="center"/>
              <w:rPr>
                <w:rFonts w:hint="eastAsia" w:ascii="宋体" w:hAnsi="宋体"/>
                <w:b/>
                <w:sz w:val="24"/>
              </w:rPr>
            </w:pPr>
            <w:r>
              <w:rPr>
                <w:rFonts w:hint="eastAsia" w:ascii="宋体" w:hAnsi="宋体"/>
                <w:b/>
                <w:sz w:val="24"/>
              </w:rPr>
              <w:t>体</w:t>
            </w:r>
          </w:p>
          <w:p>
            <w:pPr>
              <w:jc w:val="center"/>
              <w:rPr>
                <w:rFonts w:hint="eastAsia" w:ascii="宋体" w:hAnsi="宋体"/>
                <w:b/>
                <w:sz w:val="24"/>
              </w:rPr>
            </w:pPr>
            <w:r>
              <w:rPr>
                <w:rFonts w:hint="eastAsia" w:ascii="宋体" w:hAnsi="宋体"/>
                <w:b/>
                <w:sz w:val="24"/>
              </w:rPr>
              <w:t>检</w:t>
            </w:r>
          </w:p>
          <w:p>
            <w:pPr>
              <w:jc w:val="center"/>
              <w:rPr>
                <w:rFonts w:hint="eastAsia" w:ascii="宋体" w:hAnsi="宋体"/>
                <w:b/>
                <w:sz w:val="24"/>
                <w:lang w:eastAsia="zh-CN"/>
              </w:rPr>
            </w:pPr>
            <w:r>
              <w:rPr>
                <w:rFonts w:hint="eastAsia" w:ascii="宋体" w:hAnsi="宋体"/>
                <w:b/>
                <w:sz w:val="24"/>
                <w:lang w:eastAsia="zh-CN"/>
              </w:rPr>
              <w:t>特</w:t>
            </w:r>
          </w:p>
          <w:p>
            <w:pPr>
              <w:jc w:val="center"/>
              <w:rPr>
                <w:rFonts w:hint="eastAsia" w:ascii="宋体" w:hAnsi="宋体" w:eastAsia="宋体"/>
                <w:b/>
                <w:sz w:val="24"/>
                <w:lang w:eastAsia="zh-CN"/>
              </w:rPr>
            </w:pPr>
            <w:r>
              <w:rPr>
                <w:rFonts w:hint="eastAsia" w:ascii="宋体" w:hAnsi="宋体"/>
                <w:b/>
                <w:sz w:val="24"/>
                <w:lang w:eastAsia="zh-CN"/>
              </w:rPr>
              <w:t>色</w:t>
            </w:r>
          </w:p>
          <w:p>
            <w:pPr>
              <w:jc w:val="center"/>
              <w:rPr>
                <w:rFonts w:hint="eastAsia" w:ascii="宋体" w:hAnsi="宋体"/>
                <w:b/>
                <w:sz w:val="24"/>
              </w:rPr>
            </w:pPr>
            <w:r>
              <w:rPr>
                <w:rFonts w:hint="eastAsia" w:ascii="宋体" w:hAnsi="宋体"/>
                <w:b/>
                <w:sz w:val="24"/>
              </w:rPr>
              <w:t>服</w:t>
            </w:r>
          </w:p>
          <w:p>
            <w:pPr>
              <w:autoSpaceDN w:val="0"/>
              <w:snapToGrid w:val="0"/>
              <w:spacing w:line="360" w:lineRule="exact"/>
              <w:jc w:val="center"/>
              <w:textAlignment w:val="center"/>
              <w:rPr>
                <w:rFonts w:hint="eastAsia" w:ascii="宋体" w:hAnsi="宋体"/>
                <w:b/>
                <w:szCs w:val="21"/>
              </w:rPr>
            </w:pPr>
            <w:r>
              <w:rPr>
                <w:rFonts w:hint="eastAsia" w:ascii="宋体" w:hAnsi="宋体"/>
                <w:b/>
                <w:sz w:val="24"/>
              </w:rPr>
              <w:t>务</w:t>
            </w:r>
          </w:p>
        </w:tc>
        <w:tc>
          <w:tcPr>
            <w:tcW w:w="8425" w:type="dxa"/>
            <w:gridSpan w:val="3"/>
            <w:noWrap w:val="0"/>
            <w:vAlign w:val="center"/>
          </w:tcPr>
          <w:p>
            <w:pPr>
              <w:spacing w:line="360" w:lineRule="auto"/>
              <w:rPr>
                <w:rFonts w:ascii="宋体" w:hAnsi="宋体"/>
                <w:sz w:val="24"/>
              </w:rPr>
            </w:pPr>
            <w:r>
              <w:rPr>
                <w:rFonts w:hint="eastAsia" w:ascii="宋体" w:hAnsi="宋体"/>
                <w:sz w:val="24"/>
              </w:rPr>
              <w:t>1、提供免费营养早餐；</w:t>
            </w:r>
          </w:p>
          <w:p>
            <w:pPr>
              <w:spacing w:line="360" w:lineRule="auto"/>
              <w:rPr>
                <w:rFonts w:hint="eastAsia" w:ascii="宋体" w:hAnsi="宋体"/>
                <w:sz w:val="24"/>
              </w:rPr>
            </w:pPr>
            <w:r>
              <w:rPr>
                <w:rFonts w:hint="eastAsia" w:ascii="宋体" w:hAnsi="宋体"/>
                <w:sz w:val="24"/>
              </w:rPr>
              <w:t>2、建立健康档案，并向单位提供电子版体检信息；</w:t>
            </w:r>
          </w:p>
          <w:p>
            <w:pPr>
              <w:spacing w:line="360" w:lineRule="auto"/>
              <w:rPr>
                <w:rFonts w:hint="eastAsia" w:ascii="宋体" w:hAnsi="宋体"/>
                <w:sz w:val="24"/>
              </w:rPr>
            </w:pPr>
            <w:r>
              <w:rPr>
                <w:rFonts w:hint="eastAsia" w:ascii="宋体" w:hAnsi="宋体"/>
                <w:sz w:val="24"/>
              </w:rPr>
              <w:t>3、实施体检后24-48小时重大疾病通报制度；</w:t>
            </w:r>
          </w:p>
          <w:p>
            <w:pPr>
              <w:spacing w:line="360" w:lineRule="auto"/>
              <w:rPr>
                <w:rFonts w:hint="eastAsia" w:ascii="宋体" w:hAnsi="宋体"/>
                <w:sz w:val="24"/>
              </w:rPr>
            </w:pPr>
            <w:r>
              <w:rPr>
                <w:rFonts w:hint="eastAsia" w:ascii="宋体" w:hAnsi="宋体"/>
                <w:sz w:val="24"/>
              </w:rPr>
              <w:t>4、开通就诊绿色通道，为检出患者预约挂号就诊；</w:t>
            </w:r>
          </w:p>
          <w:p>
            <w:pPr>
              <w:autoSpaceDN w:val="0"/>
              <w:snapToGrid w:val="0"/>
              <w:spacing w:line="360" w:lineRule="auto"/>
              <w:textAlignment w:val="bottom"/>
              <w:rPr>
                <w:rFonts w:hint="eastAsia" w:ascii="宋体" w:hAnsi="宋体"/>
                <w:sz w:val="24"/>
              </w:rPr>
            </w:pPr>
            <w:r>
              <w:rPr>
                <w:rFonts w:hint="eastAsia" w:ascii="宋体" w:hAnsi="宋体"/>
                <w:sz w:val="24"/>
              </w:rPr>
              <w:t>5、提供免费检后咨询及健康教育服务，针对团体体检的高发疾病、常见疾病开展健康讲座。</w:t>
            </w:r>
          </w:p>
        </w:tc>
      </w:tr>
    </w:tbl>
    <w:p>
      <w:pPr>
        <w:spacing w:line="440" w:lineRule="exact"/>
        <w:ind w:firstLine="474" w:firstLineChars="200"/>
        <w:rPr>
          <w:rFonts w:hint="eastAsia" w:ascii="宋体" w:hAnsi="宋体"/>
          <w:b/>
          <w:bCs/>
          <w:spacing w:val="-2"/>
          <w:sz w:val="24"/>
          <w:szCs w:val="24"/>
        </w:rPr>
      </w:pPr>
    </w:p>
    <w:p>
      <w:pPr>
        <w:spacing w:line="440" w:lineRule="exact"/>
        <w:ind w:firstLine="474" w:firstLineChars="200"/>
        <w:rPr>
          <w:rFonts w:hint="eastAsia" w:ascii="宋体" w:hAnsi="宋体"/>
          <w:b/>
          <w:bCs/>
          <w:spacing w:val="-2"/>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pacing w:val="-20"/>
          <w:sz w:val="32"/>
          <w:szCs w:val="32"/>
          <w:lang w:val="en-US" w:eastAsia="zh-CN"/>
        </w:rPr>
      </w:pPr>
    </w:p>
    <w:p>
      <w:pPr>
        <w:spacing w:line="440" w:lineRule="exact"/>
        <w:ind w:firstLine="474" w:firstLineChars="200"/>
        <w:rPr>
          <w:rFonts w:hint="eastAsia" w:ascii="宋体" w:hAnsi="宋体"/>
          <w:b/>
          <w:bCs/>
          <w:spacing w:val="-2"/>
          <w:sz w:val="24"/>
          <w:szCs w:val="24"/>
        </w:rPr>
      </w:pPr>
      <w:r>
        <w:rPr>
          <w:rFonts w:hint="eastAsia" w:ascii="宋体" w:hAnsi="宋体"/>
          <w:b/>
          <w:bCs/>
          <w:spacing w:val="-2"/>
          <w:sz w:val="24"/>
          <w:szCs w:val="24"/>
        </w:rPr>
        <w:t>备注：</w:t>
      </w:r>
    </w:p>
    <w:p>
      <w:pPr>
        <w:spacing w:line="440" w:lineRule="exact"/>
        <w:ind w:firstLine="474" w:firstLineChars="200"/>
        <w:rPr>
          <w:rFonts w:hint="eastAsia" w:ascii="宋体" w:hAnsi="宋体"/>
          <w:b/>
          <w:bCs/>
          <w:spacing w:val="-2"/>
          <w:sz w:val="24"/>
          <w:szCs w:val="24"/>
        </w:rPr>
      </w:pPr>
      <w:r>
        <w:rPr>
          <w:rFonts w:hint="eastAsia" w:ascii="宋体" w:hAnsi="宋体"/>
          <w:b/>
          <w:bCs/>
          <w:spacing w:val="-2"/>
          <w:sz w:val="24"/>
          <w:szCs w:val="24"/>
        </w:rPr>
        <w:t>1、以实际体检人数为准；</w:t>
      </w:r>
    </w:p>
    <w:p>
      <w:pPr>
        <w:spacing w:line="440" w:lineRule="exact"/>
        <w:ind w:firstLine="474" w:firstLineChars="200"/>
        <w:rPr>
          <w:rFonts w:hint="eastAsia" w:ascii="宋体" w:hAnsi="宋体"/>
          <w:b/>
          <w:bCs/>
          <w:spacing w:val="-2"/>
          <w:sz w:val="24"/>
          <w:szCs w:val="24"/>
        </w:rPr>
      </w:pPr>
      <w:r>
        <w:rPr>
          <w:rFonts w:hint="eastAsia" w:ascii="宋体" w:hAnsi="宋体"/>
          <w:b/>
          <w:bCs/>
          <w:spacing w:val="-2"/>
          <w:sz w:val="24"/>
          <w:szCs w:val="24"/>
        </w:rPr>
        <w:t>2、要求：一站式服务，医患分开，具有体检后健康跟踪、干预、治疗能力的体检医院；</w:t>
      </w:r>
    </w:p>
    <w:p>
      <w:pPr>
        <w:spacing w:line="440" w:lineRule="exact"/>
        <w:ind w:firstLine="474" w:firstLineChars="200"/>
        <w:rPr>
          <w:rFonts w:hint="eastAsia" w:ascii="宋体" w:hAnsi="宋体"/>
          <w:b/>
          <w:bCs/>
          <w:spacing w:val="-2"/>
          <w:sz w:val="24"/>
          <w:szCs w:val="24"/>
          <w:lang w:val="en-US" w:eastAsia="zh-CN"/>
        </w:rPr>
      </w:pPr>
      <w:r>
        <w:rPr>
          <w:rFonts w:hint="eastAsia" w:ascii="宋体" w:hAnsi="宋体"/>
          <w:b/>
          <w:bCs/>
          <w:spacing w:val="-2"/>
          <w:sz w:val="24"/>
          <w:szCs w:val="24"/>
          <w:lang w:val="en-US" w:eastAsia="zh-CN"/>
        </w:rPr>
        <w:t>3、</w:t>
      </w:r>
      <w:r>
        <w:rPr>
          <w:rFonts w:hint="eastAsia" w:ascii="宋体" w:hAnsi="宋体"/>
          <w:b/>
          <w:bCs/>
          <w:spacing w:val="-2"/>
          <w:sz w:val="24"/>
          <w:szCs w:val="24"/>
        </w:rPr>
        <w:t>除保证做好相关体检的服务工作以外，还要完成好我区安排的各项防病、应急工作以及我区干部（职工）及家属的门诊、住院等诊疗服务工作。</w:t>
      </w:r>
    </w:p>
    <w:p>
      <w:pPr>
        <w:pStyle w:val="21"/>
      </w:pPr>
    </w:p>
    <w:p>
      <w:pPr>
        <w:rPr>
          <w:rFonts w:hint="eastAsia" w:ascii="宋体" w:hAnsi="宋体" w:cs="宋体"/>
          <w:w w:val="90"/>
        </w:rPr>
      </w:pPr>
      <w:bookmarkStart w:id="88" w:name="_Toc44705274"/>
      <w:bookmarkStart w:id="89" w:name="_Toc44704906"/>
      <w:bookmarkStart w:id="90" w:name="_Toc44705053"/>
      <w:r>
        <w:rPr>
          <w:rFonts w:hint="eastAsia" w:ascii="宋体" w:hAnsi="宋体" w:cs="宋体"/>
          <w:w w:val="90"/>
        </w:rPr>
        <w:br w:type="page"/>
      </w:r>
    </w:p>
    <w:p>
      <w:pPr>
        <w:pStyle w:val="3"/>
        <w:spacing w:before="1680" w:beforeLines="700" w:after="0" w:line="360" w:lineRule="auto"/>
        <w:jc w:val="center"/>
        <w:rPr>
          <w:rFonts w:hint="eastAsia" w:ascii="宋体" w:hAnsi="宋体" w:cs="宋体"/>
          <w:w w:val="90"/>
        </w:rPr>
      </w:pPr>
    </w:p>
    <w:p>
      <w:pPr>
        <w:pStyle w:val="3"/>
        <w:spacing w:before="1680" w:beforeLines="700" w:after="0" w:line="360" w:lineRule="auto"/>
        <w:jc w:val="center"/>
        <w:rPr>
          <w:rFonts w:hint="eastAsia" w:ascii="宋体" w:hAnsi="宋体" w:cs="宋体"/>
          <w:w w:val="90"/>
        </w:rPr>
      </w:pPr>
    </w:p>
    <w:p>
      <w:pPr>
        <w:pStyle w:val="3"/>
        <w:spacing w:before="1680" w:beforeLines="700" w:after="0" w:line="360" w:lineRule="auto"/>
        <w:jc w:val="center"/>
        <w:rPr>
          <w:rFonts w:hint="eastAsia" w:ascii="宋体" w:hAnsi="宋体" w:cs="宋体"/>
          <w:w w:val="90"/>
        </w:rPr>
      </w:pPr>
    </w:p>
    <w:p>
      <w:pPr>
        <w:pStyle w:val="3"/>
        <w:spacing w:before="1680" w:beforeLines="700" w:after="0" w:line="360" w:lineRule="auto"/>
        <w:jc w:val="center"/>
        <w:rPr>
          <w:rFonts w:ascii="宋体" w:cs="宋体"/>
          <w:w w:val="90"/>
          <w:sz w:val="36"/>
        </w:rPr>
        <w:sectPr>
          <w:headerReference r:id="rId7" w:type="default"/>
          <w:footerReference r:id="rId8" w:type="default"/>
          <w:pgSz w:w="11907" w:h="16840"/>
          <w:pgMar w:top="1440" w:right="1469" w:bottom="1440" w:left="1622"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w w:val="90"/>
        </w:rPr>
        <w:t>第六章</w:t>
      </w:r>
      <w:r>
        <w:rPr>
          <w:rFonts w:ascii="宋体" w:hAnsi="宋体" w:cs="宋体"/>
          <w:w w:val="90"/>
        </w:rPr>
        <w:t xml:space="preserve"> </w:t>
      </w:r>
      <w:r>
        <w:rPr>
          <w:rFonts w:hint="eastAsia" w:ascii="宋体" w:hAnsi="宋体" w:cs="宋体"/>
          <w:w w:val="90"/>
        </w:rPr>
        <w:t>评标方法及评标标</w:t>
      </w:r>
      <w:bookmarkEnd w:id="86"/>
      <w:bookmarkEnd w:id="87"/>
      <w:r>
        <w:rPr>
          <w:rFonts w:hint="eastAsia" w:ascii="宋体" w:hAnsi="宋体" w:cs="宋体"/>
          <w:w w:val="90"/>
        </w:rPr>
        <w:t>准</w:t>
      </w:r>
      <w:bookmarkEnd w:id="88"/>
      <w:bookmarkEnd w:id="89"/>
      <w:bookmarkEnd w:id="90"/>
    </w:p>
    <w:p>
      <w:pPr>
        <w:spacing w:line="360" w:lineRule="auto"/>
        <w:ind w:firstLine="480" w:firstLineChars="200"/>
        <w:jc w:val="left"/>
        <w:rPr>
          <w:rFonts w:ascii="宋体" w:cs="宋体"/>
          <w:szCs w:val="21"/>
        </w:rPr>
      </w:pPr>
      <w:r>
        <w:rPr>
          <w:rFonts w:hint="eastAsia" w:ascii="宋体" w:hAnsi="宋体" w:cs="宋体"/>
          <w:sz w:val="24"/>
          <w:szCs w:val="24"/>
        </w:rPr>
        <w:t>采购项目开标结束后，采购人或者采购代理机构将依法对投标人的资格进行审查。审查记录表如下：</w:t>
      </w:r>
    </w:p>
    <w:tbl>
      <w:tblPr>
        <w:tblStyle w:val="47"/>
        <w:tblW w:w="90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8"/>
        <w:gridCol w:w="4105"/>
        <w:gridCol w:w="2977"/>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568" w:type="dxa"/>
            <w:vMerge w:val="restart"/>
            <w:tcBorders>
              <w:top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r>
              <w:rPr>
                <w:rFonts w:hint="eastAsia" w:ascii="宋体" w:hAnsi="宋体" w:cs="宋体"/>
                <w:sz w:val="24"/>
                <w:szCs w:val="24"/>
              </w:rPr>
              <w:t>序号</w:t>
            </w:r>
          </w:p>
        </w:tc>
        <w:tc>
          <w:tcPr>
            <w:tcW w:w="4105" w:type="dxa"/>
            <w:vMerge w:val="restart"/>
            <w:tcBorders>
              <w:top w:val="single" w:color="auto" w:sz="4" w:space="0"/>
              <w:left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r>
              <w:rPr>
                <w:rFonts w:hint="eastAsia" w:ascii="宋体" w:hAnsi="宋体" w:cs="宋体"/>
                <w:sz w:val="24"/>
                <w:szCs w:val="24"/>
              </w:rPr>
              <w:t>审查因素</w:t>
            </w:r>
          </w:p>
        </w:tc>
        <w:tc>
          <w:tcPr>
            <w:tcW w:w="2977" w:type="dxa"/>
            <w:vMerge w:val="restart"/>
            <w:tcBorders>
              <w:top w:val="single" w:color="auto" w:sz="4" w:space="0"/>
              <w:left w:val="single" w:color="auto" w:sz="4" w:space="0"/>
              <w:bottom w:val="single" w:color="auto" w:sz="4" w:space="0"/>
            </w:tcBorders>
            <w:vAlign w:val="center"/>
          </w:tcPr>
          <w:p>
            <w:pPr>
              <w:widowControl/>
              <w:spacing w:line="360" w:lineRule="auto"/>
              <w:jc w:val="center"/>
              <w:rPr>
                <w:rFonts w:ascii="宋体" w:cs="宋体"/>
                <w:sz w:val="24"/>
                <w:szCs w:val="24"/>
              </w:rPr>
            </w:pPr>
            <w:r>
              <w:rPr>
                <w:rFonts w:hint="eastAsia" w:ascii="宋体" w:hAnsi="宋体" w:cs="宋体"/>
                <w:sz w:val="24"/>
                <w:szCs w:val="24"/>
              </w:rPr>
              <w:t>审查标准</w:t>
            </w:r>
          </w:p>
        </w:tc>
        <w:tc>
          <w:tcPr>
            <w:tcW w:w="1449" w:type="dxa"/>
            <w:gridSpan w:val="3"/>
            <w:tcBorders>
              <w:top w:val="single" w:color="auto" w:sz="4" w:space="0"/>
              <w:left w:val="single" w:color="auto" w:sz="4" w:space="0"/>
              <w:bottom w:val="single" w:color="auto" w:sz="4" w:space="0"/>
            </w:tcBorders>
            <w:vAlign w:val="center"/>
          </w:tcPr>
          <w:p>
            <w:pPr>
              <w:widowControl/>
              <w:spacing w:line="360" w:lineRule="auto"/>
              <w:jc w:val="center"/>
              <w:rPr>
                <w:rFonts w:ascii="宋体" w:cs="宋体"/>
                <w:sz w:val="24"/>
                <w:szCs w:val="24"/>
              </w:rPr>
            </w:pPr>
            <w:r>
              <w:rPr>
                <w:rFonts w:hint="eastAsia" w:ascii="宋体" w:hAnsi="宋体" w:cs="宋体"/>
                <w:sz w:val="24"/>
                <w:szCs w:val="24"/>
              </w:rPr>
              <w:t>投标人名称及审查意见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jc w:val="center"/>
        </w:trPr>
        <w:tc>
          <w:tcPr>
            <w:tcW w:w="568" w:type="dxa"/>
            <w:vMerge w:val="continue"/>
            <w:tcBorders>
              <w:bottom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p>
        </w:tc>
        <w:tc>
          <w:tcPr>
            <w:tcW w:w="4105" w:type="dxa"/>
            <w:vMerge w:val="continue"/>
            <w:tcBorders>
              <w:left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r>
              <w:rPr>
                <w:rFonts w:ascii="宋体" w:hAnsi="宋体" w:cs="宋体"/>
                <w:sz w:val="24"/>
                <w:szCs w:val="24"/>
              </w:rPr>
              <w:t>1</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sz w:val="24"/>
                <w:szCs w:val="24"/>
              </w:rPr>
            </w:pPr>
            <w:r>
              <w:rPr>
                <w:rFonts w:hint="eastAsia" w:ascii="宋体" w:hAnsi="宋体" w:cs="宋体"/>
                <w:sz w:val="24"/>
                <w:szCs w:val="24"/>
              </w:rPr>
              <w:t>具有独立承担民事责任的能力</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sz w:val="24"/>
                <w:szCs w:val="24"/>
              </w:rPr>
            </w:pPr>
            <w:r>
              <w:rPr>
                <w:rFonts w:hint="eastAsia" w:ascii="宋体" w:hAnsi="宋体" w:cs="宋体"/>
                <w:sz w:val="24"/>
                <w:szCs w:val="24"/>
              </w:rPr>
              <w:t>符合第七章投标文件格式“一、投标文件</w:t>
            </w:r>
            <w:r>
              <w:rPr>
                <w:rFonts w:ascii="宋体" w:cs="宋体"/>
                <w:sz w:val="24"/>
                <w:szCs w:val="24"/>
              </w:rPr>
              <w:t>-</w:t>
            </w:r>
            <w:r>
              <w:rPr>
                <w:rFonts w:hint="eastAsia" w:ascii="宋体" w:hAnsi="宋体" w:cs="宋体"/>
                <w:sz w:val="24"/>
                <w:szCs w:val="24"/>
              </w:rPr>
              <w:t>资格证明材料”第</w:t>
            </w:r>
            <w:r>
              <w:rPr>
                <w:rFonts w:ascii="宋体" w:hAnsi="宋体" w:cs="宋体"/>
                <w:sz w:val="24"/>
                <w:szCs w:val="24"/>
              </w:rPr>
              <w:t>1.1</w:t>
            </w:r>
            <w:r>
              <w:rPr>
                <w:rFonts w:hint="eastAsia" w:ascii="宋体" w:hAnsi="宋体" w:cs="宋体"/>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r>
              <w:rPr>
                <w:rFonts w:ascii="宋体" w:hAnsi="宋体" w:cs="宋体"/>
                <w:sz w:val="24"/>
                <w:szCs w:val="24"/>
              </w:rPr>
              <w:t>2</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sz w:val="24"/>
                <w:szCs w:val="24"/>
              </w:rPr>
            </w:pPr>
            <w:r>
              <w:rPr>
                <w:rFonts w:hint="eastAsia" w:ascii="宋体" w:hAnsi="宋体" w:cs="宋体"/>
                <w:sz w:val="24"/>
                <w:szCs w:val="24"/>
              </w:rPr>
              <w:t>具有良好的商业信誉和健全的财务会计制度</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sz w:val="24"/>
                <w:szCs w:val="24"/>
              </w:rPr>
            </w:pPr>
            <w:r>
              <w:rPr>
                <w:rFonts w:hint="eastAsia" w:ascii="宋体" w:hAnsi="宋体" w:cs="宋体"/>
                <w:sz w:val="24"/>
                <w:szCs w:val="24"/>
              </w:rPr>
              <w:t>符合第七章投标文件格式“一、投标文件</w:t>
            </w:r>
            <w:r>
              <w:rPr>
                <w:rFonts w:ascii="宋体" w:cs="宋体"/>
                <w:sz w:val="24"/>
                <w:szCs w:val="24"/>
              </w:rPr>
              <w:t>-</w:t>
            </w:r>
            <w:r>
              <w:rPr>
                <w:rFonts w:hint="eastAsia" w:ascii="宋体" w:hAnsi="宋体" w:cs="宋体"/>
                <w:sz w:val="24"/>
                <w:szCs w:val="24"/>
              </w:rPr>
              <w:t>资格证明材料”第</w:t>
            </w:r>
            <w:r>
              <w:rPr>
                <w:rFonts w:ascii="宋体" w:hAnsi="宋体" w:cs="宋体"/>
                <w:sz w:val="24"/>
                <w:szCs w:val="24"/>
              </w:rPr>
              <w:t>1.2</w:t>
            </w:r>
            <w:r>
              <w:rPr>
                <w:rFonts w:hint="eastAsia" w:ascii="宋体" w:hAnsi="宋体" w:cs="宋体"/>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r>
              <w:rPr>
                <w:rFonts w:ascii="宋体" w:hAnsi="宋体" w:cs="宋体"/>
                <w:sz w:val="24"/>
                <w:szCs w:val="24"/>
              </w:rPr>
              <w:t>3</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sz w:val="24"/>
                <w:szCs w:val="24"/>
              </w:rPr>
            </w:pPr>
            <w:r>
              <w:rPr>
                <w:rFonts w:hint="eastAsia" w:ascii="宋体" w:hAnsi="宋体" w:cs="宋体"/>
                <w:color w:val="000000"/>
                <w:sz w:val="24"/>
                <w:szCs w:val="24"/>
              </w:rPr>
              <w:t>具有履行合同所必需的设备和专业技术能力</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sz w:val="24"/>
                <w:szCs w:val="24"/>
              </w:rPr>
            </w:pPr>
            <w:r>
              <w:rPr>
                <w:rFonts w:hint="eastAsia" w:ascii="宋体" w:hAnsi="宋体" w:cs="宋体"/>
                <w:sz w:val="24"/>
                <w:szCs w:val="24"/>
              </w:rPr>
              <w:t>符合第七章投标文件格式“一、投标文件</w:t>
            </w:r>
            <w:r>
              <w:rPr>
                <w:rFonts w:ascii="宋体" w:cs="宋体"/>
                <w:sz w:val="24"/>
                <w:szCs w:val="24"/>
              </w:rPr>
              <w:t>-</w:t>
            </w:r>
            <w:r>
              <w:rPr>
                <w:rFonts w:hint="eastAsia" w:ascii="宋体" w:hAnsi="宋体" w:cs="宋体"/>
                <w:sz w:val="24"/>
                <w:szCs w:val="24"/>
              </w:rPr>
              <w:t>资格证明材料”第</w:t>
            </w:r>
            <w:r>
              <w:rPr>
                <w:rFonts w:ascii="宋体" w:hAnsi="宋体" w:cs="宋体"/>
                <w:sz w:val="24"/>
                <w:szCs w:val="24"/>
              </w:rPr>
              <w:t>1.3</w:t>
            </w:r>
            <w:r>
              <w:rPr>
                <w:rFonts w:hint="eastAsia" w:ascii="宋体" w:hAnsi="宋体" w:cs="宋体"/>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r>
              <w:rPr>
                <w:rFonts w:ascii="宋体" w:hAnsi="宋体" w:cs="宋体"/>
                <w:sz w:val="24"/>
                <w:szCs w:val="24"/>
              </w:rPr>
              <w:t>4</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sz w:val="24"/>
                <w:szCs w:val="24"/>
              </w:rPr>
            </w:pPr>
            <w:r>
              <w:rPr>
                <w:rFonts w:hint="eastAsia" w:ascii="宋体" w:hAnsi="宋体" w:cs="宋体"/>
                <w:color w:val="000000"/>
                <w:kern w:val="0"/>
                <w:sz w:val="24"/>
                <w:szCs w:val="24"/>
                <w:lang w:val="zh-CN"/>
              </w:rPr>
              <w:t>有依法缴纳税收和社会保障资金的良好记录</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sz w:val="24"/>
                <w:szCs w:val="24"/>
              </w:rPr>
            </w:pPr>
            <w:r>
              <w:rPr>
                <w:rFonts w:hint="eastAsia" w:ascii="宋体" w:hAnsi="宋体" w:cs="宋体"/>
                <w:sz w:val="24"/>
                <w:szCs w:val="24"/>
              </w:rPr>
              <w:t>符合第七章投标文件格式“一、投标文件</w:t>
            </w:r>
            <w:r>
              <w:rPr>
                <w:rFonts w:ascii="宋体" w:cs="宋体"/>
                <w:sz w:val="24"/>
                <w:szCs w:val="24"/>
              </w:rPr>
              <w:t>-</w:t>
            </w:r>
            <w:r>
              <w:rPr>
                <w:rFonts w:hint="eastAsia" w:ascii="宋体" w:hAnsi="宋体" w:cs="宋体"/>
                <w:sz w:val="24"/>
                <w:szCs w:val="24"/>
              </w:rPr>
              <w:t>资格证明材料”第</w:t>
            </w:r>
            <w:r>
              <w:rPr>
                <w:rFonts w:ascii="宋体" w:hAnsi="宋体" w:cs="宋体"/>
                <w:sz w:val="24"/>
                <w:szCs w:val="24"/>
              </w:rPr>
              <w:t>1.4</w:t>
            </w:r>
            <w:r>
              <w:rPr>
                <w:rFonts w:hint="eastAsia" w:ascii="宋体" w:hAnsi="宋体" w:cs="宋体"/>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color w:val="000000"/>
                <w:sz w:val="24"/>
                <w:szCs w:val="24"/>
              </w:rPr>
            </w:pPr>
            <w:r>
              <w:rPr>
                <w:rFonts w:ascii="宋体" w:hAnsi="宋体" w:cs="宋体"/>
                <w:color w:val="000000"/>
                <w:sz w:val="24"/>
                <w:szCs w:val="24"/>
              </w:rPr>
              <w:t>5</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color w:val="000000"/>
                <w:sz w:val="24"/>
                <w:szCs w:val="24"/>
              </w:rPr>
            </w:pPr>
            <w:bookmarkStart w:id="91" w:name="OLE_LINK5"/>
            <w:r>
              <w:rPr>
                <w:rFonts w:hint="eastAsia" w:ascii="宋体" w:hAnsi="宋体" w:cs="宋体"/>
                <w:color w:val="000000"/>
                <w:sz w:val="24"/>
                <w:szCs w:val="24"/>
              </w:rPr>
              <w:t>参加政府采购活动前三年内，在经营活动中没有重大违法记录</w:t>
            </w:r>
            <w:bookmarkEnd w:id="91"/>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color w:val="000000"/>
                <w:sz w:val="24"/>
                <w:szCs w:val="24"/>
              </w:rPr>
            </w:pPr>
            <w:r>
              <w:rPr>
                <w:rFonts w:hint="eastAsia" w:ascii="宋体" w:hAnsi="宋体" w:cs="宋体"/>
                <w:color w:val="000000"/>
                <w:sz w:val="24"/>
                <w:szCs w:val="24"/>
              </w:rPr>
              <w:t>符合第七章投标文件格式“一、投标文件</w:t>
            </w:r>
            <w:r>
              <w:rPr>
                <w:rFonts w:ascii="宋体" w:cs="宋体"/>
                <w:color w:val="000000"/>
                <w:sz w:val="24"/>
                <w:szCs w:val="24"/>
              </w:rPr>
              <w:t>-</w:t>
            </w:r>
            <w:r>
              <w:rPr>
                <w:rFonts w:hint="eastAsia" w:ascii="宋体" w:hAnsi="宋体" w:cs="宋体"/>
                <w:color w:val="000000"/>
                <w:sz w:val="24"/>
                <w:szCs w:val="24"/>
              </w:rPr>
              <w:t>资格证明材料”第</w:t>
            </w:r>
            <w:r>
              <w:rPr>
                <w:rFonts w:ascii="宋体" w:hAnsi="宋体" w:cs="宋体"/>
                <w:color w:val="000000"/>
                <w:sz w:val="24"/>
                <w:szCs w:val="24"/>
              </w:rPr>
              <w:t>1.5</w:t>
            </w:r>
            <w:r>
              <w:rPr>
                <w:rFonts w:hint="eastAsia" w:ascii="宋体" w:hAnsi="宋体" w:cs="宋体"/>
                <w:color w:val="000000"/>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color w:val="000000"/>
                <w:sz w:val="24"/>
                <w:szCs w:val="24"/>
              </w:rPr>
            </w:pPr>
            <w:r>
              <w:rPr>
                <w:rFonts w:ascii="宋体" w:hAnsi="宋体" w:cs="宋体"/>
                <w:color w:val="000000"/>
                <w:sz w:val="24"/>
                <w:szCs w:val="24"/>
              </w:rPr>
              <w:t>6</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color w:val="000000"/>
                <w:sz w:val="24"/>
                <w:szCs w:val="24"/>
              </w:rPr>
            </w:pPr>
            <w:r>
              <w:rPr>
                <w:rFonts w:hint="eastAsia" w:ascii="宋体" w:hAnsi="宋体" w:cs="宋体"/>
                <w:color w:val="000000"/>
                <w:sz w:val="24"/>
                <w:szCs w:val="24"/>
              </w:rPr>
              <w:t>符合招标文件第二章“投标人须知前附表”</w:t>
            </w:r>
            <w:r>
              <w:rPr>
                <w:rFonts w:ascii="宋体" w:hAnsi="宋体" w:cs="宋体"/>
                <w:color w:val="000000"/>
                <w:sz w:val="24"/>
                <w:szCs w:val="24"/>
              </w:rPr>
              <w:t>15.1</w:t>
            </w:r>
            <w:r>
              <w:rPr>
                <w:rFonts w:hint="eastAsia" w:ascii="宋体" w:hAnsi="宋体" w:cs="宋体"/>
                <w:color w:val="000000"/>
                <w:sz w:val="24"/>
                <w:szCs w:val="24"/>
              </w:rPr>
              <w:t>中第</w:t>
            </w:r>
            <w:r>
              <w:rPr>
                <w:rFonts w:ascii="宋体" w:hAnsi="宋体" w:cs="宋体"/>
                <w:color w:val="000000"/>
                <w:sz w:val="24"/>
                <w:szCs w:val="24"/>
              </w:rPr>
              <w:t>2</w:t>
            </w:r>
            <w:r>
              <w:rPr>
                <w:rFonts w:hint="eastAsia" w:ascii="宋体" w:hAnsi="宋体" w:cs="宋体"/>
                <w:color w:val="000000"/>
                <w:sz w:val="24"/>
                <w:szCs w:val="24"/>
              </w:rPr>
              <w:t>条的证明材料</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color w:val="000000"/>
                <w:sz w:val="24"/>
                <w:szCs w:val="24"/>
              </w:rPr>
            </w:pPr>
            <w:r>
              <w:rPr>
                <w:rFonts w:hint="eastAsia" w:ascii="宋体" w:hAnsi="宋体" w:cs="宋体"/>
                <w:color w:val="000000"/>
                <w:sz w:val="24"/>
                <w:szCs w:val="24"/>
              </w:rPr>
              <w:t>符合第七章投标文件格式“一、投标文件</w:t>
            </w:r>
            <w:r>
              <w:rPr>
                <w:rFonts w:ascii="宋体" w:cs="宋体"/>
                <w:color w:val="000000"/>
                <w:sz w:val="24"/>
                <w:szCs w:val="24"/>
              </w:rPr>
              <w:t>-</w:t>
            </w:r>
            <w:r>
              <w:rPr>
                <w:rFonts w:hint="eastAsia" w:ascii="宋体" w:hAnsi="宋体" w:cs="宋体"/>
                <w:color w:val="000000"/>
                <w:sz w:val="24"/>
                <w:szCs w:val="24"/>
              </w:rPr>
              <w:t>资格证明材料”第</w:t>
            </w:r>
            <w:r>
              <w:rPr>
                <w:rFonts w:ascii="宋体" w:hAnsi="宋体" w:cs="宋体"/>
                <w:color w:val="000000"/>
                <w:sz w:val="24"/>
                <w:szCs w:val="24"/>
              </w:rPr>
              <w:t>1.6</w:t>
            </w:r>
            <w:r>
              <w:rPr>
                <w:rFonts w:hint="eastAsia" w:ascii="宋体" w:hAnsi="宋体" w:cs="宋体"/>
                <w:color w:val="000000"/>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color w:val="000000"/>
                <w:sz w:val="24"/>
                <w:szCs w:val="24"/>
              </w:rPr>
            </w:pPr>
            <w:r>
              <w:rPr>
                <w:rFonts w:ascii="宋体" w:hAnsi="宋体" w:cs="宋体"/>
                <w:color w:val="000000"/>
                <w:sz w:val="24"/>
                <w:szCs w:val="24"/>
              </w:rPr>
              <w:t>7</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ascii="宋体" w:hAnsi="宋体" w:cs="宋体"/>
                <w:color w:val="000000"/>
                <w:sz w:val="24"/>
                <w:szCs w:val="24"/>
              </w:rPr>
              <w:t>符合招标文件第二章“投标人须知前附表”15.1中第3条的证明材料：</w:t>
            </w:r>
            <w:r>
              <w:rPr>
                <w:rFonts w:hint="eastAsia" w:ascii="宋体" w:hAnsi="宋体" w:cs="宋体"/>
                <w:color w:val="000000"/>
                <w:sz w:val="24"/>
                <w:szCs w:val="24"/>
                <w:u w:val="single"/>
              </w:rPr>
              <w:t>具有</w:t>
            </w:r>
            <w:r>
              <w:rPr>
                <w:rFonts w:hint="eastAsia" w:ascii="宋体" w:hAnsi="宋体" w:cs="宋体"/>
                <w:color w:val="000000"/>
                <w:sz w:val="24"/>
                <w:szCs w:val="24"/>
                <w:u w:val="single"/>
                <w:lang w:eastAsia="zh-CN"/>
              </w:rPr>
              <w:t>有效三级甲等综合医院资质</w:t>
            </w:r>
            <w:r>
              <w:rPr>
                <w:rFonts w:hint="eastAsia" w:ascii="宋体" w:hAnsi="宋体" w:cs="宋体"/>
                <w:color w:val="000000"/>
                <w:sz w:val="24"/>
                <w:szCs w:val="24"/>
                <w:u w:val="single"/>
              </w:rPr>
              <w:t>。</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color w:val="000000"/>
                <w:sz w:val="24"/>
                <w:szCs w:val="24"/>
              </w:rPr>
            </w:pPr>
            <w:bookmarkStart w:id="92" w:name="OLE_LINK4"/>
            <w:r>
              <w:rPr>
                <w:rFonts w:hint="eastAsia" w:ascii="宋体" w:hAnsi="宋体" w:cs="宋体"/>
                <w:color w:val="000000"/>
                <w:sz w:val="24"/>
                <w:szCs w:val="24"/>
              </w:rPr>
              <w:t>符合第七章投标文件格式“一、投标文件</w:t>
            </w:r>
            <w:r>
              <w:rPr>
                <w:rFonts w:ascii="宋体" w:cs="宋体"/>
                <w:color w:val="000000"/>
                <w:sz w:val="24"/>
                <w:szCs w:val="24"/>
              </w:rPr>
              <w:t>-</w:t>
            </w:r>
            <w:r>
              <w:rPr>
                <w:rFonts w:hint="eastAsia" w:ascii="宋体" w:hAnsi="宋体" w:cs="宋体"/>
                <w:color w:val="000000"/>
                <w:sz w:val="24"/>
                <w:szCs w:val="24"/>
              </w:rPr>
              <w:t>资格证明材料”第</w:t>
            </w:r>
            <w:r>
              <w:rPr>
                <w:rFonts w:ascii="宋体" w:hAnsi="宋体" w:cs="宋体"/>
                <w:color w:val="000000"/>
                <w:sz w:val="24"/>
                <w:szCs w:val="24"/>
              </w:rPr>
              <w:t>1.7</w:t>
            </w:r>
            <w:r>
              <w:rPr>
                <w:rFonts w:hint="eastAsia" w:ascii="宋体" w:hAnsi="宋体" w:cs="宋体"/>
                <w:color w:val="000000"/>
                <w:sz w:val="24"/>
                <w:szCs w:val="24"/>
              </w:rPr>
              <w:t>项要求</w:t>
            </w:r>
            <w:bookmarkEnd w:id="92"/>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color w:val="000000"/>
                <w:sz w:val="24"/>
                <w:szCs w:val="24"/>
              </w:rPr>
            </w:pPr>
            <w:r>
              <w:rPr>
                <w:rFonts w:ascii="宋体" w:hAnsi="宋体" w:cs="宋体"/>
                <w:color w:val="000000"/>
                <w:sz w:val="24"/>
                <w:szCs w:val="24"/>
              </w:rPr>
              <w:t>8</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color w:val="000000"/>
                <w:sz w:val="24"/>
                <w:szCs w:val="24"/>
              </w:rPr>
            </w:pPr>
            <w:r>
              <w:rPr>
                <w:rFonts w:hint="eastAsia" w:ascii="宋体" w:hAnsi="宋体" w:cs="宋体"/>
                <w:color w:val="000000"/>
                <w:sz w:val="24"/>
                <w:szCs w:val="24"/>
              </w:rPr>
              <w:t>投标承诺书</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color w:val="000000"/>
                <w:sz w:val="24"/>
                <w:szCs w:val="24"/>
              </w:rPr>
            </w:pPr>
            <w:r>
              <w:rPr>
                <w:rFonts w:hint="eastAsia" w:ascii="宋体" w:hAnsi="宋体" w:cs="宋体"/>
                <w:color w:val="000000"/>
                <w:sz w:val="24"/>
                <w:szCs w:val="24"/>
              </w:rPr>
              <w:t>符合第七章投标文件格式“一、投标文件</w:t>
            </w:r>
            <w:r>
              <w:rPr>
                <w:rFonts w:ascii="宋体" w:cs="宋体"/>
                <w:color w:val="000000"/>
                <w:sz w:val="24"/>
                <w:szCs w:val="24"/>
              </w:rPr>
              <w:t>-</w:t>
            </w:r>
            <w:r>
              <w:rPr>
                <w:rFonts w:hint="eastAsia" w:ascii="宋体" w:hAnsi="宋体" w:cs="宋体"/>
                <w:color w:val="000000"/>
                <w:sz w:val="24"/>
                <w:szCs w:val="24"/>
              </w:rPr>
              <w:t>资格证明材料”第</w:t>
            </w:r>
            <w:r>
              <w:rPr>
                <w:rFonts w:ascii="宋体" w:hAnsi="宋体" w:cs="宋体"/>
                <w:color w:val="000000"/>
                <w:sz w:val="24"/>
                <w:szCs w:val="24"/>
              </w:rPr>
              <w:t>1.8</w:t>
            </w:r>
            <w:r>
              <w:rPr>
                <w:rFonts w:hint="eastAsia" w:ascii="宋体" w:hAnsi="宋体" w:cs="宋体"/>
                <w:color w:val="000000"/>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color w:val="000000"/>
                <w:sz w:val="24"/>
                <w:szCs w:val="24"/>
              </w:rPr>
            </w:pPr>
            <w:r>
              <w:rPr>
                <w:rFonts w:ascii="宋体" w:hAnsi="宋体" w:cs="宋体"/>
                <w:color w:val="000000"/>
                <w:sz w:val="24"/>
                <w:szCs w:val="24"/>
              </w:rPr>
              <w:t>9</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color w:val="000000"/>
                <w:sz w:val="24"/>
                <w:szCs w:val="24"/>
              </w:rPr>
            </w:pPr>
            <w:r>
              <w:rPr>
                <w:rFonts w:hint="eastAsia" w:ascii="宋体" w:hAnsi="宋体" w:cs="宋体"/>
                <w:color w:val="000000"/>
                <w:sz w:val="24"/>
                <w:szCs w:val="22"/>
              </w:rPr>
              <w:t>投标保证金凭证</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color w:val="000000"/>
                <w:sz w:val="24"/>
                <w:szCs w:val="24"/>
              </w:rPr>
            </w:pPr>
            <w:r>
              <w:rPr>
                <w:rFonts w:hint="eastAsia" w:ascii="宋体" w:hAnsi="宋体" w:cs="宋体"/>
                <w:color w:val="000000"/>
                <w:sz w:val="24"/>
                <w:szCs w:val="24"/>
              </w:rPr>
              <w:t>符合第七章投标文件格式“一、投标文件</w:t>
            </w:r>
            <w:r>
              <w:rPr>
                <w:rFonts w:ascii="宋体" w:cs="宋体"/>
                <w:color w:val="000000"/>
                <w:sz w:val="24"/>
                <w:szCs w:val="24"/>
              </w:rPr>
              <w:t>-</w:t>
            </w:r>
            <w:r>
              <w:rPr>
                <w:rFonts w:hint="eastAsia" w:ascii="宋体" w:hAnsi="宋体" w:cs="宋体"/>
                <w:color w:val="000000"/>
                <w:sz w:val="24"/>
                <w:szCs w:val="24"/>
              </w:rPr>
              <w:t>资格证明材料”第</w:t>
            </w:r>
            <w:r>
              <w:rPr>
                <w:rFonts w:ascii="宋体" w:hAnsi="宋体" w:cs="宋体"/>
                <w:color w:val="000000"/>
                <w:sz w:val="24"/>
                <w:szCs w:val="24"/>
              </w:rPr>
              <w:t>1.9</w:t>
            </w:r>
            <w:r>
              <w:rPr>
                <w:rFonts w:hint="eastAsia" w:ascii="宋体" w:hAnsi="宋体" w:cs="宋体"/>
                <w:color w:val="000000"/>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7650" w:type="dxa"/>
            <w:gridSpan w:val="3"/>
            <w:tcBorders>
              <w:top w:val="single" w:color="auto" w:sz="4" w:space="0"/>
              <w:bottom w:val="single" w:color="auto" w:sz="4" w:space="0"/>
              <w:right w:val="single" w:color="auto" w:sz="4" w:space="0"/>
            </w:tcBorders>
          </w:tcPr>
          <w:p>
            <w:pPr>
              <w:spacing w:before="60" w:beforeLines="25" w:after="60" w:afterLines="25" w:line="360" w:lineRule="auto"/>
              <w:jc w:val="center"/>
              <w:rPr>
                <w:rFonts w:ascii="宋体" w:cs="宋体"/>
                <w:b/>
                <w:color w:val="000000"/>
                <w:sz w:val="24"/>
                <w:szCs w:val="24"/>
              </w:rPr>
            </w:pPr>
            <w:r>
              <w:rPr>
                <w:rFonts w:hint="eastAsia" w:ascii="宋体" w:hAnsi="宋体" w:cs="宋体"/>
                <w:b/>
                <w:color w:val="000000"/>
                <w:sz w:val="24"/>
                <w:szCs w:val="24"/>
              </w:rPr>
              <w:t>资格审查结论</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bl>
    <w:p>
      <w:pPr>
        <w:spacing w:line="360" w:lineRule="auto"/>
        <w:ind w:left="809" w:right="685" w:rightChars="326" w:hanging="808" w:hangingChars="337"/>
        <w:rPr>
          <w:rFonts w:ascii="宋体" w:cs="宋体"/>
          <w:b/>
          <w:sz w:val="30"/>
          <w:szCs w:val="30"/>
        </w:rPr>
      </w:pPr>
      <w:r>
        <w:rPr>
          <w:rFonts w:hint="eastAsia" w:ascii="宋体" w:hAnsi="宋体" w:cs="宋体"/>
          <w:sz w:val="24"/>
          <w:szCs w:val="24"/>
        </w:rPr>
        <w:t>说明：采购人或者采购代理机构对投标人提交的资格证明材料进行审查，并在对应的审查意见一栏记录审查意见：通过资格审查标注为√；未通过资格审查标注为×。未通过资格审查的投标不进入详细评审。</w:t>
      </w:r>
    </w:p>
    <w:p>
      <w:pPr>
        <w:widowControl/>
        <w:jc w:val="left"/>
        <w:rPr>
          <w:rFonts w:ascii="宋体" w:cs="宋体"/>
          <w:b/>
          <w:sz w:val="30"/>
          <w:szCs w:val="30"/>
        </w:rPr>
      </w:pPr>
      <w:r>
        <w:rPr>
          <w:rFonts w:ascii="宋体" w:cs="宋体"/>
          <w:b/>
          <w:sz w:val="30"/>
          <w:szCs w:val="30"/>
        </w:rPr>
        <w:br w:type="page"/>
      </w:r>
    </w:p>
    <w:p>
      <w:pPr>
        <w:pStyle w:val="4"/>
        <w:spacing w:line="288" w:lineRule="auto"/>
        <w:rPr>
          <w:rFonts w:ascii="宋体" w:hAnsi="宋体" w:eastAsia="宋体" w:cs="宋体"/>
          <w:sz w:val="36"/>
          <w:szCs w:val="24"/>
        </w:rPr>
      </w:pPr>
      <w:bookmarkStart w:id="93" w:name="_Toc44704907"/>
      <w:bookmarkStart w:id="94" w:name="_Toc44705275"/>
      <w:bookmarkStart w:id="95" w:name="_Toc44705054"/>
      <w:r>
        <w:rPr>
          <w:rFonts w:hint="eastAsia" w:ascii="宋体" w:hAnsi="宋体" w:eastAsia="宋体" w:cs="宋体"/>
          <w:sz w:val="36"/>
          <w:szCs w:val="24"/>
        </w:rPr>
        <w:t>第一部分：评标方法</w:t>
      </w:r>
      <w:bookmarkEnd w:id="93"/>
      <w:bookmarkEnd w:id="94"/>
      <w:bookmarkEnd w:id="95"/>
    </w:p>
    <w:p>
      <w:pPr>
        <w:spacing w:line="360" w:lineRule="auto"/>
        <w:ind w:firstLine="480"/>
        <w:rPr>
          <w:rFonts w:ascii="宋体" w:cs="宋体"/>
          <w:sz w:val="24"/>
          <w:szCs w:val="24"/>
        </w:rPr>
      </w:pPr>
      <w:r>
        <w:rPr>
          <w:rFonts w:hint="eastAsia" w:ascii="宋体" w:hAnsi="宋体" w:cs="宋体"/>
          <w:sz w:val="24"/>
          <w:szCs w:val="24"/>
        </w:rPr>
        <w:t>本项目采用综合评分法（是指投标文件满足招标文件全部实质性要求，且按照评审因素的量化指标评审得分最高的投标人为中标候选人的评标方法），总分</w:t>
      </w:r>
      <w:r>
        <w:rPr>
          <w:rFonts w:ascii="宋体" w:hAnsi="宋体" w:cs="宋体"/>
          <w:sz w:val="24"/>
          <w:szCs w:val="24"/>
        </w:rPr>
        <w:t>100</w:t>
      </w:r>
      <w:r>
        <w:rPr>
          <w:rFonts w:hint="eastAsia" w:ascii="宋体" w:hAnsi="宋体" w:cs="宋体"/>
          <w:sz w:val="24"/>
          <w:szCs w:val="24"/>
        </w:rPr>
        <w:t>分，其中价格占</w:t>
      </w:r>
      <w:r>
        <w:rPr>
          <w:rFonts w:ascii="宋体" w:hAnsi="宋体" w:cs="宋体"/>
          <w:sz w:val="24"/>
          <w:szCs w:val="24"/>
        </w:rPr>
        <w:t>10</w:t>
      </w:r>
      <w:r>
        <w:rPr>
          <w:rFonts w:hint="eastAsia" w:ascii="宋体" w:hAnsi="宋体" w:cs="宋体"/>
          <w:sz w:val="24"/>
          <w:szCs w:val="24"/>
        </w:rPr>
        <w:t>分</w:t>
      </w:r>
      <w:r>
        <w:rPr>
          <w:rFonts w:ascii="宋体" w:cs="宋体"/>
          <w:sz w:val="24"/>
          <w:szCs w:val="24"/>
        </w:rPr>
        <w:t>,</w:t>
      </w:r>
      <w:r>
        <w:rPr>
          <w:rFonts w:hint="eastAsia" w:ascii="宋体" w:hAnsi="宋体" w:cs="宋体"/>
          <w:sz w:val="24"/>
          <w:szCs w:val="24"/>
        </w:rPr>
        <w:t>商务、技术部分占</w:t>
      </w:r>
      <w:r>
        <w:rPr>
          <w:rFonts w:ascii="宋体" w:hAnsi="宋体" w:cs="宋体"/>
          <w:sz w:val="24"/>
          <w:szCs w:val="24"/>
        </w:rPr>
        <w:t>90</w:t>
      </w:r>
      <w:r>
        <w:rPr>
          <w:rFonts w:hint="eastAsia" w:ascii="宋体" w:hAnsi="宋体" w:cs="宋体"/>
          <w:sz w:val="24"/>
          <w:szCs w:val="24"/>
        </w:rPr>
        <w:t>分。</w:t>
      </w:r>
    </w:p>
    <w:p>
      <w:pPr>
        <w:pStyle w:val="4"/>
        <w:spacing w:line="288" w:lineRule="auto"/>
        <w:rPr>
          <w:rFonts w:ascii="宋体" w:hAnsi="宋体" w:eastAsia="宋体" w:cs="宋体"/>
          <w:bCs w:val="0"/>
          <w:sz w:val="36"/>
          <w:szCs w:val="24"/>
        </w:rPr>
      </w:pPr>
      <w:bookmarkStart w:id="96" w:name="_Toc44704908"/>
      <w:bookmarkStart w:id="97" w:name="_Toc44705055"/>
      <w:bookmarkStart w:id="98" w:name="_Toc44705276"/>
      <w:r>
        <w:rPr>
          <w:rFonts w:hint="eastAsia" w:ascii="宋体" w:hAnsi="宋体" w:eastAsia="宋体" w:cs="宋体"/>
          <w:bCs w:val="0"/>
          <w:sz w:val="36"/>
          <w:szCs w:val="24"/>
        </w:rPr>
        <w:t>第二部分：评标标准</w:t>
      </w:r>
      <w:bookmarkEnd w:id="96"/>
      <w:bookmarkEnd w:id="97"/>
      <w:bookmarkEnd w:id="98"/>
    </w:p>
    <w:p>
      <w:pPr>
        <w:spacing w:line="360" w:lineRule="auto"/>
        <w:ind w:firstLine="482" w:firstLineChars="200"/>
        <w:rPr>
          <w:rFonts w:ascii="宋体" w:cs="宋体"/>
          <w:b/>
          <w:bCs/>
          <w:sz w:val="24"/>
          <w:szCs w:val="24"/>
        </w:rPr>
      </w:pPr>
      <w:r>
        <w:rPr>
          <w:rFonts w:hint="eastAsia" w:ascii="宋体" w:hAnsi="宋体" w:cs="宋体"/>
          <w:b/>
          <w:bCs/>
          <w:sz w:val="24"/>
          <w:szCs w:val="24"/>
        </w:rPr>
        <w:t>一、符合性审查</w:t>
      </w:r>
    </w:p>
    <w:p>
      <w:pPr>
        <w:spacing w:line="360" w:lineRule="auto"/>
        <w:ind w:firstLine="482" w:firstLineChars="200"/>
        <w:rPr>
          <w:rFonts w:ascii="宋体" w:cs="宋体"/>
          <w:b/>
          <w:bCs/>
          <w:sz w:val="24"/>
          <w:szCs w:val="24"/>
        </w:rPr>
      </w:pPr>
      <w:r>
        <w:rPr>
          <w:rFonts w:hint="eastAsia" w:ascii="宋体" w:hAnsi="宋体" w:cs="宋体"/>
          <w:b/>
          <w:bCs/>
          <w:sz w:val="24"/>
          <w:szCs w:val="24"/>
        </w:rPr>
        <w:t>评标委员会根据招标文件第三章投标人须知第</w:t>
      </w:r>
      <w:r>
        <w:rPr>
          <w:rFonts w:ascii="宋体" w:hAnsi="宋体" w:cs="宋体"/>
          <w:b/>
          <w:bCs/>
          <w:sz w:val="24"/>
          <w:szCs w:val="24"/>
        </w:rPr>
        <w:t>26.4.5</w:t>
      </w:r>
      <w:r>
        <w:rPr>
          <w:rFonts w:hint="eastAsia" w:ascii="宋体" w:hAnsi="宋体" w:cs="宋体"/>
          <w:b/>
          <w:bCs/>
          <w:sz w:val="24"/>
          <w:szCs w:val="24"/>
        </w:rPr>
        <w:t>条和第</w:t>
      </w:r>
      <w:r>
        <w:rPr>
          <w:rFonts w:ascii="宋体" w:hAnsi="宋体" w:cs="宋体"/>
          <w:b/>
          <w:bCs/>
          <w:sz w:val="24"/>
          <w:szCs w:val="24"/>
        </w:rPr>
        <w:t>26.4.6</w:t>
      </w:r>
      <w:r>
        <w:rPr>
          <w:rFonts w:hint="eastAsia" w:ascii="宋体" w:hAnsi="宋体" w:cs="宋体"/>
          <w:b/>
          <w:bCs/>
          <w:sz w:val="24"/>
          <w:szCs w:val="24"/>
        </w:rPr>
        <w:t>条的规定，对通过资格审查的合格投标人的投标文件进行符合性审查，未通过符合性审查的投标不进入详细评审。</w:t>
      </w:r>
    </w:p>
    <w:p>
      <w:pPr>
        <w:spacing w:line="360" w:lineRule="auto"/>
        <w:ind w:firstLine="482" w:firstLineChars="200"/>
        <w:rPr>
          <w:rFonts w:ascii="宋体" w:cs="宋体"/>
          <w:b/>
          <w:bCs/>
          <w:sz w:val="24"/>
          <w:szCs w:val="24"/>
        </w:rPr>
      </w:pPr>
      <w:r>
        <w:rPr>
          <w:rFonts w:hint="eastAsia" w:ascii="宋体" w:hAnsi="宋体" w:cs="宋体"/>
          <w:b/>
          <w:bCs/>
          <w:sz w:val="24"/>
          <w:szCs w:val="24"/>
        </w:rPr>
        <w:t>二、详细评审</w:t>
      </w:r>
    </w:p>
    <w:p>
      <w:pPr>
        <w:spacing w:line="360" w:lineRule="auto"/>
        <w:ind w:firstLine="360" w:firstLineChars="150"/>
        <w:rPr>
          <w:rFonts w:ascii="宋体" w:cs="宋体"/>
          <w:sz w:val="24"/>
          <w:szCs w:val="24"/>
        </w:rPr>
      </w:pPr>
      <w:r>
        <w:rPr>
          <w:rFonts w:hint="eastAsia" w:ascii="宋体" w:hAnsi="宋体" w:cs="宋体"/>
          <w:sz w:val="24"/>
          <w:szCs w:val="24"/>
        </w:rPr>
        <w:t>（一）、价格分（</w:t>
      </w:r>
      <w:r>
        <w:rPr>
          <w:rFonts w:ascii="宋体" w:hAnsi="宋体" w:cs="宋体"/>
          <w:sz w:val="24"/>
          <w:szCs w:val="24"/>
        </w:rPr>
        <w:t>10</w:t>
      </w:r>
      <w:r>
        <w:rPr>
          <w:rFonts w:hint="eastAsia" w:ascii="宋体" w:hAnsi="宋体" w:cs="宋体"/>
          <w:sz w:val="24"/>
          <w:szCs w:val="24"/>
        </w:rPr>
        <w:t>分）</w:t>
      </w:r>
    </w:p>
    <w:p>
      <w:pPr>
        <w:spacing w:line="360" w:lineRule="auto"/>
        <w:ind w:firstLine="360" w:firstLineChars="150"/>
        <w:rPr>
          <w:rFonts w:ascii="宋体" w:cs="宋体"/>
          <w:sz w:val="24"/>
          <w:szCs w:val="24"/>
        </w:rPr>
      </w:pPr>
      <w:r>
        <w:rPr>
          <w:rFonts w:ascii="宋体" w:hAnsi="宋体" w:cs="宋体"/>
          <w:sz w:val="24"/>
          <w:szCs w:val="24"/>
        </w:rPr>
        <w:t>1</w:t>
      </w:r>
      <w:r>
        <w:rPr>
          <w:rFonts w:hint="eastAsia" w:ascii="宋体" w:hAnsi="宋体" w:cs="宋体"/>
          <w:sz w:val="24"/>
          <w:szCs w:val="24"/>
        </w:rPr>
        <w:t>．价格分统一采用低价优先法计算即满足招标文件要求且投标价格最低的有效投标报价（即除低于成本报价以外的所有报价）为评标基准价，其价格分为满分。有效投标报价必须不高于本采购项目的预算价，否则为无效报价。本项目各投标单位可以兼投但不能兼中，以（标项）顺序进行评审。第一标项的中标人若参与第二标项则其不进入报价计算，报价得分为0分，以此类推。</w:t>
      </w:r>
    </w:p>
    <w:p>
      <w:pPr>
        <w:spacing w:line="360" w:lineRule="auto"/>
        <w:ind w:firstLine="360" w:firstLineChars="150"/>
        <w:rPr>
          <w:rFonts w:ascii="宋体" w:cs="宋体"/>
          <w:sz w:val="24"/>
          <w:szCs w:val="24"/>
        </w:rPr>
      </w:pPr>
      <w:r>
        <w:rPr>
          <w:rFonts w:ascii="宋体" w:hAnsi="宋体" w:cs="宋体"/>
          <w:sz w:val="24"/>
          <w:szCs w:val="24"/>
        </w:rPr>
        <w:t>2</w:t>
      </w:r>
      <w:r>
        <w:rPr>
          <w:rFonts w:hint="eastAsia" w:ascii="宋体" w:hAnsi="宋体" w:cs="宋体"/>
          <w:sz w:val="24"/>
          <w:szCs w:val="24"/>
        </w:rPr>
        <w:t>．其他投标人的价格分统一按照以下公式计算：</w:t>
      </w:r>
    </w:p>
    <w:p>
      <w:pPr>
        <w:spacing w:line="360" w:lineRule="auto"/>
        <w:ind w:firstLine="360" w:firstLineChars="150"/>
        <w:rPr>
          <w:rFonts w:ascii="宋体" w:cs="宋体"/>
          <w:sz w:val="24"/>
          <w:szCs w:val="24"/>
        </w:rPr>
      </w:pPr>
      <w:r>
        <w:rPr>
          <w:rFonts w:hint="eastAsia" w:ascii="宋体" w:hAnsi="宋体" w:cs="宋体"/>
          <w:sz w:val="24"/>
          <w:szCs w:val="24"/>
        </w:rPr>
        <w:t>投标报价得分</w:t>
      </w:r>
      <w:r>
        <w:rPr>
          <w:rFonts w:ascii="宋体" w:hAnsi="宋体" w:cs="宋体"/>
          <w:sz w:val="24"/>
          <w:szCs w:val="24"/>
        </w:rPr>
        <w:t>=</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投标报价）×</w:t>
      </w:r>
      <w:r>
        <w:rPr>
          <w:rFonts w:ascii="宋体" w:hAnsi="宋体" w:cs="宋体"/>
          <w:sz w:val="24"/>
          <w:szCs w:val="24"/>
        </w:rPr>
        <w:t>10</w:t>
      </w:r>
    </w:p>
    <w:p>
      <w:pPr>
        <w:spacing w:line="360" w:lineRule="auto"/>
        <w:ind w:firstLine="360" w:firstLineChars="150"/>
        <w:rPr>
          <w:rFonts w:ascii="宋体" w:cs="宋体"/>
          <w:sz w:val="24"/>
          <w:szCs w:val="24"/>
        </w:rPr>
      </w:pPr>
      <w:r>
        <w:rPr>
          <w:rFonts w:ascii="宋体" w:hAnsi="宋体" w:cs="宋体"/>
          <w:sz w:val="24"/>
          <w:szCs w:val="24"/>
        </w:rPr>
        <w:t>3.</w:t>
      </w:r>
      <w:r>
        <w:rPr>
          <w:rFonts w:hint="eastAsia" w:ascii="宋体" w:hAnsi="宋体" w:cs="宋体"/>
          <w:sz w:val="24"/>
          <w:szCs w:val="24"/>
        </w:rPr>
        <w:t>最低报价不作为中标的保证。</w:t>
      </w:r>
    </w:p>
    <w:p>
      <w:pPr>
        <w:spacing w:line="360" w:lineRule="auto"/>
        <w:ind w:firstLine="360" w:firstLineChars="150"/>
        <w:rPr>
          <w:rFonts w:ascii="宋体" w:cs="宋体"/>
          <w:sz w:val="24"/>
          <w:szCs w:val="24"/>
        </w:rPr>
      </w:pPr>
      <w:r>
        <w:rPr>
          <w:rFonts w:ascii="宋体" w:hAnsi="宋体" w:cs="宋体"/>
          <w:sz w:val="24"/>
          <w:szCs w:val="24"/>
        </w:rPr>
        <w:t>4.</w:t>
      </w:r>
      <w:r>
        <w:rPr>
          <w:rFonts w:hint="eastAsia" w:ascii="宋体" w:hAnsi="宋体" w:cs="宋体"/>
          <w:sz w:val="24"/>
          <w:szCs w:val="24"/>
        </w:rPr>
        <w:t>“小型和微型企业产品”的价格按扣除10</w:t>
      </w:r>
      <w:r>
        <w:rPr>
          <w:rFonts w:ascii="宋体" w:hAnsi="宋体" w:cs="宋体"/>
          <w:sz w:val="24"/>
          <w:szCs w:val="24"/>
        </w:rPr>
        <w:t>%</w:t>
      </w:r>
      <w:r>
        <w:rPr>
          <w:rFonts w:hint="eastAsia" w:ascii="宋体" w:hAnsi="宋体" w:cs="宋体"/>
          <w:sz w:val="24"/>
          <w:szCs w:val="24"/>
        </w:rPr>
        <w:t>后的价格参与评审。</w:t>
      </w:r>
    </w:p>
    <w:p>
      <w:pPr>
        <w:spacing w:line="360" w:lineRule="auto"/>
        <w:ind w:firstLine="360" w:firstLineChars="150"/>
        <w:rPr>
          <w:rFonts w:ascii="宋体" w:cs="宋体"/>
          <w:sz w:val="24"/>
          <w:szCs w:val="24"/>
        </w:rPr>
      </w:pPr>
      <w:r>
        <w:rPr>
          <w:rFonts w:ascii="宋体" w:hAnsi="宋体" w:cs="宋体"/>
          <w:sz w:val="24"/>
          <w:szCs w:val="24"/>
        </w:rPr>
        <w:t>4.1</w:t>
      </w:r>
      <w:r>
        <w:rPr>
          <w:rFonts w:hint="eastAsia" w:ascii="宋体" w:hAnsi="宋体" w:cs="宋体"/>
          <w:sz w:val="24"/>
          <w:szCs w:val="24"/>
        </w:rPr>
        <w:t>投标人应在投标分项报价表中写明属于“小型和微型企业产品”的单价和小计，并如实提供对应的《中小企业声明函》（详见附件），否则不予进行价格扣除。</w:t>
      </w:r>
    </w:p>
    <w:p>
      <w:pPr>
        <w:spacing w:line="360" w:lineRule="auto"/>
        <w:ind w:firstLine="360" w:firstLineChars="150"/>
        <w:rPr>
          <w:rFonts w:ascii="宋体" w:cs="宋体"/>
          <w:sz w:val="24"/>
          <w:szCs w:val="24"/>
        </w:rPr>
      </w:pPr>
      <w:r>
        <w:rPr>
          <w:rFonts w:ascii="宋体" w:hAnsi="宋体" w:cs="宋体"/>
          <w:sz w:val="24"/>
          <w:szCs w:val="24"/>
        </w:rPr>
        <w:t>4.2</w:t>
      </w:r>
      <w:r>
        <w:rPr>
          <w:rFonts w:hint="eastAsia" w:ascii="宋体" w:hAnsi="宋体" w:cs="宋体"/>
          <w:sz w:val="24"/>
          <w:szCs w:val="24"/>
        </w:rPr>
        <w:t>中小企业划分标准参照《关于印发&lt;政府采购促进中小企业发展管理办法&gt;的通知》(财库〔2020〕46号）及《关于印发中小企业划型标准规定的通知》（工信部联企业[2011]300号）。</w:t>
      </w:r>
    </w:p>
    <w:p>
      <w:pPr>
        <w:spacing w:line="360" w:lineRule="auto"/>
        <w:ind w:firstLine="360" w:firstLineChars="150"/>
        <w:rPr>
          <w:rFonts w:ascii="宋体" w:cs="宋体"/>
          <w:sz w:val="24"/>
          <w:szCs w:val="24"/>
        </w:rPr>
      </w:pPr>
      <w:r>
        <w:rPr>
          <w:rFonts w:ascii="宋体" w:hAnsi="宋体" w:cs="宋体"/>
          <w:sz w:val="24"/>
          <w:szCs w:val="24"/>
        </w:rPr>
        <w:t>4.3</w:t>
      </w:r>
      <w:r>
        <w:rPr>
          <w:rFonts w:hint="eastAsia" w:ascii="宋体" w:hAnsi="宋体" w:cs="宋体"/>
          <w:sz w:val="24"/>
          <w:szCs w:val="24"/>
        </w:rPr>
        <w:t>监狱企业视同小型、微型企业</w:t>
      </w:r>
      <w:r>
        <w:rPr>
          <w:rFonts w:ascii="宋体" w:hAnsi="宋体" w:cs="宋体"/>
          <w:sz w:val="24"/>
          <w:szCs w:val="24"/>
        </w:rPr>
        <w:t xml:space="preserve">, </w:t>
      </w:r>
      <w:r>
        <w:rPr>
          <w:rFonts w:hint="eastAsia" w:ascii="宋体" w:hAnsi="宋体" w:cs="宋体"/>
          <w:sz w:val="24"/>
          <w:szCs w:val="24"/>
        </w:rPr>
        <w:t>监狱企业应当提供由省级以上监狱管理局、戒毒管理局</w:t>
      </w:r>
      <w:r>
        <w:rPr>
          <w:rFonts w:ascii="宋体" w:hAnsi="宋体" w:cs="宋体"/>
          <w:sz w:val="24"/>
          <w:szCs w:val="24"/>
        </w:rPr>
        <w:t>(</w:t>
      </w:r>
      <w:r>
        <w:rPr>
          <w:rFonts w:hint="eastAsia" w:ascii="宋体" w:hAnsi="宋体" w:cs="宋体"/>
          <w:sz w:val="24"/>
          <w:szCs w:val="24"/>
        </w:rPr>
        <w:t>含新疆生产建设兵团</w:t>
      </w:r>
      <w:r>
        <w:rPr>
          <w:rFonts w:ascii="宋体" w:hAnsi="宋体" w:cs="宋体"/>
          <w:sz w:val="24"/>
          <w:szCs w:val="24"/>
        </w:rPr>
        <w:t>)</w:t>
      </w:r>
      <w:r>
        <w:rPr>
          <w:rFonts w:hint="eastAsia" w:ascii="宋体" w:hAnsi="宋体" w:cs="宋体"/>
          <w:sz w:val="24"/>
          <w:szCs w:val="24"/>
        </w:rPr>
        <w:t>出具的属于监狱企业的证明文件。</w:t>
      </w:r>
    </w:p>
    <w:p>
      <w:pPr>
        <w:spacing w:line="360" w:lineRule="auto"/>
        <w:ind w:firstLine="360" w:firstLineChars="150"/>
        <w:rPr>
          <w:rFonts w:ascii="宋体" w:hAnsi="宋体" w:cs="宋体"/>
          <w:sz w:val="24"/>
          <w:szCs w:val="24"/>
        </w:rPr>
      </w:pPr>
      <w:r>
        <w:rPr>
          <w:rFonts w:ascii="宋体" w:hAnsi="宋体" w:cs="宋体"/>
          <w:sz w:val="24"/>
          <w:szCs w:val="24"/>
        </w:rPr>
        <w:t>4.4</w:t>
      </w:r>
      <w:r>
        <w:rPr>
          <w:rFonts w:hint="eastAsia" w:ascii="宋体" w:hAnsi="宋体" w:cs="宋体"/>
          <w:sz w:val="24"/>
          <w:szCs w:val="24"/>
        </w:rPr>
        <w:t>残疾人福利性单位视同小型、微型企业，符合条件的残疾人福利性单位在参加政府采购活动时，应当提供本通知规定的《残疾人福利性单位声明函》，并对声明的真实性负责。</w:t>
      </w:r>
    </w:p>
    <w:p>
      <w:pPr>
        <w:pStyle w:val="21"/>
      </w:pPr>
    </w:p>
    <w:p>
      <w:pPr>
        <w:spacing w:line="360" w:lineRule="auto"/>
        <w:ind w:firstLine="240" w:firstLineChars="100"/>
        <w:rPr>
          <w:rFonts w:ascii="宋体" w:cs="宋体"/>
          <w:sz w:val="24"/>
          <w:szCs w:val="24"/>
        </w:rPr>
      </w:pPr>
      <w:r>
        <w:rPr>
          <w:rFonts w:hint="eastAsia" w:ascii="宋体" w:hAnsi="宋体" w:cs="宋体"/>
          <w:sz w:val="24"/>
          <w:szCs w:val="24"/>
        </w:rPr>
        <w:t>（二）、商务技术部分（</w:t>
      </w:r>
      <w:r>
        <w:rPr>
          <w:rFonts w:ascii="宋体" w:hAnsi="宋体" w:cs="宋体"/>
          <w:sz w:val="24"/>
          <w:szCs w:val="24"/>
        </w:rPr>
        <w:t>90</w:t>
      </w:r>
      <w:r>
        <w:rPr>
          <w:rFonts w:hint="eastAsia" w:ascii="宋体" w:hAnsi="宋体" w:cs="宋体"/>
          <w:sz w:val="24"/>
          <w:szCs w:val="24"/>
        </w:rPr>
        <w:t>分）</w:t>
      </w:r>
    </w:p>
    <w:tbl>
      <w:tblPr>
        <w:tblStyle w:val="47"/>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272"/>
        <w:gridCol w:w="8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13" w:type="dxa"/>
            <w:vAlign w:val="center"/>
          </w:tcPr>
          <w:p>
            <w:pPr>
              <w:jc w:val="center"/>
              <w:rPr>
                <w:rFonts w:ascii="宋体" w:cs="仿宋"/>
                <w:b/>
                <w:kern w:val="0"/>
                <w:sz w:val="24"/>
              </w:rPr>
            </w:pPr>
            <w:bookmarkStart w:id="99" w:name="_Toc2511995"/>
            <w:r>
              <w:rPr>
                <w:rFonts w:hint="eastAsia" w:ascii="宋体" w:hAnsi="宋体" w:cs="仿宋"/>
                <w:b/>
                <w:kern w:val="0"/>
                <w:sz w:val="24"/>
              </w:rPr>
              <w:t>评分因素</w:t>
            </w:r>
          </w:p>
        </w:tc>
        <w:tc>
          <w:tcPr>
            <w:tcW w:w="9364" w:type="dxa"/>
            <w:gridSpan w:val="2"/>
            <w:vAlign w:val="center"/>
          </w:tcPr>
          <w:p>
            <w:pPr>
              <w:jc w:val="center"/>
              <w:rPr>
                <w:rFonts w:ascii="宋体" w:cs="仿宋"/>
                <w:b/>
                <w:kern w:val="0"/>
                <w:sz w:val="24"/>
              </w:rPr>
            </w:pPr>
            <w:r>
              <w:rPr>
                <w:rFonts w:hint="eastAsia" w:ascii="宋体" w:hAnsi="宋体" w:cs="仿宋"/>
                <w:b/>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 w:type="dxa"/>
            <w:vAlign w:val="center"/>
          </w:tcPr>
          <w:p>
            <w:pPr>
              <w:spacing w:line="360" w:lineRule="exact"/>
              <w:jc w:val="center"/>
              <w:rPr>
                <w:rFonts w:ascii="宋体" w:hAnsi="宋体" w:cs="宋体"/>
                <w:kern w:val="0"/>
                <w:sz w:val="24"/>
                <w:szCs w:val="24"/>
              </w:rPr>
            </w:pPr>
            <w:r>
              <w:rPr>
                <w:rFonts w:hint="eastAsia" w:ascii="宋体" w:hAnsi="宋体" w:cs="宋体"/>
                <w:kern w:val="0"/>
                <w:sz w:val="24"/>
                <w:szCs w:val="24"/>
              </w:rPr>
              <w:t>价格部分</w:t>
            </w:r>
          </w:p>
          <w:p>
            <w:pPr>
              <w:spacing w:line="360" w:lineRule="exact"/>
              <w:jc w:val="center"/>
              <w:rPr>
                <w:rFonts w:ascii="宋体" w:hAnsi="宋体" w:cs="宋体"/>
                <w:kern w:val="0"/>
                <w:sz w:val="24"/>
                <w:szCs w:val="24"/>
              </w:rPr>
            </w:pPr>
            <w:r>
              <w:rPr>
                <w:rFonts w:hint="eastAsia" w:ascii="宋体" w:hAnsi="宋体" w:cs="宋体"/>
                <w:kern w:val="0"/>
                <w:sz w:val="24"/>
                <w:szCs w:val="24"/>
              </w:rPr>
              <w:t>（10分）</w:t>
            </w:r>
          </w:p>
        </w:tc>
        <w:tc>
          <w:tcPr>
            <w:tcW w:w="9364" w:type="dxa"/>
            <w:gridSpan w:val="2"/>
            <w:vAlign w:val="center"/>
          </w:tcPr>
          <w:p>
            <w:pPr>
              <w:snapToGrid w:val="0"/>
              <w:spacing w:line="360" w:lineRule="exact"/>
              <w:rPr>
                <w:rFonts w:ascii="宋体" w:hAnsi="宋体" w:cs="宋体"/>
                <w:sz w:val="24"/>
                <w:szCs w:val="24"/>
              </w:rPr>
            </w:pPr>
            <w:r>
              <w:rPr>
                <w:rFonts w:hint="eastAsia" w:ascii="宋体" w:hAnsi="宋体" w:cs="宋体"/>
                <w:sz w:val="24"/>
                <w:szCs w:val="24"/>
              </w:rPr>
              <w:t>综合评分法中的价格分统一采用低价优先法计算，即满足招标文件要求且价格最低的投标报价为评标基准价，其价格分为满分。其他投标人的价格分统一按照下列公式计算：</w:t>
            </w:r>
          </w:p>
          <w:p>
            <w:pPr>
              <w:pStyle w:val="20"/>
              <w:spacing w:after="0" w:line="360" w:lineRule="exact"/>
              <w:ind w:firstLine="480" w:firstLineChars="200"/>
              <w:rPr>
                <w:rFonts w:ascii="宋体" w:hAnsi="宋体" w:cs="宋体"/>
                <w:sz w:val="24"/>
                <w:szCs w:val="24"/>
              </w:rPr>
            </w:pPr>
            <w:r>
              <w:rPr>
                <w:rFonts w:hint="eastAsia" w:ascii="宋体" w:hAnsi="宋体" w:cs="宋体"/>
                <w:sz w:val="24"/>
                <w:szCs w:val="24"/>
              </w:rPr>
              <w:t>投标人报价得分=(评标基准价／投标价格)×10%×100</w:t>
            </w:r>
          </w:p>
          <w:p>
            <w:pPr>
              <w:spacing w:line="360" w:lineRule="exact"/>
              <w:rPr>
                <w:rFonts w:hint="eastAsia" w:ascii="宋体" w:hAnsi="宋体" w:cs="宋体"/>
                <w:sz w:val="24"/>
                <w:szCs w:val="24"/>
              </w:rPr>
            </w:pPr>
            <w:r>
              <w:rPr>
                <w:rFonts w:hint="eastAsia" w:ascii="宋体" w:hAnsi="宋体" w:cs="宋体"/>
                <w:sz w:val="24"/>
                <w:szCs w:val="24"/>
              </w:rPr>
              <w:t>对小型和微型企业的价格给予10%的扣除，用扣除后的价格参与评审。</w:t>
            </w:r>
          </w:p>
          <w:p>
            <w:pPr>
              <w:pStyle w:val="2"/>
            </w:pPr>
            <w:r>
              <w:rPr>
                <w:rFonts w:hint="eastAsia" w:ascii="宋体" w:hAnsi="宋体" w:cs="宋体"/>
                <w:sz w:val="24"/>
                <w:szCs w:val="24"/>
              </w:rPr>
              <w:t>本项目各投标单位可以兼投但不能兼中，以（标项）顺序进行评审。第一标项的中标人若参与第二标项则其不进入报价计算，报价得分为0分，以此类推。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913" w:type="dxa"/>
            <w:vMerge w:val="restart"/>
            <w:vAlign w:val="center"/>
          </w:tcPr>
          <w:p>
            <w:pPr>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商务部分</w:t>
            </w:r>
          </w:p>
          <w:p>
            <w:pPr>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35</w:t>
            </w:r>
            <w:r>
              <w:rPr>
                <w:rFonts w:hint="eastAsia" w:ascii="宋体" w:hAnsi="宋体" w:eastAsia="宋体" w:cs="宋体"/>
                <w:kern w:val="0"/>
                <w:sz w:val="24"/>
                <w:szCs w:val="24"/>
              </w:rPr>
              <w:t>分）</w:t>
            </w:r>
          </w:p>
        </w:tc>
        <w:tc>
          <w:tcPr>
            <w:tcW w:w="1272" w:type="dxa"/>
            <w:vAlign w:val="center"/>
          </w:tcPr>
          <w:p>
            <w:pPr>
              <w:snapToGrid w:val="0"/>
              <w:spacing w:line="360" w:lineRule="exact"/>
              <w:rPr>
                <w:rFonts w:hint="eastAsia" w:ascii="宋体" w:hAnsi="宋体" w:cs="宋体"/>
                <w:sz w:val="24"/>
                <w:szCs w:val="24"/>
              </w:rPr>
            </w:pPr>
            <w:r>
              <w:rPr>
                <w:rFonts w:hint="eastAsia" w:ascii="宋体" w:hAnsi="宋体" w:cs="宋体"/>
                <w:sz w:val="24"/>
                <w:szCs w:val="24"/>
              </w:rPr>
              <w:t>拟投入体检项目医疗人员配置情况（</w:t>
            </w:r>
            <w:r>
              <w:rPr>
                <w:rFonts w:hint="eastAsia" w:ascii="宋体" w:hAnsi="宋体" w:cs="宋体"/>
                <w:sz w:val="24"/>
                <w:szCs w:val="24"/>
                <w:lang w:val="en-US" w:eastAsia="zh-CN"/>
              </w:rPr>
              <w:t>10</w:t>
            </w:r>
            <w:r>
              <w:rPr>
                <w:rFonts w:hint="eastAsia" w:ascii="宋体" w:hAnsi="宋体" w:cs="宋体"/>
                <w:sz w:val="24"/>
                <w:szCs w:val="24"/>
              </w:rPr>
              <w:t>分）</w:t>
            </w:r>
          </w:p>
        </w:tc>
        <w:tc>
          <w:tcPr>
            <w:tcW w:w="8092" w:type="dxa"/>
            <w:vAlign w:val="center"/>
          </w:tcPr>
          <w:p>
            <w:pPr>
              <w:snapToGrid w:val="0"/>
              <w:spacing w:line="360" w:lineRule="exact"/>
              <w:rPr>
                <w:rFonts w:hint="eastAsia" w:ascii="宋体" w:hAnsi="宋体" w:cs="宋体"/>
                <w:sz w:val="24"/>
                <w:szCs w:val="24"/>
              </w:rPr>
            </w:pPr>
            <w:r>
              <w:rPr>
                <w:rFonts w:hint="eastAsia" w:ascii="宋体" w:hAnsi="宋体" w:cs="宋体"/>
                <w:sz w:val="24"/>
                <w:szCs w:val="24"/>
              </w:rPr>
              <w:t>根据投标人拟投入本次项目医务人员（社保缴纳）情况进行打分，</w:t>
            </w:r>
          </w:p>
          <w:p>
            <w:pPr>
              <w:snapToGrid w:val="0"/>
              <w:spacing w:line="360" w:lineRule="exact"/>
              <w:rPr>
                <w:rFonts w:hint="eastAsia" w:ascii="宋体" w:hAnsi="宋体" w:cs="宋体"/>
                <w:sz w:val="24"/>
                <w:szCs w:val="24"/>
              </w:rPr>
            </w:pPr>
            <w:r>
              <w:rPr>
                <w:rFonts w:hint="eastAsia" w:ascii="宋体" w:hAnsi="宋体" w:cs="宋体"/>
                <w:sz w:val="24"/>
                <w:szCs w:val="24"/>
              </w:rPr>
              <w:t>投入组长1人、主检医师1人，内科医师2～3人，外科医师2～3人，耳鼻咽喉科医师1人，眼科医师1人，口腔科医师1人，检验人员2人，心电图诊断医师2人，B超技师2～3人，放射人员2人，士兵职业基本适应性检测人员3～4人，护士6人，统计员1人，联络员2人,满足招标文件要求得5分,每增加一个医(技)师得1分,每增加一个检测人员、护士、统计员加0.5分，每缺少1个人扣1分。此项最高10分，最低0分</w:t>
            </w:r>
          </w:p>
          <w:p>
            <w:pPr>
              <w:snapToGrid w:val="0"/>
              <w:spacing w:line="360" w:lineRule="exact"/>
              <w:rPr>
                <w:rFonts w:hint="eastAsia" w:ascii="宋体" w:hAnsi="宋体" w:cs="宋体"/>
                <w:sz w:val="24"/>
                <w:szCs w:val="24"/>
              </w:rPr>
            </w:pPr>
            <w:r>
              <w:rPr>
                <w:rFonts w:hint="eastAsia" w:ascii="宋体" w:hAnsi="宋体" w:cs="宋体"/>
                <w:sz w:val="24"/>
                <w:szCs w:val="24"/>
              </w:rPr>
              <w:t>（附职称证书）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13" w:type="dxa"/>
            <w:vMerge w:val="continue"/>
            <w:vAlign w:val="center"/>
          </w:tcPr>
          <w:p>
            <w:pPr>
              <w:spacing w:line="360" w:lineRule="exact"/>
              <w:jc w:val="left"/>
              <w:rPr>
                <w:rFonts w:hint="eastAsia" w:ascii="宋体" w:hAnsi="宋体" w:eastAsia="宋体" w:cs="宋体"/>
                <w:kern w:val="0"/>
                <w:sz w:val="24"/>
                <w:szCs w:val="24"/>
              </w:rPr>
            </w:pPr>
          </w:p>
        </w:tc>
        <w:tc>
          <w:tcPr>
            <w:tcW w:w="1272" w:type="dxa"/>
            <w:vAlign w:val="center"/>
          </w:tcPr>
          <w:p>
            <w:pPr>
              <w:snapToGrid w:val="0"/>
              <w:spacing w:line="360" w:lineRule="exact"/>
              <w:rPr>
                <w:rFonts w:hint="eastAsia" w:ascii="宋体" w:hAnsi="宋体" w:cs="宋体"/>
                <w:sz w:val="24"/>
                <w:szCs w:val="24"/>
              </w:rPr>
            </w:pPr>
            <w:bookmarkStart w:id="100" w:name="OLE_LINK9"/>
            <w:r>
              <w:rPr>
                <w:rFonts w:hint="eastAsia" w:ascii="宋体" w:hAnsi="宋体" w:cs="宋体"/>
                <w:sz w:val="24"/>
                <w:szCs w:val="24"/>
              </w:rPr>
              <w:t>体检设备选型</w:t>
            </w:r>
          </w:p>
          <w:p>
            <w:pPr>
              <w:snapToGrid w:val="0"/>
              <w:spacing w:line="360" w:lineRule="exact"/>
              <w:rPr>
                <w:rFonts w:hint="eastAsia" w:ascii="宋体" w:hAnsi="宋体" w:cs="宋体"/>
                <w:sz w:val="24"/>
                <w:szCs w:val="24"/>
              </w:rPr>
            </w:pPr>
            <w:r>
              <w:rPr>
                <w:rFonts w:hint="eastAsia" w:ascii="宋体" w:hAnsi="宋体" w:cs="宋体"/>
                <w:sz w:val="24"/>
                <w:szCs w:val="24"/>
              </w:rPr>
              <w:t>（15分）</w:t>
            </w:r>
            <w:bookmarkEnd w:id="100"/>
          </w:p>
        </w:tc>
        <w:tc>
          <w:tcPr>
            <w:tcW w:w="8092" w:type="dxa"/>
            <w:vAlign w:val="center"/>
          </w:tcPr>
          <w:p>
            <w:pPr>
              <w:snapToGrid w:val="0"/>
              <w:spacing w:line="360" w:lineRule="exact"/>
              <w:rPr>
                <w:rFonts w:hint="eastAsia" w:ascii="宋体" w:hAnsi="宋体" w:cs="宋体"/>
                <w:sz w:val="24"/>
                <w:szCs w:val="24"/>
              </w:rPr>
            </w:pPr>
            <w:r>
              <w:rPr>
                <w:rFonts w:hint="eastAsia" w:ascii="宋体" w:hAnsi="宋体" w:cs="宋体"/>
                <w:sz w:val="24"/>
                <w:szCs w:val="24"/>
              </w:rPr>
              <w:t>根据本项目体检期间内所配备的设备等进行打分。</w:t>
            </w:r>
          </w:p>
          <w:p>
            <w:pPr>
              <w:snapToGrid w:val="0"/>
              <w:spacing w:line="360" w:lineRule="exact"/>
              <w:rPr>
                <w:rFonts w:hint="eastAsia" w:ascii="宋体" w:hAnsi="宋体" w:cs="宋体"/>
                <w:sz w:val="24"/>
                <w:szCs w:val="24"/>
              </w:rPr>
            </w:pPr>
            <w:r>
              <w:rPr>
                <w:rFonts w:hint="eastAsia" w:ascii="宋体" w:hAnsi="宋体" w:cs="宋体"/>
                <w:sz w:val="24"/>
                <w:szCs w:val="24"/>
              </w:rPr>
              <w:t>体检仪器设备齐全（满足甲方要求所有体检项设备）得15分，每缺一项体检设备扣1分，（未提供不得分）（提供有效证明材料）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913" w:type="dxa"/>
            <w:vMerge w:val="continue"/>
            <w:vAlign w:val="center"/>
          </w:tcPr>
          <w:p>
            <w:pPr>
              <w:spacing w:line="360" w:lineRule="exact"/>
              <w:jc w:val="left"/>
              <w:rPr>
                <w:rFonts w:hint="eastAsia" w:ascii="宋体" w:hAnsi="宋体" w:eastAsia="宋体" w:cs="宋体"/>
                <w:kern w:val="0"/>
                <w:sz w:val="24"/>
                <w:szCs w:val="24"/>
              </w:rPr>
            </w:pPr>
          </w:p>
        </w:tc>
        <w:tc>
          <w:tcPr>
            <w:tcW w:w="1272" w:type="dxa"/>
            <w:vAlign w:val="center"/>
          </w:tcPr>
          <w:p>
            <w:pPr>
              <w:snapToGrid w:val="0"/>
              <w:spacing w:line="360" w:lineRule="exact"/>
              <w:rPr>
                <w:rFonts w:hint="eastAsia" w:ascii="宋体" w:hAnsi="宋体" w:cs="宋体"/>
                <w:sz w:val="24"/>
                <w:szCs w:val="24"/>
              </w:rPr>
            </w:pPr>
            <w:r>
              <w:rPr>
                <w:rFonts w:hint="eastAsia" w:ascii="宋体" w:hAnsi="宋体" w:cs="宋体"/>
                <w:sz w:val="24"/>
                <w:szCs w:val="24"/>
              </w:rPr>
              <w:t>经营业绩（</w:t>
            </w:r>
            <w:r>
              <w:rPr>
                <w:rFonts w:hint="eastAsia" w:ascii="宋体" w:hAnsi="宋体" w:cs="宋体"/>
                <w:sz w:val="24"/>
                <w:szCs w:val="24"/>
                <w:lang w:val="en-US" w:eastAsia="zh-CN"/>
              </w:rPr>
              <w:t>10</w:t>
            </w:r>
            <w:r>
              <w:rPr>
                <w:rFonts w:hint="eastAsia" w:ascii="宋体" w:hAnsi="宋体" w:cs="宋体"/>
                <w:sz w:val="24"/>
                <w:szCs w:val="24"/>
              </w:rPr>
              <w:t>分）</w:t>
            </w:r>
          </w:p>
        </w:tc>
        <w:tc>
          <w:tcPr>
            <w:tcW w:w="8092" w:type="dxa"/>
            <w:vAlign w:val="center"/>
          </w:tcPr>
          <w:p>
            <w:pPr>
              <w:snapToGrid w:val="0"/>
              <w:spacing w:line="360" w:lineRule="exact"/>
              <w:rPr>
                <w:rFonts w:hint="eastAsia" w:ascii="宋体" w:hAnsi="宋体" w:cs="宋体"/>
                <w:sz w:val="24"/>
                <w:szCs w:val="24"/>
              </w:rPr>
            </w:pPr>
            <w:r>
              <w:rPr>
                <w:rFonts w:hint="eastAsia" w:ascii="宋体" w:hAnsi="宋体" w:cs="宋体"/>
                <w:sz w:val="24"/>
                <w:szCs w:val="24"/>
              </w:rPr>
              <w:t>根据投标文件所提供的投标截止日前三年内</w:t>
            </w:r>
            <w:r>
              <w:rPr>
                <w:rFonts w:hint="eastAsia" w:ascii="宋体" w:hAnsi="宋体" w:cs="宋体"/>
                <w:sz w:val="24"/>
                <w:szCs w:val="24"/>
                <w:lang w:eastAsia="zh-CN"/>
              </w:rPr>
              <w:t>（</w:t>
            </w:r>
            <w:r>
              <w:rPr>
                <w:rFonts w:hint="eastAsia" w:ascii="宋体" w:hAnsi="宋体" w:cs="宋体"/>
                <w:sz w:val="24"/>
                <w:szCs w:val="24"/>
                <w:lang w:val="en-US" w:eastAsia="zh-CN"/>
              </w:rPr>
              <w:t>2022年至今</w:t>
            </w:r>
            <w:r>
              <w:rPr>
                <w:rFonts w:hint="eastAsia" w:ascii="宋体" w:hAnsi="宋体" w:cs="宋体"/>
                <w:sz w:val="24"/>
                <w:szCs w:val="24"/>
                <w:lang w:eastAsia="zh-CN"/>
              </w:rPr>
              <w:t>）</w:t>
            </w:r>
            <w:r>
              <w:rPr>
                <w:rFonts w:hint="eastAsia" w:ascii="宋体" w:hAnsi="宋体" w:cs="宋体"/>
                <w:sz w:val="24"/>
                <w:szCs w:val="24"/>
              </w:rPr>
              <w:t>同类项目经营业绩进行比较：（附合同或中标通知书复印件，每一份合同或中标通知书加2分，直至满</w:t>
            </w:r>
            <w:r>
              <w:rPr>
                <w:rFonts w:hint="eastAsia" w:ascii="宋体" w:hAnsi="宋体" w:cs="宋体"/>
                <w:sz w:val="24"/>
                <w:szCs w:val="24"/>
                <w:lang w:val="en-US" w:eastAsia="zh-CN"/>
              </w:rPr>
              <w:t>10</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 w:type="dxa"/>
            <w:vMerge w:val="restart"/>
            <w:vAlign w:val="center"/>
          </w:tcPr>
          <w:p>
            <w:pPr>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技术部分</w:t>
            </w:r>
          </w:p>
          <w:p>
            <w:pPr>
              <w:spacing w:line="36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cs="宋体"/>
                <w:kern w:val="0"/>
                <w:sz w:val="24"/>
                <w:szCs w:val="24"/>
                <w:lang w:val="en-US" w:eastAsia="zh-CN"/>
              </w:rPr>
              <w:t>55</w:t>
            </w:r>
            <w:r>
              <w:rPr>
                <w:rFonts w:hint="eastAsia" w:ascii="宋体" w:hAnsi="宋体" w:eastAsia="宋体" w:cs="宋体"/>
                <w:kern w:val="0"/>
                <w:sz w:val="24"/>
                <w:szCs w:val="24"/>
                <w:lang w:val="en-US" w:eastAsia="zh-CN"/>
              </w:rPr>
              <w:t>分）</w:t>
            </w:r>
          </w:p>
        </w:tc>
        <w:tc>
          <w:tcPr>
            <w:tcW w:w="1272" w:type="dxa"/>
            <w:vAlign w:val="center"/>
          </w:tcPr>
          <w:p>
            <w:pPr>
              <w:snapToGrid w:val="0"/>
              <w:spacing w:line="360" w:lineRule="exact"/>
              <w:rPr>
                <w:rFonts w:hint="eastAsia" w:ascii="宋体" w:hAnsi="宋体" w:cs="宋体"/>
                <w:sz w:val="24"/>
                <w:szCs w:val="24"/>
                <w:lang w:val="en-US" w:eastAsia="zh-CN"/>
              </w:rPr>
            </w:pPr>
            <w:r>
              <w:rPr>
                <w:rFonts w:hint="eastAsia" w:ascii="宋体" w:hAnsi="宋体" w:cs="宋体"/>
                <w:sz w:val="24"/>
                <w:szCs w:val="24"/>
              </w:rPr>
              <w:t>体检服务方案</w:t>
            </w:r>
            <w:r>
              <w:rPr>
                <w:rFonts w:hint="eastAsia" w:ascii="宋体" w:hAnsi="宋体" w:cs="宋体"/>
                <w:sz w:val="24"/>
                <w:szCs w:val="24"/>
                <w:lang w:val="en-US" w:eastAsia="zh-CN"/>
              </w:rPr>
              <w:t>(20</w:t>
            </w:r>
            <w:r>
              <w:rPr>
                <w:rFonts w:hint="eastAsia" w:ascii="宋体" w:hAnsi="宋体" w:cs="宋体"/>
                <w:sz w:val="24"/>
                <w:szCs w:val="24"/>
              </w:rPr>
              <w:t>分</w:t>
            </w:r>
            <w:r>
              <w:rPr>
                <w:rFonts w:hint="eastAsia" w:ascii="宋体" w:hAnsi="宋体" w:cs="宋体"/>
                <w:sz w:val="24"/>
                <w:szCs w:val="24"/>
                <w:lang w:val="en-US" w:eastAsia="zh-CN"/>
              </w:rPr>
              <w:t>)</w:t>
            </w:r>
          </w:p>
        </w:tc>
        <w:tc>
          <w:tcPr>
            <w:tcW w:w="8092" w:type="dxa"/>
            <w:vAlign w:val="center"/>
          </w:tcPr>
          <w:p>
            <w:pPr>
              <w:snapToGrid w:val="0"/>
              <w:spacing w:line="360" w:lineRule="exact"/>
              <w:rPr>
                <w:rFonts w:hint="eastAsia" w:ascii="宋体" w:hAnsi="宋体" w:cs="宋体"/>
                <w:sz w:val="24"/>
                <w:szCs w:val="24"/>
              </w:rPr>
            </w:pPr>
            <w:r>
              <w:rPr>
                <w:rFonts w:hint="eastAsia" w:ascii="宋体" w:hAnsi="宋体" w:cs="宋体"/>
                <w:sz w:val="24"/>
                <w:szCs w:val="24"/>
              </w:rPr>
              <w:t>根据供应商提供的体检服务方案进行评审，方案包含①具体场次安排；②人数安排；③检前工作安排；④体检流程安排等，⑤早餐</w:t>
            </w:r>
            <w:r>
              <w:rPr>
                <w:rFonts w:hint="eastAsia" w:ascii="宋体" w:hAnsi="宋体" w:cs="宋体"/>
                <w:sz w:val="24"/>
                <w:szCs w:val="24"/>
                <w:lang w:val="en-US" w:eastAsia="zh-CN"/>
              </w:rPr>
              <w:t>的餐食方案 ；</w:t>
            </w:r>
            <w:r>
              <w:rPr>
                <w:rFonts w:hint="eastAsia" w:ascii="宋体" w:hAnsi="宋体" w:cs="宋体"/>
                <w:sz w:val="24"/>
                <w:szCs w:val="24"/>
              </w:rPr>
              <w:t>得</w:t>
            </w:r>
            <w:r>
              <w:rPr>
                <w:rFonts w:hint="eastAsia" w:ascii="宋体" w:hAnsi="宋体" w:cs="宋体"/>
                <w:sz w:val="24"/>
                <w:szCs w:val="24"/>
                <w:lang w:val="en-US" w:eastAsia="zh-CN"/>
              </w:rPr>
              <w:t>20</w:t>
            </w:r>
            <w:r>
              <w:rPr>
                <w:rFonts w:hint="eastAsia" w:ascii="宋体" w:hAnsi="宋体" w:cs="宋体"/>
                <w:sz w:val="24"/>
                <w:szCs w:val="24"/>
              </w:rPr>
              <w:t>分，每有一项内容缺失的扣4分，每存在一处缺陷扣2分，每项最多扣4分，</w:t>
            </w:r>
            <w:r>
              <w:rPr>
                <w:rFonts w:hint="eastAsia" w:ascii="宋体" w:hAnsi="宋体" w:cs="宋体"/>
                <w:sz w:val="24"/>
                <w:szCs w:val="24"/>
                <w:lang w:val="en-US" w:eastAsia="zh-CN"/>
              </w:rPr>
              <w:t>20</w:t>
            </w:r>
            <w:r>
              <w:rPr>
                <w:rFonts w:hint="eastAsia" w:ascii="宋体" w:hAnsi="宋体" w:cs="宋体"/>
                <w:sz w:val="24"/>
                <w:szCs w:val="24"/>
              </w:rPr>
              <w:t>分扣完为止。（注：缺陷是指：项目名称不符、方案内容与项目需求不一致、涉及的技术规范标准等与国家或行业或采购文件要求不一致，方案内容存在凭空想象与编造，工作组织无条理性、计划方法或实施步骤安排混乱、语义表述存在歧义、混乱、前后不一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 w:type="dxa"/>
            <w:vMerge w:val="continue"/>
            <w:vAlign w:val="center"/>
          </w:tcPr>
          <w:p>
            <w:pPr>
              <w:spacing w:line="360" w:lineRule="exact"/>
              <w:jc w:val="left"/>
              <w:rPr>
                <w:rFonts w:hint="eastAsia" w:ascii="宋体" w:hAnsi="宋体" w:eastAsia="宋体" w:cs="宋体"/>
                <w:kern w:val="0"/>
                <w:sz w:val="24"/>
                <w:szCs w:val="24"/>
                <w:lang w:eastAsia="zh-CN"/>
              </w:rPr>
            </w:pPr>
          </w:p>
        </w:tc>
        <w:tc>
          <w:tcPr>
            <w:tcW w:w="1272" w:type="dxa"/>
            <w:vAlign w:val="center"/>
          </w:tcPr>
          <w:p>
            <w:pPr>
              <w:snapToGrid w:val="0"/>
              <w:spacing w:line="360" w:lineRule="exact"/>
              <w:rPr>
                <w:rFonts w:hint="default" w:ascii="宋体" w:hAnsi="宋体" w:cs="宋体"/>
                <w:sz w:val="24"/>
                <w:szCs w:val="24"/>
                <w:lang w:val="en-US" w:eastAsia="zh-CN"/>
              </w:rPr>
            </w:pPr>
            <w:r>
              <w:rPr>
                <w:rFonts w:hint="eastAsia" w:ascii="宋体" w:hAnsi="宋体" w:cs="宋体"/>
                <w:sz w:val="24"/>
                <w:szCs w:val="24"/>
                <w:lang w:val="en-US" w:eastAsia="zh-CN"/>
              </w:rPr>
              <w:t>体检质量保证方案(</w:t>
            </w:r>
            <w:r>
              <w:rPr>
                <w:rFonts w:hint="eastAsia" w:ascii="宋体" w:hAnsi="宋体" w:cs="宋体"/>
                <w:sz w:val="24"/>
                <w:szCs w:val="24"/>
              </w:rPr>
              <w:t>16分</w:t>
            </w:r>
            <w:r>
              <w:rPr>
                <w:rFonts w:hint="eastAsia" w:ascii="宋体" w:hAnsi="宋体" w:cs="宋体"/>
                <w:sz w:val="24"/>
                <w:szCs w:val="24"/>
                <w:lang w:val="en-US" w:eastAsia="zh-CN"/>
              </w:rPr>
              <w:t>)</w:t>
            </w:r>
          </w:p>
        </w:tc>
        <w:tc>
          <w:tcPr>
            <w:tcW w:w="8092" w:type="dxa"/>
            <w:vAlign w:val="center"/>
          </w:tcPr>
          <w:p>
            <w:pPr>
              <w:snapToGrid w:val="0"/>
              <w:spacing w:line="360" w:lineRule="exact"/>
              <w:rPr>
                <w:rFonts w:hint="default" w:ascii="宋体" w:hAnsi="宋体" w:cs="宋体"/>
                <w:sz w:val="24"/>
                <w:szCs w:val="24"/>
                <w:lang w:val="en-US" w:eastAsia="zh-CN"/>
              </w:rPr>
            </w:pPr>
            <w:r>
              <w:rPr>
                <w:rFonts w:hint="eastAsia" w:ascii="宋体" w:hAnsi="宋体" w:cs="宋体"/>
                <w:sz w:val="24"/>
                <w:szCs w:val="24"/>
                <w:lang w:val="en-US" w:eastAsia="zh-CN"/>
              </w:rPr>
              <w:t>根据供应商提供的体检质量保证方案进行评审，方案包含①质量管理组织机构；②人员职能分工；③质量控制目标；④质量保障措施等，得16分，每有一项内容缺失的扣4分，每存在一处缺陷扣2分，每项最多扣4分，16分扣完为止。（注：缺陷是指：项目名称不符、方案内容与项目需求不一致、涉及的技术规范标准等与国家或行业或采购文件要求不一致，方案内容存在凭空想象与编造，工作组织无条理性、计划方法或实施步骤安排混乱、语义表述存在歧义、混乱、前后不一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913" w:type="dxa"/>
            <w:vMerge w:val="continue"/>
            <w:vAlign w:val="center"/>
          </w:tcPr>
          <w:p>
            <w:pPr>
              <w:spacing w:line="360" w:lineRule="exact"/>
              <w:jc w:val="left"/>
              <w:rPr>
                <w:rFonts w:hint="eastAsia" w:ascii="宋体" w:hAnsi="宋体" w:eastAsia="宋体" w:cs="宋体"/>
                <w:kern w:val="0"/>
                <w:sz w:val="24"/>
                <w:szCs w:val="24"/>
              </w:rPr>
            </w:pPr>
          </w:p>
        </w:tc>
        <w:tc>
          <w:tcPr>
            <w:tcW w:w="1272" w:type="dxa"/>
            <w:vAlign w:val="center"/>
          </w:tcPr>
          <w:p>
            <w:pPr>
              <w:snapToGrid w:val="0"/>
              <w:spacing w:line="360" w:lineRule="exact"/>
              <w:rPr>
                <w:rFonts w:hint="default" w:ascii="宋体" w:hAnsi="宋体" w:cs="宋体"/>
                <w:sz w:val="24"/>
                <w:szCs w:val="24"/>
                <w:lang w:val="en-US" w:eastAsia="zh-CN"/>
              </w:rPr>
            </w:pPr>
            <w:r>
              <w:rPr>
                <w:rFonts w:hint="eastAsia" w:ascii="宋体" w:hAnsi="宋体" w:cs="宋体"/>
                <w:sz w:val="24"/>
                <w:szCs w:val="24"/>
                <w:lang w:val="en-US" w:eastAsia="zh-CN"/>
              </w:rPr>
              <w:t>应急方案(9</w:t>
            </w:r>
            <w:r>
              <w:rPr>
                <w:rFonts w:hint="eastAsia" w:ascii="宋体" w:hAnsi="宋体" w:cs="宋体"/>
                <w:sz w:val="24"/>
                <w:szCs w:val="24"/>
              </w:rPr>
              <w:t>分</w:t>
            </w:r>
            <w:r>
              <w:rPr>
                <w:rFonts w:hint="eastAsia" w:ascii="宋体" w:hAnsi="宋体" w:cs="宋体"/>
                <w:sz w:val="24"/>
                <w:szCs w:val="24"/>
                <w:lang w:val="en-US" w:eastAsia="zh-CN"/>
              </w:rPr>
              <w:t>)</w:t>
            </w:r>
          </w:p>
        </w:tc>
        <w:tc>
          <w:tcPr>
            <w:tcW w:w="8092" w:type="dxa"/>
            <w:vAlign w:val="center"/>
          </w:tcPr>
          <w:p>
            <w:pPr>
              <w:snapToGrid w:val="0"/>
              <w:spacing w:line="360" w:lineRule="exact"/>
              <w:rPr>
                <w:rFonts w:hint="eastAsia" w:ascii="宋体" w:hAnsi="宋体" w:cs="宋体"/>
                <w:sz w:val="24"/>
                <w:szCs w:val="24"/>
                <w:lang w:val="en-US" w:eastAsia="zh-CN"/>
              </w:rPr>
            </w:pPr>
            <w:r>
              <w:rPr>
                <w:rFonts w:hint="eastAsia" w:ascii="宋体" w:hAnsi="宋体" w:cs="宋体"/>
                <w:sz w:val="24"/>
                <w:szCs w:val="24"/>
                <w:lang w:val="en-US" w:eastAsia="zh-CN"/>
              </w:rPr>
              <w:t>根据供应商提供的应急方案进行评审，方案包含①突发事件的处理；②晕针晕血等，得9分，每有一项内容缺失的扣4.5分，每存在一处缺陷扣2.5分，每项最多扣4.5分，9分扣完为止。（注：缺陷是指：项目名称不符、方案内容与项目需求不一致、涉及的技术规范标准等与国家或行业或采购文件要求不一致，方案内容存在凭空想象与编造，工作组织无条理性、计划方法或实施步骤安排混乱、语义表述存在歧义、混乱、前后不一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913" w:type="dxa"/>
            <w:vMerge w:val="continue"/>
            <w:vAlign w:val="center"/>
          </w:tcPr>
          <w:p>
            <w:pPr>
              <w:spacing w:line="360" w:lineRule="exact"/>
              <w:jc w:val="left"/>
              <w:rPr>
                <w:rFonts w:hint="eastAsia" w:ascii="宋体" w:hAnsi="宋体" w:eastAsia="宋体" w:cs="宋体"/>
                <w:kern w:val="0"/>
                <w:sz w:val="24"/>
                <w:szCs w:val="24"/>
              </w:rPr>
            </w:pPr>
          </w:p>
        </w:tc>
        <w:tc>
          <w:tcPr>
            <w:tcW w:w="1272" w:type="dxa"/>
            <w:vAlign w:val="top"/>
          </w:tcPr>
          <w:p>
            <w:pPr>
              <w:snapToGrid w:val="0"/>
              <w:spacing w:line="360" w:lineRule="exact"/>
              <w:rPr>
                <w:rFonts w:hint="eastAsia" w:ascii="宋体" w:hAnsi="宋体" w:cs="宋体"/>
                <w:sz w:val="24"/>
                <w:szCs w:val="24"/>
                <w:lang w:val="en-US" w:eastAsia="zh-CN"/>
              </w:rPr>
            </w:pPr>
            <w:r>
              <w:rPr>
                <w:rFonts w:hint="eastAsia" w:ascii="宋体" w:hAnsi="宋体" w:cs="宋体"/>
                <w:sz w:val="24"/>
                <w:szCs w:val="24"/>
                <w:lang w:val="en-US" w:eastAsia="zh-CN"/>
              </w:rPr>
              <w:t>后期服务方案</w:t>
            </w:r>
          </w:p>
          <w:p>
            <w:pPr>
              <w:snapToGrid w:val="0"/>
              <w:spacing w:line="360" w:lineRule="exact"/>
              <w:rPr>
                <w:rFonts w:hint="default" w:ascii="宋体" w:hAnsi="宋体" w:cs="宋体"/>
                <w:sz w:val="24"/>
                <w:szCs w:val="24"/>
                <w:lang w:val="en-US" w:eastAsia="zh-CN"/>
              </w:rPr>
            </w:pPr>
            <w:r>
              <w:rPr>
                <w:rFonts w:hint="eastAsia" w:ascii="宋体" w:hAnsi="宋体" w:cs="宋体"/>
                <w:sz w:val="24"/>
                <w:szCs w:val="24"/>
                <w:lang w:val="en-US" w:eastAsia="zh-CN"/>
              </w:rPr>
              <w:t>(10</w:t>
            </w:r>
            <w:r>
              <w:rPr>
                <w:rFonts w:hint="eastAsia" w:ascii="宋体" w:hAnsi="宋体" w:cs="宋体"/>
                <w:sz w:val="24"/>
                <w:szCs w:val="24"/>
              </w:rPr>
              <w:t>分</w:t>
            </w:r>
            <w:r>
              <w:rPr>
                <w:rFonts w:hint="eastAsia" w:ascii="宋体" w:hAnsi="宋体" w:cs="宋体"/>
                <w:sz w:val="24"/>
                <w:szCs w:val="24"/>
                <w:lang w:val="en-US" w:eastAsia="zh-CN"/>
              </w:rPr>
              <w:t>)</w:t>
            </w:r>
          </w:p>
        </w:tc>
        <w:tc>
          <w:tcPr>
            <w:tcW w:w="8092" w:type="dxa"/>
            <w:vAlign w:val="top"/>
          </w:tcPr>
          <w:p>
            <w:pPr>
              <w:snapToGrid w:val="0"/>
              <w:spacing w:line="360" w:lineRule="exact"/>
              <w:rPr>
                <w:rFonts w:hint="eastAsia" w:ascii="宋体" w:hAnsi="宋体" w:cs="宋体"/>
                <w:sz w:val="24"/>
                <w:szCs w:val="24"/>
                <w:lang w:val="en-US" w:eastAsia="zh-Hans"/>
              </w:rPr>
            </w:pPr>
            <w:r>
              <w:rPr>
                <w:rFonts w:hint="eastAsia" w:ascii="宋体" w:hAnsi="宋体" w:cs="宋体"/>
                <w:sz w:val="24"/>
                <w:szCs w:val="24"/>
                <w:lang w:val="en-US" w:eastAsia="zh-CN"/>
              </w:rPr>
              <w:t>根据供应商针对本项目提供的后期服务方案进行评审，方案包含①复检；②挂号；③办理住院；④专家会诊等，⑤体检报告解读方式，得10分，每有一项内容缺失的扣2分，每存在一处缺陷扣1分，每项最多扣2分，10分扣完为止。（注：缺陷是指：项目名称不符、方案内容与项目需求不一致、涉及的技术规范标准等与国家或行业或采购文件要求不一致，方案内容存在凭空想象与编造，工作组织无条理性、计划方法或实施步骤安排混乱、语义表述存在歧义、混乱、前后不一致等。）</w:t>
            </w:r>
          </w:p>
        </w:tc>
      </w:tr>
    </w:tbl>
    <w:p>
      <w:pPr>
        <w:rPr>
          <w:rFonts w:ascii="宋体" w:cs="宋体"/>
          <w:w w:val="90"/>
        </w:rPr>
      </w:pPr>
    </w:p>
    <w:p>
      <w:pPr>
        <w:rPr>
          <w:rFonts w:ascii="宋体" w:cs="宋体"/>
          <w:w w:val="90"/>
          <w:sz w:val="36"/>
        </w:rPr>
      </w:pPr>
      <w:bookmarkStart w:id="101" w:name="_Toc14776845"/>
    </w:p>
    <w:p>
      <w:pPr>
        <w:rPr>
          <w:rFonts w:ascii="宋体" w:cs="宋体"/>
          <w:w w:val="90"/>
          <w:sz w:val="36"/>
        </w:rPr>
      </w:pPr>
    </w:p>
    <w:p>
      <w:pPr>
        <w:pStyle w:val="21"/>
      </w:pPr>
    </w:p>
    <w:p>
      <w:pPr>
        <w:pStyle w:val="21"/>
      </w:pPr>
    </w:p>
    <w:p>
      <w:pPr>
        <w:pStyle w:val="21"/>
      </w:pPr>
    </w:p>
    <w:p>
      <w:pPr>
        <w:pStyle w:val="21"/>
      </w:pPr>
    </w:p>
    <w:p/>
    <w:p/>
    <w:p>
      <w:pPr>
        <w:rPr>
          <w:rFonts w:ascii="宋体" w:cs="宋体"/>
          <w:w w:val="90"/>
          <w:sz w:val="36"/>
        </w:rPr>
      </w:pPr>
    </w:p>
    <w:p>
      <w:pPr>
        <w:rPr>
          <w:rFonts w:hint="eastAsia" w:ascii="宋体" w:hAnsi="宋体" w:cs="宋体"/>
          <w:w w:val="90"/>
        </w:rPr>
      </w:pPr>
      <w:bookmarkStart w:id="102" w:name="_Toc44704909"/>
      <w:bookmarkStart w:id="103" w:name="_Toc44705277"/>
      <w:bookmarkStart w:id="104" w:name="_Toc44705056"/>
      <w:r>
        <w:rPr>
          <w:rFonts w:hint="eastAsia" w:ascii="宋体" w:hAnsi="宋体" w:cs="宋体"/>
          <w:w w:val="90"/>
        </w:rPr>
        <w:br w:type="page"/>
      </w:r>
    </w:p>
    <w:p>
      <w:pPr>
        <w:pStyle w:val="3"/>
        <w:spacing w:line="360" w:lineRule="auto"/>
        <w:jc w:val="center"/>
        <w:rPr>
          <w:rFonts w:hint="eastAsia" w:ascii="宋体" w:hAnsi="宋体" w:cs="宋体"/>
          <w:w w:val="90"/>
        </w:rPr>
      </w:pPr>
    </w:p>
    <w:p>
      <w:pPr>
        <w:pStyle w:val="3"/>
        <w:spacing w:line="360" w:lineRule="auto"/>
        <w:jc w:val="center"/>
        <w:rPr>
          <w:rFonts w:hint="eastAsia" w:ascii="宋体" w:hAnsi="宋体" w:cs="宋体"/>
          <w:w w:val="90"/>
        </w:rPr>
      </w:pPr>
    </w:p>
    <w:p>
      <w:pPr>
        <w:pStyle w:val="3"/>
        <w:spacing w:line="360" w:lineRule="auto"/>
        <w:jc w:val="center"/>
        <w:rPr>
          <w:rFonts w:hint="eastAsia" w:ascii="宋体" w:hAnsi="宋体" w:cs="宋体"/>
          <w:w w:val="90"/>
        </w:rPr>
      </w:pPr>
    </w:p>
    <w:p>
      <w:pPr>
        <w:pStyle w:val="3"/>
        <w:spacing w:line="360" w:lineRule="auto"/>
        <w:jc w:val="center"/>
        <w:rPr>
          <w:rFonts w:hint="eastAsia" w:ascii="宋体" w:hAnsi="宋体" w:cs="宋体"/>
          <w:w w:val="90"/>
        </w:rPr>
      </w:pPr>
    </w:p>
    <w:p>
      <w:pPr>
        <w:pStyle w:val="3"/>
        <w:spacing w:line="360" w:lineRule="auto"/>
        <w:jc w:val="center"/>
        <w:rPr>
          <w:rFonts w:ascii="宋体" w:cs="宋体"/>
          <w:w w:val="90"/>
        </w:rPr>
      </w:pPr>
      <w:r>
        <w:rPr>
          <w:rFonts w:hint="eastAsia" w:ascii="宋体" w:hAnsi="宋体" w:cs="宋体"/>
          <w:w w:val="90"/>
        </w:rPr>
        <w:t>第七章</w:t>
      </w:r>
      <w:r>
        <w:rPr>
          <w:rFonts w:ascii="宋体" w:hAnsi="宋体" w:cs="宋体"/>
          <w:w w:val="90"/>
        </w:rPr>
        <w:t xml:space="preserve"> </w:t>
      </w:r>
      <w:r>
        <w:rPr>
          <w:rFonts w:hint="eastAsia" w:ascii="宋体" w:hAnsi="宋体" w:cs="宋体"/>
          <w:w w:val="90"/>
        </w:rPr>
        <w:t>投标文件格式</w:t>
      </w:r>
      <w:bookmarkEnd w:id="99"/>
      <w:bookmarkEnd w:id="101"/>
      <w:bookmarkEnd w:id="102"/>
      <w:bookmarkEnd w:id="103"/>
      <w:bookmarkEnd w:id="104"/>
    </w:p>
    <w:p>
      <w:pPr>
        <w:widowControl/>
        <w:jc w:val="left"/>
        <w:rPr>
          <w:rFonts w:ascii="宋体"/>
          <w:kern w:val="0"/>
          <w:sz w:val="36"/>
          <w:szCs w:val="36"/>
          <w:lang w:val="zh-CN"/>
        </w:rPr>
      </w:pPr>
      <w:bookmarkStart w:id="105" w:name="_Toc14776846"/>
      <w:bookmarkStart w:id="106" w:name="_Toc2355254"/>
      <w:bookmarkStart w:id="107" w:name="_Toc2511996"/>
      <w:bookmarkStart w:id="108" w:name="_Toc497167403"/>
      <w:r>
        <w:rPr>
          <w:sz w:val="36"/>
          <w:szCs w:val="36"/>
        </w:rPr>
        <w:br w:type="page"/>
      </w:r>
    </w:p>
    <w:p>
      <w:pPr>
        <w:pStyle w:val="209"/>
        <w:ind w:firstLine="0" w:firstLineChars="0"/>
        <w:jc w:val="center"/>
        <w:rPr>
          <w:sz w:val="36"/>
          <w:szCs w:val="36"/>
        </w:rPr>
      </w:pPr>
    </w:p>
    <w:p>
      <w:pPr>
        <w:pStyle w:val="209"/>
        <w:ind w:firstLine="0" w:firstLineChars="0"/>
        <w:jc w:val="center"/>
        <w:rPr>
          <w:sz w:val="36"/>
          <w:szCs w:val="36"/>
        </w:rPr>
      </w:pPr>
    </w:p>
    <w:p>
      <w:pPr>
        <w:pStyle w:val="209"/>
        <w:ind w:firstLine="0" w:firstLineChars="0"/>
        <w:jc w:val="center"/>
        <w:rPr>
          <w:sz w:val="36"/>
          <w:szCs w:val="36"/>
        </w:rPr>
      </w:pPr>
    </w:p>
    <w:p>
      <w:pPr>
        <w:pStyle w:val="209"/>
        <w:ind w:firstLine="0" w:firstLineChars="0"/>
        <w:jc w:val="center"/>
        <w:rPr>
          <w:sz w:val="36"/>
          <w:szCs w:val="36"/>
        </w:rPr>
      </w:pPr>
    </w:p>
    <w:p>
      <w:pPr>
        <w:pStyle w:val="209"/>
        <w:ind w:firstLine="0" w:firstLineChars="0"/>
        <w:jc w:val="center"/>
        <w:rPr>
          <w:sz w:val="36"/>
          <w:szCs w:val="36"/>
        </w:rPr>
      </w:pPr>
    </w:p>
    <w:p>
      <w:pPr>
        <w:pStyle w:val="209"/>
        <w:ind w:firstLine="0" w:firstLineChars="0"/>
        <w:jc w:val="center"/>
        <w:rPr>
          <w:sz w:val="36"/>
          <w:szCs w:val="36"/>
        </w:rPr>
      </w:pPr>
    </w:p>
    <w:p>
      <w:pPr>
        <w:pStyle w:val="4"/>
        <w:jc w:val="center"/>
        <w:rPr>
          <w:rFonts w:ascii="宋体" w:hAnsi="宋体" w:eastAsia="宋体"/>
          <w:sz w:val="36"/>
          <w:szCs w:val="36"/>
        </w:rPr>
      </w:pPr>
      <w:bookmarkStart w:id="109" w:name="_Toc44705278"/>
      <w:bookmarkStart w:id="110" w:name="_Toc44705057"/>
      <w:bookmarkStart w:id="111" w:name="_Toc44704910"/>
      <w:r>
        <w:rPr>
          <w:rFonts w:hint="eastAsia" w:ascii="宋体" w:hAnsi="宋体" w:eastAsia="宋体"/>
          <w:sz w:val="36"/>
          <w:szCs w:val="36"/>
        </w:rPr>
        <w:t>投标文件</w:t>
      </w:r>
      <w:r>
        <w:rPr>
          <w:rFonts w:ascii="宋体" w:hAnsi="宋体" w:eastAsia="宋体"/>
          <w:sz w:val="36"/>
          <w:szCs w:val="36"/>
        </w:rPr>
        <w:t>-</w:t>
      </w:r>
      <w:r>
        <w:rPr>
          <w:rFonts w:hint="eastAsia" w:ascii="宋体" w:hAnsi="宋体" w:eastAsia="宋体"/>
          <w:sz w:val="36"/>
          <w:szCs w:val="36"/>
        </w:rPr>
        <w:t>资格证明文件</w:t>
      </w:r>
      <w:bookmarkEnd w:id="105"/>
      <w:bookmarkEnd w:id="106"/>
      <w:bookmarkEnd w:id="107"/>
      <w:bookmarkEnd w:id="109"/>
      <w:bookmarkStart w:id="112" w:name="_Toc2511997"/>
      <w:bookmarkStart w:id="113" w:name="_Toc2355255"/>
    </w:p>
    <w:bookmarkEnd w:id="108"/>
    <w:bookmarkEnd w:id="110"/>
    <w:bookmarkEnd w:id="111"/>
    <w:bookmarkEnd w:id="112"/>
    <w:bookmarkEnd w:id="113"/>
    <w:p>
      <w:pPr>
        <w:jc w:val="center"/>
        <w:rPr>
          <w:sz w:val="32"/>
        </w:rPr>
      </w:pPr>
    </w:p>
    <w:p>
      <w:pPr>
        <w:widowControl/>
        <w:spacing w:line="360" w:lineRule="auto"/>
        <w:jc w:val="left"/>
        <w:rPr>
          <w:rFonts w:ascii="宋体" w:cs="宋体"/>
          <w:b/>
          <w:sz w:val="36"/>
          <w:szCs w:val="44"/>
        </w:rPr>
      </w:pPr>
      <w:r>
        <w:rPr>
          <w:rFonts w:ascii="宋体" w:cs="宋体"/>
        </w:rPr>
        <w:br w:type="page"/>
      </w:r>
    </w:p>
    <w:p>
      <w:pPr>
        <w:spacing w:line="360" w:lineRule="auto"/>
        <w:rPr>
          <w:rFonts w:ascii="宋体" w:hAnsi="宋体" w:cs="宋体"/>
          <w:b/>
          <w:szCs w:val="21"/>
        </w:rPr>
      </w:pPr>
      <w:r>
        <w:rPr>
          <w:rFonts w:hint="eastAsia" w:ascii="宋体" w:hAnsi="宋体" w:cs="宋体"/>
          <w:b/>
          <w:szCs w:val="21"/>
        </w:rPr>
        <w:t>资格证明文件隔页纸格式</w:t>
      </w:r>
    </w:p>
    <w:p>
      <w:pPr>
        <w:pStyle w:val="21"/>
      </w:pPr>
    </w:p>
    <w:p>
      <w:pPr>
        <w:spacing w:line="360" w:lineRule="auto"/>
        <w:jc w:val="center"/>
        <w:rPr>
          <w:rFonts w:ascii="宋体" w:cs="宋体"/>
          <w:b/>
          <w:sz w:val="96"/>
        </w:rPr>
      </w:pPr>
    </w:p>
    <w:p>
      <w:pPr>
        <w:spacing w:line="360" w:lineRule="auto"/>
        <w:jc w:val="center"/>
        <w:rPr>
          <w:rFonts w:hint="eastAsia" w:ascii="宋体" w:hAnsi="宋体" w:cs="宋体"/>
          <w:b/>
          <w:sz w:val="80"/>
          <w:szCs w:val="80"/>
        </w:rPr>
      </w:pPr>
      <w:r>
        <w:rPr>
          <w:rFonts w:hint="eastAsia" w:ascii="宋体" w:hAnsi="宋体" w:cs="宋体"/>
          <w:b/>
          <w:sz w:val="80"/>
          <w:szCs w:val="80"/>
        </w:rPr>
        <w:t>（项目名称）</w:t>
      </w:r>
    </w:p>
    <w:p>
      <w:pPr>
        <w:pStyle w:val="2"/>
        <w:jc w:val="center"/>
        <w:rPr>
          <w:rFonts w:hint="default" w:eastAsia="宋体"/>
          <w:sz w:val="28"/>
          <w:szCs w:val="28"/>
          <w:lang w:val="en-US" w:eastAsia="zh-CN"/>
        </w:rPr>
      </w:pPr>
      <w:r>
        <w:rPr>
          <w:rFonts w:hint="eastAsia"/>
          <w:sz w:val="28"/>
          <w:szCs w:val="28"/>
          <w:lang w:val="en-US" w:eastAsia="zh-CN"/>
        </w:rPr>
        <w:t>标项名称：</w:t>
      </w:r>
    </w:p>
    <w:p>
      <w:pPr>
        <w:spacing w:line="360" w:lineRule="auto"/>
        <w:jc w:val="center"/>
        <w:rPr>
          <w:rFonts w:ascii="宋体" w:cs="宋体"/>
          <w:b/>
          <w:sz w:val="80"/>
          <w:szCs w:val="80"/>
        </w:rPr>
      </w:pPr>
    </w:p>
    <w:p>
      <w:pPr>
        <w:spacing w:line="360" w:lineRule="auto"/>
        <w:jc w:val="center"/>
        <w:rPr>
          <w:rFonts w:ascii="宋体" w:cs="宋体"/>
          <w:b/>
          <w:sz w:val="80"/>
          <w:szCs w:val="80"/>
        </w:rPr>
      </w:pPr>
      <w:r>
        <w:rPr>
          <w:rFonts w:hint="eastAsia" w:ascii="宋体" w:hAnsi="宋体" w:cs="宋体"/>
          <w:b/>
          <w:sz w:val="80"/>
          <w:szCs w:val="80"/>
        </w:rPr>
        <w:t>投标文件</w:t>
      </w:r>
      <w:r>
        <w:rPr>
          <w:rFonts w:ascii="宋体" w:cs="宋体"/>
          <w:b/>
          <w:sz w:val="80"/>
          <w:szCs w:val="80"/>
        </w:rPr>
        <w:t>-</w:t>
      </w:r>
      <w:r>
        <w:rPr>
          <w:rFonts w:hint="eastAsia" w:ascii="宋体" w:hAnsi="宋体" w:cs="宋体"/>
          <w:b/>
          <w:sz w:val="80"/>
          <w:szCs w:val="80"/>
        </w:rPr>
        <w:t>资格证明材料</w:t>
      </w:r>
    </w:p>
    <w:p>
      <w:pPr>
        <w:spacing w:line="360" w:lineRule="auto"/>
        <w:rPr>
          <w:rFonts w:ascii="宋体" w:cs="宋体"/>
          <w:b/>
        </w:rPr>
      </w:pPr>
    </w:p>
    <w:p>
      <w:pPr>
        <w:spacing w:line="360" w:lineRule="auto"/>
        <w:jc w:val="center"/>
        <w:rPr>
          <w:rFonts w:ascii="宋体" w:cs="宋体"/>
          <w:b/>
        </w:rPr>
      </w:pPr>
    </w:p>
    <w:p>
      <w:pPr>
        <w:spacing w:line="360" w:lineRule="auto"/>
        <w:rPr>
          <w:rFonts w:ascii="宋体" w:cs="宋体"/>
          <w:b/>
        </w:rPr>
      </w:pPr>
    </w:p>
    <w:p>
      <w:pPr>
        <w:spacing w:line="360" w:lineRule="auto"/>
        <w:jc w:val="center"/>
        <w:rPr>
          <w:rFonts w:ascii="宋体" w:cs="宋体"/>
          <w:b/>
        </w:rPr>
      </w:pPr>
    </w:p>
    <w:p>
      <w:pPr>
        <w:spacing w:line="360" w:lineRule="auto"/>
        <w:jc w:val="center"/>
        <w:rPr>
          <w:rFonts w:ascii="宋体" w:cs="宋体"/>
          <w:b/>
        </w:rPr>
      </w:pPr>
    </w:p>
    <w:p>
      <w:pPr>
        <w:spacing w:line="360" w:lineRule="auto"/>
        <w:rPr>
          <w:rFonts w:hint="eastAsia" w:ascii="宋体" w:hAnsi="宋体" w:cs="宋体"/>
          <w:b/>
          <w:sz w:val="36"/>
          <w:szCs w:val="36"/>
        </w:rPr>
      </w:pPr>
      <w:r>
        <w:rPr>
          <w:rFonts w:hint="eastAsia" w:ascii="宋体" w:hAnsi="宋体" w:cs="宋体"/>
          <w:b/>
          <w:sz w:val="36"/>
          <w:szCs w:val="36"/>
        </w:rPr>
        <w:t>招标编号：</w:t>
      </w:r>
    </w:p>
    <w:p>
      <w:pPr>
        <w:spacing w:line="360" w:lineRule="auto"/>
        <w:ind w:left="2992" w:hanging="2631"/>
        <w:rPr>
          <w:rFonts w:ascii="宋体" w:cs="宋体"/>
          <w:b/>
          <w:sz w:val="36"/>
          <w:szCs w:val="36"/>
        </w:rPr>
      </w:pPr>
    </w:p>
    <w:p>
      <w:pPr>
        <w:spacing w:line="360" w:lineRule="auto"/>
        <w:rPr>
          <w:rFonts w:ascii="宋体" w:cs="宋体"/>
          <w:b/>
          <w:sz w:val="36"/>
          <w:szCs w:val="36"/>
          <w:u w:val="single"/>
        </w:rPr>
      </w:pPr>
      <w:r>
        <w:rPr>
          <w:rFonts w:hint="eastAsia" w:ascii="宋体" w:hAnsi="宋体" w:cs="宋体"/>
          <w:b/>
          <w:sz w:val="36"/>
          <w:szCs w:val="36"/>
        </w:rPr>
        <w:t>投标人名称：</w:t>
      </w:r>
      <w:r>
        <w:rPr>
          <w:rFonts w:ascii="宋体" w:hAnsi="宋体" w:cs="宋体"/>
          <w:b/>
          <w:sz w:val="36"/>
          <w:szCs w:val="36"/>
        </w:rPr>
        <w:t xml:space="preserve"> </w:t>
      </w:r>
      <w:r>
        <w:rPr>
          <w:rFonts w:ascii="宋体" w:hAnsi="宋体" w:cs="宋体"/>
          <w:b/>
          <w:sz w:val="36"/>
          <w:szCs w:val="36"/>
          <w:u w:val="single"/>
        </w:rPr>
        <w:t xml:space="preserve">                </w:t>
      </w:r>
      <w:r>
        <w:rPr>
          <w:rFonts w:hint="eastAsia" w:ascii="宋体" w:hAnsi="宋体" w:cs="宋体"/>
          <w:b/>
          <w:sz w:val="36"/>
          <w:szCs w:val="36"/>
          <w:u w:val="single"/>
        </w:rPr>
        <w:t>（盖公章）</w:t>
      </w:r>
    </w:p>
    <w:p>
      <w:pPr>
        <w:spacing w:line="360" w:lineRule="auto"/>
        <w:rPr>
          <w:rFonts w:ascii="宋体" w:cs="宋体"/>
          <w:b/>
          <w:sz w:val="36"/>
          <w:szCs w:val="36"/>
        </w:rPr>
      </w:pPr>
    </w:p>
    <w:p>
      <w:pPr>
        <w:spacing w:line="360" w:lineRule="auto"/>
        <w:jc w:val="center"/>
        <w:rPr>
          <w:rFonts w:ascii="宋体" w:cs="宋体"/>
          <w:b/>
          <w:sz w:val="36"/>
          <w:szCs w:val="36"/>
        </w:rPr>
      </w:pPr>
      <w:r>
        <w:rPr>
          <w:rFonts w:ascii="宋体" w:hAnsi="宋体" w:cs="宋体"/>
          <w:b/>
          <w:sz w:val="36"/>
          <w:szCs w:val="36"/>
        </w:rPr>
        <w:t xml:space="preserve"> </w:t>
      </w:r>
      <w:r>
        <w:rPr>
          <w:rFonts w:hint="eastAsia" w:ascii="宋体" w:hAnsi="宋体" w:cs="宋体"/>
          <w:b/>
          <w:sz w:val="36"/>
          <w:szCs w:val="36"/>
        </w:rPr>
        <w:t>年</w:t>
      </w:r>
      <w:r>
        <w:rPr>
          <w:rFonts w:ascii="宋体" w:hAnsi="宋体" w:cs="宋体"/>
          <w:b/>
          <w:sz w:val="36"/>
          <w:szCs w:val="36"/>
        </w:rPr>
        <w:t xml:space="preserve">  </w:t>
      </w:r>
      <w:r>
        <w:rPr>
          <w:rFonts w:hint="eastAsia" w:ascii="宋体" w:hAnsi="宋体" w:cs="宋体"/>
          <w:b/>
          <w:sz w:val="36"/>
          <w:szCs w:val="36"/>
        </w:rPr>
        <w:t>月</w:t>
      </w:r>
      <w:r>
        <w:rPr>
          <w:rFonts w:ascii="宋体" w:hAnsi="宋体" w:cs="宋体"/>
          <w:b/>
          <w:sz w:val="36"/>
          <w:szCs w:val="36"/>
        </w:rPr>
        <w:t xml:space="preserve">  </w:t>
      </w:r>
      <w:r>
        <w:rPr>
          <w:rFonts w:hint="eastAsia" w:ascii="宋体" w:hAnsi="宋体" w:cs="宋体"/>
          <w:b/>
          <w:sz w:val="36"/>
          <w:szCs w:val="36"/>
        </w:rPr>
        <w:t>日</w:t>
      </w:r>
    </w:p>
    <w:p>
      <w:pPr>
        <w:widowControl/>
        <w:spacing w:line="360" w:lineRule="auto"/>
        <w:jc w:val="left"/>
        <w:rPr>
          <w:rFonts w:ascii="宋体" w:cs="宋体"/>
          <w:b/>
          <w:sz w:val="36"/>
          <w:szCs w:val="36"/>
        </w:rPr>
      </w:pPr>
      <w:r>
        <w:rPr>
          <w:rFonts w:ascii="宋体" w:cs="宋体"/>
          <w:b/>
          <w:sz w:val="36"/>
          <w:szCs w:val="36"/>
        </w:rPr>
        <w:br w:type="page"/>
      </w:r>
    </w:p>
    <w:p>
      <w:pPr>
        <w:pStyle w:val="4"/>
        <w:rPr>
          <w:rFonts w:ascii="宋体" w:hAnsi="宋体" w:eastAsia="宋体" w:cs="宋体"/>
          <w:sz w:val="24"/>
          <w:szCs w:val="24"/>
        </w:rPr>
      </w:pPr>
      <w:bookmarkStart w:id="114" w:name="_Toc44705279"/>
      <w:bookmarkStart w:id="115" w:name="_Toc44704911"/>
      <w:bookmarkStart w:id="116" w:name="_Toc44705058"/>
      <w:r>
        <w:rPr>
          <w:rFonts w:hint="eastAsia" w:ascii="宋体" w:hAnsi="宋体" w:eastAsia="宋体" w:cs="宋体"/>
          <w:sz w:val="36"/>
          <w:szCs w:val="24"/>
        </w:rPr>
        <w:t>资格证明材料内容及格式</w:t>
      </w:r>
      <w:bookmarkEnd w:id="114"/>
      <w:bookmarkEnd w:id="115"/>
      <w:bookmarkEnd w:id="116"/>
    </w:p>
    <w:p>
      <w:pPr>
        <w:spacing w:line="360" w:lineRule="auto"/>
        <w:rPr>
          <w:rFonts w:ascii="宋体" w:cs="宋体"/>
          <w:color w:val="000000"/>
          <w:sz w:val="24"/>
          <w:szCs w:val="24"/>
        </w:rPr>
      </w:pPr>
      <w:r>
        <w:rPr>
          <w:rFonts w:hint="eastAsia" w:ascii="宋体" w:hAnsi="宋体" w:cs="宋体"/>
          <w:color w:val="000000"/>
          <w:sz w:val="24"/>
          <w:szCs w:val="24"/>
        </w:rPr>
        <w:t>一、目录</w:t>
      </w:r>
    </w:p>
    <w:p>
      <w:pPr>
        <w:tabs>
          <w:tab w:val="left" w:pos="720"/>
        </w:tabs>
        <w:autoSpaceDE w:val="0"/>
        <w:autoSpaceDN w:val="0"/>
        <w:adjustRightInd w:val="0"/>
        <w:spacing w:line="360" w:lineRule="auto"/>
        <w:ind w:right="17"/>
        <w:jc w:val="left"/>
        <w:rPr>
          <w:rFonts w:ascii="宋体" w:cs="宋体"/>
          <w:kern w:val="0"/>
          <w:sz w:val="24"/>
          <w:szCs w:val="24"/>
          <w:lang w:val="zh-CN"/>
        </w:rPr>
      </w:pPr>
      <w:r>
        <w:rPr>
          <w:rFonts w:ascii="宋体" w:hAnsi="宋体" w:cs="宋体"/>
          <w:color w:val="000000"/>
          <w:sz w:val="24"/>
          <w:szCs w:val="24"/>
        </w:rPr>
        <w:t>1</w:t>
      </w:r>
      <w:r>
        <w:rPr>
          <w:rFonts w:ascii="宋体" w:hAnsi="宋体" w:cs="宋体"/>
          <w:kern w:val="0"/>
          <w:sz w:val="24"/>
          <w:szCs w:val="24"/>
          <w:lang w:val="zh-CN"/>
        </w:rPr>
        <w:t>.1</w:t>
      </w:r>
      <w:r>
        <w:rPr>
          <w:rFonts w:hint="eastAsia" w:ascii="宋体" w:hAnsi="宋体" w:cs="宋体"/>
          <w:kern w:val="0"/>
          <w:sz w:val="24"/>
          <w:szCs w:val="24"/>
          <w:lang w:val="zh-CN"/>
        </w:rPr>
        <w:t>具有独立承担民事责任的能力；</w:t>
      </w:r>
    </w:p>
    <w:p>
      <w:pPr>
        <w:tabs>
          <w:tab w:val="left" w:pos="720"/>
        </w:tabs>
        <w:autoSpaceDE w:val="0"/>
        <w:autoSpaceDN w:val="0"/>
        <w:adjustRightInd w:val="0"/>
        <w:spacing w:line="360" w:lineRule="auto"/>
        <w:ind w:right="17"/>
        <w:jc w:val="left"/>
        <w:rPr>
          <w:rFonts w:ascii="宋体" w:cs="宋体"/>
          <w:color w:val="000000"/>
          <w:kern w:val="0"/>
          <w:sz w:val="24"/>
          <w:szCs w:val="24"/>
          <w:lang w:val="zh-CN"/>
        </w:rPr>
      </w:pPr>
      <w:r>
        <w:rPr>
          <w:rFonts w:ascii="宋体" w:hAnsi="宋体" w:cs="宋体"/>
          <w:color w:val="000000"/>
          <w:sz w:val="24"/>
          <w:szCs w:val="24"/>
        </w:rPr>
        <w:t>1.2</w:t>
      </w:r>
      <w:r>
        <w:rPr>
          <w:rFonts w:hint="eastAsia" w:ascii="宋体" w:hAnsi="宋体" w:cs="宋体"/>
          <w:kern w:val="0"/>
          <w:sz w:val="24"/>
          <w:szCs w:val="24"/>
          <w:lang w:val="zh-CN"/>
        </w:rPr>
        <w:t>具有良好的商业信誉和健全的财务会计制度</w:t>
      </w:r>
      <w:r>
        <w:rPr>
          <w:rFonts w:hint="eastAsia" w:ascii="宋体" w:hAnsi="宋体" w:cs="宋体"/>
          <w:color w:val="000000"/>
          <w:sz w:val="24"/>
          <w:szCs w:val="24"/>
        </w:rPr>
        <w:t>；</w:t>
      </w:r>
    </w:p>
    <w:p>
      <w:pPr>
        <w:spacing w:line="360" w:lineRule="auto"/>
        <w:rPr>
          <w:rFonts w:ascii="宋体" w:cs="宋体"/>
          <w:color w:val="000000"/>
          <w:sz w:val="24"/>
          <w:szCs w:val="24"/>
        </w:rPr>
      </w:pPr>
      <w:r>
        <w:rPr>
          <w:rFonts w:ascii="宋体" w:hAnsi="宋体" w:cs="宋体"/>
          <w:color w:val="000000"/>
          <w:sz w:val="24"/>
          <w:szCs w:val="24"/>
        </w:rPr>
        <w:t>1.3</w:t>
      </w:r>
      <w:r>
        <w:rPr>
          <w:rFonts w:hint="eastAsia" w:ascii="宋体" w:hAnsi="宋体" w:cs="宋体"/>
          <w:color w:val="000000"/>
          <w:sz w:val="24"/>
          <w:szCs w:val="24"/>
        </w:rPr>
        <w:t>具有履行合同所必需的设备和专业技术能力；</w:t>
      </w:r>
    </w:p>
    <w:p>
      <w:pPr>
        <w:spacing w:line="360" w:lineRule="auto"/>
        <w:rPr>
          <w:rFonts w:ascii="宋体" w:cs="宋体"/>
          <w:color w:val="000000"/>
          <w:sz w:val="24"/>
          <w:szCs w:val="24"/>
        </w:rPr>
      </w:pPr>
      <w:r>
        <w:rPr>
          <w:rFonts w:ascii="宋体" w:hAnsi="宋体" w:cs="宋体"/>
          <w:color w:val="000000"/>
          <w:sz w:val="24"/>
          <w:szCs w:val="24"/>
        </w:rPr>
        <w:t>1.4</w:t>
      </w:r>
      <w:r>
        <w:rPr>
          <w:rFonts w:hint="eastAsia" w:ascii="宋体" w:hAnsi="宋体" w:cs="宋体"/>
          <w:color w:val="000000"/>
          <w:kern w:val="0"/>
          <w:sz w:val="24"/>
          <w:szCs w:val="24"/>
          <w:lang w:val="zh-CN"/>
        </w:rPr>
        <w:t>有依法缴纳税收和社会保障资金的良好记录；</w:t>
      </w:r>
    </w:p>
    <w:p>
      <w:pPr>
        <w:spacing w:line="360" w:lineRule="auto"/>
        <w:rPr>
          <w:rFonts w:ascii="宋体" w:cs="宋体"/>
          <w:color w:val="000000"/>
          <w:sz w:val="24"/>
          <w:szCs w:val="24"/>
        </w:rPr>
      </w:pPr>
      <w:r>
        <w:rPr>
          <w:rFonts w:ascii="宋体" w:hAnsi="宋体" w:cs="宋体"/>
          <w:color w:val="000000"/>
          <w:sz w:val="24"/>
          <w:szCs w:val="24"/>
        </w:rPr>
        <w:t>1.5</w:t>
      </w:r>
      <w:r>
        <w:rPr>
          <w:rFonts w:hint="eastAsia" w:ascii="宋体" w:hAnsi="宋体" w:cs="宋体"/>
          <w:color w:val="000000"/>
          <w:sz w:val="24"/>
          <w:szCs w:val="24"/>
        </w:rPr>
        <w:t>参加政府采购活动前三年内，在经营活动中没有重大违法记录；</w:t>
      </w:r>
    </w:p>
    <w:p>
      <w:pPr>
        <w:spacing w:line="360" w:lineRule="auto"/>
        <w:rPr>
          <w:rFonts w:ascii="宋体" w:cs="宋体"/>
          <w:color w:val="000000"/>
          <w:sz w:val="24"/>
          <w:szCs w:val="24"/>
        </w:rPr>
      </w:pPr>
      <w:r>
        <w:rPr>
          <w:rFonts w:ascii="宋体" w:hAnsi="宋体" w:cs="宋体"/>
          <w:color w:val="000000"/>
          <w:sz w:val="24"/>
          <w:szCs w:val="24"/>
        </w:rPr>
        <w:t>1.</w:t>
      </w:r>
      <w:bookmarkStart w:id="117" w:name="_Hlk493437107"/>
      <w:r>
        <w:rPr>
          <w:rFonts w:ascii="宋体" w:hAnsi="宋体" w:cs="宋体"/>
          <w:color w:val="000000"/>
          <w:sz w:val="24"/>
          <w:szCs w:val="24"/>
        </w:rPr>
        <w:t>6</w:t>
      </w:r>
      <w:r>
        <w:rPr>
          <w:rFonts w:hint="eastAsia" w:ascii="宋体" w:hAnsi="宋体" w:cs="宋体"/>
          <w:color w:val="000000"/>
          <w:sz w:val="24"/>
          <w:szCs w:val="24"/>
        </w:rPr>
        <w:t>符合招标文件第二章“</w:t>
      </w:r>
      <w:r>
        <w:rPr>
          <w:rFonts w:hint="eastAsia" w:ascii="宋体" w:hAnsi="宋体" w:cs="宋体"/>
          <w:bCs/>
          <w:kern w:val="0"/>
          <w:sz w:val="24"/>
          <w:szCs w:val="24"/>
        </w:rPr>
        <w:t>投标人须知前附表”</w:t>
      </w:r>
      <w:r>
        <w:rPr>
          <w:rFonts w:ascii="宋体" w:hAnsi="宋体" w:cs="宋体"/>
          <w:bCs/>
          <w:kern w:val="0"/>
          <w:sz w:val="24"/>
          <w:szCs w:val="24"/>
        </w:rPr>
        <w:t>15.1</w:t>
      </w:r>
      <w:r>
        <w:rPr>
          <w:rFonts w:hint="eastAsia" w:ascii="宋体" w:hAnsi="宋体" w:cs="宋体"/>
          <w:bCs/>
          <w:kern w:val="0"/>
          <w:sz w:val="24"/>
          <w:szCs w:val="24"/>
        </w:rPr>
        <w:t>中第</w:t>
      </w:r>
      <w:r>
        <w:rPr>
          <w:rFonts w:ascii="宋体" w:hAnsi="宋体" w:cs="宋体"/>
          <w:bCs/>
          <w:kern w:val="0"/>
          <w:sz w:val="24"/>
          <w:szCs w:val="24"/>
        </w:rPr>
        <w:t>2</w:t>
      </w:r>
      <w:r>
        <w:rPr>
          <w:rFonts w:hint="eastAsia" w:ascii="宋体" w:hAnsi="宋体" w:cs="宋体"/>
          <w:bCs/>
          <w:kern w:val="0"/>
          <w:sz w:val="24"/>
          <w:szCs w:val="24"/>
        </w:rPr>
        <w:t>条的证明材料</w:t>
      </w:r>
      <w:bookmarkEnd w:id="117"/>
      <w:r>
        <w:rPr>
          <w:rFonts w:hint="eastAsia" w:ascii="宋体" w:hAnsi="宋体" w:cs="宋体"/>
          <w:bCs/>
          <w:kern w:val="0"/>
          <w:sz w:val="24"/>
          <w:szCs w:val="24"/>
        </w:rPr>
        <w:t>；</w:t>
      </w:r>
    </w:p>
    <w:p>
      <w:pPr>
        <w:spacing w:line="360" w:lineRule="auto"/>
        <w:rPr>
          <w:rFonts w:ascii="宋体" w:cs="宋体"/>
          <w:color w:val="000000"/>
          <w:sz w:val="24"/>
        </w:rPr>
      </w:pPr>
      <w:r>
        <w:rPr>
          <w:rFonts w:ascii="宋体" w:hAnsi="宋体" w:cs="宋体"/>
          <w:color w:val="000000"/>
          <w:sz w:val="24"/>
        </w:rPr>
        <w:t>1.7</w:t>
      </w:r>
      <w:r>
        <w:rPr>
          <w:rFonts w:hint="eastAsia" w:ascii="宋体" w:hAnsi="宋体" w:cs="宋体"/>
          <w:color w:val="000000"/>
          <w:sz w:val="24"/>
          <w:szCs w:val="24"/>
        </w:rPr>
        <w:t>符合招标文件第二章“</w:t>
      </w:r>
      <w:r>
        <w:rPr>
          <w:rFonts w:hint="eastAsia" w:ascii="宋体" w:hAnsi="宋体" w:cs="宋体"/>
          <w:bCs/>
          <w:kern w:val="0"/>
          <w:sz w:val="24"/>
          <w:szCs w:val="24"/>
        </w:rPr>
        <w:t>投标人须知前附表”</w:t>
      </w:r>
      <w:r>
        <w:rPr>
          <w:rFonts w:ascii="宋体" w:hAnsi="宋体" w:cs="宋体"/>
          <w:bCs/>
          <w:kern w:val="0"/>
          <w:sz w:val="24"/>
          <w:szCs w:val="24"/>
        </w:rPr>
        <w:t>15.1</w:t>
      </w:r>
      <w:r>
        <w:rPr>
          <w:rFonts w:hint="eastAsia" w:ascii="宋体" w:hAnsi="宋体" w:cs="宋体"/>
          <w:bCs/>
          <w:kern w:val="0"/>
          <w:sz w:val="24"/>
          <w:szCs w:val="24"/>
        </w:rPr>
        <w:t>中第</w:t>
      </w:r>
      <w:r>
        <w:rPr>
          <w:rFonts w:ascii="宋体" w:hAnsi="宋体" w:cs="宋体"/>
          <w:bCs/>
          <w:kern w:val="0"/>
          <w:sz w:val="24"/>
          <w:szCs w:val="24"/>
        </w:rPr>
        <w:t>3</w:t>
      </w:r>
      <w:r>
        <w:rPr>
          <w:rFonts w:hint="eastAsia" w:ascii="宋体" w:hAnsi="宋体" w:cs="宋体"/>
          <w:bCs/>
          <w:kern w:val="0"/>
          <w:sz w:val="24"/>
          <w:szCs w:val="24"/>
        </w:rPr>
        <w:t>条的证明材料</w:t>
      </w:r>
      <w:r>
        <w:rPr>
          <w:rFonts w:hint="eastAsia" w:ascii="宋体" w:hAnsi="宋体" w:cs="宋体"/>
          <w:color w:val="000000"/>
          <w:sz w:val="24"/>
        </w:rPr>
        <w:t>；</w:t>
      </w:r>
    </w:p>
    <w:p>
      <w:pPr>
        <w:pStyle w:val="21"/>
        <w:rPr>
          <w:rFonts w:ascii="宋体" w:cs="宋体"/>
          <w:color w:val="000000"/>
        </w:rPr>
      </w:pPr>
      <w:r>
        <w:rPr>
          <w:rFonts w:ascii="宋体" w:hAnsi="宋体" w:cs="宋体"/>
          <w:color w:val="000000"/>
        </w:rPr>
        <w:t>1.8</w:t>
      </w:r>
      <w:r>
        <w:rPr>
          <w:rFonts w:hint="eastAsia" w:ascii="宋体" w:hAnsi="宋体" w:cs="宋体"/>
          <w:color w:val="000000"/>
        </w:rPr>
        <w:t>投标承诺书；</w:t>
      </w:r>
    </w:p>
    <w:p>
      <w:pPr>
        <w:spacing w:line="360" w:lineRule="auto"/>
        <w:rPr>
          <w:rFonts w:ascii="宋体" w:hAnsi="宋体" w:cs="宋体"/>
          <w:color w:val="000000"/>
          <w:sz w:val="24"/>
          <w:szCs w:val="22"/>
        </w:rPr>
      </w:pPr>
      <w:r>
        <w:rPr>
          <w:rFonts w:ascii="宋体" w:hAnsi="宋体" w:cs="宋体"/>
          <w:color w:val="000000"/>
          <w:sz w:val="24"/>
          <w:szCs w:val="22"/>
        </w:rPr>
        <w:t>1.9</w:t>
      </w:r>
      <w:r>
        <w:rPr>
          <w:rFonts w:hint="eastAsia" w:ascii="宋体" w:hAnsi="宋体" w:cs="宋体"/>
          <w:color w:val="000000"/>
          <w:sz w:val="24"/>
          <w:szCs w:val="22"/>
        </w:rPr>
        <w:t>投标保证金凭证。</w:t>
      </w:r>
    </w:p>
    <w:p>
      <w:pPr>
        <w:spacing w:line="360" w:lineRule="auto"/>
        <w:rPr>
          <w:rFonts w:ascii="宋体" w:cs="宋体"/>
          <w:color w:val="000000"/>
          <w:sz w:val="24"/>
          <w:szCs w:val="24"/>
        </w:rPr>
      </w:pPr>
      <w:r>
        <w:rPr>
          <w:rFonts w:hint="eastAsia" w:ascii="宋体" w:hAnsi="宋体" w:cs="宋体"/>
          <w:color w:val="000000"/>
          <w:sz w:val="24"/>
          <w:szCs w:val="24"/>
        </w:rPr>
        <w:t>二、填写须知</w:t>
      </w:r>
    </w:p>
    <w:p>
      <w:pPr>
        <w:tabs>
          <w:tab w:val="left" w:pos="0"/>
        </w:tabs>
        <w:spacing w:line="360" w:lineRule="auto"/>
        <w:rPr>
          <w:rFonts w:ascii="宋体" w:hAnsi="宋体" w:cs="宋体"/>
          <w:color w:val="000000"/>
          <w:sz w:val="24"/>
          <w:szCs w:val="24"/>
        </w:rPr>
      </w:pPr>
      <w:r>
        <w:rPr>
          <w:rFonts w:hint="eastAsia" w:ascii="宋体" w:hAnsi="宋体" w:cs="宋体"/>
          <w:color w:val="000000"/>
          <w:sz w:val="24"/>
          <w:szCs w:val="24"/>
        </w:rPr>
        <w:t>1.以上所列资格证明材料未提供格式的，由投标人提供，需由投标人授权代表签字并加盖公章。</w:t>
      </w:r>
    </w:p>
    <w:p>
      <w:pPr>
        <w:tabs>
          <w:tab w:val="left" w:pos="0"/>
        </w:tabs>
        <w:spacing w:line="360" w:lineRule="auto"/>
        <w:rPr>
          <w:rFonts w:ascii="宋体" w:hAnsi="宋体" w:cs="宋体"/>
          <w:color w:val="000000"/>
          <w:sz w:val="24"/>
          <w:szCs w:val="24"/>
        </w:rPr>
      </w:pPr>
      <w:r>
        <w:rPr>
          <w:rFonts w:hint="eastAsia" w:ascii="宋体" w:hAnsi="宋体" w:cs="宋体"/>
          <w:color w:val="000000"/>
          <w:sz w:val="24"/>
          <w:szCs w:val="24"/>
        </w:rPr>
        <w:t>2.以联合体形式进行政府采购的，参加联合体的</w:t>
      </w:r>
      <w:r>
        <w:rPr>
          <w:rFonts w:hint="eastAsia" w:ascii="宋体" w:hAnsi="宋体" w:cs="宋体"/>
          <w:sz w:val="24"/>
          <w:szCs w:val="24"/>
        </w:rPr>
        <w:t>投标人</w:t>
      </w:r>
      <w:r>
        <w:rPr>
          <w:rFonts w:hint="eastAsia" w:ascii="宋体" w:hAnsi="宋体" w:cs="宋体"/>
          <w:color w:val="000000"/>
          <w:sz w:val="24"/>
          <w:szCs w:val="24"/>
        </w:rPr>
        <w:t>均应当具备以上所列资格证明材料并加盖单位公章，并应当向采购人提交联合协议，载明联合体各方承担的工作和义务。联合体各方应当共同与采购人签订采购合同，就采购合同约定的事项对采购人承担连带责任。联合体中有同类资质的</w:t>
      </w:r>
      <w:r>
        <w:rPr>
          <w:rFonts w:hint="eastAsia" w:ascii="宋体" w:hAnsi="宋体" w:cs="宋体"/>
          <w:sz w:val="24"/>
          <w:szCs w:val="24"/>
        </w:rPr>
        <w:t>投标人</w:t>
      </w:r>
      <w:r>
        <w:rPr>
          <w:rFonts w:hint="eastAsia" w:ascii="宋体" w:hAnsi="宋体" w:cs="宋体"/>
          <w:color w:val="000000"/>
          <w:sz w:val="24"/>
          <w:szCs w:val="24"/>
        </w:rPr>
        <w:t>按照联合体分工承担相同工作的，应当按照资质等级较低的</w:t>
      </w:r>
      <w:r>
        <w:rPr>
          <w:rFonts w:hint="eastAsia" w:ascii="宋体" w:hAnsi="宋体" w:cs="宋体"/>
          <w:sz w:val="24"/>
          <w:szCs w:val="24"/>
        </w:rPr>
        <w:t>投标人</w:t>
      </w:r>
      <w:r>
        <w:rPr>
          <w:rFonts w:hint="eastAsia" w:ascii="宋体" w:hAnsi="宋体" w:cs="宋体"/>
          <w:color w:val="000000"/>
          <w:sz w:val="24"/>
          <w:szCs w:val="24"/>
        </w:rPr>
        <w:t>确定资质等级。</w:t>
      </w:r>
    </w:p>
    <w:p>
      <w:pPr>
        <w:tabs>
          <w:tab w:val="left" w:pos="0"/>
        </w:tabs>
        <w:spacing w:line="360" w:lineRule="auto"/>
        <w:rPr>
          <w:rFonts w:ascii="宋体" w:cs="宋体"/>
          <w:color w:val="000000"/>
          <w:sz w:val="24"/>
          <w:szCs w:val="24"/>
        </w:rPr>
      </w:pPr>
      <w:r>
        <w:rPr>
          <w:rFonts w:hint="eastAsia" w:ascii="宋体" w:hAnsi="宋体" w:cs="宋体"/>
          <w:color w:val="000000"/>
          <w:sz w:val="24"/>
          <w:szCs w:val="24"/>
        </w:rPr>
        <w:t>3.投标人应保证提供的全部资格证明材料是真实的和正确的。</w:t>
      </w:r>
    </w:p>
    <w:p>
      <w:pPr>
        <w:tabs>
          <w:tab w:val="left" w:pos="0"/>
        </w:tabs>
        <w:spacing w:line="360" w:lineRule="auto"/>
        <w:rPr>
          <w:rFonts w:ascii="宋体" w:cs="宋体"/>
          <w:color w:val="000000"/>
          <w:sz w:val="24"/>
          <w:szCs w:val="24"/>
        </w:rPr>
      </w:pPr>
      <w:r>
        <w:rPr>
          <w:rFonts w:hint="eastAsia" w:ascii="宋体" w:hAnsi="宋体" w:cs="宋体"/>
          <w:color w:val="000000"/>
          <w:sz w:val="24"/>
          <w:szCs w:val="24"/>
        </w:rPr>
        <w:t>4.采购人或采购代理机构将依法审查投标人提交的资格证明材料。</w:t>
      </w:r>
    </w:p>
    <w:p>
      <w:pPr>
        <w:tabs>
          <w:tab w:val="left" w:pos="0"/>
        </w:tabs>
        <w:spacing w:line="360" w:lineRule="auto"/>
        <w:rPr>
          <w:rFonts w:ascii="宋体" w:cs="宋体"/>
          <w:color w:val="000000"/>
          <w:sz w:val="24"/>
          <w:szCs w:val="24"/>
        </w:rPr>
      </w:pPr>
      <w:r>
        <w:rPr>
          <w:rFonts w:hint="eastAsia" w:ascii="宋体" w:hAnsi="宋体" w:cs="宋体"/>
          <w:color w:val="000000"/>
          <w:sz w:val="24"/>
          <w:szCs w:val="24"/>
        </w:rPr>
        <w:t>5.投标人提交的文件将被保密，但不退还。</w:t>
      </w:r>
    </w:p>
    <w:p>
      <w:pPr>
        <w:tabs>
          <w:tab w:val="left" w:pos="0"/>
        </w:tabs>
        <w:spacing w:line="360" w:lineRule="auto"/>
        <w:rPr>
          <w:rFonts w:ascii="宋体" w:cs="宋体"/>
          <w:color w:val="000000"/>
          <w:sz w:val="24"/>
          <w:szCs w:val="24"/>
        </w:rPr>
      </w:pPr>
      <w:r>
        <w:rPr>
          <w:rFonts w:hint="eastAsia" w:ascii="宋体" w:hAnsi="宋体" w:cs="宋体"/>
          <w:color w:val="000000"/>
          <w:sz w:val="24"/>
          <w:szCs w:val="24"/>
        </w:rPr>
        <w:t>6.全部文件应按“投标人须知前附表”规定的份数提交。</w:t>
      </w:r>
    </w:p>
    <w:p>
      <w:pPr>
        <w:tabs>
          <w:tab w:val="left" w:pos="0"/>
        </w:tabs>
        <w:spacing w:line="360" w:lineRule="auto"/>
        <w:rPr>
          <w:rFonts w:ascii="宋体" w:cs="宋体"/>
          <w:color w:val="000000"/>
          <w:sz w:val="24"/>
          <w:szCs w:val="24"/>
        </w:rPr>
      </w:pPr>
      <w:r>
        <w:rPr>
          <w:rFonts w:hint="eastAsia" w:ascii="宋体" w:hAnsi="宋体" w:cs="宋体"/>
          <w:color w:val="000000"/>
          <w:sz w:val="24"/>
          <w:szCs w:val="24"/>
        </w:rPr>
        <w:t>7.投标文件</w:t>
      </w:r>
      <w:r>
        <w:rPr>
          <w:rFonts w:ascii="宋体" w:cs="宋体"/>
          <w:color w:val="000000"/>
          <w:sz w:val="24"/>
          <w:szCs w:val="24"/>
        </w:rPr>
        <w:t>-</w:t>
      </w:r>
      <w:r>
        <w:rPr>
          <w:rFonts w:hint="eastAsia" w:ascii="宋体" w:hAnsi="宋体" w:cs="宋体"/>
          <w:color w:val="000000"/>
          <w:sz w:val="24"/>
          <w:szCs w:val="24"/>
        </w:rPr>
        <w:t>资格证明材料和投标文件中资格证明材料如不一致，以投标文件</w:t>
      </w:r>
      <w:r>
        <w:rPr>
          <w:rFonts w:ascii="宋体" w:cs="宋体"/>
          <w:color w:val="000000"/>
          <w:sz w:val="24"/>
          <w:szCs w:val="24"/>
        </w:rPr>
        <w:t>-</w:t>
      </w:r>
      <w:r>
        <w:rPr>
          <w:rFonts w:hint="eastAsia" w:ascii="宋体" w:hAnsi="宋体" w:cs="宋体"/>
          <w:color w:val="000000"/>
          <w:sz w:val="24"/>
          <w:szCs w:val="24"/>
        </w:rPr>
        <w:t>资格证明材料中为准。</w:t>
      </w:r>
    </w:p>
    <w:p>
      <w:pPr>
        <w:spacing w:line="360" w:lineRule="auto"/>
        <w:rPr>
          <w:rFonts w:ascii="宋体" w:cs="宋体"/>
          <w:b/>
          <w:color w:val="000000"/>
          <w:sz w:val="24"/>
          <w:szCs w:val="24"/>
        </w:rPr>
      </w:pPr>
      <w:r>
        <w:rPr>
          <w:rFonts w:ascii="宋体" w:hAnsi="宋体" w:cs="宋体"/>
          <w:b/>
          <w:color w:val="000000"/>
          <w:sz w:val="24"/>
          <w:szCs w:val="24"/>
        </w:rPr>
        <w:t>1.1-1.</w:t>
      </w:r>
      <w:r>
        <w:rPr>
          <w:rFonts w:hint="eastAsia" w:ascii="宋体" w:hAnsi="宋体" w:cs="宋体"/>
          <w:b/>
          <w:color w:val="000000"/>
          <w:sz w:val="24"/>
          <w:szCs w:val="24"/>
        </w:rPr>
        <w:t>9为资格条件，若未能按要求提供所列的证明材料或提供的材料为虚假或伪造的将作无效投标处理。</w:t>
      </w:r>
    </w:p>
    <w:p>
      <w:pPr>
        <w:pStyle w:val="6"/>
        <w:rPr>
          <w:rFonts w:ascii="宋体" w:cs="宋体"/>
          <w:b w:val="0"/>
          <w:sz w:val="24"/>
          <w:szCs w:val="24"/>
        </w:rPr>
      </w:pPr>
      <w:r>
        <w:rPr>
          <w:rFonts w:ascii="宋体" w:cs="宋体"/>
          <w:b w:val="0"/>
          <w:color w:val="000000"/>
          <w:sz w:val="24"/>
          <w:szCs w:val="24"/>
        </w:rPr>
        <w:br w:type="page"/>
      </w:r>
      <w:bookmarkStart w:id="118" w:name="_Toc497167404"/>
      <w:bookmarkStart w:id="119" w:name="_Toc44704912"/>
      <w:bookmarkStart w:id="120" w:name="_Toc44705280"/>
      <w:bookmarkStart w:id="121" w:name="_Toc44705059"/>
      <w:bookmarkStart w:id="122" w:name="_Toc14776847"/>
      <w:bookmarkStart w:id="123" w:name="_Toc2511998"/>
      <w:bookmarkStart w:id="124" w:name="_Toc2355256"/>
      <w:r>
        <w:rPr>
          <w:rFonts w:ascii="宋体" w:hAnsi="宋体" w:cs="宋体"/>
          <w:b w:val="0"/>
          <w:sz w:val="32"/>
          <w:szCs w:val="24"/>
        </w:rPr>
        <w:t>1.1</w:t>
      </w:r>
      <w:bookmarkEnd w:id="118"/>
      <w:r>
        <w:rPr>
          <w:rFonts w:hint="eastAsia" w:ascii="宋体" w:hAnsi="宋体" w:cs="宋体"/>
          <w:sz w:val="32"/>
          <w:szCs w:val="24"/>
        </w:rPr>
        <w:t>具有独立承担民事责任的能力</w:t>
      </w:r>
      <w:bookmarkEnd w:id="119"/>
      <w:bookmarkEnd w:id="120"/>
      <w:bookmarkEnd w:id="121"/>
    </w:p>
    <w:p>
      <w:pPr>
        <w:widowControl/>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有效的法人或者其他组织的营业执照等证明文件</w:t>
      </w:r>
      <w:bookmarkEnd w:id="122"/>
    </w:p>
    <w:p>
      <w:pPr>
        <w:spacing w:line="360" w:lineRule="auto"/>
        <w:ind w:firstLine="480" w:firstLineChars="200"/>
        <w:rPr>
          <w:rFonts w:ascii="宋体" w:cs="宋体"/>
          <w:b/>
          <w:sz w:val="24"/>
          <w:szCs w:val="24"/>
        </w:rPr>
      </w:pPr>
      <w:r>
        <w:rPr>
          <w:rFonts w:hint="eastAsia" w:ascii="宋体" w:hAnsi="宋体" w:cs="宋体"/>
          <w:color w:val="000000"/>
          <w:sz w:val="24"/>
          <w:szCs w:val="24"/>
        </w:rPr>
        <w:t>（复印件加盖单位公章）</w:t>
      </w:r>
      <w:bookmarkEnd w:id="123"/>
      <w:bookmarkEnd w:id="124"/>
    </w:p>
    <w:p>
      <w:pPr>
        <w:pStyle w:val="6"/>
        <w:rPr>
          <w:rFonts w:ascii="宋体" w:cs="宋体"/>
          <w:sz w:val="24"/>
          <w:szCs w:val="24"/>
        </w:rPr>
      </w:pPr>
      <w:r>
        <w:rPr>
          <w:rFonts w:ascii="宋体" w:cs="宋体"/>
          <w:sz w:val="24"/>
          <w:szCs w:val="24"/>
        </w:rPr>
        <w:br w:type="page"/>
      </w:r>
      <w:bookmarkStart w:id="125" w:name="_Toc44705060"/>
      <w:bookmarkStart w:id="126" w:name="_Toc44705281"/>
      <w:bookmarkStart w:id="127" w:name="_Toc44704913"/>
      <w:bookmarkStart w:id="128" w:name="_Toc14776848"/>
      <w:bookmarkStart w:id="129" w:name="_Toc2511999"/>
      <w:bookmarkStart w:id="130" w:name="_Toc497167405"/>
      <w:bookmarkStart w:id="131" w:name="_Toc2355257"/>
      <w:r>
        <w:rPr>
          <w:rFonts w:ascii="宋体" w:hAnsi="宋体" w:cs="宋体"/>
          <w:sz w:val="32"/>
          <w:szCs w:val="24"/>
        </w:rPr>
        <w:t>1.2</w:t>
      </w:r>
      <w:r>
        <w:rPr>
          <w:rFonts w:hint="eastAsia" w:ascii="宋体" w:hAnsi="宋体" w:cs="宋体"/>
          <w:sz w:val="32"/>
          <w:szCs w:val="24"/>
        </w:rPr>
        <w:t>具有良好的商业信誉和健全的财务会计制度</w:t>
      </w:r>
      <w:bookmarkEnd w:id="125"/>
      <w:bookmarkEnd w:id="126"/>
      <w:bookmarkEnd w:id="127"/>
    </w:p>
    <w:p>
      <w:pPr>
        <w:autoSpaceDE w:val="0"/>
        <w:autoSpaceDN w:val="0"/>
        <w:adjustRightInd w:val="0"/>
        <w:spacing w:line="360" w:lineRule="auto"/>
        <w:ind w:firstLine="480" w:firstLineChars="200"/>
        <w:jc w:val="left"/>
        <w:rPr>
          <w:rFonts w:ascii="宋体" w:cs="宋体"/>
          <w:kern w:val="0"/>
          <w:szCs w:val="21"/>
          <w:lang w:val="zh-CN"/>
        </w:rPr>
      </w:pPr>
      <w:r>
        <w:rPr>
          <w:rFonts w:hint="eastAsia" w:ascii="宋体" w:hAnsi="宋体" w:cs="宋体"/>
          <w:color w:val="000000"/>
          <w:sz w:val="24"/>
        </w:rPr>
        <w:t>投标人提供本</w:t>
      </w:r>
      <w:r>
        <w:rPr>
          <w:rFonts w:hint="eastAsia" w:ascii="宋体" w:hAnsi="宋体" w:cs="宋体"/>
          <w:sz w:val="24"/>
        </w:rPr>
        <w:t>单位上一年度</w:t>
      </w:r>
      <w:r>
        <w:rPr>
          <w:rFonts w:hint="eastAsia" w:ascii="宋体" w:hAnsi="宋体" w:cs="宋体"/>
          <w:b/>
          <w:sz w:val="24"/>
        </w:rPr>
        <w:t>（</w:t>
      </w:r>
      <w:r>
        <w:rPr>
          <w:rFonts w:hint="eastAsia" w:ascii="宋体" w:hAnsi="宋体" w:cs="宋体"/>
          <w:b/>
          <w:sz w:val="24"/>
          <w:lang w:eastAsia="zh-CN"/>
        </w:rPr>
        <w:t>2023年</w:t>
      </w:r>
      <w:r>
        <w:rPr>
          <w:rFonts w:hint="eastAsia" w:ascii="宋体" w:hAnsi="宋体" w:cs="宋体"/>
          <w:b/>
          <w:sz w:val="24"/>
        </w:rPr>
        <w:t>度）</w:t>
      </w:r>
      <w:r>
        <w:rPr>
          <w:rFonts w:hint="eastAsia" w:ascii="宋体" w:hAnsi="宋体" w:cs="宋体"/>
          <w:sz w:val="24"/>
        </w:rPr>
        <w:t>经</w:t>
      </w:r>
      <w:r>
        <w:rPr>
          <w:rFonts w:hint="eastAsia" w:ascii="宋体" w:hAnsi="宋体" w:cs="宋体"/>
          <w:b/>
          <w:color w:val="000000"/>
          <w:sz w:val="24"/>
        </w:rPr>
        <w:t>会计师事务所出具的</w:t>
      </w:r>
      <w:r>
        <w:rPr>
          <w:rFonts w:hint="eastAsia" w:ascii="宋体" w:hAnsi="宋体" w:cs="宋体"/>
          <w:color w:val="000000"/>
          <w:sz w:val="24"/>
        </w:rPr>
        <w:t>审计报告复印件并加盖投标人公章。如投标人无法提供上一年度审计报告，则需提供银行出具的资信证明</w:t>
      </w:r>
      <w:r>
        <w:rPr>
          <w:rFonts w:hint="eastAsia" w:ascii="宋体" w:hAnsi="宋体" w:cs="宋体"/>
          <w:sz w:val="24"/>
        </w:rPr>
        <w:t>或提供具有良好的商业信誉和健全的财务会计制度的承诺函（格式自拟）。</w:t>
      </w:r>
    </w:p>
    <w:p>
      <w:pPr>
        <w:spacing w:line="360" w:lineRule="auto"/>
        <w:ind w:firstLine="480" w:firstLineChars="200"/>
        <w:rPr>
          <w:rFonts w:ascii="宋体" w:cs="宋体"/>
          <w:color w:val="000000"/>
          <w:sz w:val="24"/>
        </w:rPr>
      </w:pPr>
      <w:r>
        <w:rPr>
          <w:rFonts w:hint="eastAsia" w:ascii="宋体" w:hAnsi="宋体" w:cs="宋体"/>
          <w:color w:val="000000"/>
          <w:sz w:val="24"/>
        </w:rPr>
        <w:t>说明：</w:t>
      </w:r>
    </w:p>
    <w:p>
      <w:pPr>
        <w:numPr>
          <w:ilvl w:val="1"/>
          <w:numId w:val="12"/>
        </w:numPr>
        <w:spacing w:line="360" w:lineRule="auto"/>
        <w:ind w:firstLine="480" w:firstLineChars="200"/>
        <w:rPr>
          <w:rFonts w:ascii="宋体" w:cs="宋体"/>
          <w:color w:val="000000"/>
          <w:sz w:val="24"/>
        </w:rPr>
      </w:pPr>
      <w:r>
        <w:rPr>
          <w:rFonts w:hint="eastAsia" w:ascii="宋体" w:hAnsi="宋体" w:cs="宋体"/>
          <w:color w:val="000000"/>
          <w:sz w:val="24"/>
        </w:rPr>
        <w:t>审计报告复印件至少应包括资产负债表、利润表、现金流量表及其附注、加盖会计师事务所公章页。</w:t>
      </w:r>
    </w:p>
    <w:p>
      <w:pPr>
        <w:numPr>
          <w:ilvl w:val="1"/>
          <w:numId w:val="12"/>
        </w:numPr>
        <w:spacing w:line="360" w:lineRule="auto"/>
        <w:ind w:firstLine="480" w:firstLineChars="200"/>
        <w:rPr>
          <w:rFonts w:ascii="宋体" w:cs="宋体"/>
          <w:color w:val="000000"/>
          <w:sz w:val="24"/>
        </w:rPr>
      </w:pPr>
      <w:r>
        <w:rPr>
          <w:rFonts w:hint="eastAsia" w:ascii="宋体" w:hAnsi="宋体" w:cs="宋体"/>
          <w:color w:val="000000"/>
          <w:sz w:val="24"/>
        </w:rPr>
        <w:t>银行资信证明是指投标人参加本次投标截止日前三个月内开立基本账户的银行开具的资信证明（成立一年内的公司可提交当年验资证明复印件并加盖公章）</w:t>
      </w:r>
      <w:r>
        <w:rPr>
          <w:rFonts w:hint="eastAsia" w:ascii="宋体" w:hAnsi="宋体" w:cs="宋体"/>
          <w:color w:val="000000"/>
          <w:sz w:val="24"/>
          <w:szCs w:val="24"/>
        </w:rPr>
        <w:t>，且无收受人和项目的限制，但开具银行有限制规定的除外。</w:t>
      </w:r>
    </w:p>
    <w:p>
      <w:pPr>
        <w:numPr>
          <w:ilvl w:val="1"/>
          <w:numId w:val="12"/>
        </w:numPr>
        <w:spacing w:line="360" w:lineRule="auto"/>
        <w:ind w:firstLine="480" w:firstLineChars="200"/>
        <w:rPr>
          <w:rFonts w:ascii="宋体" w:cs="宋体"/>
          <w:color w:val="000000"/>
          <w:sz w:val="24"/>
          <w:szCs w:val="24"/>
        </w:rPr>
      </w:pPr>
      <w:r>
        <w:rPr>
          <w:rFonts w:hint="eastAsia" w:ascii="宋体" w:hAnsi="宋体" w:cs="宋体"/>
          <w:color w:val="000000"/>
          <w:sz w:val="24"/>
        </w:rPr>
        <w:t>银行资信证明可以是复印件并加盖投标人公章，评标委员会保留审核原件的权</w:t>
      </w:r>
      <w:r>
        <w:rPr>
          <w:rFonts w:hint="eastAsia" w:ascii="宋体" w:hAnsi="宋体" w:cs="宋体"/>
          <w:color w:val="000000"/>
          <w:sz w:val="24"/>
          <w:szCs w:val="24"/>
        </w:rPr>
        <w:t>利。</w:t>
      </w:r>
      <w:r>
        <w:rPr>
          <w:rFonts w:hint="eastAsia" w:ascii="宋体" w:hAnsi="宋体" w:cs="宋体"/>
          <w:b/>
          <w:sz w:val="24"/>
          <w:szCs w:val="24"/>
        </w:rPr>
        <w:t>但开具银行明确规定复印件无效的，须提交原件。</w:t>
      </w:r>
    </w:p>
    <w:p>
      <w:pPr>
        <w:numPr>
          <w:ilvl w:val="1"/>
          <w:numId w:val="12"/>
        </w:numPr>
        <w:spacing w:line="360" w:lineRule="auto"/>
        <w:ind w:firstLine="480" w:firstLineChars="200"/>
        <w:rPr>
          <w:rFonts w:ascii="宋体" w:cs="宋体"/>
          <w:color w:val="000000"/>
          <w:sz w:val="24"/>
          <w:szCs w:val="24"/>
        </w:rPr>
      </w:pPr>
      <w:r>
        <w:rPr>
          <w:rFonts w:hint="eastAsia" w:ascii="宋体" w:hAnsi="宋体" w:cs="宋体"/>
          <w:color w:val="000000"/>
          <w:sz w:val="24"/>
        </w:rPr>
        <w:t>银行资信证明应能说明该投标人与银行之间业务往来正常，无不良记录，企业信誉良好等。银行出具的存款证明不能作为银行资信证明。</w:t>
      </w:r>
    </w:p>
    <w:bookmarkEnd w:id="128"/>
    <w:bookmarkEnd w:id="129"/>
    <w:bookmarkEnd w:id="130"/>
    <w:bookmarkEnd w:id="131"/>
    <w:p>
      <w:pPr>
        <w:pStyle w:val="6"/>
        <w:rPr>
          <w:rFonts w:ascii="宋体" w:cs="宋体"/>
          <w:sz w:val="24"/>
          <w:szCs w:val="24"/>
        </w:rPr>
      </w:pPr>
      <w:bookmarkStart w:id="132" w:name="_Toc14776849"/>
      <w:bookmarkStart w:id="133" w:name="_Toc2512000"/>
      <w:bookmarkStart w:id="134" w:name="_Toc2355258"/>
      <w:bookmarkStart w:id="135" w:name="_Toc497167406"/>
      <w:r>
        <w:rPr>
          <w:rFonts w:ascii="宋体" w:cs="宋体"/>
          <w:sz w:val="24"/>
          <w:szCs w:val="24"/>
        </w:rPr>
        <w:br w:type="page"/>
      </w:r>
      <w:bookmarkStart w:id="136" w:name="_Toc44705282"/>
      <w:bookmarkStart w:id="137" w:name="_Toc44704914"/>
      <w:bookmarkStart w:id="138" w:name="_Toc44705061"/>
      <w:r>
        <w:rPr>
          <w:rFonts w:ascii="宋体" w:hAnsi="宋体" w:cs="宋体"/>
          <w:bCs w:val="0"/>
          <w:sz w:val="32"/>
          <w:szCs w:val="24"/>
        </w:rPr>
        <w:t>1.3</w:t>
      </w:r>
      <w:r>
        <w:rPr>
          <w:rFonts w:hint="eastAsia" w:ascii="宋体" w:hAnsi="宋体" w:cs="宋体"/>
          <w:bCs w:val="0"/>
          <w:sz w:val="32"/>
          <w:szCs w:val="24"/>
        </w:rPr>
        <w:t>具有履行合同所必需的设备和专业技术能力</w:t>
      </w:r>
      <w:bookmarkEnd w:id="136"/>
      <w:bookmarkEnd w:id="137"/>
      <w:bookmarkEnd w:id="138"/>
    </w:p>
    <w:p>
      <w:pPr>
        <w:widowControl/>
        <w:spacing w:line="360" w:lineRule="auto"/>
        <w:ind w:firstLine="480" w:firstLineChars="200"/>
        <w:jc w:val="left"/>
        <w:rPr>
          <w:rFonts w:ascii="宋体" w:cs="宋体"/>
          <w:b/>
          <w:sz w:val="24"/>
          <w:szCs w:val="24"/>
        </w:rPr>
      </w:pPr>
      <w:r>
        <w:rPr>
          <w:rFonts w:hint="eastAsia" w:ascii="宋体" w:hAnsi="宋体" w:cs="宋体"/>
          <w:sz w:val="24"/>
        </w:rPr>
        <w:t>说明：投标人提供书面声明或相关证明材料（例如：相关设备的购置发票或相关人员的职称证书、用工合同等）并加盖单位公章，证明材料可以是文字描述、图纸或数据等，能够说明投标人已具有履行本项目合同所必需的设备和专业技术能力。</w:t>
      </w:r>
    </w:p>
    <w:bookmarkEnd w:id="132"/>
    <w:bookmarkEnd w:id="133"/>
    <w:bookmarkEnd w:id="134"/>
    <w:bookmarkEnd w:id="135"/>
    <w:p>
      <w:pPr>
        <w:spacing w:line="360" w:lineRule="auto"/>
        <w:jc w:val="right"/>
        <w:rPr>
          <w:rFonts w:ascii="宋体" w:cs="宋体"/>
          <w:sz w:val="24"/>
          <w:szCs w:val="24"/>
        </w:rPr>
        <w:sectPr>
          <w:pgSz w:w="11907" w:h="16840"/>
          <w:pgMar w:top="1440" w:right="1469" w:bottom="1440" w:left="1622" w:header="851" w:footer="992" w:gutter="0"/>
          <w:pgBorders>
            <w:top w:val="none" w:sz="0" w:space="0"/>
            <w:left w:val="none" w:sz="0" w:space="0"/>
            <w:bottom w:val="none" w:sz="0" w:space="0"/>
            <w:right w:val="none" w:sz="0" w:space="0"/>
          </w:pgBorders>
          <w:cols w:space="720" w:num="1"/>
          <w:docGrid w:linePitch="312" w:charSpace="0"/>
        </w:sectPr>
      </w:pPr>
    </w:p>
    <w:p>
      <w:pPr>
        <w:pStyle w:val="6"/>
        <w:rPr>
          <w:rFonts w:ascii="宋体" w:cs="宋体"/>
          <w:color w:val="000000"/>
          <w:sz w:val="32"/>
          <w:szCs w:val="24"/>
        </w:rPr>
      </w:pPr>
      <w:bookmarkStart w:id="139" w:name="_Toc44705283"/>
      <w:bookmarkStart w:id="140" w:name="_Toc44705062"/>
      <w:bookmarkStart w:id="141" w:name="_Toc2512001"/>
      <w:bookmarkStart w:id="142" w:name="_Toc497167407"/>
      <w:bookmarkStart w:id="143" w:name="_Toc44704915"/>
      <w:bookmarkStart w:id="144" w:name="_Toc2355259"/>
      <w:r>
        <w:rPr>
          <w:rFonts w:ascii="宋体" w:hAnsi="宋体" w:cs="宋体"/>
          <w:sz w:val="32"/>
          <w:szCs w:val="24"/>
        </w:rPr>
        <w:t>1.4</w:t>
      </w:r>
      <w:r>
        <w:rPr>
          <w:rFonts w:hint="eastAsia" w:ascii="宋体" w:hAnsi="宋体" w:cs="宋体"/>
          <w:sz w:val="32"/>
          <w:szCs w:val="24"/>
        </w:rPr>
        <w:t>有依法缴纳税收和社会保障资金的良好记录</w:t>
      </w:r>
      <w:bookmarkEnd w:id="139"/>
      <w:bookmarkEnd w:id="140"/>
      <w:bookmarkEnd w:id="141"/>
      <w:bookmarkEnd w:id="142"/>
      <w:bookmarkEnd w:id="143"/>
      <w:bookmarkEnd w:id="144"/>
    </w:p>
    <w:p>
      <w:pPr>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、有依法缴纳社会保障资金的良好记录，须提供参加本次政府采购活动近六个月（费用月份、缴费年月为</w:t>
      </w:r>
      <w:r>
        <w:rPr>
          <w:rFonts w:hint="eastAsia" w:ascii="宋体" w:hAnsi="宋体"/>
          <w:sz w:val="24"/>
          <w:szCs w:val="24"/>
          <w:lang w:eastAsia="zh-CN"/>
        </w:rPr>
        <w:t>202</w:t>
      </w:r>
      <w:r>
        <w:rPr>
          <w:rFonts w:hint="eastAsia" w:ascii="宋体" w:hAnsi="宋体"/>
          <w:sz w:val="24"/>
          <w:szCs w:val="24"/>
          <w:lang w:val="en-US" w:eastAsia="zh-CN"/>
        </w:rPr>
        <w:t>4</w:t>
      </w:r>
      <w:r>
        <w:rPr>
          <w:rFonts w:hint="eastAsia" w:ascii="宋体" w:hAnsi="宋体"/>
          <w:sz w:val="24"/>
          <w:szCs w:val="24"/>
          <w:lang w:eastAsia="zh-CN"/>
        </w:rPr>
        <w:t>年</w:t>
      </w:r>
      <w:r>
        <w:rPr>
          <w:rFonts w:hint="eastAsia" w:ascii="宋体" w:hAnsi="宋体"/>
          <w:sz w:val="24"/>
          <w:szCs w:val="24"/>
          <w:lang w:val="en-US" w:eastAsia="zh-CN"/>
        </w:rPr>
        <w:t>07</w:t>
      </w:r>
      <w:r>
        <w:rPr>
          <w:rFonts w:hint="eastAsia" w:ascii="宋体" w:hAnsi="宋体"/>
          <w:sz w:val="24"/>
          <w:szCs w:val="24"/>
          <w:lang w:eastAsia="zh-CN"/>
        </w:rPr>
        <w:t>月-202</w:t>
      </w:r>
      <w:r>
        <w:rPr>
          <w:rFonts w:hint="eastAsia" w:ascii="宋体" w:hAnsi="宋体"/>
          <w:sz w:val="24"/>
          <w:szCs w:val="24"/>
          <w:lang w:val="en-US" w:eastAsia="zh-CN"/>
        </w:rPr>
        <w:t>4</w:t>
      </w:r>
      <w:r>
        <w:rPr>
          <w:rFonts w:hint="eastAsia" w:ascii="宋体" w:hAnsi="宋体"/>
          <w:sz w:val="24"/>
          <w:szCs w:val="24"/>
          <w:lang w:eastAsia="zh-CN"/>
        </w:rPr>
        <w:t>年</w:t>
      </w:r>
      <w:r>
        <w:rPr>
          <w:rFonts w:hint="eastAsia" w:ascii="宋体" w:hAnsi="宋体"/>
          <w:sz w:val="24"/>
          <w:szCs w:val="24"/>
          <w:lang w:val="en-US" w:eastAsia="zh-CN"/>
        </w:rPr>
        <w:t>12</w:t>
      </w:r>
      <w:r>
        <w:rPr>
          <w:rFonts w:hint="eastAsia" w:ascii="宋体" w:hAnsi="宋体"/>
          <w:sz w:val="24"/>
          <w:szCs w:val="24"/>
          <w:lang w:eastAsia="zh-CN"/>
        </w:rPr>
        <w:t>月</w:t>
      </w:r>
      <w:r>
        <w:rPr>
          <w:rFonts w:hint="eastAsia" w:ascii="宋体" w:hAnsi="宋体"/>
          <w:sz w:val="24"/>
          <w:szCs w:val="24"/>
        </w:rPr>
        <w:t>，非记账、转账或打印时间）内的任意一月缴纳社会保障资金的银行入账票据凭证或社保部门证明材料复印件，并加盖投标人公章。投标人</w:t>
      </w:r>
      <w:r>
        <w:rPr>
          <w:rFonts w:hint="eastAsia"/>
          <w:sz w:val="24"/>
          <w:szCs w:val="24"/>
        </w:rPr>
        <w:t>逐年交纳社会保障资金的，须提供上年度缴纳社会保障资金的入账票据凭证复印件。缴纳社会保障资金的入账票据凭证复印件须加盖本单位公章</w:t>
      </w:r>
      <w:r>
        <w:rPr>
          <w:rFonts w:hint="eastAsia" w:ascii="宋体" w:hAnsi="宋体"/>
          <w:sz w:val="24"/>
          <w:szCs w:val="24"/>
        </w:rPr>
        <w:t>；</w:t>
      </w:r>
    </w:p>
    <w:p>
      <w:pPr>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、纳税证明（个人所得税除外），须提供参加本次政府采购活动近六个月（所属时期、日期为</w:t>
      </w:r>
      <w:r>
        <w:rPr>
          <w:rFonts w:hint="eastAsia" w:ascii="宋体" w:hAnsi="宋体"/>
          <w:sz w:val="24"/>
          <w:szCs w:val="24"/>
          <w:lang w:eastAsia="zh-CN"/>
        </w:rPr>
        <w:t>202</w:t>
      </w:r>
      <w:r>
        <w:rPr>
          <w:rFonts w:hint="eastAsia" w:ascii="宋体" w:hAnsi="宋体"/>
          <w:sz w:val="24"/>
          <w:szCs w:val="24"/>
          <w:lang w:val="en-US" w:eastAsia="zh-CN"/>
        </w:rPr>
        <w:t>4</w:t>
      </w:r>
      <w:r>
        <w:rPr>
          <w:rFonts w:hint="eastAsia" w:ascii="宋体" w:hAnsi="宋体"/>
          <w:sz w:val="24"/>
          <w:szCs w:val="24"/>
          <w:lang w:eastAsia="zh-CN"/>
        </w:rPr>
        <w:t>年</w:t>
      </w:r>
      <w:r>
        <w:rPr>
          <w:rFonts w:hint="eastAsia" w:ascii="宋体" w:hAnsi="宋体"/>
          <w:sz w:val="24"/>
          <w:szCs w:val="24"/>
          <w:lang w:val="en-US" w:eastAsia="zh-CN"/>
        </w:rPr>
        <w:t>07</w:t>
      </w:r>
      <w:r>
        <w:rPr>
          <w:rFonts w:hint="eastAsia" w:ascii="宋体" w:hAnsi="宋体"/>
          <w:sz w:val="24"/>
          <w:szCs w:val="24"/>
          <w:lang w:eastAsia="zh-CN"/>
        </w:rPr>
        <w:t>月-202</w:t>
      </w:r>
      <w:r>
        <w:rPr>
          <w:rFonts w:hint="eastAsia" w:ascii="宋体" w:hAnsi="宋体"/>
          <w:sz w:val="24"/>
          <w:szCs w:val="24"/>
          <w:lang w:val="en-US" w:eastAsia="zh-CN"/>
        </w:rPr>
        <w:t>4</w:t>
      </w:r>
      <w:r>
        <w:rPr>
          <w:rFonts w:hint="eastAsia" w:ascii="宋体" w:hAnsi="宋体"/>
          <w:sz w:val="24"/>
          <w:szCs w:val="24"/>
          <w:lang w:eastAsia="zh-CN"/>
        </w:rPr>
        <w:t>年</w:t>
      </w:r>
      <w:r>
        <w:rPr>
          <w:rFonts w:hint="eastAsia" w:ascii="宋体" w:hAnsi="宋体"/>
          <w:sz w:val="24"/>
          <w:szCs w:val="24"/>
          <w:lang w:val="en-US" w:eastAsia="zh-CN"/>
        </w:rPr>
        <w:t>12</w:t>
      </w:r>
      <w:r>
        <w:rPr>
          <w:rFonts w:hint="eastAsia" w:ascii="宋体" w:hAnsi="宋体"/>
          <w:sz w:val="24"/>
          <w:szCs w:val="24"/>
          <w:lang w:eastAsia="zh-CN"/>
        </w:rPr>
        <w:t>月</w:t>
      </w:r>
      <w:r>
        <w:rPr>
          <w:rFonts w:hint="eastAsia" w:ascii="宋体" w:hAnsi="宋体"/>
          <w:sz w:val="24"/>
          <w:szCs w:val="24"/>
        </w:rPr>
        <w:t>，非记账、转账或打印时间）内的任意一月银行有效票据或税务部门证明材料凭证复印件，并加盖投标人公章。如近六个月未达到应缴税标准，须提供相应说明及证明材料（如：增值税纳税申报表</w:t>
      </w:r>
      <w:r>
        <w:rPr>
          <w:rFonts w:hint="eastAsia" w:ascii="宋体" w:hAnsi="宋体"/>
          <w:sz w:val="24"/>
          <w:szCs w:val="24"/>
          <w:shd w:val="clear" w:color="auto" w:fill="FFFFFF" w:themeFill="background1"/>
        </w:rPr>
        <w:t>或零纳税申报表）</w:t>
      </w:r>
      <w:r>
        <w:rPr>
          <w:rFonts w:hint="eastAsia" w:ascii="宋体" w:hAnsi="宋体"/>
          <w:sz w:val="24"/>
          <w:szCs w:val="24"/>
        </w:rPr>
        <w:t>，并加盖投标人公章。</w:t>
      </w:r>
      <w:r>
        <w:rPr>
          <w:rFonts w:ascii="宋体" w:hAnsi="宋体"/>
          <w:sz w:val="24"/>
          <w:szCs w:val="24"/>
        </w:rPr>
        <w:t xml:space="preserve"> </w:t>
      </w:r>
    </w:p>
    <w:p>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、依法免税或不需要缴纳社会保障资金的投标人，应提供相应的文件证明并加盖本单位公章。</w:t>
      </w:r>
    </w:p>
    <w:p>
      <w:pPr>
        <w:spacing w:line="360" w:lineRule="auto"/>
        <w:rPr>
          <w:rFonts w:ascii="宋体" w:cs="宋体"/>
          <w:b/>
          <w:sz w:val="32"/>
          <w:szCs w:val="32"/>
        </w:rPr>
      </w:pPr>
    </w:p>
    <w:p>
      <w:pPr>
        <w:rPr>
          <w:rFonts w:ascii="宋体"/>
          <w:sz w:val="24"/>
        </w:rPr>
      </w:pPr>
      <w:r>
        <w:rPr>
          <w:rFonts w:hint="eastAsia" w:ascii="宋体" w:hAnsi="宋体"/>
          <w:sz w:val="24"/>
          <w:lang w:eastAsia="zh-CN"/>
        </w:rPr>
        <w:t>乌鲁木齐高新建设工程项目管理咨询有限公司（盖章）</w:t>
      </w:r>
      <w:r>
        <w:rPr>
          <w:rFonts w:hint="eastAsia" w:ascii="宋体" w:hAnsi="宋体"/>
          <w:sz w:val="24"/>
        </w:rPr>
        <w:t>：</w:t>
      </w:r>
    </w:p>
    <w:p>
      <w:pPr>
        <w:spacing w:line="360" w:lineRule="auto"/>
        <w:ind w:firstLine="482" w:firstLineChars="200"/>
        <w:jc w:val="center"/>
        <w:rPr>
          <w:rFonts w:ascii="宋体" w:cs="宋体"/>
          <w:b/>
          <w:sz w:val="24"/>
          <w:shd w:val="clear" w:color="auto" w:fill="FFFFFF"/>
        </w:rPr>
      </w:pPr>
    </w:p>
    <w:p>
      <w:pPr>
        <w:adjustRightInd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本单位成立以来，一直按照国家和地方有关规定，依法缴纳税收及社会保障资金，具有良好记录。</w:t>
      </w:r>
    </w:p>
    <w:p>
      <w:pPr>
        <w:adjustRightInd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特此声明。</w:t>
      </w:r>
    </w:p>
    <w:p>
      <w:pPr>
        <w:adjustRightInd w:val="0"/>
        <w:spacing w:line="360" w:lineRule="auto"/>
        <w:rPr>
          <w:rFonts w:ascii="宋体" w:cs="宋体"/>
          <w:sz w:val="24"/>
          <w:shd w:val="clear" w:color="auto" w:fill="FFFFFF"/>
        </w:rPr>
      </w:pPr>
    </w:p>
    <w:p>
      <w:pPr>
        <w:adjustRightInd w:val="0"/>
        <w:spacing w:line="360" w:lineRule="auto"/>
        <w:rPr>
          <w:rFonts w:ascii="宋体" w:cs="宋体"/>
          <w:sz w:val="24"/>
          <w:shd w:val="clear" w:color="auto" w:fill="FFFFFF"/>
        </w:rPr>
      </w:pPr>
    </w:p>
    <w:p>
      <w:pPr>
        <w:adjustRightInd w:val="0"/>
        <w:spacing w:line="360" w:lineRule="auto"/>
        <w:rPr>
          <w:rFonts w:ascii="宋体" w:cs="宋体"/>
          <w:sz w:val="24"/>
          <w:shd w:val="clear" w:color="auto" w:fill="FFFFFF"/>
        </w:rPr>
      </w:pPr>
    </w:p>
    <w:p>
      <w:pPr>
        <w:spacing w:line="360" w:lineRule="auto"/>
        <w:jc w:val="right"/>
        <w:rPr>
          <w:rFonts w:ascii="宋体"/>
          <w:sz w:val="24"/>
          <w:u w:val="single"/>
        </w:rPr>
      </w:pPr>
      <w:r>
        <w:rPr>
          <w:rFonts w:hint="eastAsia" w:ascii="宋体" w:hAnsi="宋体"/>
          <w:sz w:val="24"/>
        </w:rPr>
        <w:t>投标人法定代表人或授权代表（签字或盖章）：</w:t>
      </w:r>
    </w:p>
    <w:p>
      <w:pPr>
        <w:spacing w:line="360" w:lineRule="auto"/>
        <w:jc w:val="right"/>
        <w:rPr>
          <w:rFonts w:ascii="宋体"/>
          <w:sz w:val="24"/>
        </w:rPr>
      </w:pPr>
      <w:r>
        <w:rPr>
          <w:rFonts w:hint="eastAsia" w:ascii="宋体" w:hAnsi="宋体"/>
          <w:sz w:val="24"/>
        </w:rPr>
        <w:t>投标人名称（加盖单位公章）：</w:t>
      </w:r>
    </w:p>
    <w:p>
      <w:pPr>
        <w:autoSpaceDE w:val="0"/>
        <w:autoSpaceDN w:val="0"/>
        <w:adjustRightInd w:val="0"/>
        <w:spacing w:line="360" w:lineRule="auto"/>
        <w:jc w:val="right"/>
        <w:rPr>
          <w:rFonts w:ascii="宋体" w:cs="宋体"/>
          <w:color w:val="000000"/>
        </w:rPr>
      </w:pPr>
      <w:r>
        <w:rPr>
          <w:rFonts w:hint="eastAsia" w:ascii="宋体" w:hAnsi="宋体"/>
          <w:sz w:val="24"/>
        </w:rPr>
        <w:t>日期：</w:t>
      </w:r>
    </w:p>
    <w:p>
      <w:pPr>
        <w:widowControl/>
        <w:jc w:val="left"/>
        <w:rPr>
          <w:rFonts w:ascii="宋体" w:cs="宋体"/>
          <w:b/>
          <w:sz w:val="24"/>
          <w:szCs w:val="24"/>
        </w:rPr>
      </w:pPr>
      <w:bookmarkStart w:id="145" w:name="_Toc2355260"/>
      <w:bookmarkStart w:id="146" w:name="_Toc497167408"/>
      <w:bookmarkStart w:id="147" w:name="_Toc2512002"/>
      <w:r>
        <w:rPr>
          <w:rFonts w:ascii="宋体" w:cs="宋体"/>
          <w:b/>
          <w:sz w:val="24"/>
          <w:szCs w:val="24"/>
        </w:rPr>
        <w:br w:type="page"/>
      </w:r>
    </w:p>
    <w:p>
      <w:pPr>
        <w:pStyle w:val="6"/>
        <w:rPr>
          <w:rFonts w:ascii="宋体" w:cs="宋体"/>
          <w:sz w:val="24"/>
          <w:szCs w:val="24"/>
        </w:rPr>
      </w:pPr>
      <w:bookmarkStart w:id="148" w:name="_Toc44705284"/>
      <w:bookmarkStart w:id="149" w:name="_Toc44705063"/>
      <w:bookmarkStart w:id="150" w:name="_Toc44704916"/>
      <w:r>
        <w:rPr>
          <w:rFonts w:ascii="宋体" w:hAnsi="宋体" w:cs="宋体"/>
          <w:sz w:val="32"/>
          <w:szCs w:val="24"/>
        </w:rPr>
        <w:t>1.5</w:t>
      </w:r>
      <w:r>
        <w:rPr>
          <w:rFonts w:hint="eastAsia" w:ascii="宋体" w:hAnsi="宋体" w:cs="宋体"/>
          <w:sz w:val="32"/>
          <w:szCs w:val="24"/>
        </w:rPr>
        <w:t>参加政府采购活动前三年内，在经营活动中没有重大违法记录</w:t>
      </w:r>
      <w:bookmarkEnd w:id="148"/>
      <w:bookmarkEnd w:id="149"/>
      <w:bookmarkEnd w:id="150"/>
    </w:p>
    <w:p>
      <w:pPr>
        <w:widowControl/>
        <w:spacing w:line="360" w:lineRule="auto"/>
        <w:jc w:val="left"/>
        <w:rPr>
          <w:rFonts w:ascii="宋体" w:cs="宋体"/>
          <w:b/>
          <w:sz w:val="24"/>
          <w:szCs w:val="24"/>
        </w:rPr>
      </w:pPr>
    </w:p>
    <w:p>
      <w:pPr>
        <w:widowControl/>
        <w:spacing w:line="360" w:lineRule="auto"/>
        <w:jc w:val="left"/>
        <w:rPr>
          <w:rFonts w:ascii="宋体" w:cs="宋体"/>
          <w:b/>
          <w:bCs/>
          <w:sz w:val="24"/>
          <w:szCs w:val="24"/>
        </w:rPr>
      </w:pPr>
      <w:r>
        <w:rPr>
          <w:rFonts w:hint="eastAsia" w:ascii="宋体" w:hAnsi="宋体" w:cs="宋体"/>
          <w:b/>
          <w:sz w:val="24"/>
          <w:szCs w:val="24"/>
        </w:rPr>
        <w:t>近三年内，在经营活动中没有重大违法记录的声明</w:t>
      </w:r>
    </w:p>
    <w:p>
      <w:pPr>
        <w:spacing w:line="360" w:lineRule="auto"/>
        <w:rPr>
          <w:rFonts w:ascii="宋体" w:cs="宋体"/>
          <w:color w:val="000000"/>
          <w:sz w:val="24"/>
          <w:szCs w:val="24"/>
        </w:rPr>
      </w:pPr>
    </w:p>
    <w:p>
      <w:pPr>
        <w:spacing w:line="360" w:lineRule="auto"/>
        <w:rPr>
          <w:rFonts w:ascii="宋体" w:cs="宋体"/>
          <w:color w:val="000000"/>
          <w:sz w:val="24"/>
          <w:szCs w:val="24"/>
        </w:rPr>
      </w:pPr>
      <w:r>
        <w:rPr>
          <w:rFonts w:hint="eastAsia" w:ascii="宋体" w:hAnsi="宋体" w:cs="宋体"/>
          <w:color w:val="000000"/>
          <w:sz w:val="24"/>
          <w:szCs w:val="24"/>
          <w:lang w:eastAsia="zh-CN"/>
        </w:rPr>
        <w:t>乌鲁木齐高新建设工程项目管理咨询有限公司（盖章）</w:t>
      </w:r>
      <w:r>
        <w:rPr>
          <w:rFonts w:hint="eastAsia" w:ascii="宋体" w:hAnsi="宋体" w:cs="宋体"/>
          <w:color w:val="000000"/>
          <w:sz w:val="24"/>
          <w:szCs w:val="24"/>
        </w:rPr>
        <w:t>：</w:t>
      </w:r>
    </w:p>
    <w:p>
      <w:pPr>
        <w:spacing w:line="360" w:lineRule="auto"/>
        <w:rPr>
          <w:rFonts w:ascii="宋体" w:cs="宋体"/>
          <w:color w:val="000000"/>
          <w:sz w:val="24"/>
          <w:szCs w:val="24"/>
        </w:rPr>
      </w:pPr>
    </w:p>
    <w:p>
      <w:pPr>
        <w:spacing w:line="360" w:lineRule="auto"/>
        <w:ind w:firstLine="480" w:firstLineChars="200"/>
        <w:rPr>
          <w:rFonts w:ascii="宋体" w:cs="宋体"/>
          <w:color w:val="000000"/>
          <w:sz w:val="24"/>
          <w:szCs w:val="24"/>
        </w:rPr>
      </w:pPr>
      <w:r>
        <w:rPr>
          <w:rFonts w:hint="eastAsia" w:ascii="宋体" w:hAnsi="宋体" w:cs="宋体"/>
          <w:color w:val="000000"/>
          <w:sz w:val="24"/>
          <w:szCs w:val="24"/>
        </w:rPr>
        <w:t>我公司在近三年（</w:t>
      </w:r>
      <w:r>
        <w:rPr>
          <w:rFonts w:ascii="宋体" w:hAnsi="宋体" w:cs="宋体"/>
          <w:color w:val="000000"/>
          <w:sz w:val="24"/>
          <w:szCs w:val="24"/>
        </w:rPr>
        <w:t>20</w:t>
      </w:r>
      <w:r>
        <w:rPr>
          <w:rFonts w:hint="eastAsia" w:ascii="宋体" w:hAnsi="宋体" w:cs="宋体"/>
          <w:color w:val="000000"/>
          <w:sz w:val="24"/>
          <w:szCs w:val="24"/>
          <w:lang w:val="en-US" w:eastAsia="zh-CN"/>
        </w:rPr>
        <w:t>22</w:t>
      </w:r>
      <w:r>
        <w:rPr>
          <w:rFonts w:hint="eastAsia" w:ascii="宋体" w:hAnsi="宋体" w:cs="宋体"/>
          <w:color w:val="000000"/>
          <w:sz w:val="24"/>
          <w:szCs w:val="24"/>
        </w:rPr>
        <w:t>年</w:t>
      </w:r>
      <w:r>
        <w:rPr>
          <w:rFonts w:ascii="宋体" w:cs="宋体"/>
          <w:color w:val="000000"/>
          <w:sz w:val="24"/>
          <w:szCs w:val="24"/>
        </w:rPr>
        <w:t>-</w:t>
      </w:r>
      <w:r>
        <w:rPr>
          <w:rFonts w:hint="eastAsia" w:ascii="宋体" w:hAnsi="宋体" w:cs="宋体"/>
          <w:color w:val="000000"/>
          <w:sz w:val="24"/>
          <w:szCs w:val="24"/>
        </w:rPr>
        <w:t>至今）内，在经营活动中没有重大违法记录（</w:t>
      </w:r>
      <w:r>
        <w:rPr>
          <w:rFonts w:hint="eastAsia" w:ascii="宋体" w:hAnsi="宋体" w:cs="宋体"/>
          <w:color w:val="000000"/>
          <w:kern w:val="0"/>
          <w:sz w:val="24"/>
          <w:szCs w:val="24"/>
        </w:rPr>
        <w:t>因违法经营受到刑事处罚或者责令停产停业、吊销许可证或者执照、较大数额罚款等行政处罚</w:t>
      </w:r>
      <w:r>
        <w:rPr>
          <w:rFonts w:hint="eastAsia" w:ascii="宋体" w:hAnsi="宋体" w:cs="宋体"/>
          <w:color w:val="000000"/>
          <w:sz w:val="24"/>
          <w:szCs w:val="24"/>
        </w:rPr>
        <w:t>）。</w:t>
      </w:r>
    </w:p>
    <w:p>
      <w:pPr>
        <w:spacing w:line="360" w:lineRule="auto"/>
        <w:rPr>
          <w:rFonts w:ascii="宋体" w:cs="宋体"/>
          <w:color w:val="000000"/>
          <w:sz w:val="24"/>
          <w:szCs w:val="24"/>
        </w:rPr>
      </w:pPr>
    </w:p>
    <w:p>
      <w:pPr>
        <w:spacing w:line="360" w:lineRule="auto"/>
        <w:ind w:firstLine="480" w:firstLineChars="200"/>
        <w:rPr>
          <w:rFonts w:ascii="宋体" w:cs="宋体"/>
          <w:color w:val="000000"/>
          <w:sz w:val="24"/>
          <w:szCs w:val="24"/>
        </w:rPr>
      </w:pPr>
      <w:r>
        <w:rPr>
          <w:rFonts w:hint="eastAsia" w:ascii="宋体" w:hAnsi="宋体" w:cs="宋体"/>
          <w:color w:val="000000"/>
          <w:sz w:val="24"/>
          <w:szCs w:val="24"/>
        </w:rPr>
        <w:t>特此声明。</w:t>
      </w:r>
    </w:p>
    <w:p>
      <w:pPr>
        <w:spacing w:line="360" w:lineRule="auto"/>
        <w:ind w:firstLine="480" w:firstLineChars="200"/>
        <w:rPr>
          <w:rFonts w:ascii="宋体" w:cs="宋体"/>
          <w:color w:val="000000"/>
          <w:sz w:val="24"/>
          <w:szCs w:val="24"/>
        </w:rPr>
      </w:pPr>
    </w:p>
    <w:p>
      <w:pPr>
        <w:spacing w:line="360" w:lineRule="auto"/>
        <w:ind w:firstLine="480" w:firstLineChars="200"/>
        <w:rPr>
          <w:rFonts w:ascii="宋体" w:cs="宋体"/>
          <w:color w:val="000000"/>
          <w:sz w:val="24"/>
          <w:szCs w:val="24"/>
        </w:rPr>
      </w:pPr>
    </w:p>
    <w:p>
      <w:pPr>
        <w:spacing w:line="360" w:lineRule="auto"/>
        <w:ind w:firstLine="480" w:firstLineChars="200"/>
        <w:rPr>
          <w:rFonts w:ascii="宋体" w:cs="宋体"/>
          <w:color w:val="000000"/>
          <w:sz w:val="24"/>
          <w:szCs w:val="24"/>
        </w:rPr>
      </w:pPr>
    </w:p>
    <w:p>
      <w:pPr>
        <w:spacing w:line="360" w:lineRule="auto"/>
        <w:ind w:firstLine="480" w:firstLineChars="200"/>
        <w:rPr>
          <w:rFonts w:ascii="宋体" w:cs="宋体"/>
          <w:color w:val="000000"/>
          <w:sz w:val="24"/>
          <w:szCs w:val="24"/>
        </w:rPr>
      </w:pPr>
    </w:p>
    <w:p>
      <w:pPr>
        <w:spacing w:line="360" w:lineRule="auto"/>
        <w:ind w:firstLine="480" w:firstLineChars="200"/>
        <w:rPr>
          <w:rFonts w:ascii="宋体" w:cs="宋体"/>
          <w:color w:val="000000"/>
          <w:sz w:val="24"/>
          <w:szCs w:val="24"/>
        </w:rPr>
      </w:pPr>
    </w:p>
    <w:p>
      <w:pPr>
        <w:spacing w:line="360" w:lineRule="auto"/>
        <w:rPr>
          <w:rFonts w:ascii="宋体" w:cs="宋体"/>
          <w:color w:val="000000"/>
          <w:sz w:val="24"/>
          <w:szCs w:val="24"/>
        </w:rPr>
      </w:pPr>
    </w:p>
    <w:p>
      <w:pPr>
        <w:spacing w:line="360" w:lineRule="auto"/>
        <w:ind w:firstLine="480" w:firstLineChars="200"/>
        <w:rPr>
          <w:rFonts w:ascii="宋体" w:cs="宋体"/>
          <w:color w:val="000000"/>
          <w:sz w:val="24"/>
          <w:szCs w:val="24"/>
        </w:rPr>
      </w:pPr>
    </w:p>
    <w:p>
      <w:pPr>
        <w:spacing w:line="360" w:lineRule="auto"/>
        <w:ind w:firstLine="480" w:firstLineChars="200"/>
        <w:rPr>
          <w:rFonts w:ascii="宋体" w:cs="宋体"/>
          <w:color w:val="000000"/>
          <w:sz w:val="24"/>
          <w:szCs w:val="24"/>
        </w:rPr>
      </w:pPr>
    </w:p>
    <w:p>
      <w:pPr>
        <w:spacing w:line="360" w:lineRule="auto"/>
        <w:rPr>
          <w:rFonts w:ascii="宋体" w:cs="宋体"/>
          <w:color w:val="000000"/>
          <w:sz w:val="24"/>
          <w:szCs w:val="24"/>
        </w:rPr>
      </w:pPr>
    </w:p>
    <w:p>
      <w:pPr>
        <w:spacing w:line="360" w:lineRule="auto"/>
        <w:ind w:firstLine="480" w:firstLineChars="200"/>
        <w:rPr>
          <w:rFonts w:ascii="宋体" w:cs="宋体"/>
          <w:color w:val="000000"/>
          <w:sz w:val="24"/>
          <w:szCs w:val="24"/>
        </w:rPr>
      </w:pPr>
    </w:p>
    <w:p>
      <w:pPr>
        <w:spacing w:line="360" w:lineRule="auto"/>
        <w:jc w:val="right"/>
        <w:rPr>
          <w:rFonts w:ascii="宋体" w:cs="宋体"/>
          <w:sz w:val="24"/>
          <w:szCs w:val="24"/>
        </w:rPr>
      </w:pPr>
      <w:r>
        <w:rPr>
          <w:rFonts w:hint="eastAsia" w:ascii="宋体" w:hAnsi="宋体" w:cs="宋体"/>
          <w:sz w:val="24"/>
          <w:szCs w:val="24"/>
        </w:rPr>
        <w:t>投标人法定代表人或授权代表（签字</w:t>
      </w:r>
      <w:r>
        <w:rPr>
          <w:rFonts w:hint="eastAsia" w:ascii="宋体" w:hAnsi="宋体"/>
          <w:sz w:val="24"/>
        </w:rPr>
        <w:t>或盖章</w:t>
      </w:r>
      <w:r>
        <w:rPr>
          <w:rFonts w:hint="eastAsia" w:ascii="宋体" w:hAnsi="宋体" w:cs="宋体"/>
          <w:sz w:val="24"/>
          <w:szCs w:val="24"/>
        </w:rPr>
        <w:t>）：</w:t>
      </w:r>
    </w:p>
    <w:p>
      <w:pPr>
        <w:pStyle w:val="21"/>
      </w:pPr>
    </w:p>
    <w:p>
      <w:pPr>
        <w:spacing w:line="360" w:lineRule="auto"/>
        <w:jc w:val="right"/>
        <w:rPr>
          <w:rFonts w:ascii="宋体" w:cs="宋体"/>
          <w:sz w:val="24"/>
          <w:szCs w:val="24"/>
        </w:rPr>
      </w:pPr>
      <w:r>
        <w:rPr>
          <w:rFonts w:hint="eastAsia" w:ascii="宋体" w:hAnsi="宋体" w:cs="宋体"/>
          <w:sz w:val="24"/>
          <w:szCs w:val="24"/>
        </w:rPr>
        <w:t>投标人名称（加盖单位公章）：</w:t>
      </w:r>
    </w:p>
    <w:p>
      <w:pPr>
        <w:pStyle w:val="21"/>
      </w:pPr>
    </w:p>
    <w:p>
      <w:pPr>
        <w:pStyle w:val="21"/>
        <w:jc w:val="right"/>
      </w:pPr>
      <w:r>
        <w:rPr>
          <w:rFonts w:hint="eastAsia"/>
        </w:rPr>
        <w:t>日期：</w:t>
      </w:r>
    </w:p>
    <w:p>
      <w:pPr>
        <w:pStyle w:val="21"/>
      </w:pPr>
    </w:p>
    <w:bookmarkEnd w:id="145"/>
    <w:bookmarkEnd w:id="146"/>
    <w:bookmarkEnd w:id="147"/>
    <w:p>
      <w:pPr>
        <w:widowControl/>
        <w:jc w:val="left"/>
        <w:rPr>
          <w:rFonts w:ascii="宋体" w:cs="宋体"/>
          <w:sz w:val="24"/>
          <w:szCs w:val="24"/>
        </w:rPr>
      </w:pPr>
      <w:bookmarkStart w:id="151" w:name="_Toc497167409"/>
      <w:bookmarkStart w:id="152" w:name="_Toc2512003"/>
      <w:bookmarkStart w:id="153" w:name="_Toc2355261"/>
      <w:r>
        <w:rPr>
          <w:rFonts w:ascii="宋体" w:cs="宋体"/>
          <w:sz w:val="24"/>
          <w:szCs w:val="24"/>
        </w:rPr>
        <w:br w:type="page"/>
      </w:r>
    </w:p>
    <w:p>
      <w:pPr>
        <w:pStyle w:val="6"/>
        <w:rPr>
          <w:rFonts w:ascii="宋体" w:cs="宋体"/>
          <w:sz w:val="32"/>
          <w:szCs w:val="24"/>
        </w:rPr>
      </w:pPr>
      <w:bookmarkStart w:id="154" w:name="_Toc44705064"/>
      <w:bookmarkStart w:id="155" w:name="_Toc44704917"/>
      <w:bookmarkStart w:id="156" w:name="_Toc44705285"/>
      <w:r>
        <w:rPr>
          <w:rFonts w:ascii="宋体" w:hAnsi="宋体" w:cs="宋体"/>
          <w:sz w:val="32"/>
          <w:szCs w:val="24"/>
        </w:rPr>
        <w:t>1.6</w:t>
      </w:r>
      <w:r>
        <w:rPr>
          <w:rFonts w:hint="eastAsia" w:ascii="宋体" w:hAnsi="宋体" w:cs="宋体"/>
          <w:sz w:val="32"/>
          <w:szCs w:val="24"/>
        </w:rPr>
        <w:t>符合招标文件第二章“投标人须知前附表”</w:t>
      </w:r>
      <w:r>
        <w:rPr>
          <w:rFonts w:ascii="宋体" w:hAnsi="宋体" w:cs="宋体"/>
          <w:sz w:val="32"/>
          <w:szCs w:val="24"/>
        </w:rPr>
        <w:t>15.1</w:t>
      </w:r>
      <w:r>
        <w:rPr>
          <w:rFonts w:hint="eastAsia" w:ascii="宋体" w:hAnsi="宋体" w:cs="宋体"/>
          <w:sz w:val="32"/>
          <w:szCs w:val="24"/>
        </w:rPr>
        <w:t>中第</w:t>
      </w:r>
      <w:r>
        <w:rPr>
          <w:rFonts w:ascii="宋体" w:hAnsi="宋体" w:cs="宋体"/>
          <w:sz w:val="32"/>
          <w:szCs w:val="24"/>
        </w:rPr>
        <w:t>2</w:t>
      </w:r>
      <w:r>
        <w:rPr>
          <w:rFonts w:hint="eastAsia" w:ascii="宋体" w:hAnsi="宋体" w:cs="宋体"/>
          <w:sz w:val="32"/>
          <w:szCs w:val="24"/>
        </w:rPr>
        <w:t>条的证明材料</w:t>
      </w:r>
      <w:bookmarkEnd w:id="154"/>
      <w:bookmarkEnd w:id="155"/>
      <w:bookmarkEnd w:id="156"/>
    </w:p>
    <w:p>
      <w:pPr>
        <w:spacing w:line="360" w:lineRule="auto"/>
        <w:rPr>
          <w:rFonts w:ascii="宋体" w:cs="宋体"/>
          <w:sz w:val="24"/>
          <w:szCs w:val="24"/>
        </w:rPr>
      </w:pPr>
      <w:r>
        <w:rPr>
          <w:rFonts w:hint="eastAsia" w:ascii="宋体" w:hAnsi="宋体" w:cs="宋体"/>
          <w:sz w:val="24"/>
          <w:szCs w:val="24"/>
        </w:rPr>
        <w:t>（加盖单位公章）</w:t>
      </w:r>
      <w:bookmarkEnd w:id="151"/>
      <w:bookmarkEnd w:id="152"/>
      <w:bookmarkEnd w:id="153"/>
    </w:p>
    <w:p>
      <w:pPr>
        <w:spacing w:line="360" w:lineRule="auto"/>
        <w:rPr>
          <w:rFonts w:ascii="宋体" w:cs="宋体"/>
          <w:b/>
          <w:color w:val="000000"/>
          <w:sz w:val="24"/>
          <w:szCs w:val="24"/>
        </w:rPr>
      </w:pPr>
      <w:r>
        <w:rPr>
          <w:rFonts w:ascii="宋体" w:hAnsi="宋体" w:cs="宋体"/>
          <w:b/>
          <w:color w:val="000000"/>
          <w:sz w:val="24"/>
          <w:szCs w:val="24"/>
        </w:rPr>
        <w:t>1.6.1</w:t>
      </w:r>
    </w:p>
    <w:p>
      <w:pPr>
        <w:spacing w:line="360" w:lineRule="auto"/>
        <w:rPr>
          <w:rFonts w:ascii="宋体" w:cs="宋体"/>
          <w:color w:val="000000"/>
          <w:sz w:val="24"/>
          <w:szCs w:val="24"/>
        </w:rPr>
      </w:pPr>
      <w:r>
        <w:rPr>
          <w:rFonts w:hint="eastAsia" w:ascii="宋体" w:hAnsi="宋体" w:cs="宋体"/>
          <w:color w:val="000000"/>
          <w:sz w:val="24"/>
          <w:szCs w:val="24"/>
        </w:rPr>
        <w:t>注：</w:t>
      </w:r>
      <w:r>
        <w:rPr>
          <w:rFonts w:ascii="宋体" w:hAnsi="宋体" w:cs="宋体"/>
          <w:color w:val="000000"/>
          <w:sz w:val="24"/>
          <w:szCs w:val="24"/>
        </w:rPr>
        <w:t>1</w:t>
      </w:r>
      <w:r>
        <w:rPr>
          <w:rFonts w:hint="eastAsia" w:ascii="宋体" w:hAnsi="宋体" w:cs="宋体"/>
          <w:color w:val="000000"/>
          <w:sz w:val="24"/>
          <w:szCs w:val="24"/>
        </w:rPr>
        <w:t>、投标人应当根据自身存在的情形，如实披露与本单位负责人为同一人或者存在直接控股、管理关系的供应商情况。</w:t>
      </w:r>
    </w:p>
    <w:p>
      <w:pPr>
        <w:spacing w:line="360" w:lineRule="auto"/>
        <w:ind w:firstLine="480" w:firstLineChars="200"/>
        <w:rPr>
          <w:rFonts w:ascii="宋体" w:cs="宋体"/>
          <w:kern w:val="0"/>
          <w:sz w:val="24"/>
          <w:szCs w:val="24"/>
          <w:lang w:val="zh-CN"/>
        </w:rPr>
      </w:pPr>
      <w:r>
        <w:rPr>
          <w:rFonts w:ascii="宋体" w:hAnsi="宋体" w:cs="宋体"/>
          <w:kern w:val="0"/>
          <w:sz w:val="24"/>
          <w:szCs w:val="24"/>
          <w:lang w:val="zh-CN"/>
        </w:rPr>
        <w:t>2</w:t>
      </w:r>
      <w:r>
        <w:rPr>
          <w:rFonts w:hint="eastAsia" w:ascii="宋体" w:hAnsi="宋体" w:cs="宋体"/>
          <w:kern w:val="0"/>
          <w:sz w:val="24"/>
          <w:szCs w:val="24"/>
          <w:lang w:val="zh-CN"/>
        </w:rPr>
        <w:t>、单位负责人为同一人或者存在直接控股、管理关系的不同供应商，同时参加本项目同一标项的投标，相关投标均无效。</w:t>
      </w:r>
    </w:p>
    <w:p>
      <w:pPr>
        <w:pStyle w:val="21"/>
        <w:ind w:firstLine="480" w:firstLineChars="200"/>
        <w:rPr>
          <w:rFonts w:ascii="宋体"/>
          <w:lang w:val="zh-CN"/>
        </w:rPr>
      </w:pPr>
      <w:r>
        <w:rPr>
          <w:rFonts w:ascii="宋体" w:hAnsi="宋体"/>
          <w:lang w:val="zh-CN"/>
        </w:rPr>
        <w:t>3.</w:t>
      </w:r>
      <w:r>
        <w:t xml:space="preserve"> </w:t>
      </w:r>
      <w:r>
        <w:rPr>
          <w:rFonts w:hint="eastAsia" w:ascii="宋体" w:hAnsi="宋体"/>
          <w:lang w:val="zh-CN"/>
        </w:rPr>
        <w:t>为本项目某标项提供整体设计、规范编制或者项目管理、监理、检测等服务的供应商，不得参加该标项的投标；</w:t>
      </w:r>
    </w:p>
    <w:p>
      <w:pPr>
        <w:spacing w:line="360" w:lineRule="auto"/>
        <w:rPr>
          <w:rFonts w:ascii="宋体" w:cs="宋体"/>
          <w:color w:val="000000"/>
          <w:sz w:val="24"/>
          <w:szCs w:val="24"/>
        </w:rPr>
      </w:pPr>
    </w:p>
    <w:p>
      <w:pPr>
        <w:spacing w:line="360" w:lineRule="auto"/>
        <w:rPr>
          <w:rFonts w:ascii="宋体" w:cs="宋体"/>
          <w:color w:val="000000"/>
          <w:sz w:val="24"/>
          <w:szCs w:val="24"/>
        </w:rPr>
      </w:pPr>
      <w:r>
        <w:rPr>
          <w:rFonts w:hint="eastAsia" w:ascii="宋体" w:hAnsi="宋体" w:cs="宋体"/>
          <w:color w:val="000000"/>
          <w:sz w:val="24"/>
          <w:szCs w:val="24"/>
        </w:rPr>
        <w:t>（如不存在上述情况，请提供如下声明）</w:t>
      </w:r>
    </w:p>
    <w:p>
      <w:pPr>
        <w:spacing w:line="360" w:lineRule="auto"/>
        <w:rPr>
          <w:rFonts w:ascii="宋体" w:cs="宋体"/>
          <w:color w:val="000000"/>
          <w:sz w:val="24"/>
          <w:szCs w:val="24"/>
        </w:rPr>
      </w:pPr>
    </w:p>
    <w:p>
      <w:pPr>
        <w:spacing w:line="360" w:lineRule="auto"/>
        <w:rPr>
          <w:rFonts w:ascii="宋体" w:cs="宋体"/>
          <w:color w:val="000000"/>
          <w:sz w:val="24"/>
          <w:szCs w:val="24"/>
        </w:rPr>
      </w:pPr>
      <w:r>
        <w:rPr>
          <w:rFonts w:hint="eastAsia" w:ascii="宋体" w:hAnsi="宋体" w:cs="宋体"/>
          <w:color w:val="000000"/>
          <w:sz w:val="24"/>
          <w:szCs w:val="24"/>
          <w:lang w:eastAsia="zh-CN"/>
        </w:rPr>
        <w:t>乌鲁木齐高新建设工程项目管理咨询有限公司（盖章）</w:t>
      </w:r>
      <w:r>
        <w:rPr>
          <w:rFonts w:hint="eastAsia" w:ascii="宋体" w:hAnsi="宋体" w:cs="宋体"/>
          <w:color w:val="000000"/>
          <w:sz w:val="24"/>
          <w:szCs w:val="24"/>
        </w:rPr>
        <w:t>：</w:t>
      </w:r>
    </w:p>
    <w:p>
      <w:pPr>
        <w:spacing w:line="360" w:lineRule="auto"/>
        <w:ind w:firstLine="480" w:firstLineChars="200"/>
        <w:rPr>
          <w:rFonts w:ascii="宋体" w:cs="宋体"/>
          <w:color w:val="000000"/>
          <w:sz w:val="24"/>
          <w:szCs w:val="24"/>
        </w:rPr>
      </w:pPr>
      <w:r>
        <w:rPr>
          <w:rFonts w:hint="eastAsia" w:ascii="宋体" w:hAnsi="宋体" w:cs="宋体"/>
          <w:color w:val="000000"/>
          <w:sz w:val="24"/>
          <w:szCs w:val="24"/>
        </w:rPr>
        <w:t>我单位负责人</w:t>
      </w:r>
      <w:r>
        <w:rPr>
          <w:rFonts w:hint="eastAsia" w:ascii="宋体" w:hAnsi="宋体" w:cs="宋体"/>
          <w:color w:val="000000"/>
          <w:sz w:val="24"/>
          <w:szCs w:val="24"/>
          <w:u w:val="single"/>
        </w:rPr>
        <w:t>（负责人姓名、身份证号）</w:t>
      </w:r>
      <w:r>
        <w:rPr>
          <w:rFonts w:hint="eastAsia" w:ascii="宋体" w:hAnsi="宋体" w:cs="宋体"/>
          <w:color w:val="000000"/>
          <w:sz w:val="24"/>
          <w:szCs w:val="24"/>
        </w:rPr>
        <w:t>，不存在与我单位负责人为同一人的不同供应商同时参加本项目同一标项投标的情形。</w:t>
      </w:r>
    </w:p>
    <w:p>
      <w:pPr>
        <w:spacing w:line="360" w:lineRule="auto"/>
        <w:ind w:firstLine="480" w:firstLineChars="200"/>
        <w:rPr>
          <w:rFonts w:ascii="宋体" w:cs="宋体"/>
          <w:color w:val="000000"/>
          <w:sz w:val="24"/>
          <w:szCs w:val="24"/>
        </w:rPr>
      </w:pPr>
      <w:r>
        <w:rPr>
          <w:rFonts w:hint="eastAsia" w:ascii="宋体" w:hAnsi="宋体" w:cs="宋体"/>
          <w:color w:val="000000"/>
          <w:sz w:val="24"/>
          <w:szCs w:val="24"/>
        </w:rPr>
        <w:t>与我单位存在直接控股、管理关系的单位</w:t>
      </w:r>
      <w:r>
        <w:rPr>
          <w:rFonts w:hint="eastAsia" w:ascii="宋体" w:hAnsi="宋体" w:cs="宋体"/>
          <w:color w:val="000000"/>
          <w:sz w:val="24"/>
          <w:szCs w:val="24"/>
          <w:u w:val="single"/>
        </w:rPr>
        <w:t>（单位名称，如没有填“无”）</w:t>
      </w:r>
      <w:r>
        <w:rPr>
          <w:rFonts w:hint="eastAsia" w:ascii="宋体" w:hAnsi="宋体" w:cs="宋体"/>
          <w:color w:val="000000"/>
          <w:sz w:val="24"/>
          <w:szCs w:val="24"/>
        </w:rPr>
        <w:t>，不存在与我单位存在直接控股、管理管理的不同供应商同时参加本项目同一标项投标的情形。</w:t>
      </w:r>
    </w:p>
    <w:p>
      <w:pPr>
        <w:pStyle w:val="21"/>
        <w:ind w:firstLine="480" w:firstLineChars="200"/>
      </w:pPr>
      <w:r>
        <w:rPr>
          <w:rFonts w:hint="eastAsia"/>
        </w:rPr>
        <w:t>我单位不为本项目某标项提供整体设计、规范编制或者项目管理、监理、检测等服务的供应商。</w:t>
      </w:r>
    </w:p>
    <w:p>
      <w:pPr>
        <w:spacing w:line="360" w:lineRule="auto"/>
        <w:ind w:firstLine="482" w:firstLineChars="200"/>
        <w:rPr>
          <w:rFonts w:ascii="宋体" w:cs="宋体"/>
          <w:color w:val="000000"/>
          <w:sz w:val="24"/>
          <w:szCs w:val="24"/>
        </w:rPr>
      </w:pPr>
      <w:r>
        <w:rPr>
          <w:rFonts w:hint="eastAsia" w:ascii="宋体" w:hAnsi="宋体" w:cs="宋体"/>
          <w:b/>
          <w:color w:val="000000"/>
          <w:sz w:val="24"/>
        </w:rPr>
        <w:t>我单位确认本</w:t>
      </w:r>
      <w:r>
        <w:rPr>
          <w:rFonts w:hint="eastAsia" w:ascii="宋体" w:hAnsi="宋体" w:cs="宋体"/>
          <w:b/>
          <w:sz w:val="24"/>
        </w:rPr>
        <w:t>声明是真实的、正确的，如有虚假，相应后果和法律责任均由我单位承担</w:t>
      </w:r>
      <w:r>
        <w:rPr>
          <w:rFonts w:hint="eastAsia" w:ascii="宋体" w:hAnsi="宋体" w:cs="宋体"/>
          <w:color w:val="000000"/>
          <w:sz w:val="24"/>
          <w:szCs w:val="24"/>
        </w:rPr>
        <w:t>。</w:t>
      </w:r>
    </w:p>
    <w:p>
      <w:pPr>
        <w:spacing w:line="360" w:lineRule="auto"/>
        <w:ind w:firstLine="480" w:firstLineChars="200"/>
        <w:rPr>
          <w:rFonts w:ascii="宋体" w:cs="宋体"/>
          <w:color w:val="000000"/>
          <w:sz w:val="24"/>
          <w:szCs w:val="24"/>
        </w:rPr>
      </w:pPr>
      <w:r>
        <w:rPr>
          <w:rFonts w:hint="eastAsia" w:ascii="宋体" w:hAnsi="宋体" w:cs="宋体"/>
          <w:color w:val="000000"/>
          <w:sz w:val="24"/>
          <w:szCs w:val="24"/>
        </w:rPr>
        <w:t>特此声明。</w:t>
      </w:r>
    </w:p>
    <w:p>
      <w:pPr>
        <w:pStyle w:val="21"/>
      </w:pPr>
    </w:p>
    <w:p>
      <w:pPr>
        <w:spacing w:line="360" w:lineRule="auto"/>
        <w:jc w:val="right"/>
        <w:rPr>
          <w:rFonts w:ascii="宋体" w:cs="宋体"/>
          <w:sz w:val="24"/>
          <w:szCs w:val="24"/>
        </w:rPr>
      </w:pPr>
      <w:r>
        <w:rPr>
          <w:rFonts w:hint="eastAsia" w:ascii="宋体" w:hAnsi="宋体" w:cs="宋体"/>
          <w:sz w:val="24"/>
          <w:szCs w:val="24"/>
        </w:rPr>
        <w:t>投标人法定代表人或授权代表（签字</w:t>
      </w:r>
      <w:r>
        <w:rPr>
          <w:rFonts w:hint="eastAsia" w:ascii="宋体" w:hAnsi="宋体"/>
          <w:sz w:val="24"/>
        </w:rPr>
        <w:t>或盖章</w:t>
      </w:r>
      <w:r>
        <w:rPr>
          <w:rFonts w:hint="eastAsia" w:ascii="宋体" w:hAnsi="宋体" w:cs="宋体"/>
          <w:sz w:val="24"/>
          <w:szCs w:val="24"/>
        </w:rPr>
        <w:t>）：</w:t>
      </w:r>
    </w:p>
    <w:p>
      <w:pPr>
        <w:pStyle w:val="21"/>
      </w:pPr>
    </w:p>
    <w:p>
      <w:pPr>
        <w:spacing w:line="360" w:lineRule="auto"/>
        <w:jc w:val="right"/>
        <w:rPr>
          <w:rFonts w:ascii="宋体" w:cs="宋体"/>
          <w:sz w:val="24"/>
          <w:szCs w:val="24"/>
        </w:rPr>
      </w:pPr>
      <w:r>
        <w:rPr>
          <w:rFonts w:hint="eastAsia" w:ascii="宋体" w:hAnsi="宋体" w:cs="宋体"/>
          <w:sz w:val="24"/>
          <w:szCs w:val="24"/>
        </w:rPr>
        <w:t>投标人名称（加盖单位公章）：</w:t>
      </w:r>
    </w:p>
    <w:p>
      <w:pPr>
        <w:pStyle w:val="21"/>
      </w:pPr>
    </w:p>
    <w:p>
      <w:pPr>
        <w:spacing w:line="360" w:lineRule="auto"/>
        <w:jc w:val="right"/>
        <w:rPr>
          <w:rFonts w:ascii="宋体" w:cs="宋体"/>
          <w:color w:val="000000"/>
          <w:szCs w:val="21"/>
        </w:rPr>
      </w:pPr>
      <w:r>
        <w:rPr>
          <w:rFonts w:hint="eastAsia" w:ascii="宋体" w:hAnsi="宋体" w:cs="宋体"/>
          <w:sz w:val="24"/>
          <w:szCs w:val="24"/>
        </w:rPr>
        <w:t>日期：</w:t>
      </w:r>
    </w:p>
    <w:p>
      <w:pPr>
        <w:widowControl/>
        <w:spacing w:line="360" w:lineRule="auto"/>
        <w:jc w:val="left"/>
        <w:rPr>
          <w:rFonts w:ascii="宋体" w:cs="宋体"/>
          <w:b/>
          <w:sz w:val="36"/>
          <w:szCs w:val="36"/>
        </w:rPr>
      </w:pPr>
      <w:r>
        <w:rPr>
          <w:rFonts w:ascii="宋体" w:cs="宋体"/>
          <w:color w:val="000000"/>
          <w:szCs w:val="21"/>
        </w:rPr>
        <w:br w:type="page"/>
      </w:r>
      <w:bookmarkStart w:id="157" w:name="_Toc14776855"/>
      <w:bookmarkStart w:id="158" w:name="_Toc2512005"/>
      <w:bookmarkStart w:id="159" w:name="_Toc2355263"/>
      <w:bookmarkStart w:id="160" w:name="_Hlk521595300"/>
      <w:r>
        <w:rPr>
          <w:rFonts w:ascii="宋体" w:hAnsi="宋体" w:cs="宋体"/>
          <w:b/>
          <w:sz w:val="24"/>
          <w:szCs w:val="24"/>
        </w:rPr>
        <w:t>1.6.2</w:t>
      </w:r>
      <w:r>
        <w:rPr>
          <w:rFonts w:hint="eastAsia" w:ascii="宋体" w:hAnsi="宋体" w:cs="宋体"/>
          <w:b/>
          <w:sz w:val="24"/>
          <w:szCs w:val="24"/>
        </w:rPr>
        <w:t>信用查询</w:t>
      </w:r>
      <w:bookmarkEnd w:id="157"/>
    </w:p>
    <w:p>
      <w:pPr>
        <w:spacing w:line="360" w:lineRule="auto"/>
        <w:rPr>
          <w:rFonts w:ascii="宋体" w:cs="宋体"/>
          <w:b/>
          <w:color w:val="000000"/>
          <w:sz w:val="24"/>
          <w:szCs w:val="24"/>
        </w:rPr>
      </w:pPr>
      <w:r>
        <w:rPr>
          <w:rFonts w:hint="eastAsia" w:ascii="宋体" w:hAnsi="宋体" w:cs="宋体"/>
          <w:b/>
          <w:sz w:val="24"/>
          <w:szCs w:val="24"/>
        </w:rPr>
        <w:t>通过“信用中国”网站（</w:t>
      </w:r>
      <w:r>
        <w:rPr>
          <w:rFonts w:ascii="宋体" w:hAnsi="宋体" w:cs="宋体"/>
          <w:b/>
          <w:sz w:val="24"/>
          <w:szCs w:val="24"/>
        </w:rPr>
        <w:t>www.creditchina.gov.cn</w:t>
      </w:r>
      <w:r>
        <w:rPr>
          <w:rFonts w:hint="eastAsia" w:ascii="宋体" w:hAnsi="宋体" w:cs="宋体"/>
          <w:b/>
          <w:sz w:val="24"/>
          <w:szCs w:val="24"/>
        </w:rPr>
        <w:t>）和中国政府采购网（</w:t>
      </w:r>
      <w:r>
        <w:rPr>
          <w:rFonts w:ascii="宋体" w:hAnsi="宋体" w:cs="宋体"/>
          <w:b/>
          <w:sz w:val="24"/>
          <w:szCs w:val="24"/>
        </w:rPr>
        <w:t>www.ccgp.gov.cn</w:t>
      </w:r>
      <w:r>
        <w:rPr>
          <w:rFonts w:hint="eastAsia" w:ascii="宋体" w:hAnsi="宋体" w:cs="宋体"/>
          <w:b/>
          <w:sz w:val="24"/>
          <w:szCs w:val="24"/>
        </w:rPr>
        <w:t>）查询信用记录（截止时间点为投标截止时间），（截图复印件加盖投标人公章）被列入失信被执行人、重大税收违法案件当事人名单或政府采购严重违法失信行为记录名单的供应商，没有资格参加本项目的采购活动</w:t>
      </w:r>
      <w:bookmarkEnd w:id="158"/>
      <w:bookmarkEnd w:id="159"/>
    </w:p>
    <w:bookmarkEnd w:id="160"/>
    <w:p>
      <w:pPr>
        <w:spacing w:line="360" w:lineRule="auto"/>
        <w:rPr>
          <w:rFonts w:ascii="宋体" w:cs="宋体"/>
          <w:color w:val="000000"/>
          <w:szCs w:val="21"/>
          <w:u w:val="single"/>
        </w:rPr>
      </w:pPr>
    </w:p>
    <w:p>
      <w:pPr>
        <w:spacing w:line="360" w:lineRule="auto"/>
        <w:rPr>
          <w:rFonts w:ascii="宋体" w:cs="宋体"/>
          <w:color w:val="000000"/>
          <w:sz w:val="24"/>
          <w:szCs w:val="24"/>
        </w:rPr>
      </w:pPr>
    </w:p>
    <w:p>
      <w:pPr>
        <w:spacing w:line="360" w:lineRule="auto"/>
        <w:rPr>
          <w:rFonts w:ascii="宋体" w:cs="宋体"/>
          <w:sz w:val="24"/>
          <w:szCs w:val="24"/>
        </w:rPr>
      </w:pPr>
    </w:p>
    <w:p>
      <w:pPr>
        <w:spacing w:line="360" w:lineRule="auto"/>
        <w:ind w:firstLine="5280" w:firstLineChars="2200"/>
        <w:rPr>
          <w:rFonts w:ascii="宋体" w:cs="宋体"/>
          <w:color w:val="000000"/>
          <w:sz w:val="24"/>
          <w:szCs w:val="24"/>
        </w:rPr>
      </w:pPr>
    </w:p>
    <w:p>
      <w:pPr>
        <w:spacing w:line="360" w:lineRule="auto"/>
        <w:ind w:firstLine="6385" w:firstLineChars="2650"/>
        <w:rPr>
          <w:rFonts w:ascii="宋体" w:cs="宋体"/>
          <w:b/>
          <w:color w:val="000000"/>
          <w:sz w:val="24"/>
          <w:szCs w:val="24"/>
        </w:rPr>
      </w:pPr>
    </w:p>
    <w:p>
      <w:pPr>
        <w:spacing w:line="360" w:lineRule="auto"/>
        <w:rPr>
          <w:rFonts w:ascii="宋体" w:cs="宋体"/>
          <w:b/>
          <w:color w:val="000000"/>
          <w:sz w:val="24"/>
          <w:szCs w:val="24"/>
        </w:rPr>
      </w:pPr>
      <w:r>
        <w:rPr>
          <w:rFonts w:hint="eastAsia" w:ascii="宋体" w:hAnsi="宋体" w:cs="宋体"/>
          <w:b/>
          <w:color w:val="000000"/>
          <w:sz w:val="24"/>
          <w:szCs w:val="24"/>
        </w:rPr>
        <w:t>说</w:t>
      </w:r>
      <w:r>
        <w:rPr>
          <w:rFonts w:hint="eastAsia" w:ascii="宋体" w:hAnsi="宋体" w:cs="宋体"/>
          <w:b/>
          <w:sz w:val="24"/>
          <w:szCs w:val="24"/>
        </w:rPr>
        <w:t>明：</w:t>
      </w:r>
    </w:p>
    <w:p>
      <w:pPr>
        <w:spacing w:line="360" w:lineRule="auto"/>
        <w:ind w:firstLine="480" w:firstLineChars="200"/>
        <w:rPr>
          <w:rFonts w:ascii="宋体" w:cs="宋体"/>
          <w:color w:val="000000"/>
          <w:kern w:val="0"/>
          <w:sz w:val="24"/>
          <w:szCs w:val="24"/>
        </w:rPr>
      </w:pPr>
      <w:r>
        <w:rPr>
          <w:rFonts w:ascii="宋体" w:hAnsi="宋体" w:cs="宋体"/>
          <w:color w:val="000000"/>
          <w:sz w:val="24"/>
          <w:szCs w:val="24"/>
        </w:rPr>
        <w:t>1</w:t>
      </w:r>
      <w:r>
        <w:rPr>
          <w:rFonts w:hint="eastAsia" w:ascii="宋体" w:hAnsi="宋体" w:cs="宋体"/>
          <w:color w:val="000000"/>
          <w:sz w:val="24"/>
          <w:szCs w:val="24"/>
        </w:rPr>
        <w:t>、</w:t>
      </w:r>
      <w:r>
        <w:rPr>
          <w:rFonts w:hint="eastAsia" w:ascii="宋体" w:hAnsi="宋体" w:cs="宋体"/>
          <w:color w:val="000000"/>
          <w:kern w:val="0"/>
          <w:sz w:val="24"/>
          <w:szCs w:val="24"/>
        </w:rPr>
        <w:t>信用信息查询渠道：信用中国网站（</w:t>
      </w:r>
      <w:r>
        <w:rPr>
          <w:rFonts w:ascii="宋体" w:hAnsi="宋体" w:cs="宋体"/>
          <w:color w:val="000000"/>
          <w:kern w:val="0"/>
          <w:sz w:val="24"/>
          <w:szCs w:val="24"/>
        </w:rPr>
        <w:t>www.creditchina.gov.cn</w:t>
      </w:r>
      <w:r>
        <w:rPr>
          <w:rFonts w:hint="eastAsia" w:ascii="宋体" w:hAnsi="宋体" w:cs="宋体"/>
          <w:color w:val="000000"/>
          <w:kern w:val="0"/>
          <w:sz w:val="24"/>
          <w:szCs w:val="24"/>
        </w:rPr>
        <w:t>）和中国政府采购网</w:t>
      </w:r>
      <w:r>
        <w:rPr>
          <w:rFonts w:ascii="宋体" w:cs="宋体"/>
          <w:color w:val="000000"/>
          <w:kern w:val="0"/>
          <w:sz w:val="24"/>
          <w:szCs w:val="24"/>
        </w:rPr>
        <w:t>-</w:t>
      </w:r>
      <w:r>
        <w:rPr>
          <w:rFonts w:hint="eastAsia" w:ascii="宋体" w:hAnsi="宋体" w:cs="宋体"/>
          <w:color w:val="000000"/>
          <w:kern w:val="0"/>
          <w:sz w:val="24"/>
          <w:szCs w:val="24"/>
        </w:rPr>
        <w:t>政府采购严重违法失信行为信息记录（</w:t>
      </w:r>
      <w:r>
        <w:rPr>
          <w:rFonts w:ascii="宋体" w:hAnsi="宋体" w:cs="宋体"/>
          <w:color w:val="000000"/>
          <w:kern w:val="0"/>
          <w:sz w:val="24"/>
          <w:szCs w:val="24"/>
        </w:rPr>
        <w:t>www.ccgp.gov.cn/cr/list</w:t>
      </w:r>
      <w:r>
        <w:rPr>
          <w:rFonts w:hint="eastAsia" w:ascii="宋体" w:hAnsi="宋体" w:cs="宋体"/>
          <w:color w:val="000000"/>
          <w:kern w:val="0"/>
          <w:sz w:val="24"/>
          <w:szCs w:val="24"/>
        </w:rPr>
        <w:t>）；</w:t>
      </w:r>
    </w:p>
    <w:p>
      <w:pPr>
        <w:spacing w:line="360" w:lineRule="auto"/>
        <w:ind w:firstLine="480" w:firstLineChars="200"/>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、信用信息查询截止时点：同投标截止时间（文件提交截止时间）；</w:t>
      </w:r>
    </w:p>
    <w:p>
      <w:pPr>
        <w:spacing w:line="360" w:lineRule="auto"/>
        <w:ind w:firstLine="480" w:firstLineChars="200"/>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、信用信息查询记录和证据留存的具体方式：网站查询截图打印稿形式与其他采购文件一并保存；</w:t>
      </w:r>
    </w:p>
    <w:p>
      <w:pPr>
        <w:spacing w:line="360" w:lineRule="auto"/>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按处罚结果执行，但不受区域限制（根据财库〔</w:t>
      </w:r>
      <w:r>
        <w:rPr>
          <w:rFonts w:ascii="宋体" w:hAnsi="宋体" w:cs="宋体"/>
          <w:color w:val="000000"/>
          <w:sz w:val="24"/>
          <w:szCs w:val="24"/>
        </w:rPr>
        <w:t>2015</w:t>
      </w:r>
      <w:r>
        <w:rPr>
          <w:rFonts w:hint="eastAsia" w:ascii="宋体" w:hAnsi="宋体" w:cs="宋体"/>
          <w:color w:val="000000"/>
          <w:sz w:val="24"/>
          <w:szCs w:val="24"/>
        </w:rPr>
        <w:t>〕</w:t>
      </w:r>
      <w:r>
        <w:rPr>
          <w:rFonts w:ascii="宋体" w:hAnsi="宋体" w:cs="宋体"/>
          <w:color w:val="000000"/>
          <w:sz w:val="24"/>
          <w:szCs w:val="24"/>
        </w:rPr>
        <w:t>150</w:t>
      </w:r>
      <w:r>
        <w:rPr>
          <w:rFonts w:hint="eastAsia" w:ascii="宋体" w:hAnsi="宋体" w:cs="宋体"/>
          <w:color w:val="000000"/>
          <w:sz w:val="24"/>
          <w:szCs w:val="24"/>
        </w:rPr>
        <w:t>号《关于规范政府采购行政处罚有关问题的通知》，相关行政处罚决定在全国范围内生效）。</w:t>
      </w:r>
    </w:p>
    <w:p>
      <w:pPr>
        <w:spacing w:line="360" w:lineRule="auto"/>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w:t>
      </w:r>
      <w:r>
        <w:rPr>
          <w:rFonts w:hint="eastAsia" w:ascii="宋体" w:hAnsi="宋体" w:cs="宋体"/>
          <w:b/>
          <w:bCs/>
          <w:color w:val="000000"/>
          <w:sz w:val="24"/>
          <w:szCs w:val="24"/>
          <w:highlight w:val="none"/>
        </w:rPr>
        <w:t>投标人无需提供信用查询结果纸质资料，最终评定结果以采购代理机构开标现场查询为准；</w:t>
      </w:r>
    </w:p>
    <w:p>
      <w:pPr>
        <w:widowControl/>
        <w:spacing w:line="360" w:lineRule="auto"/>
        <w:jc w:val="left"/>
        <w:rPr>
          <w:rFonts w:ascii="宋体" w:cs="宋体"/>
          <w:b/>
          <w:sz w:val="36"/>
          <w:szCs w:val="36"/>
        </w:rPr>
      </w:pPr>
      <w:r>
        <w:rPr>
          <w:rFonts w:ascii="宋体" w:cs="宋体"/>
          <w:b/>
          <w:sz w:val="36"/>
          <w:szCs w:val="36"/>
        </w:rPr>
        <w:br w:type="page"/>
      </w:r>
    </w:p>
    <w:p>
      <w:pPr>
        <w:spacing w:line="360" w:lineRule="auto"/>
        <w:jc w:val="left"/>
        <w:rPr>
          <w:rFonts w:ascii="宋体" w:cs="宋体"/>
          <w:b/>
          <w:color w:val="000000"/>
          <w:kern w:val="0"/>
          <w:sz w:val="24"/>
          <w:szCs w:val="24"/>
        </w:rPr>
      </w:pPr>
      <w:r>
        <w:rPr>
          <w:rFonts w:ascii="宋体" w:hAnsi="宋体" w:cs="宋体"/>
          <w:b/>
          <w:color w:val="000000"/>
          <w:kern w:val="0"/>
          <w:sz w:val="24"/>
          <w:szCs w:val="24"/>
        </w:rPr>
        <w:t>1.6</w:t>
      </w:r>
      <w:r>
        <w:rPr>
          <w:rFonts w:ascii="宋体" w:cs="宋体"/>
          <w:b/>
          <w:color w:val="000000"/>
          <w:kern w:val="0"/>
          <w:sz w:val="24"/>
          <w:szCs w:val="24"/>
        </w:rPr>
        <w:t>.</w:t>
      </w:r>
      <w:r>
        <w:rPr>
          <w:rFonts w:ascii="宋体" w:hAnsi="宋体" w:cs="宋体"/>
          <w:b/>
          <w:color w:val="000000"/>
          <w:kern w:val="0"/>
          <w:sz w:val="24"/>
          <w:szCs w:val="24"/>
        </w:rPr>
        <w:t>2.1</w:t>
      </w:r>
      <w:r>
        <w:rPr>
          <w:rFonts w:hint="eastAsia" w:ascii="宋体" w:hAnsi="宋体" w:cs="宋体"/>
          <w:b/>
          <w:color w:val="000000"/>
          <w:kern w:val="0"/>
          <w:sz w:val="24"/>
          <w:szCs w:val="24"/>
        </w:rPr>
        <w:t>信用中国网站（</w:t>
      </w:r>
      <w:r>
        <w:rPr>
          <w:rFonts w:ascii="宋体" w:hAnsi="宋体" w:cs="宋体"/>
          <w:color w:val="000000"/>
          <w:kern w:val="0"/>
          <w:sz w:val="24"/>
          <w:szCs w:val="24"/>
        </w:rPr>
        <w:t>www.creditchina.gov.cn</w:t>
      </w:r>
      <w:r>
        <w:rPr>
          <w:rFonts w:hint="eastAsia" w:ascii="宋体" w:hAnsi="宋体" w:cs="宋体"/>
          <w:b/>
          <w:color w:val="000000"/>
          <w:kern w:val="0"/>
          <w:sz w:val="24"/>
          <w:szCs w:val="24"/>
        </w:rPr>
        <w:t>）查询截图（加盖公章）；</w:t>
      </w: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sz w:val="36"/>
          <w:szCs w:val="36"/>
        </w:rPr>
      </w:pPr>
      <w:r>
        <w:rPr>
          <w:rFonts w:ascii="宋体" w:hAnsi="宋体" w:cs="宋体"/>
          <w:b/>
          <w:color w:val="000000"/>
          <w:kern w:val="0"/>
          <w:sz w:val="24"/>
          <w:szCs w:val="24"/>
        </w:rPr>
        <w:t>1.6.2.2</w:t>
      </w:r>
      <w:r>
        <w:rPr>
          <w:rFonts w:hint="eastAsia" w:ascii="宋体" w:hAnsi="宋体" w:cs="宋体"/>
          <w:b/>
          <w:color w:val="000000"/>
          <w:kern w:val="0"/>
          <w:sz w:val="24"/>
          <w:szCs w:val="24"/>
        </w:rPr>
        <w:t>中国政府采购网</w:t>
      </w:r>
      <w:r>
        <w:rPr>
          <w:rFonts w:ascii="宋体" w:cs="宋体"/>
          <w:b/>
          <w:color w:val="000000"/>
          <w:kern w:val="0"/>
          <w:sz w:val="24"/>
          <w:szCs w:val="24"/>
        </w:rPr>
        <w:t>-</w:t>
      </w:r>
      <w:r>
        <w:rPr>
          <w:rFonts w:hint="eastAsia" w:ascii="宋体" w:hAnsi="宋体" w:cs="宋体"/>
          <w:b/>
          <w:color w:val="000000"/>
          <w:kern w:val="0"/>
          <w:sz w:val="24"/>
          <w:szCs w:val="24"/>
        </w:rPr>
        <w:t>政府采购严重违法失信行为信息记录（</w:t>
      </w:r>
      <w:r>
        <w:rPr>
          <w:rFonts w:ascii="宋体" w:hAnsi="宋体" w:cs="宋体"/>
          <w:b/>
          <w:color w:val="000000"/>
          <w:kern w:val="0"/>
          <w:sz w:val="24"/>
          <w:szCs w:val="24"/>
        </w:rPr>
        <w:t>www.ccgp.gov.cn/cr/list</w:t>
      </w:r>
      <w:r>
        <w:rPr>
          <w:rFonts w:hint="eastAsia" w:ascii="宋体" w:hAnsi="宋体" w:cs="宋体"/>
          <w:b/>
          <w:color w:val="000000"/>
          <w:kern w:val="0"/>
          <w:sz w:val="24"/>
          <w:szCs w:val="24"/>
        </w:rPr>
        <w:t>）查询截图（加盖公章）。</w:t>
      </w:r>
    </w:p>
    <w:p>
      <w:pPr>
        <w:spacing w:line="360" w:lineRule="auto"/>
        <w:jc w:val="center"/>
        <w:rPr>
          <w:rFonts w:ascii="宋体" w:cs="宋体"/>
          <w:b/>
          <w:sz w:val="36"/>
          <w:szCs w:val="36"/>
        </w:rPr>
      </w:pPr>
    </w:p>
    <w:p>
      <w:pPr>
        <w:spacing w:line="360" w:lineRule="auto"/>
        <w:jc w:val="center"/>
        <w:rPr>
          <w:rFonts w:ascii="宋体" w:cs="宋体"/>
          <w:b/>
          <w:sz w:val="36"/>
          <w:szCs w:val="36"/>
        </w:rPr>
      </w:pPr>
    </w:p>
    <w:p>
      <w:pPr>
        <w:spacing w:line="360" w:lineRule="auto"/>
        <w:rPr>
          <w:rFonts w:ascii="宋体" w:cs="宋体"/>
          <w:sz w:val="24"/>
          <w:szCs w:val="24"/>
        </w:rPr>
      </w:pPr>
      <w:r>
        <w:rPr>
          <w:rFonts w:ascii="宋体" w:cs="宋体"/>
          <w:sz w:val="24"/>
          <w:szCs w:val="24"/>
        </w:rPr>
        <w:br w:type="page"/>
      </w:r>
    </w:p>
    <w:p>
      <w:pPr>
        <w:pStyle w:val="6"/>
        <w:rPr>
          <w:rFonts w:ascii="宋体" w:hAnsi="宋体" w:cs="宋体"/>
          <w:bCs w:val="0"/>
          <w:sz w:val="32"/>
          <w:szCs w:val="24"/>
        </w:rPr>
      </w:pPr>
      <w:bookmarkStart w:id="161" w:name="_Toc44704918"/>
      <w:bookmarkStart w:id="162" w:name="_Toc44705286"/>
      <w:bookmarkStart w:id="163" w:name="_Toc44705065"/>
      <w:r>
        <w:rPr>
          <w:rFonts w:ascii="宋体" w:hAnsi="宋体" w:cs="宋体"/>
          <w:bCs w:val="0"/>
          <w:sz w:val="32"/>
          <w:szCs w:val="24"/>
        </w:rPr>
        <w:t>1.7</w:t>
      </w:r>
      <w:r>
        <w:rPr>
          <w:rFonts w:hint="eastAsia" w:ascii="宋体" w:hAnsi="宋体" w:cs="宋体"/>
          <w:bCs w:val="0"/>
          <w:sz w:val="32"/>
          <w:szCs w:val="24"/>
        </w:rPr>
        <w:t>符合招标文件第二章“投标人须知前附表”</w:t>
      </w:r>
      <w:r>
        <w:rPr>
          <w:rFonts w:ascii="宋体" w:hAnsi="宋体" w:cs="宋体"/>
          <w:bCs w:val="0"/>
          <w:sz w:val="32"/>
          <w:szCs w:val="24"/>
        </w:rPr>
        <w:t>15.1</w:t>
      </w:r>
      <w:r>
        <w:rPr>
          <w:rFonts w:hint="eastAsia" w:ascii="宋体" w:hAnsi="宋体" w:cs="宋体"/>
          <w:bCs w:val="0"/>
          <w:sz w:val="32"/>
          <w:szCs w:val="24"/>
        </w:rPr>
        <w:t>中第</w:t>
      </w:r>
      <w:r>
        <w:rPr>
          <w:rFonts w:ascii="宋体" w:hAnsi="宋体" w:cs="宋体"/>
          <w:bCs w:val="0"/>
          <w:sz w:val="32"/>
          <w:szCs w:val="24"/>
        </w:rPr>
        <w:t>3</w:t>
      </w:r>
      <w:r>
        <w:rPr>
          <w:rFonts w:hint="eastAsia" w:ascii="宋体" w:hAnsi="宋体" w:cs="宋体"/>
          <w:bCs w:val="0"/>
          <w:sz w:val="32"/>
          <w:szCs w:val="24"/>
        </w:rPr>
        <w:t>条的证明材料</w:t>
      </w:r>
      <w:bookmarkEnd w:id="161"/>
      <w:bookmarkEnd w:id="162"/>
      <w:bookmarkEnd w:id="163"/>
      <w:r>
        <w:rPr>
          <w:rFonts w:hint="eastAsia" w:ascii="宋体" w:hAnsi="宋体" w:cs="宋体"/>
          <w:bCs w:val="0"/>
          <w:sz w:val="32"/>
          <w:szCs w:val="24"/>
        </w:rPr>
        <w:t>；</w:t>
      </w:r>
    </w:p>
    <w:p>
      <w:pPr>
        <w:jc w:val="center"/>
        <w:rPr>
          <w:rFonts w:ascii="宋体" w:hAnsi="宋体" w:cs="宋体"/>
          <w:sz w:val="24"/>
          <w:szCs w:val="24"/>
        </w:rPr>
      </w:pPr>
    </w:p>
    <w:p>
      <w:pPr>
        <w:spacing w:line="360" w:lineRule="auto"/>
        <w:ind w:firstLine="480" w:firstLineChars="200"/>
        <w:rPr>
          <w:rFonts w:ascii="宋体" w:hAnsi="宋体" w:cs="宋体"/>
          <w:color w:val="000000"/>
          <w:kern w:val="0"/>
          <w:sz w:val="24"/>
          <w:szCs w:val="24"/>
        </w:rPr>
      </w:pPr>
      <w:r>
        <w:rPr>
          <w:rFonts w:hint="eastAsia" w:ascii="宋体" w:hAnsi="宋体" w:cs="宋体"/>
          <w:sz w:val="24"/>
          <w:szCs w:val="24"/>
        </w:rPr>
        <w:t xml:space="preserve"> </w:t>
      </w:r>
      <w:r>
        <w:rPr>
          <w:rFonts w:hint="eastAsia" w:ascii="宋体" w:hAnsi="宋体" w:cs="宋体"/>
          <w:color w:val="000000"/>
          <w:kern w:val="0"/>
          <w:sz w:val="24"/>
          <w:szCs w:val="24"/>
        </w:rPr>
        <w:t xml:space="preserve"> </w:t>
      </w:r>
    </w:p>
    <w:p>
      <w:pPr>
        <w:pStyle w:val="6"/>
        <w:ind w:firstLine="241" w:firstLineChars="100"/>
        <w:rPr>
          <w:sz w:val="32"/>
        </w:rPr>
      </w:pPr>
      <w:r>
        <w:rPr>
          <w:rFonts w:hint="eastAsia"/>
          <w:color w:val="000000"/>
          <w:kern w:val="0"/>
          <w:sz w:val="24"/>
          <w:lang w:eastAsia="zh-CN"/>
        </w:rPr>
        <w:t>具有有效的三级甲等综合医院资质</w:t>
      </w:r>
      <w:r>
        <w:rPr>
          <w:rFonts w:hint="eastAsia"/>
          <w:color w:val="000000"/>
          <w:kern w:val="0"/>
          <w:sz w:val="24"/>
        </w:rPr>
        <w:t>。</w:t>
      </w:r>
      <w:r>
        <w:rPr>
          <w:color w:val="000000"/>
          <w:kern w:val="0"/>
          <w:sz w:val="24"/>
        </w:rPr>
        <w:br w:type="page"/>
      </w:r>
      <w:bookmarkStart w:id="164" w:name="_Toc44704919"/>
      <w:bookmarkStart w:id="165" w:name="_Toc44705287"/>
      <w:bookmarkStart w:id="166" w:name="_Toc44705066"/>
      <w:r>
        <w:rPr>
          <w:sz w:val="32"/>
        </w:rPr>
        <w:t>1.8</w:t>
      </w:r>
      <w:r>
        <w:rPr>
          <w:rFonts w:hint="eastAsia"/>
          <w:sz w:val="32"/>
        </w:rPr>
        <w:t>投标承诺书</w:t>
      </w:r>
      <w:bookmarkEnd w:id="164"/>
      <w:bookmarkEnd w:id="165"/>
      <w:bookmarkEnd w:id="166"/>
    </w:p>
    <w:p>
      <w:pPr>
        <w:spacing w:line="360" w:lineRule="auto"/>
        <w:rPr>
          <w:color w:val="000000"/>
          <w:sz w:val="24"/>
          <w:szCs w:val="24"/>
        </w:rPr>
      </w:pPr>
    </w:p>
    <w:p>
      <w:pPr>
        <w:spacing w:line="360" w:lineRule="auto"/>
        <w:rPr>
          <w:rFonts w:hint="eastAsia" w:ascii="宋体" w:eastAsia="宋体"/>
          <w:b/>
          <w:color w:val="000000"/>
          <w:sz w:val="24"/>
          <w:szCs w:val="24"/>
          <w:lang w:eastAsia="zh-CN"/>
        </w:rPr>
      </w:pPr>
      <w:r>
        <w:rPr>
          <w:rFonts w:hint="eastAsia"/>
          <w:color w:val="000000"/>
          <w:sz w:val="24"/>
          <w:szCs w:val="24"/>
        </w:rPr>
        <w:t>致：</w:t>
      </w:r>
      <w:r>
        <w:rPr>
          <w:rFonts w:hint="eastAsia"/>
          <w:color w:val="000000"/>
          <w:sz w:val="24"/>
          <w:szCs w:val="24"/>
          <w:u w:val="single"/>
          <w:lang w:eastAsia="zh-CN"/>
        </w:rPr>
        <w:t>乌鲁木齐高新建设工程项目管理咨询有限公司（盖章）</w:t>
      </w:r>
    </w:p>
    <w:p>
      <w:pPr>
        <w:spacing w:line="360" w:lineRule="auto"/>
        <w:rPr>
          <w:b/>
          <w:color w:val="000000"/>
          <w:sz w:val="24"/>
          <w:szCs w:val="24"/>
        </w:rPr>
      </w:pPr>
    </w:p>
    <w:p>
      <w:pPr>
        <w:spacing w:line="360" w:lineRule="auto"/>
        <w:ind w:firstLine="480" w:firstLineChars="200"/>
        <w:rPr>
          <w:color w:val="000000"/>
          <w:sz w:val="24"/>
          <w:szCs w:val="24"/>
        </w:rPr>
      </w:pPr>
      <w:r>
        <w:rPr>
          <w:rFonts w:hint="eastAsia"/>
          <w:color w:val="000000"/>
          <w:sz w:val="24"/>
          <w:szCs w:val="24"/>
        </w:rPr>
        <w:t>我方郑重承诺：</w:t>
      </w:r>
    </w:p>
    <w:p>
      <w:pPr>
        <w:spacing w:line="360" w:lineRule="auto"/>
        <w:ind w:firstLine="480" w:firstLineChars="200"/>
        <w:rPr>
          <w:color w:val="000000"/>
          <w:sz w:val="24"/>
          <w:szCs w:val="24"/>
        </w:rPr>
      </w:pPr>
      <w:r>
        <w:rPr>
          <w:color w:val="000000"/>
          <w:sz w:val="24"/>
          <w:szCs w:val="24"/>
        </w:rPr>
        <w:t>1.</w:t>
      </w:r>
      <w:r>
        <w:rPr>
          <w:rFonts w:hint="eastAsia"/>
          <w:color w:val="000000"/>
          <w:sz w:val="24"/>
          <w:szCs w:val="24"/>
        </w:rPr>
        <w:t>我方</w:t>
      </w:r>
      <w:r>
        <w:rPr>
          <w:rFonts w:hint="eastAsia"/>
          <w:color w:val="000000"/>
          <w:sz w:val="24"/>
          <w:szCs w:val="24"/>
          <w:u w:val="single"/>
        </w:rPr>
        <w:t>（以</w:t>
      </w:r>
      <w:r>
        <w:rPr>
          <w:color w:val="000000"/>
          <w:sz w:val="24"/>
          <w:szCs w:val="24"/>
          <w:u w:val="single"/>
        </w:rPr>
        <w:t>/</w:t>
      </w:r>
      <w:r>
        <w:rPr>
          <w:rFonts w:hint="eastAsia"/>
          <w:color w:val="000000"/>
          <w:sz w:val="24"/>
          <w:szCs w:val="24"/>
          <w:u w:val="single"/>
        </w:rPr>
        <w:t>不以）</w:t>
      </w:r>
      <w:r>
        <w:rPr>
          <w:rFonts w:hint="eastAsia"/>
          <w:color w:val="000000"/>
          <w:sz w:val="24"/>
          <w:szCs w:val="24"/>
        </w:rPr>
        <w:t>联合体方式参与投标。</w:t>
      </w:r>
    </w:p>
    <w:p>
      <w:pPr>
        <w:spacing w:line="360" w:lineRule="auto"/>
        <w:ind w:firstLine="480" w:firstLineChars="200"/>
        <w:rPr>
          <w:color w:val="000000"/>
          <w:sz w:val="24"/>
          <w:szCs w:val="24"/>
        </w:rPr>
      </w:pPr>
      <w:r>
        <w:rPr>
          <w:color w:val="000000"/>
          <w:sz w:val="24"/>
          <w:szCs w:val="24"/>
        </w:rPr>
        <w:t>2.</w:t>
      </w:r>
      <w:r>
        <w:rPr>
          <w:rFonts w:hint="eastAsia"/>
          <w:color w:val="000000"/>
          <w:sz w:val="24"/>
          <w:szCs w:val="24"/>
        </w:rPr>
        <w:t>本投标文件中提供的所有资料是真实合法的，没有不实的描述、承诺或者伪造、变造的情形。业绩证明材料中提供的甲方联系方式可供贵方随时查证合同的真实性。如果我方在本项目投标文件中提供虚假资料，本投标文件无效，同时接受终身禁止参与</w:t>
      </w:r>
      <w:r>
        <w:rPr>
          <w:rFonts w:hint="eastAsia"/>
          <w:color w:val="000000"/>
          <w:sz w:val="24"/>
          <w:szCs w:val="24"/>
          <w:u w:val="single"/>
        </w:rPr>
        <w:t xml:space="preserve">   业主单位   </w:t>
      </w:r>
      <w:r>
        <w:rPr>
          <w:rFonts w:hint="eastAsia"/>
          <w:color w:val="000000"/>
          <w:sz w:val="24"/>
          <w:szCs w:val="24"/>
        </w:rPr>
        <w:t>政府采购活动的处理，并承担由此带来的一切法律后果。</w:t>
      </w:r>
    </w:p>
    <w:p>
      <w:pPr>
        <w:pStyle w:val="21"/>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jc w:val="right"/>
        <w:rPr>
          <w:color w:val="000000"/>
          <w:sz w:val="24"/>
          <w:szCs w:val="24"/>
        </w:rPr>
      </w:pPr>
      <w:r>
        <w:rPr>
          <w:rFonts w:hint="eastAsia"/>
          <w:color w:val="000000"/>
          <w:sz w:val="24"/>
          <w:szCs w:val="24"/>
        </w:rPr>
        <w:t>投标人名称</w:t>
      </w:r>
      <w:r>
        <w:rPr>
          <w:color w:val="000000"/>
          <w:sz w:val="24"/>
          <w:szCs w:val="24"/>
        </w:rPr>
        <w:t>(</w:t>
      </w:r>
      <w:r>
        <w:rPr>
          <w:rFonts w:hint="eastAsia"/>
          <w:color w:val="000000"/>
          <w:sz w:val="24"/>
          <w:szCs w:val="24"/>
        </w:rPr>
        <w:t>盖章</w:t>
      </w:r>
      <w:r>
        <w:rPr>
          <w:color w:val="000000"/>
          <w:sz w:val="24"/>
          <w:szCs w:val="24"/>
        </w:rPr>
        <w:t>)</w:t>
      </w:r>
      <w:r>
        <w:rPr>
          <w:rFonts w:hint="eastAsia"/>
          <w:color w:val="000000"/>
          <w:sz w:val="24"/>
          <w:szCs w:val="24"/>
        </w:rPr>
        <w:t>：</w:t>
      </w:r>
    </w:p>
    <w:p>
      <w:pPr>
        <w:pStyle w:val="21"/>
      </w:pPr>
    </w:p>
    <w:p>
      <w:pPr>
        <w:spacing w:line="360" w:lineRule="auto"/>
        <w:jc w:val="right"/>
        <w:rPr>
          <w:color w:val="000000"/>
          <w:sz w:val="24"/>
          <w:szCs w:val="24"/>
        </w:rPr>
      </w:pPr>
      <w:r>
        <w:rPr>
          <w:rFonts w:hint="eastAsia"/>
          <w:color w:val="000000"/>
          <w:sz w:val="24"/>
          <w:szCs w:val="24"/>
        </w:rPr>
        <w:t>投标人授权代表签字：</w:t>
      </w:r>
    </w:p>
    <w:p>
      <w:pPr>
        <w:pStyle w:val="21"/>
      </w:pPr>
    </w:p>
    <w:p>
      <w:pPr>
        <w:jc w:val="right"/>
        <w:rPr>
          <w:color w:val="000000"/>
          <w:sz w:val="24"/>
          <w:szCs w:val="24"/>
        </w:rPr>
      </w:pPr>
      <w:r>
        <w:rPr>
          <w:rFonts w:hint="eastAsia"/>
          <w:color w:val="000000"/>
          <w:sz w:val="24"/>
          <w:szCs w:val="24"/>
        </w:rPr>
        <w:t>日期：</w:t>
      </w:r>
    </w:p>
    <w:p>
      <w:pPr>
        <w:pStyle w:val="21"/>
      </w:pPr>
    </w:p>
    <w:p>
      <w:pPr>
        <w:widowControl/>
        <w:jc w:val="left"/>
        <w:rPr>
          <w:rFonts w:ascii="宋体" w:cs="宋体"/>
          <w:b/>
          <w:bCs/>
          <w:sz w:val="24"/>
          <w:szCs w:val="24"/>
        </w:rPr>
      </w:pPr>
      <w:r>
        <w:rPr>
          <w:rFonts w:ascii="宋体" w:cs="宋体"/>
          <w:b/>
          <w:bCs/>
          <w:sz w:val="24"/>
          <w:szCs w:val="24"/>
        </w:rPr>
        <w:br w:type="page"/>
      </w:r>
    </w:p>
    <w:p>
      <w:pPr>
        <w:pStyle w:val="6"/>
        <w:rPr>
          <w:sz w:val="32"/>
        </w:rPr>
      </w:pPr>
      <w:bookmarkStart w:id="167" w:name="_Toc44705067"/>
      <w:bookmarkStart w:id="168" w:name="_Toc44705288"/>
      <w:bookmarkStart w:id="169" w:name="_Toc44704920"/>
      <w:r>
        <w:rPr>
          <w:sz w:val="32"/>
        </w:rPr>
        <w:t>1.9</w:t>
      </w:r>
      <w:r>
        <w:rPr>
          <w:rFonts w:hint="eastAsia"/>
          <w:sz w:val="32"/>
        </w:rPr>
        <w:t>投标保证金凭证（如适用）</w:t>
      </w:r>
      <w:bookmarkEnd w:id="167"/>
      <w:bookmarkEnd w:id="168"/>
      <w:bookmarkEnd w:id="169"/>
      <w:r>
        <w:rPr>
          <w:sz w:val="32"/>
        </w:rPr>
        <w:br w:type="page"/>
      </w:r>
    </w:p>
    <w:p>
      <w:pPr>
        <w:pStyle w:val="6"/>
        <w:rPr>
          <w:rFonts w:ascii="宋体" w:cs="宋体"/>
          <w:sz w:val="36"/>
          <w:szCs w:val="36"/>
        </w:rPr>
      </w:pPr>
    </w:p>
    <w:p>
      <w:pPr>
        <w:pStyle w:val="21"/>
      </w:pPr>
    </w:p>
    <w:p>
      <w:bookmarkStart w:id="170" w:name="_Toc14776856"/>
      <w:bookmarkStart w:id="171" w:name="_Toc2355264"/>
      <w:bookmarkStart w:id="172" w:name="_Toc44705068"/>
      <w:bookmarkStart w:id="173" w:name="_Toc2512006"/>
      <w:bookmarkStart w:id="174" w:name="_Toc497167411"/>
      <w:bookmarkStart w:id="175" w:name="_Toc44704921"/>
    </w:p>
    <w:p/>
    <w:p>
      <w:pPr>
        <w:pStyle w:val="21"/>
      </w:pPr>
    </w:p>
    <w:p>
      <w:pPr>
        <w:pStyle w:val="21"/>
      </w:pPr>
    </w:p>
    <w:p>
      <w:pPr>
        <w:pStyle w:val="21"/>
      </w:pPr>
    </w:p>
    <w:p>
      <w:pPr>
        <w:pStyle w:val="21"/>
      </w:pPr>
    </w:p>
    <w:p>
      <w:pPr>
        <w:pStyle w:val="21"/>
      </w:pPr>
    </w:p>
    <w:p>
      <w:pPr>
        <w:pStyle w:val="4"/>
        <w:jc w:val="center"/>
        <w:rPr>
          <w:rFonts w:ascii="宋体" w:hAnsi="宋体" w:eastAsia="宋体"/>
          <w:sz w:val="36"/>
          <w:szCs w:val="44"/>
        </w:rPr>
      </w:pPr>
      <w:bookmarkStart w:id="176" w:name="_Toc44705289"/>
      <w:r>
        <w:rPr>
          <w:rFonts w:hint="eastAsia" w:ascii="宋体" w:hAnsi="宋体" w:eastAsia="宋体"/>
          <w:sz w:val="36"/>
          <w:szCs w:val="44"/>
        </w:rPr>
        <w:t>投标文件</w:t>
      </w:r>
      <w:bookmarkEnd w:id="170"/>
      <w:bookmarkEnd w:id="176"/>
    </w:p>
    <w:bookmarkEnd w:id="171"/>
    <w:bookmarkEnd w:id="172"/>
    <w:bookmarkEnd w:id="173"/>
    <w:bookmarkEnd w:id="174"/>
    <w:bookmarkEnd w:id="175"/>
    <w:p>
      <w:pPr>
        <w:widowControl/>
        <w:spacing w:line="360" w:lineRule="auto"/>
        <w:jc w:val="center"/>
        <w:rPr>
          <w:rFonts w:ascii="宋体" w:cs="宋体"/>
          <w:b/>
          <w:sz w:val="44"/>
          <w:szCs w:val="44"/>
        </w:rPr>
      </w:pPr>
      <w:r>
        <w:rPr>
          <w:rFonts w:ascii="宋体" w:cs="宋体"/>
          <w:b/>
          <w:sz w:val="44"/>
          <w:szCs w:val="44"/>
        </w:rPr>
        <w:br w:type="page"/>
      </w:r>
    </w:p>
    <w:p>
      <w:pPr>
        <w:spacing w:line="360" w:lineRule="auto"/>
        <w:rPr>
          <w:rFonts w:ascii="宋体" w:cs="宋体"/>
          <w:sz w:val="28"/>
        </w:rPr>
      </w:pPr>
      <w:r>
        <w:rPr>
          <w:rFonts w:hint="eastAsia" w:ascii="宋体" w:hAnsi="宋体" w:cs="宋体"/>
          <w:b/>
          <w:sz w:val="24"/>
          <w:szCs w:val="24"/>
        </w:rPr>
        <w:t>投标文件封面格式</w:t>
      </w:r>
    </w:p>
    <w:p>
      <w:pPr>
        <w:wordWrap w:val="0"/>
        <w:spacing w:line="360" w:lineRule="auto"/>
        <w:jc w:val="right"/>
        <w:rPr>
          <w:rFonts w:ascii="宋体" w:cs="宋体"/>
          <w:b/>
          <w:sz w:val="28"/>
          <w:szCs w:val="28"/>
        </w:rPr>
      </w:pPr>
      <w:r>
        <w:rPr>
          <w:rFonts w:hint="eastAsia" w:ascii="宋体" w:hAnsi="宋体" w:cs="宋体"/>
          <w:b/>
          <w:sz w:val="28"/>
          <w:szCs w:val="28"/>
        </w:rPr>
        <w:t>（标注正本或副本）</w:t>
      </w:r>
    </w:p>
    <w:p>
      <w:pPr>
        <w:spacing w:line="360" w:lineRule="auto"/>
        <w:jc w:val="center"/>
        <w:rPr>
          <w:rFonts w:ascii="宋体" w:cs="宋体"/>
          <w:b/>
          <w:sz w:val="96"/>
        </w:rPr>
      </w:pPr>
    </w:p>
    <w:p>
      <w:pPr>
        <w:spacing w:line="360" w:lineRule="auto"/>
        <w:jc w:val="center"/>
        <w:rPr>
          <w:rFonts w:hint="eastAsia" w:ascii="宋体" w:hAnsi="宋体" w:cs="宋体"/>
          <w:b/>
          <w:sz w:val="80"/>
          <w:szCs w:val="80"/>
        </w:rPr>
      </w:pPr>
      <w:r>
        <w:rPr>
          <w:rFonts w:hint="eastAsia" w:ascii="宋体" w:hAnsi="宋体" w:cs="宋体"/>
          <w:b/>
          <w:sz w:val="80"/>
          <w:szCs w:val="80"/>
        </w:rPr>
        <w:t>（项目名称）</w:t>
      </w:r>
    </w:p>
    <w:p>
      <w:pPr>
        <w:pStyle w:val="2"/>
        <w:jc w:val="center"/>
        <w:rPr>
          <w:rFonts w:hint="eastAsia" w:eastAsia="宋体"/>
          <w:sz w:val="28"/>
          <w:szCs w:val="28"/>
          <w:lang w:val="en-US" w:eastAsia="zh-CN"/>
        </w:rPr>
      </w:pPr>
      <w:r>
        <w:rPr>
          <w:rFonts w:hint="eastAsia" w:ascii="宋体" w:hAnsi="宋体" w:cs="宋体"/>
          <w:b/>
          <w:sz w:val="28"/>
          <w:szCs w:val="28"/>
          <w:lang w:val="en-US" w:eastAsia="zh-CN"/>
        </w:rPr>
        <w:t>标项名称：</w:t>
      </w:r>
    </w:p>
    <w:p>
      <w:pPr>
        <w:spacing w:line="360" w:lineRule="auto"/>
        <w:jc w:val="center"/>
        <w:rPr>
          <w:rFonts w:ascii="宋体" w:cs="宋体"/>
          <w:b/>
          <w:sz w:val="80"/>
          <w:szCs w:val="80"/>
        </w:rPr>
      </w:pPr>
    </w:p>
    <w:p>
      <w:pPr>
        <w:spacing w:line="360" w:lineRule="auto"/>
        <w:jc w:val="center"/>
        <w:rPr>
          <w:rFonts w:ascii="宋体" w:cs="宋体"/>
          <w:b/>
          <w:sz w:val="96"/>
        </w:rPr>
      </w:pPr>
      <w:r>
        <w:rPr>
          <w:rFonts w:hint="eastAsia" w:ascii="宋体" w:hAnsi="宋体" w:cs="宋体"/>
          <w:b/>
          <w:sz w:val="96"/>
        </w:rPr>
        <w:t>投标文件</w:t>
      </w:r>
    </w:p>
    <w:p>
      <w:pPr>
        <w:spacing w:line="360" w:lineRule="auto"/>
        <w:rPr>
          <w:rFonts w:ascii="宋体" w:cs="宋体"/>
          <w:b/>
        </w:rPr>
      </w:pPr>
    </w:p>
    <w:p>
      <w:pPr>
        <w:spacing w:line="360" w:lineRule="auto"/>
        <w:jc w:val="center"/>
        <w:rPr>
          <w:rFonts w:ascii="宋体" w:cs="宋体"/>
          <w:b/>
        </w:rPr>
      </w:pPr>
    </w:p>
    <w:p>
      <w:pPr>
        <w:spacing w:line="360" w:lineRule="auto"/>
        <w:jc w:val="center"/>
        <w:rPr>
          <w:rFonts w:ascii="宋体" w:cs="宋体"/>
          <w:b/>
        </w:rPr>
      </w:pPr>
    </w:p>
    <w:p>
      <w:pPr>
        <w:spacing w:line="360" w:lineRule="auto"/>
        <w:jc w:val="center"/>
        <w:rPr>
          <w:rFonts w:ascii="宋体" w:cs="宋体"/>
          <w:b/>
        </w:rPr>
      </w:pPr>
    </w:p>
    <w:p>
      <w:pPr>
        <w:spacing w:line="360" w:lineRule="auto"/>
        <w:rPr>
          <w:rFonts w:ascii="宋体" w:cs="宋体"/>
          <w:b/>
          <w:sz w:val="36"/>
          <w:szCs w:val="36"/>
        </w:rPr>
      </w:pPr>
      <w:r>
        <w:rPr>
          <w:rFonts w:hint="eastAsia" w:ascii="宋体" w:hAnsi="宋体" w:cs="宋体"/>
          <w:b/>
          <w:sz w:val="36"/>
          <w:szCs w:val="36"/>
        </w:rPr>
        <w:t>招标编号</w:t>
      </w:r>
      <w:r>
        <w:rPr>
          <w:rFonts w:hint="eastAsia" w:ascii="宋体" w:hAnsi="宋体" w:cs="宋体"/>
          <w:b/>
          <w:sz w:val="36"/>
          <w:szCs w:val="36"/>
          <w:lang w:val="en-US" w:eastAsia="zh-CN"/>
        </w:rPr>
        <w:t xml:space="preserve"> </w:t>
      </w:r>
      <w:r>
        <w:rPr>
          <w:rFonts w:hint="eastAsia" w:ascii="宋体" w:hAnsi="宋体" w:cs="宋体"/>
          <w:b/>
          <w:sz w:val="36"/>
          <w:szCs w:val="36"/>
        </w:rPr>
        <w:t>：</w:t>
      </w:r>
    </w:p>
    <w:p>
      <w:pPr>
        <w:spacing w:line="360" w:lineRule="auto"/>
        <w:ind w:left="2992" w:hanging="2631"/>
        <w:rPr>
          <w:rFonts w:ascii="宋体" w:cs="宋体"/>
          <w:b/>
          <w:sz w:val="36"/>
          <w:szCs w:val="36"/>
        </w:rPr>
      </w:pPr>
    </w:p>
    <w:p>
      <w:pPr>
        <w:spacing w:line="360" w:lineRule="auto"/>
        <w:rPr>
          <w:rFonts w:ascii="宋体" w:cs="宋体"/>
          <w:b/>
          <w:sz w:val="36"/>
          <w:szCs w:val="36"/>
          <w:u w:val="single"/>
        </w:rPr>
      </w:pPr>
      <w:r>
        <w:rPr>
          <w:rFonts w:hint="eastAsia" w:ascii="宋体" w:hAnsi="宋体" w:cs="宋体"/>
          <w:b/>
          <w:sz w:val="36"/>
          <w:szCs w:val="36"/>
        </w:rPr>
        <w:t>投标人名称：</w:t>
      </w:r>
      <w:r>
        <w:rPr>
          <w:rFonts w:ascii="宋体" w:hAnsi="宋体" w:cs="宋体"/>
          <w:b/>
          <w:sz w:val="36"/>
          <w:szCs w:val="36"/>
        </w:rPr>
        <w:t xml:space="preserve"> </w:t>
      </w:r>
      <w:r>
        <w:rPr>
          <w:rFonts w:ascii="宋体" w:hAnsi="宋体" w:cs="宋体"/>
          <w:b/>
          <w:sz w:val="36"/>
          <w:szCs w:val="36"/>
          <w:u w:val="single"/>
        </w:rPr>
        <w:t xml:space="preserve">                </w:t>
      </w:r>
      <w:r>
        <w:rPr>
          <w:rFonts w:hint="eastAsia" w:ascii="宋体" w:hAnsi="宋体" w:cs="宋体"/>
          <w:b/>
          <w:sz w:val="36"/>
          <w:szCs w:val="36"/>
          <w:u w:val="single"/>
        </w:rPr>
        <w:t>（盖公章）</w:t>
      </w:r>
    </w:p>
    <w:p>
      <w:pPr>
        <w:spacing w:line="360" w:lineRule="auto"/>
        <w:rPr>
          <w:rFonts w:ascii="宋体" w:cs="宋体"/>
          <w:b/>
          <w:sz w:val="36"/>
          <w:szCs w:val="36"/>
        </w:rPr>
      </w:pPr>
    </w:p>
    <w:p>
      <w:pPr>
        <w:spacing w:line="360" w:lineRule="auto"/>
        <w:jc w:val="center"/>
        <w:rPr>
          <w:rFonts w:ascii="宋体" w:cs="宋体"/>
          <w:b/>
          <w:sz w:val="36"/>
          <w:szCs w:val="36"/>
        </w:rPr>
      </w:pPr>
      <w:r>
        <w:rPr>
          <w:rFonts w:ascii="宋体" w:hAnsi="宋体" w:cs="宋体"/>
          <w:b/>
          <w:sz w:val="36"/>
          <w:szCs w:val="36"/>
        </w:rPr>
        <w:t xml:space="preserve"> </w:t>
      </w:r>
      <w:r>
        <w:rPr>
          <w:rFonts w:hint="eastAsia" w:ascii="宋体" w:hAnsi="宋体" w:cs="宋体"/>
          <w:b/>
          <w:sz w:val="36"/>
          <w:szCs w:val="36"/>
        </w:rPr>
        <w:t>年</w:t>
      </w:r>
      <w:r>
        <w:rPr>
          <w:rFonts w:ascii="宋体" w:hAnsi="宋体" w:cs="宋体"/>
          <w:b/>
          <w:sz w:val="36"/>
          <w:szCs w:val="36"/>
        </w:rPr>
        <w:t xml:space="preserve">  </w:t>
      </w:r>
      <w:r>
        <w:rPr>
          <w:rFonts w:hint="eastAsia" w:ascii="宋体" w:hAnsi="宋体" w:cs="宋体"/>
          <w:b/>
          <w:sz w:val="36"/>
          <w:szCs w:val="36"/>
        </w:rPr>
        <w:t>月</w:t>
      </w:r>
      <w:r>
        <w:rPr>
          <w:rFonts w:ascii="宋体" w:hAnsi="宋体" w:cs="宋体"/>
          <w:b/>
          <w:sz w:val="36"/>
          <w:szCs w:val="36"/>
        </w:rPr>
        <w:t xml:space="preserve">  </w:t>
      </w:r>
      <w:r>
        <w:rPr>
          <w:rFonts w:hint="eastAsia" w:ascii="宋体" w:hAnsi="宋体" w:cs="宋体"/>
          <w:b/>
          <w:sz w:val="36"/>
          <w:szCs w:val="36"/>
        </w:rPr>
        <w:t>日</w:t>
      </w:r>
      <w:bookmarkStart w:id="177" w:name="_Hlt487900425"/>
      <w:bookmarkEnd w:id="177"/>
      <w:bookmarkStart w:id="178" w:name="_Toc14776857"/>
      <w:bookmarkStart w:id="179" w:name="_Toc497167412"/>
      <w:bookmarkStart w:id="180" w:name="_Toc2355265"/>
      <w:bookmarkStart w:id="181" w:name="_Toc493422658"/>
      <w:bookmarkStart w:id="182" w:name="_Toc2512007"/>
    </w:p>
    <w:p>
      <w:pPr>
        <w:spacing w:line="360" w:lineRule="auto"/>
        <w:jc w:val="center"/>
        <w:rPr>
          <w:rFonts w:ascii="宋体" w:cs="宋体"/>
          <w:b/>
          <w:sz w:val="36"/>
          <w:szCs w:val="36"/>
        </w:rPr>
      </w:pPr>
    </w:p>
    <w:p>
      <w:pPr>
        <w:pStyle w:val="6"/>
        <w:rPr>
          <w:rFonts w:ascii="宋体" w:cs="宋体"/>
          <w:sz w:val="36"/>
          <w:szCs w:val="36"/>
        </w:rPr>
      </w:pPr>
      <w:bookmarkStart w:id="183" w:name="_Toc44705069"/>
      <w:bookmarkStart w:id="184" w:name="_Toc44704922"/>
      <w:bookmarkStart w:id="185" w:name="_Toc44705290"/>
      <w:r>
        <w:rPr>
          <w:rFonts w:ascii="宋体" w:hAnsi="宋体" w:cs="宋体"/>
          <w:sz w:val="32"/>
          <w:szCs w:val="24"/>
        </w:rPr>
        <w:t>2.1</w:t>
      </w:r>
      <w:r>
        <w:rPr>
          <w:rFonts w:hint="eastAsia" w:ascii="宋体" w:hAnsi="宋体" w:cs="宋体"/>
          <w:sz w:val="32"/>
          <w:szCs w:val="24"/>
        </w:rPr>
        <w:t>、投标书格式</w:t>
      </w:r>
      <w:bookmarkEnd w:id="178"/>
      <w:bookmarkEnd w:id="179"/>
      <w:bookmarkEnd w:id="180"/>
      <w:bookmarkEnd w:id="181"/>
      <w:bookmarkEnd w:id="182"/>
      <w:bookmarkEnd w:id="183"/>
      <w:bookmarkEnd w:id="184"/>
      <w:bookmarkEnd w:id="185"/>
    </w:p>
    <w:p>
      <w:pPr>
        <w:spacing w:line="360" w:lineRule="auto"/>
        <w:jc w:val="center"/>
        <w:rPr>
          <w:rFonts w:ascii="宋体" w:cs="宋体"/>
          <w:b/>
          <w:bCs/>
          <w:sz w:val="32"/>
          <w:szCs w:val="32"/>
        </w:rPr>
      </w:pPr>
      <w:r>
        <w:rPr>
          <w:rFonts w:hint="eastAsia" w:ascii="宋体" w:hAnsi="宋体" w:cs="宋体"/>
          <w:b/>
          <w:bCs/>
          <w:sz w:val="32"/>
          <w:szCs w:val="32"/>
        </w:rPr>
        <w:t>投</w:t>
      </w:r>
      <w:r>
        <w:rPr>
          <w:rFonts w:ascii="宋体" w:hAnsi="宋体" w:cs="宋体"/>
          <w:b/>
          <w:bCs/>
          <w:sz w:val="32"/>
          <w:szCs w:val="32"/>
        </w:rPr>
        <w:t xml:space="preserve"> </w:t>
      </w:r>
      <w:r>
        <w:rPr>
          <w:rFonts w:hint="eastAsia" w:ascii="宋体" w:hAnsi="宋体" w:cs="宋体"/>
          <w:b/>
          <w:bCs/>
          <w:sz w:val="32"/>
          <w:szCs w:val="32"/>
        </w:rPr>
        <w:t>标</w:t>
      </w:r>
      <w:r>
        <w:rPr>
          <w:rFonts w:ascii="宋体" w:hAnsi="宋体" w:cs="宋体"/>
          <w:b/>
          <w:bCs/>
          <w:sz w:val="32"/>
          <w:szCs w:val="32"/>
        </w:rPr>
        <w:t xml:space="preserve"> </w:t>
      </w:r>
      <w:r>
        <w:rPr>
          <w:rFonts w:hint="eastAsia" w:ascii="宋体" w:hAnsi="宋体" w:cs="宋体"/>
          <w:b/>
          <w:bCs/>
          <w:sz w:val="32"/>
          <w:szCs w:val="32"/>
        </w:rPr>
        <w:t>书</w:t>
      </w:r>
    </w:p>
    <w:p>
      <w:pPr>
        <w:spacing w:line="360" w:lineRule="auto"/>
        <w:rPr>
          <w:rFonts w:hint="eastAsia" w:ascii="宋体" w:eastAsia="宋体" w:cs="宋体"/>
          <w:sz w:val="24"/>
          <w:szCs w:val="24"/>
          <w:lang w:eastAsia="zh-CN"/>
        </w:rPr>
      </w:pPr>
      <w:r>
        <w:rPr>
          <w:rFonts w:hint="eastAsia" w:ascii="宋体" w:hAnsi="宋体" w:cs="宋体"/>
          <w:sz w:val="24"/>
          <w:szCs w:val="24"/>
        </w:rPr>
        <w:t>致：</w:t>
      </w:r>
      <w:r>
        <w:rPr>
          <w:rFonts w:hint="eastAsia" w:ascii="宋体" w:hAnsi="宋体" w:cs="宋体"/>
          <w:sz w:val="24"/>
          <w:szCs w:val="24"/>
          <w:lang w:eastAsia="zh-CN"/>
        </w:rPr>
        <w:t>乌鲁木齐高新建设工程项目管理咨询有限公司（盖章）</w:t>
      </w:r>
    </w:p>
    <w:p>
      <w:pPr>
        <w:spacing w:line="360" w:lineRule="auto"/>
        <w:ind w:firstLine="435"/>
        <w:rPr>
          <w:rFonts w:ascii="宋体" w:cs="宋体"/>
          <w:sz w:val="24"/>
          <w:szCs w:val="24"/>
        </w:rPr>
      </w:pPr>
      <w:r>
        <w:rPr>
          <w:rFonts w:hint="eastAsia" w:ascii="宋体" w:hAnsi="宋体" w:cs="宋体"/>
          <w:sz w:val="24"/>
          <w:szCs w:val="24"/>
        </w:rPr>
        <w:t>根据贵方为</w:t>
      </w:r>
      <w:r>
        <w:rPr>
          <w:rFonts w:hint="eastAsia" w:ascii="宋体" w:hAnsi="宋体" w:cs="宋体"/>
          <w:sz w:val="24"/>
          <w:szCs w:val="24"/>
          <w:u w:val="single"/>
        </w:rPr>
        <w:t>（招标项目名称）</w:t>
      </w:r>
      <w:r>
        <w:rPr>
          <w:rFonts w:hint="eastAsia" w:ascii="宋体" w:hAnsi="宋体" w:cs="宋体"/>
          <w:sz w:val="24"/>
          <w:szCs w:val="24"/>
        </w:rPr>
        <w:t>招标采购货物/服务的投标邀请</w:t>
      </w:r>
      <w:r>
        <w:rPr>
          <w:rFonts w:hint="eastAsia" w:ascii="宋体" w:hAnsi="宋体" w:cs="宋体"/>
          <w:sz w:val="24"/>
          <w:szCs w:val="24"/>
          <w:u w:val="single"/>
        </w:rPr>
        <w:t>（招标编号）</w:t>
      </w:r>
      <w:r>
        <w:rPr>
          <w:rFonts w:hint="eastAsia" w:ascii="宋体" w:hAnsi="宋体" w:cs="宋体"/>
          <w:sz w:val="24"/>
          <w:szCs w:val="24"/>
        </w:rPr>
        <w:t>，签字代表</w:t>
      </w:r>
      <w:r>
        <w:rPr>
          <w:rFonts w:hint="eastAsia" w:ascii="宋体" w:hAnsi="宋体" w:cs="宋体"/>
          <w:sz w:val="24"/>
          <w:szCs w:val="24"/>
          <w:u w:val="single"/>
        </w:rPr>
        <w:t>（姓名、职务）</w:t>
      </w:r>
      <w:r>
        <w:rPr>
          <w:rFonts w:hint="eastAsia" w:ascii="宋体" w:hAnsi="宋体" w:cs="宋体"/>
          <w:sz w:val="24"/>
          <w:szCs w:val="24"/>
        </w:rPr>
        <w:t>经正式授权并代表投标人</w:t>
      </w:r>
      <w:r>
        <w:rPr>
          <w:rFonts w:hint="eastAsia" w:ascii="宋体" w:hAnsi="宋体" w:cs="宋体"/>
          <w:sz w:val="24"/>
          <w:szCs w:val="24"/>
          <w:u w:val="single"/>
        </w:rPr>
        <w:t>（投标人名称、地址）</w:t>
      </w:r>
      <w:r>
        <w:rPr>
          <w:rFonts w:hint="eastAsia" w:ascii="宋体" w:hAnsi="宋体" w:cs="宋体"/>
          <w:sz w:val="24"/>
          <w:szCs w:val="24"/>
        </w:rPr>
        <w:t>提交</w:t>
      </w:r>
      <w:r>
        <w:rPr>
          <w:rFonts w:hint="eastAsia" w:ascii="宋体" w:hAnsi="宋体" w:cs="宋体"/>
          <w:sz w:val="24"/>
          <w:szCs w:val="24"/>
          <w:lang w:val="en-US" w:eastAsia="zh-CN"/>
        </w:rPr>
        <w:t>政采云电子文件一份</w:t>
      </w:r>
      <w:r>
        <w:rPr>
          <w:rFonts w:hint="eastAsia" w:ascii="宋体" w:hAnsi="宋体" w:cs="宋体"/>
          <w:sz w:val="24"/>
          <w:szCs w:val="24"/>
        </w:rPr>
        <w:t>。</w:t>
      </w:r>
    </w:p>
    <w:p>
      <w:pPr>
        <w:numPr>
          <w:ilvl w:val="0"/>
          <w:numId w:val="13"/>
        </w:numPr>
        <w:spacing w:line="360" w:lineRule="auto"/>
        <w:rPr>
          <w:rFonts w:ascii="宋体" w:cs="宋体"/>
          <w:sz w:val="24"/>
          <w:szCs w:val="24"/>
        </w:rPr>
      </w:pPr>
      <w:r>
        <w:rPr>
          <w:rFonts w:hint="eastAsia" w:ascii="宋体" w:hAnsi="宋体" w:cs="宋体"/>
          <w:sz w:val="24"/>
          <w:szCs w:val="24"/>
        </w:rPr>
        <w:t>开标一览表</w:t>
      </w:r>
    </w:p>
    <w:p>
      <w:pPr>
        <w:numPr>
          <w:ilvl w:val="0"/>
          <w:numId w:val="13"/>
        </w:numPr>
        <w:spacing w:line="360" w:lineRule="auto"/>
        <w:rPr>
          <w:rFonts w:ascii="宋体" w:cs="宋体"/>
          <w:sz w:val="24"/>
          <w:szCs w:val="24"/>
        </w:rPr>
      </w:pPr>
      <w:r>
        <w:rPr>
          <w:rFonts w:hint="eastAsia" w:ascii="宋体" w:hAnsi="宋体" w:cs="宋体"/>
          <w:sz w:val="24"/>
          <w:szCs w:val="24"/>
        </w:rPr>
        <w:t>投标分项（明细）报价表</w:t>
      </w:r>
    </w:p>
    <w:p>
      <w:pPr>
        <w:numPr>
          <w:ilvl w:val="0"/>
          <w:numId w:val="13"/>
        </w:numPr>
        <w:spacing w:line="360" w:lineRule="auto"/>
        <w:rPr>
          <w:rFonts w:ascii="宋体" w:cs="宋体"/>
          <w:sz w:val="24"/>
          <w:szCs w:val="24"/>
        </w:rPr>
      </w:pPr>
      <w:r>
        <w:rPr>
          <w:rFonts w:hint="eastAsia" w:ascii="宋体" w:hAnsi="宋体" w:cs="宋体"/>
          <w:sz w:val="24"/>
          <w:szCs w:val="24"/>
        </w:rPr>
        <w:t>服务需求偏离表</w:t>
      </w:r>
    </w:p>
    <w:p>
      <w:pPr>
        <w:numPr>
          <w:ilvl w:val="0"/>
          <w:numId w:val="13"/>
        </w:numPr>
        <w:spacing w:line="360" w:lineRule="auto"/>
        <w:rPr>
          <w:rFonts w:ascii="宋体" w:cs="宋体"/>
          <w:sz w:val="24"/>
          <w:szCs w:val="24"/>
        </w:rPr>
      </w:pPr>
      <w:r>
        <w:rPr>
          <w:rFonts w:hint="eastAsia" w:ascii="宋体" w:hAnsi="宋体" w:cs="宋体"/>
          <w:sz w:val="24"/>
          <w:szCs w:val="24"/>
        </w:rPr>
        <w:t>商务条款偏离表</w:t>
      </w:r>
    </w:p>
    <w:p>
      <w:pPr>
        <w:numPr>
          <w:ilvl w:val="0"/>
          <w:numId w:val="13"/>
        </w:numPr>
        <w:spacing w:line="360" w:lineRule="auto"/>
        <w:rPr>
          <w:rFonts w:ascii="宋体" w:cs="宋体"/>
          <w:sz w:val="24"/>
          <w:szCs w:val="24"/>
        </w:rPr>
      </w:pPr>
      <w:r>
        <w:rPr>
          <w:rFonts w:hint="eastAsia" w:ascii="宋体" w:hAnsi="宋体" w:cs="宋体"/>
          <w:sz w:val="24"/>
          <w:szCs w:val="24"/>
        </w:rPr>
        <w:t>资格证明材料</w:t>
      </w:r>
    </w:p>
    <w:p>
      <w:pPr>
        <w:numPr>
          <w:ilvl w:val="0"/>
          <w:numId w:val="13"/>
        </w:numPr>
        <w:spacing w:line="360" w:lineRule="auto"/>
        <w:rPr>
          <w:rFonts w:ascii="宋体" w:cs="宋体"/>
          <w:sz w:val="24"/>
          <w:szCs w:val="24"/>
        </w:rPr>
      </w:pPr>
      <w:r>
        <w:rPr>
          <w:rFonts w:hint="eastAsia" w:ascii="宋体" w:hAnsi="宋体" w:cs="宋体"/>
          <w:sz w:val="24"/>
          <w:szCs w:val="24"/>
        </w:rPr>
        <w:t>遵守国家有关法律、法规和规章，按招标文件中投标人须知和技术规格要求提供的有关文件</w:t>
      </w:r>
    </w:p>
    <w:p>
      <w:pPr>
        <w:numPr>
          <w:ilvl w:val="0"/>
          <w:numId w:val="13"/>
        </w:numPr>
        <w:spacing w:line="360" w:lineRule="auto"/>
        <w:rPr>
          <w:rFonts w:ascii="宋体" w:cs="宋体"/>
          <w:sz w:val="24"/>
          <w:szCs w:val="24"/>
        </w:rPr>
      </w:pPr>
      <w:r>
        <w:rPr>
          <w:rFonts w:hint="eastAsia" w:ascii="宋体" w:hAnsi="宋体" w:cs="宋体"/>
          <w:sz w:val="24"/>
          <w:szCs w:val="24"/>
        </w:rPr>
        <w:t>以</w:t>
      </w:r>
      <w:r>
        <w:rPr>
          <w:rFonts w:ascii="宋体" w:hAnsi="宋体" w:cs="宋体"/>
          <w:sz w:val="24"/>
          <w:szCs w:val="24"/>
          <w:u w:val="single"/>
        </w:rPr>
        <w:t xml:space="preserve">      </w:t>
      </w:r>
      <w:r>
        <w:rPr>
          <w:rFonts w:hint="eastAsia" w:ascii="宋体" w:hAnsi="宋体" w:cs="宋体"/>
          <w:sz w:val="24"/>
          <w:szCs w:val="24"/>
        </w:rPr>
        <w:t>形式出具的投标保证金，金额为人民币</w:t>
      </w:r>
      <w:r>
        <w:rPr>
          <w:rFonts w:ascii="宋体" w:hAnsi="宋体" w:cs="宋体"/>
          <w:sz w:val="24"/>
          <w:szCs w:val="24"/>
          <w:u w:val="single"/>
        </w:rPr>
        <w:t xml:space="preserve">     </w:t>
      </w:r>
      <w:r>
        <w:rPr>
          <w:rFonts w:hint="eastAsia" w:ascii="宋体" w:hAnsi="宋体" w:cs="宋体"/>
          <w:sz w:val="24"/>
          <w:szCs w:val="24"/>
        </w:rPr>
        <w:t>元。</w:t>
      </w:r>
    </w:p>
    <w:p>
      <w:pPr>
        <w:spacing w:line="360" w:lineRule="auto"/>
        <w:ind w:firstLine="480" w:firstLineChars="200"/>
        <w:rPr>
          <w:rFonts w:ascii="宋体" w:cs="宋体"/>
          <w:sz w:val="24"/>
          <w:szCs w:val="24"/>
        </w:rPr>
      </w:pPr>
      <w:r>
        <w:rPr>
          <w:rFonts w:hint="eastAsia" w:ascii="宋体" w:hAnsi="宋体" w:cs="宋体"/>
          <w:sz w:val="24"/>
          <w:szCs w:val="24"/>
        </w:rPr>
        <w:t>在此，签字代表宣布同意如下：</w:t>
      </w:r>
    </w:p>
    <w:p>
      <w:pPr>
        <w:numPr>
          <w:ilvl w:val="1"/>
          <w:numId w:val="14"/>
        </w:numPr>
        <w:spacing w:line="360" w:lineRule="auto"/>
        <w:rPr>
          <w:rFonts w:ascii="宋体" w:cs="宋体"/>
          <w:sz w:val="24"/>
          <w:szCs w:val="24"/>
        </w:rPr>
      </w:pPr>
      <w:r>
        <w:rPr>
          <w:rFonts w:hint="eastAsia" w:ascii="宋体" w:hAnsi="宋体" w:cs="宋体"/>
          <w:sz w:val="24"/>
          <w:szCs w:val="24"/>
        </w:rPr>
        <w:t>所附投标价格表中规定的应提供的服务开标一览表</w:t>
      </w:r>
      <w:r>
        <w:rPr>
          <w:rFonts w:hint="eastAsia" w:ascii="宋体" w:hAnsi="宋体" w:cs="宋体"/>
          <w:sz w:val="24"/>
          <w:szCs w:val="24"/>
          <w:lang w:val="en-US" w:eastAsia="zh-CN"/>
        </w:rPr>
        <w:t>的报价予以认可。</w:t>
      </w:r>
    </w:p>
    <w:p>
      <w:pPr>
        <w:numPr>
          <w:ilvl w:val="1"/>
          <w:numId w:val="14"/>
        </w:numPr>
        <w:spacing w:line="360" w:lineRule="auto"/>
        <w:rPr>
          <w:rFonts w:ascii="宋体" w:cs="宋体"/>
          <w:sz w:val="24"/>
          <w:szCs w:val="24"/>
        </w:rPr>
      </w:pPr>
      <w:r>
        <w:rPr>
          <w:rFonts w:hint="eastAsia" w:ascii="宋体" w:hAnsi="宋体" w:cs="宋体"/>
          <w:sz w:val="24"/>
          <w:szCs w:val="24"/>
        </w:rPr>
        <w:t>我方将按招标文件的规定履行合同责任和义务。</w:t>
      </w:r>
    </w:p>
    <w:p>
      <w:pPr>
        <w:numPr>
          <w:ilvl w:val="1"/>
          <w:numId w:val="14"/>
        </w:numPr>
        <w:spacing w:line="360" w:lineRule="auto"/>
        <w:rPr>
          <w:rFonts w:ascii="宋体" w:cs="宋体"/>
          <w:sz w:val="24"/>
          <w:szCs w:val="24"/>
        </w:rPr>
      </w:pPr>
      <w:r>
        <w:rPr>
          <w:rFonts w:hint="eastAsia" w:ascii="宋体" w:hAnsi="宋体" w:cs="宋体"/>
          <w:sz w:val="24"/>
          <w:szCs w:val="24"/>
        </w:rPr>
        <w:t>我方已详细审查全部招标文件。我方完全理解并同意放弃对这方面有不明及误解的权利。</w:t>
      </w:r>
    </w:p>
    <w:p>
      <w:pPr>
        <w:numPr>
          <w:ilvl w:val="1"/>
          <w:numId w:val="14"/>
        </w:numPr>
        <w:spacing w:line="360" w:lineRule="auto"/>
        <w:rPr>
          <w:rFonts w:ascii="宋体" w:cs="宋体"/>
          <w:sz w:val="24"/>
          <w:szCs w:val="24"/>
        </w:rPr>
      </w:pPr>
      <w:r>
        <w:rPr>
          <w:rFonts w:hint="eastAsia" w:ascii="宋体" w:hAnsi="宋体" w:cs="宋体"/>
          <w:sz w:val="24"/>
          <w:szCs w:val="24"/>
        </w:rPr>
        <w:t>本投标有效期为自开标日起</w:t>
      </w:r>
      <w:r>
        <w:rPr>
          <w:rFonts w:ascii="宋体" w:hAnsi="宋体" w:cs="宋体"/>
          <w:sz w:val="24"/>
          <w:szCs w:val="24"/>
          <w:u w:val="single"/>
        </w:rPr>
        <w:t xml:space="preserve">        </w:t>
      </w:r>
      <w:r>
        <w:rPr>
          <w:rFonts w:hint="eastAsia" w:ascii="宋体" w:hAnsi="宋体" w:cs="宋体"/>
          <w:sz w:val="24"/>
          <w:szCs w:val="24"/>
        </w:rPr>
        <w:t>个日历日。</w:t>
      </w:r>
    </w:p>
    <w:p>
      <w:pPr>
        <w:numPr>
          <w:ilvl w:val="1"/>
          <w:numId w:val="14"/>
        </w:numPr>
        <w:spacing w:line="360" w:lineRule="auto"/>
        <w:rPr>
          <w:rFonts w:ascii="宋体" w:cs="宋体"/>
          <w:sz w:val="24"/>
          <w:szCs w:val="24"/>
        </w:rPr>
      </w:pPr>
      <w:r>
        <w:rPr>
          <w:rFonts w:hint="eastAsia" w:ascii="宋体" w:hAnsi="宋体" w:cs="宋体"/>
          <w:sz w:val="24"/>
          <w:szCs w:val="24"/>
        </w:rPr>
        <w:t>如果在规定的开标时间后，我方在投标有效期内撤回投标，投标保证金将不予退还。</w:t>
      </w:r>
    </w:p>
    <w:p>
      <w:pPr>
        <w:numPr>
          <w:ilvl w:val="1"/>
          <w:numId w:val="14"/>
        </w:numPr>
        <w:spacing w:line="360" w:lineRule="auto"/>
        <w:rPr>
          <w:rFonts w:ascii="宋体" w:cs="宋体"/>
          <w:sz w:val="24"/>
          <w:szCs w:val="24"/>
        </w:rPr>
      </w:pPr>
      <w:r>
        <w:rPr>
          <w:rFonts w:hint="eastAsia" w:ascii="宋体" w:hAnsi="宋体" w:cs="宋体"/>
          <w:sz w:val="24"/>
          <w:szCs w:val="24"/>
        </w:rPr>
        <w:t>我方承诺，我方与采购人和采购代理机构无关联。</w:t>
      </w:r>
    </w:p>
    <w:p>
      <w:pPr>
        <w:numPr>
          <w:ilvl w:val="1"/>
          <w:numId w:val="14"/>
        </w:numPr>
        <w:spacing w:line="360" w:lineRule="auto"/>
        <w:rPr>
          <w:rFonts w:ascii="宋体" w:cs="宋体"/>
          <w:sz w:val="24"/>
          <w:szCs w:val="24"/>
        </w:rPr>
      </w:pPr>
      <w:r>
        <w:rPr>
          <w:rFonts w:hint="eastAsia" w:ascii="宋体" w:hAnsi="宋体" w:cs="宋体"/>
          <w:sz w:val="24"/>
          <w:szCs w:val="24"/>
        </w:rPr>
        <w:t>我方同意提供按照贵方可能要求的与其投标有关的一切数据或资料，完全理解贵方不一定接受最低投标报价的投标或收到的任何投标。</w:t>
      </w:r>
    </w:p>
    <w:p>
      <w:pPr>
        <w:numPr>
          <w:ilvl w:val="1"/>
          <w:numId w:val="14"/>
        </w:numPr>
        <w:spacing w:line="360" w:lineRule="auto"/>
        <w:rPr>
          <w:rFonts w:ascii="宋体" w:cs="宋体"/>
          <w:sz w:val="24"/>
          <w:szCs w:val="24"/>
        </w:rPr>
      </w:pPr>
      <w:r>
        <w:rPr>
          <w:rFonts w:hint="eastAsia" w:ascii="宋体" w:hAnsi="宋体" w:cs="宋体"/>
          <w:sz w:val="24"/>
          <w:szCs w:val="24"/>
        </w:rPr>
        <w:t>我方承诺：我方在本项目投标中的陈述和本投标文件及资格证明材料的一切资料均为真实合法，没有不实的描述、承诺或者伪造、变造的情形。如果我方在本项目投标中做虚假陈述或者在投标文件中提供虚假资料，我方愿接受有关处理，同时承担由此带来的一切法律后果。</w:t>
      </w:r>
    </w:p>
    <w:p>
      <w:pPr>
        <w:numPr>
          <w:ilvl w:val="1"/>
          <w:numId w:val="14"/>
        </w:numPr>
        <w:spacing w:line="360" w:lineRule="auto"/>
        <w:rPr>
          <w:rFonts w:ascii="宋体" w:cs="宋体"/>
          <w:sz w:val="24"/>
          <w:szCs w:val="24"/>
        </w:rPr>
      </w:pPr>
      <w:r>
        <w:rPr>
          <w:rFonts w:hint="eastAsia" w:ascii="宋体" w:hAnsi="宋体" w:cs="宋体"/>
          <w:sz w:val="24"/>
          <w:szCs w:val="24"/>
        </w:rPr>
        <w:t>若我方获得中标，我方保证在领取中标通知书的同时，按有关规定向贵方支付招标代理服务费。</w:t>
      </w:r>
    </w:p>
    <w:p>
      <w:pPr>
        <w:numPr>
          <w:ilvl w:val="1"/>
          <w:numId w:val="14"/>
        </w:numPr>
        <w:spacing w:line="360" w:lineRule="auto"/>
        <w:rPr>
          <w:rFonts w:ascii="宋体" w:cs="宋体"/>
          <w:sz w:val="24"/>
          <w:szCs w:val="24"/>
        </w:rPr>
      </w:pPr>
      <w:r>
        <w:rPr>
          <w:rFonts w:hint="eastAsia" w:ascii="宋体" w:hAnsi="宋体" w:cs="宋体"/>
          <w:sz w:val="24"/>
          <w:szCs w:val="24"/>
        </w:rPr>
        <w:t>与本投标有关的一切正式往来信函请寄：</w:t>
      </w:r>
    </w:p>
    <w:tbl>
      <w:tblPr>
        <w:tblStyle w:val="47"/>
        <w:tblW w:w="0" w:type="auto"/>
        <w:tblInd w:w="0" w:type="dxa"/>
        <w:tblLayout w:type="fixed"/>
        <w:tblCellMar>
          <w:top w:w="0" w:type="dxa"/>
          <w:left w:w="108" w:type="dxa"/>
          <w:bottom w:w="0" w:type="dxa"/>
          <w:right w:w="108" w:type="dxa"/>
        </w:tblCellMar>
      </w:tblPr>
      <w:tblGrid>
        <w:gridCol w:w="4291"/>
        <w:gridCol w:w="4291"/>
      </w:tblGrid>
      <w:tr>
        <w:tblPrEx>
          <w:tblCellMar>
            <w:top w:w="0" w:type="dxa"/>
            <w:left w:w="108" w:type="dxa"/>
            <w:bottom w:w="0" w:type="dxa"/>
            <w:right w:w="108" w:type="dxa"/>
          </w:tblCellMar>
        </w:tblPrEx>
        <w:trPr>
          <w:trHeight w:val="716" w:hRule="atLeast"/>
        </w:trPr>
        <w:tc>
          <w:tcPr>
            <w:tcW w:w="4291" w:type="dxa"/>
          </w:tcPr>
          <w:p>
            <w:pPr>
              <w:spacing w:line="360" w:lineRule="auto"/>
              <w:rPr>
                <w:rFonts w:ascii="宋体"/>
                <w:sz w:val="24"/>
                <w:szCs w:val="24"/>
              </w:rPr>
            </w:pPr>
            <w:r>
              <w:rPr>
                <w:rFonts w:hint="eastAsia" w:ascii="宋体" w:hAnsi="宋体"/>
                <w:sz w:val="24"/>
                <w:szCs w:val="24"/>
              </w:rPr>
              <w:t>地址</w:t>
            </w:r>
            <w:r>
              <w:rPr>
                <w:rFonts w:ascii="宋体" w:hAnsi="宋体"/>
                <w:sz w:val="24"/>
                <w:szCs w:val="24"/>
                <w:u w:val="single"/>
              </w:rPr>
              <w:t xml:space="preserve">                              </w:t>
            </w:r>
          </w:p>
          <w:p>
            <w:pPr>
              <w:spacing w:line="360" w:lineRule="auto"/>
              <w:rPr>
                <w:rFonts w:ascii="宋体"/>
                <w:sz w:val="24"/>
                <w:szCs w:val="24"/>
              </w:rPr>
            </w:pPr>
            <w:r>
              <w:rPr>
                <w:rFonts w:hint="eastAsia" w:ascii="宋体" w:hAnsi="宋体"/>
                <w:sz w:val="24"/>
                <w:szCs w:val="24"/>
              </w:rPr>
              <w:t>电话</w:t>
            </w:r>
            <w:r>
              <w:rPr>
                <w:rFonts w:ascii="宋体" w:hAnsi="宋体"/>
                <w:sz w:val="24"/>
                <w:szCs w:val="24"/>
                <w:u w:val="single"/>
              </w:rPr>
              <w:t xml:space="preserve">                              </w:t>
            </w:r>
          </w:p>
        </w:tc>
        <w:tc>
          <w:tcPr>
            <w:tcW w:w="4291" w:type="dxa"/>
          </w:tcPr>
          <w:p>
            <w:pPr>
              <w:spacing w:line="360" w:lineRule="auto"/>
              <w:rPr>
                <w:rFonts w:ascii="宋体"/>
                <w:sz w:val="24"/>
                <w:szCs w:val="24"/>
              </w:rPr>
            </w:pPr>
            <w:r>
              <w:rPr>
                <w:rFonts w:hint="eastAsia" w:ascii="宋体" w:hAnsi="宋体"/>
                <w:sz w:val="24"/>
                <w:szCs w:val="24"/>
              </w:rPr>
              <w:t>传真</w:t>
            </w:r>
            <w:r>
              <w:rPr>
                <w:rFonts w:ascii="宋体" w:hAnsi="宋体"/>
                <w:sz w:val="24"/>
                <w:szCs w:val="24"/>
                <w:u w:val="single"/>
              </w:rPr>
              <w:t xml:space="preserve">                               </w:t>
            </w:r>
          </w:p>
          <w:p>
            <w:pPr>
              <w:spacing w:line="360" w:lineRule="auto"/>
              <w:rPr>
                <w:rFonts w:ascii="宋体"/>
                <w:sz w:val="24"/>
                <w:szCs w:val="24"/>
              </w:rPr>
            </w:pPr>
            <w:r>
              <w:rPr>
                <w:rFonts w:hint="eastAsia" w:ascii="宋体" w:hAnsi="宋体"/>
                <w:sz w:val="24"/>
                <w:szCs w:val="24"/>
              </w:rPr>
              <w:t>电子函件</w:t>
            </w:r>
            <w:r>
              <w:rPr>
                <w:rFonts w:ascii="宋体" w:hAnsi="宋体"/>
                <w:sz w:val="24"/>
                <w:szCs w:val="24"/>
                <w:u w:val="single"/>
              </w:rPr>
              <w:t xml:space="preserve">                           </w:t>
            </w:r>
          </w:p>
        </w:tc>
      </w:tr>
    </w:tbl>
    <w:p>
      <w:pPr>
        <w:spacing w:line="360" w:lineRule="auto"/>
        <w:jc w:val="right"/>
        <w:rPr>
          <w:rFonts w:ascii="宋体" w:cs="宋体"/>
          <w:sz w:val="24"/>
          <w:szCs w:val="24"/>
        </w:rPr>
      </w:pPr>
    </w:p>
    <w:p>
      <w:pPr>
        <w:spacing w:line="360" w:lineRule="auto"/>
        <w:jc w:val="right"/>
        <w:rPr>
          <w:rFonts w:ascii="宋体" w:cs="宋体"/>
          <w:sz w:val="24"/>
          <w:szCs w:val="24"/>
        </w:rPr>
      </w:pPr>
    </w:p>
    <w:p>
      <w:pPr>
        <w:spacing w:line="360" w:lineRule="auto"/>
        <w:jc w:val="right"/>
        <w:rPr>
          <w:rFonts w:ascii="宋体" w:cs="宋体"/>
          <w:sz w:val="24"/>
          <w:szCs w:val="24"/>
        </w:rPr>
      </w:pPr>
      <w:r>
        <w:rPr>
          <w:rFonts w:hint="eastAsia" w:ascii="宋体" w:hAnsi="宋体" w:cs="宋体"/>
          <w:sz w:val="24"/>
          <w:szCs w:val="24"/>
        </w:rPr>
        <w:t>投标人法定代表人或授权代表（签字</w:t>
      </w:r>
      <w:r>
        <w:rPr>
          <w:rFonts w:hint="eastAsia" w:ascii="宋体" w:hAnsi="宋体"/>
          <w:sz w:val="24"/>
        </w:rPr>
        <w:t>或盖章</w:t>
      </w:r>
      <w:r>
        <w:rPr>
          <w:rFonts w:hint="eastAsia" w:ascii="宋体" w:hAnsi="宋体" w:cs="宋体"/>
          <w:sz w:val="24"/>
          <w:szCs w:val="24"/>
        </w:rPr>
        <w:t>）：</w:t>
      </w:r>
    </w:p>
    <w:p>
      <w:pPr>
        <w:pStyle w:val="21"/>
      </w:pPr>
    </w:p>
    <w:p>
      <w:pPr>
        <w:spacing w:line="360" w:lineRule="auto"/>
        <w:jc w:val="right"/>
        <w:rPr>
          <w:rFonts w:ascii="宋体" w:cs="宋体"/>
          <w:sz w:val="24"/>
          <w:szCs w:val="24"/>
        </w:rPr>
      </w:pPr>
      <w:r>
        <w:rPr>
          <w:rFonts w:hint="eastAsia" w:ascii="宋体" w:hAnsi="宋体" w:cs="宋体"/>
          <w:sz w:val="24"/>
          <w:szCs w:val="24"/>
        </w:rPr>
        <w:t>投标人名称（加盖单位公章）：</w:t>
      </w:r>
    </w:p>
    <w:p>
      <w:pPr>
        <w:pStyle w:val="21"/>
      </w:pPr>
    </w:p>
    <w:p>
      <w:pPr>
        <w:spacing w:line="360" w:lineRule="auto"/>
        <w:jc w:val="right"/>
        <w:rPr>
          <w:rFonts w:ascii="宋体" w:cs="宋体"/>
          <w:sz w:val="24"/>
          <w:szCs w:val="24"/>
        </w:rPr>
      </w:pPr>
      <w:r>
        <w:rPr>
          <w:rFonts w:hint="eastAsia" w:ascii="宋体" w:hAnsi="宋体" w:cs="宋体"/>
          <w:sz w:val="24"/>
          <w:szCs w:val="24"/>
        </w:rPr>
        <w:t>日期：</w:t>
      </w:r>
    </w:p>
    <w:p>
      <w:pPr>
        <w:pStyle w:val="6"/>
        <w:rPr>
          <w:rFonts w:ascii="宋体" w:cs="宋体"/>
          <w:szCs w:val="21"/>
        </w:rPr>
      </w:pPr>
      <w:bookmarkStart w:id="186" w:name="_Toc2355266"/>
      <w:bookmarkStart w:id="187" w:name="_Toc2512008"/>
      <w:bookmarkStart w:id="188" w:name="_Toc497167413"/>
      <w:r>
        <w:rPr>
          <w:rFonts w:ascii="宋体" w:cs="宋体"/>
          <w:szCs w:val="21"/>
        </w:rPr>
        <w:br w:type="page"/>
      </w:r>
      <w:bookmarkStart w:id="189" w:name="_Toc14776858"/>
      <w:bookmarkStart w:id="190" w:name="_Toc44704923"/>
      <w:bookmarkStart w:id="191" w:name="_Toc44705291"/>
      <w:bookmarkStart w:id="192" w:name="_Toc44705070"/>
      <w:r>
        <w:rPr>
          <w:rFonts w:ascii="宋体" w:hAnsi="宋体" w:cs="宋体"/>
          <w:sz w:val="32"/>
          <w:szCs w:val="24"/>
        </w:rPr>
        <w:t>2.2</w:t>
      </w:r>
      <w:r>
        <w:rPr>
          <w:rFonts w:hint="eastAsia" w:ascii="宋体" w:hAnsi="宋体" w:cs="宋体"/>
          <w:sz w:val="32"/>
          <w:szCs w:val="24"/>
        </w:rPr>
        <w:t>、开标一览表格式</w:t>
      </w:r>
      <w:bookmarkEnd w:id="186"/>
      <w:bookmarkEnd w:id="187"/>
      <w:bookmarkEnd w:id="188"/>
      <w:bookmarkEnd w:id="189"/>
      <w:bookmarkEnd w:id="190"/>
      <w:bookmarkEnd w:id="191"/>
      <w:bookmarkEnd w:id="192"/>
    </w:p>
    <w:p>
      <w:pPr>
        <w:spacing w:line="460" w:lineRule="atLeast"/>
        <w:jc w:val="center"/>
        <w:rPr>
          <w:rFonts w:hint="eastAsia" w:ascii="宋体" w:hAnsi="宋体" w:eastAsia="宋体"/>
          <w:b/>
          <w:bCs/>
          <w:sz w:val="30"/>
          <w:szCs w:val="30"/>
          <w:lang w:eastAsia="zh-CN"/>
        </w:rPr>
      </w:pPr>
      <w:r>
        <w:rPr>
          <w:rFonts w:hint="eastAsia" w:ascii="宋体" w:hAnsi="宋体"/>
          <w:b/>
          <w:bCs/>
          <w:sz w:val="30"/>
          <w:szCs w:val="30"/>
        </w:rPr>
        <w:t>开标一览表</w:t>
      </w:r>
      <w:r>
        <w:rPr>
          <w:rFonts w:hint="eastAsia" w:ascii="宋体" w:hAnsi="宋体"/>
          <w:b/>
          <w:bCs/>
          <w:sz w:val="30"/>
          <w:szCs w:val="30"/>
          <w:lang w:eastAsia="zh-CN"/>
        </w:rPr>
        <w:t>（</w:t>
      </w:r>
      <w:r>
        <w:rPr>
          <w:rFonts w:hint="eastAsia" w:ascii="宋体" w:hAnsi="宋体"/>
          <w:b/>
          <w:bCs/>
          <w:sz w:val="30"/>
          <w:szCs w:val="30"/>
          <w:lang w:val="en-US" w:eastAsia="zh-CN"/>
        </w:rPr>
        <w:t>标项一</w:t>
      </w:r>
      <w:r>
        <w:rPr>
          <w:rFonts w:hint="eastAsia" w:ascii="宋体" w:hAnsi="宋体"/>
          <w:b/>
          <w:bCs/>
          <w:sz w:val="30"/>
          <w:szCs w:val="30"/>
          <w:lang w:eastAsia="zh-CN"/>
        </w:rPr>
        <w:t>）</w:t>
      </w:r>
    </w:p>
    <w:p>
      <w:pPr>
        <w:pStyle w:val="265"/>
        <w:spacing w:line="440" w:lineRule="exact"/>
        <w:ind w:left="210" w:leftChars="-86" w:hanging="391" w:hangingChars="163"/>
        <w:jc w:val="both"/>
        <w:rPr>
          <w:rFonts w:hint="eastAsia" w:ascii="宋体" w:hAnsi="宋体"/>
          <w:color w:val="auto"/>
        </w:rPr>
      </w:pPr>
      <w:r>
        <w:rPr>
          <w:rFonts w:hint="eastAsia" w:ascii="宋体" w:hAnsi="宋体"/>
          <w:color w:val="auto"/>
        </w:rPr>
        <w:t>招标项目名称：</w:t>
      </w:r>
      <w:r>
        <w:rPr>
          <w:rFonts w:hint="eastAsia" w:ascii="宋体" w:hAnsi="宋体"/>
          <w:color w:val="auto"/>
          <w:lang w:val="en-US" w:eastAsia="zh-CN"/>
        </w:rPr>
        <w:t xml:space="preserve">                                       </w:t>
      </w:r>
      <w:r>
        <w:rPr>
          <w:rFonts w:hint="eastAsia" w:ascii="宋体" w:hAnsi="宋体"/>
          <w:color w:val="auto"/>
        </w:rPr>
        <w:t>投标单位名称：</w:t>
      </w:r>
    </w:p>
    <w:p>
      <w:pPr>
        <w:pStyle w:val="265"/>
        <w:spacing w:line="440" w:lineRule="exact"/>
        <w:ind w:left="210" w:leftChars="-86" w:hanging="391" w:hangingChars="163"/>
        <w:jc w:val="both"/>
        <w:rPr>
          <w:rFonts w:ascii="宋体" w:hAnsi="宋体"/>
          <w:color w:val="auto"/>
        </w:rPr>
      </w:pPr>
      <w:r>
        <w:rPr>
          <w:rFonts w:hint="eastAsia" w:ascii="宋体" w:hAnsi="宋体"/>
          <w:color w:val="auto"/>
          <w:lang w:val="en-US" w:eastAsia="zh-CN"/>
        </w:rPr>
        <w:t>标项名称：</w:t>
      </w:r>
      <w:r>
        <w:rPr>
          <w:rFonts w:ascii="宋体" w:hAnsi="宋体"/>
          <w:color w:val="auto"/>
        </w:rPr>
        <w:t xml:space="preserve">                                                    </w:t>
      </w:r>
    </w:p>
    <w:p>
      <w:pPr>
        <w:pStyle w:val="265"/>
        <w:spacing w:line="440" w:lineRule="exact"/>
        <w:ind w:left="210" w:leftChars="-86" w:hanging="391" w:hangingChars="163"/>
        <w:jc w:val="both"/>
        <w:rPr>
          <w:rFonts w:hint="eastAsia" w:ascii="宋体" w:hAnsi="宋体"/>
          <w:color w:val="auto"/>
        </w:rPr>
      </w:pPr>
      <w:r>
        <w:rPr>
          <w:rFonts w:hint="eastAsia" w:ascii="宋体" w:hAnsi="宋体"/>
          <w:color w:val="auto"/>
        </w:rPr>
        <w:t>项目编号：</w:t>
      </w:r>
      <w:r>
        <w:rPr>
          <w:rFonts w:ascii="宋体" w:hAnsi="宋体"/>
          <w:color w:val="auto"/>
        </w:rPr>
        <w:t xml:space="preserve">                            </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0"/>
        <w:gridCol w:w="970"/>
        <w:gridCol w:w="1398"/>
        <w:gridCol w:w="4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7" w:type="pct"/>
            <w:noWrap w:val="0"/>
            <w:vAlign w:val="center"/>
          </w:tcPr>
          <w:p>
            <w:pPr>
              <w:widowControl/>
              <w:spacing w:line="440" w:lineRule="exact"/>
              <w:jc w:val="center"/>
              <w:rPr>
                <w:rFonts w:hint="eastAsia" w:ascii="宋体" w:hAnsi="宋体" w:cs="宋体"/>
                <w:b/>
                <w:bCs/>
                <w:kern w:val="0"/>
                <w:szCs w:val="21"/>
              </w:rPr>
            </w:pPr>
            <w:r>
              <w:rPr>
                <w:rFonts w:hint="eastAsia" w:ascii="宋体" w:hAnsi="宋体" w:cs="宋体"/>
                <w:b/>
                <w:bCs/>
                <w:kern w:val="0"/>
                <w:szCs w:val="21"/>
              </w:rPr>
              <w:t>项目内容</w:t>
            </w:r>
          </w:p>
        </w:tc>
        <w:tc>
          <w:tcPr>
            <w:tcW w:w="537" w:type="pct"/>
            <w:noWrap w:val="0"/>
            <w:vAlign w:val="center"/>
          </w:tcPr>
          <w:p>
            <w:pPr>
              <w:widowControl/>
              <w:spacing w:line="440" w:lineRule="exact"/>
              <w:jc w:val="center"/>
              <w:rPr>
                <w:rFonts w:hint="eastAsia" w:ascii="宋体" w:hAnsi="宋体" w:cs="宋体"/>
                <w:b/>
                <w:bCs/>
                <w:kern w:val="0"/>
                <w:szCs w:val="21"/>
              </w:rPr>
            </w:pPr>
            <w:r>
              <w:rPr>
                <w:rFonts w:hint="eastAsia" w:ascii="宋体" w:hAnsi="宋体" w:cs="宋体"/>
                <w:b/>
                <w:bCs/>
                <w:kern w:val="0"/>
                <w:szCs w:val="21"/>
              </w:rPr>
              <w:t>性别</w:t>
            </w:r>
          </w:p>
        </w:tc>
        <w:tc>
          <w:tcPr>
            <w:tcW w:w="774" w:type="pct"/>
            <w:noWrap w:val="0"/>
            <w:vAlign w:val="center"/>
          </w:tcPr>
          <w:p>
            <w:pPr>
              <w:spacing w:line="440" w:lineRule="exact"/>
              <w:jc w:val="center"/>
              <w:rPr>
                <w:rFonts w:hint="eastAsia" w:ascii="宋体" w:hAnsi="宋体" w:cs="宋体"/>
                <w:b/>
                <w:bCs/>
                <w:kern w:val="0"/>
                <w:szCs w:val="21"/>
              </w:rPr>
            </w:pPr>
            <w:r>
              <w:rPr>
                <w:rFonts w:hint="eastAsia" w:ascii="宋体" w:hAnsi="宋体" w:cs="宋体"/>
                <w:b/>
                <w:bCs/>
                <w:kern w:val="0"/>
                <w:szCs w:val="21"/>
              </w:rPr>
              <w:t>最高限制单价</w:t>
            </w:r>
          </w:p>
        </w:tc>
        <w:tc>
          <w:tcPr>
            <w:tcW w:w="2630" w:type="pct"/>
            <w:noWrap w:val="0"/>
            <w:vAlign w:val="center"/>
          </w:tcPr>
          <w:p>
            <w:pPr>
              <w:spacing w:line="440" w:lineRule="exact"/>
              <w:jc w:val="center"/>
              <w:rPr>
                <w:rFonts w:hint="eastAsia" w:ascii="宋体" w:hAnsi="宋体" w:cs="宋体"/>
                <w:b/>
                <w:bCs/>
                <w:kern w:val="0"/>
                <w:szCs w:val="21"/>
              </w:rPr>
            </w:pPr>
            <w:r>
              <w:rPr>
                <w:rFonts w:hint="eastAsia" w:ascii="宋体" w:hAnsi="宋体" w:cs="宋体"/>
                <w:b/>
                <w:bCs/>
                <w:kern w:val="0"/>
                <w:szCs w:val="21"/>
              </w:rPr>
              <w:t>投标单价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57" w:type="pct"/>
            <w:vMerge w:val="restar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干部职工体检套餐A</w:t>
            </w:r>
          </w:p>
        </w:tc>
        <w:tc>
          <w:tcPr>
            <w:tcW w:w="537" w:type="pc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男</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850元/人</w:t>
            </w:r>
          </w:p>
        </w:tc>
        <w:tc>
          <w:tcPr>
            <w:tcW w:w="2630"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7" w:type="pct"/>
            <w:vMerge w:val="continue"/>
            <w:noWrap w:val="0"/>
            <w:vAlign w:val="center"/>
          </w:tcPr>
          <w:p>
            <w:pPr>
              <w:widowControl/>
              <w:spacing w:line="440" w:lineRule="exact"/>
              <w:jc w:val="center"/>
              <w:rPr>
                <w:rFonts w:hint="eastAsia" w:ascii="宋体" w:hAnsi="宋体"/>
                <w:color w:val="auto"/>
                <w:kern w:val="0"/>
                <w:sz w:val="24"/>
                <w:szCs w:val="24"/>
                <w:lang w:val="en-US" w:eastAsia="zh-CN" w:bidi="ar-SA"/>
              </w:rPr>
            </w:pPr>
          </w:p>
        </w:tc>
        <w:tc>
          <w:tcPr>
            <w:tcW w:w="537"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女</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1000元/人</w:t>
            </w:r>
          </w:p>
        </w:tc>
        <w:tc>
          <w:tcPr>
            <w:tcW w:w="2630"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7" w:type="pct"/>
            <w:vMerge w:val="restar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干部职工体检套餐B</w:t>
            </w:r>
          </w:p>
        </w:tc>
        <w:tc>
          <w:tcPr>
            <w:tcW w:w="537" w:type="pc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男</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850元/人</w:t>
            </w:r>
          </w:p>
        </w:tc>
        <w:tc>
          <w:tcPr>
            <w:tcW w:w="2630"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7" w:type="pct"/>
            <w:vMerge w:val="continue"/>
            <w:noWrap w:val="0"/>
            <w:vAlign w:val="center"/>
          </w:tcPr>
          <w:p>
            <w:pPr>
              <w:widowControl/>
              <w:spacing w:line="440" w:lineRule="exact"/>
              <w:jc w:val="center"/>
              <w:rPr>
                <w:rFonts w:hint="eastAsia" w:ascii="宋体" w:hAnsi="宋体"/>
                <w:color w:val="auto"/>
                <w:kern w:val="0"/>
                <w:sz w:val="24"/>
                <w:szCs w:val="24"/>
                <w:lang w:val="en-US" w:eastAsia="zh-CN" w:bidi="ar-SA"/>
              </w:rPr>
            </w:pPr>
          </w:p>
        </w:tc>
        <w:tc>
          <w:tcPr>
            <w:tcW w:w="537"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女</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1000元/人</w:t>
            </w:r>
          </w:p>
        </w:tc>
        <w:tc>
          <w:tcPr>
            <w:tcW w:w="2630"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7" w:type="pct"/>
            <w:vMerge w:val="restar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(县级领导)体检计划套餐</w:t>
            </w:r>
          </w:p>
        </w:tc>
        <w:tc>
          <w:tcPr>
            <w:tcW w:w="537" w:type="pc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男</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1200元/人</w:t>
            </w:r>
          </w:p>
        </w:tc>
        <w:tc>
          <w:tcPr>
            <w:tcW w:w="2630"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7" w:type="pct"/>
            <w:vMerge w:val="continue"/>
            <w:noWrap w:val="0"/>
            <w:vAlign w:val="center"/>
          </w:tcPr>
          <w:p>
            <w:pPr>
              <w:widowControl/>
              <w:spacing w:line="440" w:lineRule="exact"/>
              <w:jc w:val="center"/>
              <w:rPr>
                <w:rFonts w:hint="eastAsia" w:ascii="宋体" w:hAnsi="宋体"/>
                <w:color w:val="auto"/>
                <w:kern w:val="0"/>
                <w:sz w:val="24"/>
                <w:szCs w:val="24"/>
                <w:lang w:val="en-US" w:eastAsia="zh-CN" w:bidi="ar-SA"/>
              </w:rPr>
            </w:pPr>
          </w:p>
        </w:tc>
        <w:tc>
          <w:tcPr>
            <w:tcW w:w="537"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女</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1200元/人</w:t>
            </w:r>
          </w:p>
        </w:tc>
        <w:tc>
          <w:tcPr>
            <w:tcW w:w="2630"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7" w:type="pct"/>
            <w:noWrap w:val="0"/>
            <w:vAlign w:val="center"/>
          </w:tcPr>
          <w:p>
            <w:pPr>
              <w:widowControl/>
              <w:spacing w:line="440" w:lineRule="exact"/>
              <w:jc w:val="center"/>
              <w:rPr>
                <w:rFonts w:hint="default" w:ascii="宋体" w:hAnsi="宋体"/>
                <w:color w:val="auto"/>
                <w:kern w:val="0"/>
                <w:sz w:val="24"/>
                <w:szCs w:val="24"/>
                <w:lang w:val="en-US" w:eastAsia="zh-CN" w:bidi="ar-SA"/>
              </w:rPr>
            </w:pPr>
            <w:bookmarkStart w:id="193" w:name="OLE_LINK7"/>
            <w:r>
              <w:rPr>
                <w:rFonts w:hint="eastAsia" w:ascii="宋体" w:hAnsi="宋体"/>
                <w:color w:val="auto"/>
                <w:kern w:val="0"/>
                <w:sz w:val="24"/>
                <w:szCs w:val="24"/>
                <w:lang w:val="en-US" w:eastAsia="zh-CN" w:bidi="ar-SA"/>
              </w:rPr>
              <w:t>投标单价合计</w:t>
            </w:r>
            <w:bookmarkEnd w:id="193"/>
            <w:r>
              <w:rPr>
                <w:rFonts w:hint="eastAsia" w:ascii="宋体" w:hAnsi="宋体" w:cs="宋体"/>
                <w:kern w:val="0"/>
                <w:sz w:val="24"/>
                <w:szCs w:val="24"/>
              </w:rPr>
              <w:t>（以上</w:t>
            </w:r>
            <w:r>
              <w:rPr>
                <w:rFonts w:hint="eastAsia" w:ascii="宋体" w:hAnsi="宋体" w:cs="宋体"/>
                <w:kern w:val="0"/>
                <w:sz w:val="24"/>
                <w:szCs w:val="24"/>
                <w:lang w:val="en-US" w:eastAsia="zh-CN"/>
              </w:rPr>
              <w:t>三</w:t>
            </w:r>
            <w:r>
              <w:rPr>
                <w:rFonts w:hint="eastAsia" w:ascii="宋体" w:hAnsi="宋体" w:cs="宋体"/>
                <w:kern w:val="0"/>
                <w:sz w:val="24"/>
                <w:szCs w:val="24"/>
              </w:rPr>
              <w:t>项综合总和）</w:t>
            </w:r>
          </w:p>
        </w:tc>
        <w:tc>
          <w:tcPr>
            <w:tcW w:w="3942" w:type="pct"/>
            <w:gridSpan w:val="3"/>
            <w:noWrap w:val="0"/>
            <w:vAlign w:val="center"/>
          </w:tcPr>
          <w:p>
            <w:pPr>
              <w:spacing w:line="440" w:lineRule="exact"/>
              <w:jc w:val="center"/>
              <w:rPr>
                <w:rFonts w:hint="default"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7" w:type="pc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服务期限：</w:t>
            </w:r>
          </w:p>
        </w:tc>
        <w:tc>
          <w:tcPr>
            <w:tcW w:w="3942" w:type="pct"/>
            <w:gridSpan w:val="3"/>
            <w:noWrap w:val="0"/>
            <w:vAlign w:val="center"/>
          </w:tcPr>
          <w:p>
            <w:pPr>
              <w:spacing w:line="440" w:lineRule="exact"/>
              <w:jc w:val="center"/>
              <w:rPr>
                <w:rFonts w:hint="eastAsia" w:ascii="宋体" w:hAnsi="宋体"/>
                <w:color w:val="auto"/>
                <w:kern w:val="0"/>
                <w:sz w:val="24"/>
                <w:szCs w:val="24"/>
                <w:lang w:val="en-US" w:eastAsia="zh-CN" w:bidi="ar-SA"/>
              </w:rPr>
            </w:pPr>
          </w:p>
        </w:tc>
      </w:tr>
    </w:tbl>
    <w:p>
      <w:pPr>
        <w:pStyle w:val="265"/>
        <w:spacing w:line="440" w:lineRule="exact"/>
        <w:rPr>
          <w:rFonts w:hint="eastAsia" w:ascii="宋体" w:hAnsi="宋体"/>
          <w:b/>
          <w:bCs/>
          <w:color w:val="auto"/>
        </w:rPr>
      </w:pPr>
    </w:p>
    <w:p>
      <w:pPr>
        <w:pStyle w:val="265"/>
        <w:spacing w:line="440" w:lineRule="exact"/>
        <w:rPr>
          <w:rFonts w:ascii="宋体" w:hAnsi="宋体"/>
          <w:color w:val="auto"/>
        </w:rPr>
      </w:pPr>
      <w:r>
        <w:rPr>
          <w:rFonts w:hint="eastAsia" w:ascii="宋体" w:hAnsi="宋体"/>
          <w:color w:val="auto"/>
        </w:rPr>
        <w:t>兹声明：以上投标报价在投标有效期内一直有效。</w:t>
      </w:r>
    </w:p>
    <w:p>
      <w:pPr>
        <w:spacing w:line="440" w:lineRule="exact"/>
        <w:rPr>
          <w:rFonts w:ascii="宋体" w:hAnsi="宋体"/>
          <w:sz w:val="24"/>
          <w:szCs w:val="24"/>
        </w:rPr>
      </w:pPr>
      <w:r>
        <w:rPr>
          <w:rFonts w:hint="eastAsia" w:ascii="宋体" w:hAnsi="宋体"/>
          <w:sz w:val="24"/>
          <w:szCs w:val="24"/>
        </w:rPr>
        <w:t>投标人名称（加盖公章）：</w:t>
      </w:r>
      <w:r>
        <w:rPr>
          <w:rFonts w:ascii="宋体" w:hAnsi="宋体"/>
          <w:sz w:val="24"/>
          <w:szCs w:val="24"/>
          <w:u w:val="single"/>
        </w:rPr>
        <w:t xml:space="preserve">                               </w:t>
      </w:r>
    </w:p>
    <w:p>
      <w:pPr>
        <w:pStyle w:val="266"/>
        <w:keepNext w:val="0"/>
        <w:keepLines w:val="0"/>
        <w:adjustRightInd/>
        <w:spacing w:before="0" w:line="440" w:lineRule="exact"/>
        <w:textAlignment w:val="auto"/>
        <w:outlineLvl w:val="9"/>
        <w:rPr>
          <w:b w:val="0"/>
          <w:kern w:val="2"/>
          <w:sz w:val="24"/>
        </w:rPr>
      </w:pPr>
      <w:bookmarkStart w:id="194" w:name="_Toc53317980"/>
      <w:bookmarkStart w:id="195" w:name="_Toc53318128"/>
      <w:r>
        <w:rPr>
          <w:rFonts w:hint="eastAsia"/>
          <w:b w:val="0"/>
          <w:sz w:val="24"/>
        </w:rPr>
        <w:t>授权代表签字：</w:t>
      </w:r>
      <w:bookmarkEnd w:id="194"/>
      <w:bookmarkEnd w:id="195"/>
      <w:r>
        <w:rPr>
          <w:b w:val="0"/>
          <w:sz w:val="24"/>
          <w:u w:val="single"/>
        </w:rPr>
        <w:t xml:space="preserve">                  </w:t>
      </w:r>
    </w:p>
    <w:p>
      <w:pPr>
        <w:pStyle w:val="266"/>
        <w:keepNext w:val="0"/>
        <w:keepLines w:val="0"/>
        <w:adjustRightInd/>
        <w:spacing w:before="0" w:line="440" w:lineRule="exact"/>
        <w:textAlignment w:val="auto"/>
        <w:outlineLvl w:val="9"/>
        <w:rPr>
          <w:b w:val="0"/>
          <w:kern w:val="2"/>
          <w:sz w:val="24"/>
        </w:rPr>
      </w:pPr>
      <w:bookmarkStart w:id="196" w:name="_Toc53317981"/>
      <w:bookmarkStart w:id="197" w:name="_Toc53318129"/>
      <w:r>
        <w:rPr>
          <w:rFonts w:hint="eastAsia"/>
          <w:b w:val="0"/>
          <w:spacing w:val="36"/>
          <w:kern w:val="2"/>
          <w:sz w:val="24"/>
        </w:rPr>
        <w:t>日期</w:t>
      </w:r>
      <w:r>
        <w:rPr>
          <w:rFonts w:hint="eastAsia"/>
          <w:b w:val="0"/>
          <w:kern w:val="2"/>
          <w:sz w:val="24"/>
        </w:rPr>
        <w:t>：</w:t>
      </w:r>
      <w:r>
        <w:rPr>
          <w:b w:val="0"/>
          <w:kern w:val="2"/>
          <w:sz w:val="24"/>
          <w:u w:val="single"/>
        </w:rPr>
        <w:t xml:space="preserve">       </w:t>
      </w:r>
      <w:r>
        <w:rPr>
          <w:rFonts w:hint="eastAsia"/>
          <w:b w:val="0"/>
          <w:kern w:val="2"/>
          <w:sz w:val="24"/>
        </w:rPr>
        <w:t>年</w:t>
      </w:r>
      <w:r>
        <w:rPr>
          <w:b w:val="0"/>
          <w:kern w:val="2"/>
          <w:sz w:val="24"/>
          <w:u w:val="single"/>
        </w:rPr>
        <w:t xml:space="preserve">     </w:t>
      </w:r>
      <w:r>
        <w:rPr>
          <w:rFonts w:hint="eastAsia"/>
          <w:b w:val="0"/>
          <w:kern w:val="2"/>
          <w:sz w:val="24"/>
        </w:rPr>
        <w:t>月</w:t>
      </w:r>
      <w:r>
        <w:rPr>
          <w:b w:val="0"/>
          <w:kern w:val="2"/>
          <w:sz w:val="24"/>
          <w:u w:val="single"/>
        </w:rPr>
        <w:t xml:space="preserve">    </w:t>
      </w:r>
      <w:r>
        <w:rPr>
          <w:rFonts w:hint="eastAsia"/>
          <w:b w:val="0"/>
          <w:kern w:val="2"/>
          <w:sz w:val="24"/>
        </w:rPr>
        <w:t>日</w:t>
      </w:r>
      <w:bookmarkEnd w:id="196"/>
      <w:bookmarkEnd w:id="197"/>
    </w:p>
    <w:p>
      <w:pPr>
        <w:pStyle w:val="266"/>
        <w:keepNext w:val="0"/>
        <w:keepLines w:val="0"/>
        <w:adjustRightInd/>
        <w:spacing w:before="0" w:line="440" w:lineRule="exact"/>
        <w:textAlignment w:val="auto"/>
        <w:outlineLvl w:val="9"/>
        <w:rPr>
          <w:kern w:val="2"/>
          <w:sz w:val="24"/>
        </w:rPr>
      </w:pPr>
      <w:bookmarkStart w:id="198" w:name="_Toc53317982"/>
      <w:bookmarkStart w:id="199" w:name="_Toc53318130"/>
      <w:r>
        <w:rPr>
          <w:rFonts w:hint="eastAsia"/>
          <w:sz w:val="24"/>
        </w:rPr>
        <w:t>注：</w:t>
      </w:r>
      <w:r>
        <w:rPr>
          <w:b w:val="0"/>
          <w:sz w:val="24"/>
        </w:rPr>
        <w:t>1</w:t>
      </w:r>
      <w:r>
        <w:rPr>
          <w:rFonts w:hint="eastAsia"/>
          <w:b w:val="0"/>
          <w:sz w:val="24"/>
        </w:rPr>
        <w:t>、此表需密封后单独提交。</w:t>
      </w:r>
      <w:bookmarkEnd w:id="198"/>
      <w:bookmarkEnd w:id="199"/>
    </w:p>
    <w:p>
      <w:pPr>
        <w:pStyle w:val="265"/>
        <w:spacing w:line="440" w:lineRule="exact"/>
        <w:ind w:firstLine="480" w:firstLineChars="200"/>
        <w:rPr>
          <w:rFonts w:ascii="宋体" w:hAnsi="宋体"/>
          <w:color w:val="auto"/>
          <w:kern w:val="2"/>
        </w:rPr>
      </w:pPr>
      <w:r>
        <w:rPr>
          <w:rFonts w:ascii="宋体" w:hAnsi="宋体"/>
          <w:color w:val="auto"/>
          <w:kern w:val="2"/>
        </w:rPr>
        <w:t>2</w:t>
      </w:r>
      <w:r>
        <w:rPr>
          <w:rFonts w:hint="eastAsia" w:ascii="宋体" w:hAnsi="宋体"/>
          <w:color w:val="auto"/>
          <w:kern w:val="2"/>
        </w:rPr>
        <w:t>、本表格式不得更改，投标人只能按要求填报。</w:t>
      </w:r>
    </w:p>
    <w:p>
      <w:pPr>
        <w:spacing w:line="460" w:lineRule="atLeast"/>
        <w:jc w:val="center"/>
        <w:rPr>
          <w:rFonts w:hint="eastAsia" w:ascii="宋体" w:hAnsi="宋体"/>
          <w:b/>
          <w:sz w:val="30"/>
          <w:szCs w:val="30"/>
        </w:rPr>
      </w:pPr>
    </w:p>
    <w:p>
      <w:pPr>
        <w:spacing w:line="460" w:lineRule="atLeast"/>
        <w:jc w:val="center"/>
        <w:rPr>
          <w:rFonts w:hint="eastAsia" w:ascii="宋体" w:hAnsi="宋体"/>
          <w:b/>
          <w:sz w:val="30"/>
          <w:szCs w:val="30"/>
        </w:rPr>
      </w:pPr>
    </w:p>
    <w:p>
      <w:pPr>
        <w:spacing w:line="460" w:lineRule="atLeast"/>
        <w:jc w:val="center"/>
        <w:rPr>
          <w:rFonts w:hint="eastAsia" w:ascii="宋体" w:hAnsi="宋体"/>
          <w:b/>
          <w:sz w:val="30"/>
          <w:szCs w:val="30"/>
        </w:rPr>
      </w:pPr>
    </w:p>
    <w:p>
      <w:pPr>
        <w:spacing w:line="460" w:lineRule="atLeast"/>
        <w:jc w:val="center"/>
        <w:rPr>
          <w:rFonts w:hint="eastAsia" w:ascii="宋体" w:hAnsi="宋体" w:eastAsia="宋体"/>
          <w:b/>
          <w:bCs/>
          <w:sz w:val="30"/>
          <w:szCs w:val="30"/>
          <w:lang w:eastAsia="zh-CN"/>
        </w:rPr>
      </w:pPr>
      <w:r>
        <w:rPr>
          <w:rFonts w:hint="eastAsia" w:ascii="宋体" w:hAnsi="宋体"/>
          <w:b/>
          <w:sz w:val="30"/>
          <w:szCs w:val="30"/>
        </w:rPr>
        <w:t xml:space="preserve"> </w:t>
      </w:r>
      <w:r>
        <w:rPr>
          <w:rFonts w:hint="eastAsia" w:ascii="宋体" w:hAnsi="宋体"/>
          <w:b/>
          <w:bCs/>
          <w:sz w:val="30"/>
          <w:szCs w:val="30"/>
        </w:rPr>
        <w:t>开标一览表</w:t>
      </w:r>
      <w:r>
        <w:rPr>
          <w:rFonts w:hint="eastAsia" w:ascii="宋体" w:hAnsi="宋体"/>
          <w:b/>
          <w:bCs/>
          <w:sz w:val="30"/>
          <w:szCs w:val="30"/>
          <w:lang w:eastAsia="zh-CN"/>
        </w:rPr>
        <w:t>（</w:t>
      </w:r>
      <w:r>
        <w:rPr>
          <w:rFonts w:hint="eastAsia" w:ascii="宋体" w:hAnsi="宋体"/>
          <w:b/>
          <w:bCs/>
          <w:sz w:val="30"/>
          <w:szCs w:val="30"/>
          <w:lang w:val="en-US" w:eastAsia="zh-CN"/>
        </w:rPr>
        <w:t>标项二、三、四、五、六</w:t>
      </w:r>
      <w:r>
        <w:rPr>
          <w:rFonts w:hint="eastAsia" w:ascii="宋体" w:hAnsi="宋体"/>
          <w:b/>
          <w:bCs/>
          <w:sz w:val="30"/>
          <w:szCs w:val="30"/>
          <w:lang w:eastAsia="zh-CN"/>
        </w:rPr>
        <w:t>）</w:t>
      </w:r>
    </w:p>
    <w:p>
      <w:pPr>
        <w:pStyle w:val="265"/>
        <w:spacing w:line="440" w:lineRule="exact"/>
        <w:ind w:left="210" w:leftChars="-86" w:hanging="391" w:hangingChars="163"/>
        <w:jc w:val="both"/>
        <w:rPr>
          <w:rFonts w:hint="eastAsia" w:ascii="宋体" w:hAnsi="宋体"/>
          <w:color w:val="auto"/>
        </w:rPr>
      </w:pPr>
      <w:r>
        <w:rPr>
          <w:rFonts w:hint="eastAsia" w:ascii="宋体" w:hAnsi="宋体"/>
          <w:color w:val="auto"/>
        </w:rPr>
        <w:t>招标项目名称：</w:t>
      </w:r>
      <w:r>
        <w:rPr>
          <w:rFonts w:hint="eastAsia" w:ascii="宋体" w:hAnsi="宋体"/>
          <w:color w:val="auto"/>
          <w:lang w:val="en-US" w:eastAsia="zh-CN"/>
        </w:rPr>
        <w:t xml:space="preserve">                                       </w:t>
      </w:r>
      <w:r>
        <w:rPr>
          <w:rFonts w:hint="eastAsia" w:ascii="宋体" w:hAnsi="宋体"/>
          <w:color w:val="auto"/>
        </w:rPr>
        <w:t>投标单位名称：</w:t>
      </w:r>
    </w:p>
    <w:p>
      <w:pPr>
        <w:pStyle w:val="265"/>
        <w:spacing w:line="440" w:lineRule="exact"/>
        <w:ind w:left="210" w:leftChars="-86" w:hanging="391" w:hangingChars="163"/>
        <w:jc w:val="both"/>
        <w:rPr>
          <w:rFonts w:ascii="宋体" w:hAnsi="宋体"/>
          <w:color w:val="auto"/>
        </w:rPr>
      </w:pPr>
      <w:r>
        <w:rPr>
          <w:rFonts w:hint="eastAsia" w:ascii="宋体" w:hAnsi="宋体"/>
          <w:color w:val="auto"/>
          <w:lang w:val="en-US" w:eastAsia="zh-CN"/>
        </w:rPr>
        <w:t>标项名称：</w:t>
      </w:r>
      <w:r>
        <w:rPr>
          <w:rFonts w:ascii="宋体" w:hAnsi="宋体"/>
          <w:color w:val="auto"/>
        </w:rPr>
        <w:t xml:space="preserve">                                                    </w:t>
      </w:r>
    </w:p>
    <w:p>
      <w:pPr>
        <w:pStyle w:val="265"/>
        <w:spacing w:line="440" w:lineRule="exact"/>
        <w:ind w:left="210" w:leftChars="-86" w:hanging="391" w:hangingChars="163"/>
        <w:jc w:val="both"/>
        <w:rPr>
          <w:rFonts w:ascii="宋体" w:hAnsi="宋体"/>
          <w:color w:val="auto"/>
        </w:rPr>
      </w:pPr>
      <w:r>
        <w:rPr>
          <w:rFonts w:hint="eastAsia" w:ascii="宋体" w:hAnsi="宋体"/>
          <w:color w:val="auto"/>
        </w:rPr>
        <w:t>项目编号：</w:t>
      </w:r>
      <w:r>
        <w:rPr>
          <w:rFonts w:ascii="宋体" w:hAnsi="宋体"/>
          <w:color w:val="auto"/>
        </w:rPr>
        <w:t xml:space="preserve">                                            </w:t>
      </w:r>
    </w:p>
    <w:p>
      <w:pPr>
        <w:pStyle w:val="265"/>
        <w:spacing w:line="440" w:lineRule="exact"/>
        <w:ind w:left="210" w:leftChars="-86" w:hanging="391" w:hangingChars="163"/>
        <w:jc w:val="both"/>
        <w:rPr>
          <w:rFonts w:hint="eastAsia" w:ascii="宋体" w:hAnsi="宋体"/>
          <w:color w:val="auto"/>
        </w:rPr>
      </w:pPr>
      <w:r>
        <w:rPr>
          <w:rFonts w:ascii="宋体" w:hAnsi="宋体"/>
          <w:color w:val="auto"/>
        </w:rPr>
        <w:t xml:space="preserve">                     </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970"/>
        <w:gridCol w:w="1398"/>
        <w:gridCol w:w="4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6" w:type="pct"/>
            <w:noWrap w:val="0"/>
            <w:vAlign w:val="center"/>
          </w:tcPr>
          <w:p>
            <w:pPr>
              <w:widowControl/>
              <w:spacing w:line="440" w:lineRule="exact"/>
              <w:jc w:val="center"/>
              <w:rPr>
                <w:rFonts w:hint="eastAsia" w:ascii="宋体" w:hAnsi="宋体" w:cs="宋体"/>
                <w:b/>
                <w:bCs/>
                <w:kern w:val="0"/>
                <w:szCs w:val="21"/>
              </w:rPr>
            </w:pPr>
            <w:r>
              <w:rPr>
                <w:rFonts w:hint="eastAsia" w:ascii="宋体" w:hAnsi="宋体" w:cs="宋体"/>
                <w:b/>
                <w:bCs/>
                <w:kern w:val="0"/>
                <w:szCs w:val="21"/>
              </w:rPr>
              <w:t>项目内容</w:t>
            </w:r>
          </w:p>
        </w:tc>
        <w:tc>
          <w:tcPr>
            <w:tcW w:w="537" w:type="pct"/>
            <w:noWrap w:val="0"/>
            <w:vAlign w:val="center"/>
          </w:tcPr>
          <w:p>
            <w:pPr>
              <w:widowControl/>
              <w:spacing w:line="440" w:lineRule="exact"/>
              <w:jc w:val="center"/>
              <w:rPr>
                <w:rFonts w:hint="eastAsia" w:ascii="宋体" w:hAnsi="宋体" w:cs="宋体"/>
                <w:b/>
                <w:bCs/>
                <w:kern w:val="0"/>
                <w:szCs w:val="21"/>
              </w:rPr>
            </w:pPr>
            <w:r>
              <w:rPr>
                <w:rFonts w:hint="eastAsia" w:ascii="宋体" w:hAnsi="宋体" w:cs="宋体"/>
                <w:b/>
                <w:bCs/>
                <w:kern w:val="0"/>
                <w:szCs w:val="21"/>
              </w:rPr>
              <w:t>性别</w:t>
            </w:r>
          </w:p>
        </w:tc>
        <w:tc>
          <w:tcPr>
            <w:tcW w:w="774" w:type="pct"/>
            <w:noWrap w:val="0"/>
            <w:vAlign w:val="center"/>
          </w:tcPr>
          <w:p>
            <w:pPr>
              <w:spacing w:line="440" w:lineRule="exact"/>
              <w:jc w:val="center"/>
              <w:rPr>
                <w:rFonts w:hint="eastAsia" w:ascii="宋体" w:hAnsi="宋体" w:cs="宋体"/>
                <w:b/>
                <w:bCs/>
                <w:kern w:val="0"/>
                <w:szCs w:val="21"/>
              </w:rPr>
            </w:pPr>
            <w:r>
              <w:rPr>
                <w:rFonts w:hint="eastAsia" w:ascii="宋体" w:hAnsi="宋体" w:cs="宋体"/>
                <w:b/>
                <w:bCs/>
                <w:kern w:val="0"/>
                <w:szCs w:val="21"/>
              </w:rPr>
              <w:t>最高限制单价</w:t>
            </w:r>
          </w:p>
        </w:tc>
        <w:tc>
          <w:tcPr>
            <w:tcW w:w="2631" w:type="pct"/>
            <w:noWrap w:val="0"/>
            <w:vAlign w:val="center"/>
          </w:tcPr>
          <w:p>
            <w:pPr>
              <w:spacing w:line="440" w:lineRule="exact"/>
              <w:jc w:val="center"/>
              <w:rPr>
                <w:rFonts w:hint="eastAsia" w:ascii="宋体" w:hAnsi="宋体" w:cs="宋体"/>
                <w:b/>
                <w:bCs/>
                <w:kern w:val="0"/>
                <w:szCs w:val="21"/>
              </w:rPr>
            </w:pPr>
            <w:r>
              <w:rPr>
                <w:rFonts w:hint="eastAsia" w:ascii="宋体" w:hAnsi="宋体" w:cs="宋体"/>
                <w:b/>
                <w:bCs/>
                <w:kern w:val="0"/>
                <w:szCs w:val="21"/>
              </w:rPr>
              <w:t>投标单价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56" w:type="pct"/>
            <w:vMerge w:val="restar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干部职工体检套餐A</w:t>
            </w:r>
          </w:p>
        </w:tc>
        <w:tc>
          <w:tcPr>
            <w:tcW w:w="537" w:type="pc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男</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850元/人</w:t>
            </w:r>
          </w:p>
        </w:tc>
        <w:tc>
          <w:tcPr>
            <w:tcW w:w="2631"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6" w:type="pct"/>
            <w:vMerge w:val="continue"/>
            <w:noWrap w:val="0"/>
            <w:vAlign w:val="center"/>
          </w:tcPr>
          <w:p>
            <w:pPr>
              <w:widowControl/>
              <w:spacing w:line="440" w:lineRule="exact"/>
              <w:jc w:val="center"/>
              <w:rPr>
                <w:rFonts w:hint="eastAsia" w:ascii="宋体" w:hAnsi="宋体"/>
                <w:color w:val="auto"/>
                <w:kern w:val="0"/>
                <w:sz w:val="24"/>
                <w:szCs w:val="24"/>
                <w:lang w:val="en-US" w:eastAsia="zh-CN" w:bidi="ar-SA"/>
              </w:rPr>
            </w:pPr>
          </w:p>
        </w:tc>
        <w:tc>
          <w:tcPr>
            <w:tcW w:w="537"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女</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1000元/人</w:t>
            </w:r>
          </w:p>
        </w:tc>
        <w:tc>
          <w:tcPr>
            <w:tcW w:w="2631"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6" w:type="pct"/>
            <w:vMerge w:val="restar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干部职工体检套餐B</w:t>
            </w:r>
          </w:p>
        </w:tc>
        <w:tc>
          <w:tcPr>
            <w:tcW w:w="537" w:type="pc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男</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850元/人</w:t>
            </w:r>
          </w:p>
        </w:tc>
        <w:tc>
          <w:tcPr>
            <w:tcW w:w="2631"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6" w:type="pct"/>
            <w:vMerge w:val="continue"/>
            <w:noWrap w:val="0"/>
            <w:vAlign w:val="center"/>
          </w:tcPr>
          <w:p>
            <w:pPr>
              <w:widowControl/>
              <w:spacing w:line="440" w:lineRule="exact"/>
              <w:jc w:val="center"/>
              <w:rPr>
                <w:rFonts w:hint="eastAsia" w:ascii="宋体" w:hAnsi="宋体"/>
                <w:color w:val="auto"/>
                <w:kern w:val="0"/>
                <w:sz w:val="24"/>
                <w:szCs w:val="24"/>
                <w:lang w:val="en-US" w:eastAsia="zh-CN" w:bidi="ar-SA"/>
              </w:rPr>
            </w:pPr>
          </w:p>
        </w:tc>
        <w:tc>
          <w:tcPr>
            <w:tcW w:w="537"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女</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1000元/人</w:t>
            </w:r>
          </w:p>
        </w:tc>
        <w:tc>
          <w:tcPr>
            <w:tcW w:w="2631"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6" w:type="pct"/>
            <w:noWrap w:val="0"/>
            <w:vAlign w:val="center"/>
          </w:tcPr>
          <w:p>
            <w:pPr>
              <w:widowControl/>
              <w:spacing w:line="440" w:lineRule="exact"/>
              <w:jc w:val="center"/>
              <w:rPr>
                <w:rFonts w:hint="default"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投标单价合计</w:t>
            </w:r>
            <w:r>
              <w:rPr>
                <w:rFonts w:hint="eastAsia" w:ascii="宋体" w:hAnsi="宋体" w:cs="宋体"/>
                <w:kern w:val="0"/>
                <w:sz w:val="24"/>
                <w:szCs w:val="24"/>
              </w:rPr>
              <w:t>（以上</w:t>
            </w:r>
            <w:r>
              <w:rPr>
                <w:rFonts w:hint="eastAsia" w:ascii="宋体" w:hAnsi="宋体" w:cs="宋体"/>
                <w:kern w:val="0"/>
                <w:sz w:val="24"/>
                <w:szCs w:val="24"/>
                <w:lang w:val="en-US" w:eastAsia="zh-CN"/>
              </w:rPr>
              <w:t>两</w:t>
            </w:r>
            <w:r>
              <w:rPr>
                <w:rFonts w:hint="eastAsia" w:ascii="宋体" w:hAnsi="宋体" w:cs="宋体"/>
                <w:kern w:val="0"/>
                <w:sz w:val="24"/>
                <w:szCs w:val="24"/>
              </w:rPr>
              <w:t>项综合总和）</w:t>
            </w:r>
          </w:p>
        </w:tc>
        <w:tc>
          <w:tcPr>
            <w:tcW w:w="3943" w:type="pct"/>
            <w:gridSpan w:val="3"/>
            <w:noWrap w:val="0"/>
            <w:vAlign w:val="center"/>
          </w:tcPr>
          <w:p>
            <w:pPr>
              <w:spacing w:line="440" w:lineRule="exact"/>
              <w:jc w:val="center"/>
              <w:rPr>
                <w:rFonts w:hint="default"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6" w:type="pc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服务期限：</w:t>
            </w:r>
          </w:p>
        </w:tc>
        <w:tc>
          <w:tcPr>
            <w:tcW w:w="3943" w:type="pct"/>
            <w:gridSpan w:val="3"/>
            <w:noWrap w:val="0"/>
            <w:vAlign w:val="center"/>
          </w:tcPr>
          <w:p>
            <w:pPr>
              <w:spacing w:line="440" w:lineRule="exact"/>
              <w:jc w:val="center"/>
              <w:rPr>
                <w:rFonts w:hint="eastAsia" w:ascii="宋体" w:hAnsi="宋体"/>
                <w:color w:val="auto"/>
                <w:kern w:val="0"/>
                <w:sz w:val="24"/>
                <w:szCs w:val="24"/>
                <w:lang w:val="en-US" w:eastAsia="zh-CN" w:bidi="ar-SA"/>
              </w:rPr>
            </w:pPr>
          </w:p>
        </w:tc>
      </w:tr>
    </w:tbl>
    <w:p>
      <w:pPr>
        <w:pStyle w:val="265"/>
        <w:spacing w:line="440" w:lineRule="exact"/>
        <w:rPr>
          <w:rFonts w:hint="eastAsia" w:ascii="宋体" w:hAnsi="宋体"/>
          <w:b/>
          <w:bCs/>
          <w:color w:val="auto"/>
        </w:rPr>
      </w:pPr>
    </w:p>
    <w:p>
      <w:pPr>
        <w:pStyle w:val="265"/>
        <w:spacing w:line="440" w:lineRule="exact"/>
        <w:rPr>
          <w:rFonts w:ascii="宋体" w:hAnsi="宋体"/>
          <w:color w:val="auto"/>
        </w:rPr>
      </w:pPr>
      <w:r>
        <w:rPr>
          <w:rFonts w:hint="eastAsia" w:ascii="宋体" w:hAnsi="宋体"/>
          <w:color w:val="auto"/>
        </w:rPr>
        <w:t>兹声明：以上投标报价在投标有效期内一直有效。</w:t>
      </w:r>
    </w:p>
    <w:p>
      <w:pPr>
        <w:spacing w:line="440" w:lineRule="exact"/>
        <w:rPr>
          <w:rFonts w:ascii="宋体" w:hAnsi="宋体"/>
          <w:sz w:val="24"/>
          <w:szCs w:val="24"/>
        </w:rPr>
      </w:pPr>
      <w:r>
        <w:rPr>
          <w:rFonts w:hint="eastAsia" w:ascii="宋体" w:hAnsi="宋体"/>
          <w:sz w:val="24"/>
          <w:szCs w:val="24"/>
        </w:rPr>
        <w:t>投标人名称（加盖公章）：</w:t>
      </w:r>
      <w:r>
        <w:rPr>
          <w:rFonts w:ascii="宋体" w:hAnsi="宋体"/>
          <w:sz w:val="24"/>
          <w:szCs w:val="24"/>
          <w:u w:val="single"/>
        </w:rPr>
        <w:t xml:space="preserve">                               </w:t>
      </w:r>
    </w:p>
    <w:p>
      <w:pPr>
        <w:pStyle w:val="266"/>
        <w:keepNext w:val="0"/>
        <w:keepLines w:val="0"/>
        <w:adjustRightInd/>
        <w:spacing w:before="0" w:line="440" w:lineRule="exact"/>
        <w:textAlignment w:val="auto"/>
        <w:outlineLvl w:val="9"/>
        <w:rPr>
          <w:b w:val="0"/>
          <w:kern w:val="2"/>
          <w:sz w:val="24"/>
        </w:rPr>
      </w:pPr>
      <w:r>
        <w:rPr>
          <w:rFonts w:hint="eastAsia"/>
          <w:b w:val="0"/>
          <w:sz w:val="24"/>
        </w:rPr>
        <w:t>授权代表签字：</w:t>
      </w:r>
      <w:r>
        <w:rPr>
          <w:b w:val="0"/>
          <w:sz w:val="24"/>
          <w:u w:val="single"/>
        </w:rPr>
        <w:t xml:space="preserve">                  </w:t>
      </w:r>
    </w:p>
    <w:p>
      <w:pPr>
        <w:pStyle w:val="266"/>
        <w:keepNext w:val="0"/>
        <w:keepLines w:val="0"/>
        <w:adjustRightInd/>
        <w:spacing w:before="0" w:line="440" w:lineRule="exact"/>
        <w:textAlignment w:val="auto"/>
        <w:outlineLvl w:val="9"/>
        <w:rPr>
          <w:b w:val="0"/>
          <w:kern w:val="2"/>
          <w:sz w:val="24"/>
        </w:rPr>
      </w:pPr>
      <w:r>
        <w:rPr>
          <w:rFonts w:hint="eastAsia"/>
          <w:b w:val="0"/>
          <w:spacing w:val="36"/>
          <w:kern w:val="2"/>
          <w:sz w:val="24"/>
        </w:rPr>
        <w:t>日期</w:t>
      </w:r>
      <w:r>
        <w:rPr>
          <w:rFonts w:hint="eastAsia"/>
          <w:b w:val="0"/>
          <w:kern w:val="2"/>
          <w:sz w:val="24"/>
        </w:rPr>
        <w:t>：</w:t>
      </w:r>
      <w:r>
        <w:rPr>
          <w:b w:val="0"/>
          <w:kern w:val="2"/>
          <w:sz w:val="24"/>
          <w:u w:val="single"/>
        </w:rPr>
        <w:t xml:space="preserve">       </w:t>
      </w:r>
      <w:r>
        <w:rPr>
          <w:rFonts w:hint="eastAsia"/>
          <w:b w:val="0"/>
          <w:kern w:val="2"/>
          <w:sz w:val="24"/>
        </w:rPr>
        <w:t>年</w:t>
      </w:r>
      <w:r>
        <w:rPr>
          <w:b w:val="0"/>
          <w:kern w:val="2"/>
          <w:sz w:val="24"/>
          <w:u w:val="single"/>
        </w:rPr>
        <w:t xml:space="preserve">     </w:t>
      </w:r>
      <w:r>
        <w:rPr>
          <w:rFonts w:hint="eastAsia"/>
          <w:b w:val="0"/>
          <w:kern w:val="2"/>
          <w:sz w:val="24"/>
        </w:rPr>
        <w:t>月</w:t>
      </w:r>
      <w:r>
        <w:rPr>
          <w:b w:val="0"/>
          <w:kern w:val="2"/>
          <w:sz w:val="24"/>
          <w:u w:val="single"/>
        </w:rPr>
        <w:t xml:space="preserve">    </w:t>
      </w:r>
      <w:r>
        <w:rPr>
          <w:rFonts w:hint="eastAsia"/>
          <w:b w:val="0"/>
          <w:kern w:val="2"/>
          <w:sz w:val="24"/>
        </w:rPr>
        <w:t>日</w:t>
      </w:r>
    </w:p>
    <w:p>
      <w:pPr>
        <w:pStyle w:val="266"/>
        <w:keepNext w:val="0"/>
        <w:keepLines w:val="0"/>
        <w:adjustRightInd/>
        <w:spacing w:before="0" w:line="440" w:lineRule="exact"/>
        <w:textAlignment w:val="auto"/>
        <w:outlineLvl w:val="9"/>
        <w:rPr>
          <w:rFonts w:hint="eastAsia"/>
          <w:sz w:val="24"/>
        </w:rPr>
      </w:pPr>
    </w:p>
    <w:p>
      <w:pPr>
        <w:pStyle w:val="266"/>
        <w:keepNext w:val="0"/>
        <w:keepLines w:val="0"/>
        <w:adjustRightInd/>
        <w:spacing w:before="0" w:line="440" w:lineRule="exact"/>
        <w:textAlignment w:val="auto"/>
        <w:outlineLvl w:val="9"/>
        <w:rPr>
          <w:b w:val="0"/>
          <w:bCs w:val="0"/>
          <w:kern w:val="2"/>
          <w:sz w:val="24"/>
        </w:rPr>
      </w:pPr>
      <w:r>
        <w:rPr>
          <w:rFonts w:hint="eastAsia"/>
          <w:sz w:val="24"/>
        </w:rPr>
        <w:t>注：</w:t>
      </w:r>
      <w:r>
        <w:rPr>
          <w:rFonts w:hAnsi="宋体" w:cs="宋体"/>
          <w:b w:val="0"/>
          <w:bCs w:val="0"/>
          <w:sz w:val="24"/>
        </w:rPr>
        <w:t>1</w:t>
      </w:r>
      <w:r>
        <w:rPr>
          <w:rFonts w:hint="eastAsia" w:hAnsi="宋体" w:cs="宋体"/>
          <w:b w:val="0"/>
          <w:bCs w:val="0"/>
          <w:sz w:val="24"/>
        </w:rPr>
        <w:t>、开标一览表内容与投标文件中相应内容不一致的，以开标一览表本表为准。</w:t>
      </w:r>
    </w:p>
    <w:p>
      <w:pPr>
        <w:pStyle w:val="265"/>
        <w:spacing w:line="440" w:lineRule="exact"/>
        <w:ind w:firstLine="480" w:firstLineChars="200"/>
        <w:rPr>
          <w:rFonts w:ascii="宋体" w:hAnsi="宋体"/>
          <w:b w:val="0"/>
          <w:bCs w:val="0"/>
          <w:color w:val="auto"/>
          <w:kern w:val="2"/>
        </w:rPr>
      </w:pPr>
      <w:r>
        <w:rPr>
          <w:rFonts w:ascii="宋体" w:hAnsi="宋体"/>
          <w:b w:val="0"/>
          <w:bCs w:val="0"/>
          <w:color w:val="auto"/>
          <w:kern w:val="2"/>
        </w:rPr>
        <w:t>2</w:t>
      </w:r>
      <w:r>
        <w:rPr>
          <w:rFonts w:hint="eastAsia" w:ascii="宋体" w:hAnsi="宋体"/>
          <w:b w:val="0"/>
          <w:bCs w:val="0"/>
          <w:color w:val="auto"/>
          <w:kern w:val="2"/>
        </w:rPr>
        <w:t>、本表格式不得更改，投标人只能按要求填报。</w:t>
      </w:r>
    </w:p>
    <w:p>
      <w:pPr>
        <w:pStyle w:val="6"/>
        <w:rPr>
          <w:rFonts w:ascii="宋体" w:cs="宋体"/>
          <w:sz w:val="24"/>
        </w:rPr>
      </w:pPr>
      <w:r>
        <w:rPr>
          <w:rFonts w:ascii="宋体" w:cs="宋体"/>
          <w:sz w:val="24"/>
        </w:rPr>
        <w:br w:type="page"/>
      </w:r>
      <w:bookmarkStart w:id="200" w:name="_Toc44705071"/>
      <w:bookmarkStart w:id="201" w:name="_Toc2355267"/>
      <w:bookmarkStart w:id="202" w:name="_Toc497167414"/>
      <w:bookmarkStart w:id="203" w:name="_Toc493422660"/>
      <w:bookmarkStart w:id="204" w:name="_Toc2512009"/>
      <w:bookmarkStart w:id="205" w:name="_Toc44705292"/>
      <w:bookmarkStart w:id="206" w:name="_Toc44704924"/>
      <w:bookmarkStart w:id="207" w:name="_Toc14776859"/>
      <w:r>
        <w:rPr>
          <w:rFonts w:ascii="宋体" w:hAnsi="宋体" w:cs="宋体"/>
          <w:sz w:val="32"/>
          <w:szCs w:val="24"/>
        </w:rPr>
        <w:t>2.3</w:t>
      </w:r>
      <w:r>
        <w:rPr>
          <w:rFonts w:hint="eastAsia" w:ascii="宋体" w:hAnsi="宋体" w:cs="宋体"/>
          <w:sz w:val="32"/>
          <w:szCs w:val="24"/>
        </w:rPr>
        <w:t>、投标分项（明细）报价表格式</w:t>
      </w:r>
      <w:bookmarkEnd w:id="200"/>
      <w:bookmarkEnd w:id="201"/>
      <w:bookmarkEnd w:id="202"/>
      <w:bookmarkEnd w:id="203"/>
      <w:bookmarkEnd w:id="204"/>
      <w:bookmarkEnd w:id="205"/>
      <w:bookmarkEnd w:id="206"/>
      <w:bookmarkEnd w:id="207"/>
    </w:p>
    <w:p>
      <w:pPr>
        <w:spacing w:line="360" w:lineRule="auto"/>
        <w:jc w:val="center"/>
        <w:rPr>
          <w:rFonts w:ascii="宋体" w:cs="宋体"/>
          <w:b/>
          <w:sz w:val="24"/>
        </w:rPr>
      </w:pPr>
      <w:r>
        <w:rPr>
          <w:rFonts w:hint="eastAsia" w:ascii="宋体" w:hAnsi="宋体" w:cs="宋体"/>
          <w:b/>
          <w:sz w:val="24"/>
        </w:rPr>
        <w:t>明细报价表</w:t>
      </w:r>
    </w:p>
    <w:p>
      <w:pPr>
        <w:spacing w:line="360" w:lineRule="auto"/>
        <w:ind w:left="-735" w:leftChars="-350" w:firstLine="960" w:firstLineChars="400"/>
        <w:jc w:val="left"/>
        <w:rPr>
          <w:rFonts w:hint="eastAsia" w:ascii="宋体" w:hAnsi="宋体" w:cs="宋体"/>
          <w:sz w:val="24"/>
        </w:rPr>
      </w:pPr>
      <w:r>
        <w:rPr>
          <w:rFonts w:hint="eastAsia" w:ascii="宋体" w:hAnsi="宋体" w:cs="宋体"/>
          <w:sz w:val="24"/>
        </w:rPr>
        <w:t>项目名称：</w:t>
      </w:r>
    </w:p>
    <w:p>
      <w:pPr>
        <w:spacing w:line="360" w:lineRule="auto"/>
        <w:ind w:left="-735" w:leftChars="-350" w:firstLine="960" w:firstLineChars="400"/>
        <w:jc w:val="left"/>
        <w:rPr>
          <w:rFonts w:ascii="宋体" w:cs="宋体"/>
          <w:sz w:val="24"/>
        </w:rPr>
      </w:pPr>
      <w:r>
        <w:rPr>
          <w:rFonts w:hint="eastAsia" w:ascii="宋体" w:hAnsi="宋体" w:cs="宋体"/>
          <w:sz w:val="24"/>
        </w:rPr>
        <w:t xml:space="preserve">标项名称： </w:t>
      </w:r>
      <w:r>
        <w:rPr>
          <w:rFonts w:ascii="宋体" w:hAnsi="宋体" w:cs="宋体"/>
          <w:sz w:val="24"/>
        </w:rPr>
        <w:t xml:space="preserve">                             </w:t>
      </w:r>
    </w:p>
    <w:p>
      <w:pPr>
        <w:spacing w:line="360" w:lineRule="auto"/>
        <w:ind w:left="-735" w:leftChars="-350" w:firstLine="960" w:firstLineChars="400"/>
        <w:jc w:val="left"/>
        <w:rPr>
          <w:rFonts w:ascii="宋体" w:cs="宋体"/>
          <w:sz w:val="24"/>
        </w:rPr>
      </w:pPr>
      <w:r>
        <w:rPr>
          <w:rFonts w:hint="eastAsia" w:ascii="宋体" w:hAnsi="宋体" w:cs="宋体"/>
          <w:sz w:val="24"/>
        </w:rPr>
        <w:t>项目编号：</w:t>
      </w:r>
      <w:r>
        <w:rPr>
          <w:rFonts w:ascii="宋体" w:hAnsi="宋体" w:cs="宋体"/>
          <w:sz w:val="24"/>
        </w:rPr>
        <w:t xml:space="preserve">                                                    </w:t>
      </w:r>
      <w:r>
        <w:rPr>
          <w:rFonts w:hint="eastAsia" w:ascii="宋体" w:hAnsi="宋体" w:cs="宋体"/>
          <w:sz w:val="24"/>
        </w:rPr>
        <w:t>单位：元</w:t>
      </w:r>
    </w:p>
    <w:tbl>
      <w:tblPr>
        <w:tblStyle w:val="47"/>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2198"/>
        <w:gridCol w:w="1584"/>
        <w:gridCol w:w="12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41" w:type="dxa"/>
            <w:vAlign w:val="center"/>
          </w:tcPr>
          <w:p>
            <w:pPr>
              <w:spacing w:line="360" w:lineRule="auto"/>
              <w:jc w:val="left"/>
              <w:rPr>
                <w:rFonts w:ascii="宋体" w:cs="宋体"/>
                <w:sz w:val="24"/>
              </w:rPr>
            </w:pPr>
            <w:r>
              <w:rPr>
                <w:rFonts w:hint="eastAsia" w:ascii="宋体" w:hAnsi="宋体" w:cs="宋体"/>
                <w:sz w:val="24"/>
              </w:rPr>
              <w:t>序号</w:t>
            </w:r>
          </w:p>
        </w:tc>
        <w:tc>
          <w:tcPr>
            <w:tcW w:w="2198" w:type="dxa"/>
            <w:vAlign w:val="center"/>
          </w:tcPr>
          <w:p>
            <w:pPr>
              <w:spacing w:line="360" w:lineRule="auto"/>
              <w:jc w:val="left"/>
              <w:rPr>
                <w:rFonts w:ascii="宋体" w:cs="宋体"/>
                <w:sz w:val="24"/>
              </w:rPr>
            </w:pPr>
            <w:r>
              <w:rPr>
                <w:rFonts w:hint="eastAsia" w:ascii="宋体" w:hAnsi="宋体" w:cs="宋体"/>
                <w:sz w:val="24"/>
              </w:rPr>
              <w:t>服务项</w:t>
            </w:r>
          </w:p>
        </w:tc>
        <w:tc>
          <w:tcPr>
            <w:tcW w:w="1584" w:type="dxa"/>
            <w:vAlign w:val="center"/>
          </w:tcPr>
          <w:p>
            <w:pPr>
              <w:spacing w:line="360" w:lineRule="auto"/>
              <w:jc w:val="left"/>
              <w:rPr>
                <w:rFonts w:ascii="宋体" w:cs="宋体"/>
                <w:sz w:val="24"/>
              </w:rPr>
            </w:pPr>
            <w:r>
              <w:rPr>
                <w:rFonts w:hint="eastAsia" w:ascii="宋体" w:hAnsi="宋体" w:cs="宋体"/>
                <w:sz w:val="24"/>
              </w:rPr>
              <w:t>单位</w:t>
            </w:r>
          </w:p>
        </w:tc>
        <w:tc>
          <w:tcPr>
            <w:tcW w:w="1276" w:type="dxa"/>
            <w:vAlign w:val="center"/>
          </w:tcPr>
          <w:p>
            <w:pPr>
              <w:spacing w:line="360" w:lineRule="auto"/>
              <w:jc w:val="left"/>
              <w:rPr>
                <w:rFonts w:ascii="宋体" w:cs="宋体"/>
                <w:sz w:val="24"/>
              </w:rPr>
            </w:pPr>
            <w:r>
              <w:rPr>
                <w:rFonts w:hint="eastAsia" w:ascii="宋体" w:hAnsi="宋体" w:cs="宋体"/>
                <w:sz w:val="24"/>
              </w:rPr>
              <w:t>单价</w:t>
            </w:r>
          </w:p>
        </w:tc>
        <w:tc>
          <w:tcPr>
            <w:tcW w:w="2126" w:type="dxa"/>
            <w:vAlign w:val="center"/>
          </w:tcPr>
          <w:p>
            <w:pPr>
              <w:spacing w:line="360" w:lineRule="auto"/>
              <w:jc w:val="left"/>
              <w:rPr>
                <w:rFonts w:ascii="宋体" w:cs="宋体"/>
                <w:sz w:val="24"/>
              </w:rPr>
            </w:pPr>
            <w:r>
              <w:rPr>
                <w:rFonts w:hint="eastAsia" w:ascii="宋体" w:hAnsi="宋体" w:cs="宋体"/>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41" w:type="dxa"/>
            <w:vAlign w:val="center"/>
          </w:tcPr>
          <w:p>
            <w:pPr>
              <w:spacing w:line="360" w:lineRule="auto"/>
              <w:jc w:val="left"/>
              <w:rPr>
                <w:rFonts w:ascii="宋体" w:cs="宋体"/>
                <w:sz w:val="24"/>
              </w:rPr>
            </w:pPr>
            <w:r>
              <w:rPr>
                <w:rFonts w:ascii="宋体" w:hAnsi="宋体" w:cs="宋体"/>
                <w:sz w:val="24"/>
              </w:rPr>
              <w:t>1</w:t>
            </w:r>
          </w:p>
        </w:tc>
        <w:tc>
          <w:tcPr>
            <w:tcW w:w="2198" w:type="dxa"/>
            <w:vAlign w:val="center"/>
          </w:tcPr>
          <w:p>
            <w:pPr>
              <w:spacing w:line="360" w:lineRule="auto"/>
              <w:jc w:val="left"/>
              <w:rPr>
                <w:rFonts w:ascii="宋体" w:cs="宋体"/>
                <w:sz w:val="24"/>
              </w:rPr>
            </w:pPr>
          </w:p>
        </w:tc>
        <w:tc>
          <w:tcPr>
            <w:tcW w:w="1584" w:type="dxa"/>
            <w:vAlign w:val="center"/>
          </w:tcPr>
          <w:p>
            <w:pPr>
              <w:spacing w:line="360" w:lineRule="auto"/>
              <w:jc w:val="left"/>
              <w:rPr>
                <w:rFonts w:ascii="宋体" w:cs="宋体"/>
                <w:sz w:val="24"/>
              </w:rPr>
            </w:pPr>
          </w:p>
        </w:tc>
        <w:tc>
          <w:tcPr>
            <w:tcW w:w="1276" w:type="dxa"/>
            <w:vAlign w:val="center"/>
          </w:tcPr>
          <w:p>
            <w:pPr>
              <w:spacing w:line="360" w:lineRule="auto"/>
              <w:jc w:val="left"/>
              <w:rPr>
                <w:rFonts w:ascii="宋体" w:cs="宋体"/>
                <w:sz w:val="24"/>
              </w:rPr>
            </w:pPr>
          </w:p>
        </w:tc>
        <w:tc>
          <w:tcPr>
            <w:tcW w:w="2126" w:type="dxa"/>
            <w:vAlign w:val="center"/>
          </w:tcPr>
          <w:p>
            <w:pPr>
              <w:spacing w:line="360" w:lineRule="auto"/>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41" w:type="dxa"/>
            <w:vAlign w:val="center"/>
          </w:tcPr>
          <w:p>
            <w:pPr>
              <w:spacing w:line="360" w:lineRule="auto"/>
              <w:jc w:val="left"/>
              <w:rPr>
                <w:rFonts w:ascii="宋体" w:cs="宋体"/>
                <w:sz w:val="24"/>
              </w:rPr>
            </w:pPr>
            <w:r>
              <w:rPr>
                <w:rFonts w:ascii="宋体" w:hAnsi="宋体" w:cs="宋体"/>
                <w:sz w:val="24"/>
              </w:rPr>
              <w:t>2</w:t>
            </w:r>
          </w:p>
        </w:tc>
        <w:tc>
          <w:tcPr>
            <w:tcW w:w="2198" w:type="dxa"/>
            <w:vAlign w:val="center"/>
          </w:tcPr>
          <w:p>
            <w:pPr>
              <w:spacing w:line="360" w:lineRule="auto"/>
              <w:jc w:val="left"/>
              <w:rPr>
                <w:rFonts w:ascii="宋体" w:cs="宋体"/>
                <w:sz w:val="24"/>
              </w:rPr>
            </w:pPr>
          </w:p>
        </w:tc>
        <w:tc>
          <w:tcPr>
            <w:tcW w:w="1584" w:type="dxa"/>
            <w:vAlign w:val="center"/>
          </w:tcPr>
          <w:p>
            <w:pPr>
              <w:spacing w:line="360" w:lineRule="auto"/>
              <w:jc w:val="left"/>
              <w:rPr>
                <w:rFonts w:ascii="宋体" w:cs="宋体"/>
                <w:sz w:val="24"/>
              </w:rPr>
            </w:pPr>
          </w:p>
        </w:tc>
        <w:tc>
          <w:tcPr>
            <w:tcW w:w="1276" w:type="dxa"/>
            <w:vAlign w:val="center"/>
          </w:tcPr>
          <w:p>
            <w:pPr>
              <w:spacing w:line="360" w:lineRule="auto"/>
              <w:jc w:val="left"/>
              <w:rPr>
                <w:rFonts w:ascii="宋体" w:cs="宋体"/>
                <w:sz w:val="24"/>
              </w:rPr>
            </w:pPr>
          </w:p>
        </w:tc>
        <w:tc>
          <w:tcPr>
            <w:tcW w:w="2126" w:type="dxa"/>
            <w:vAlign w:val="center"/>
          </w:tcPr>
          <w:p>
            <w:pPr>
              <w:spacing w:line="360" w:lineRule="auto"/>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1441" w:type="dxa"/>
            <w:vAlign w:val="center"/>
          </w:tcPr>
          <w:p>
            <w:pPr>
              <w:spacing w:line="360" w:lineRule="auto"/>
              <w:jc w:val="left"/>
              <w:rPr>
                <w:rFonts w:ascii="宋体" w:cs="宋体"/>
                <w:sz w:val="24"/>
              </w:rPr>
            </w:pPr>
            <w:r>
              <w:rPr>
                <w:rFonts w:ascii="宋体" w:hAnsi="宋体" w:cs="宋体"/>
                <w:sz w:val="24"/>
              </w:rPr>
              <w:t>3</w:t>
            </w:r>
          </w:p>
        </w:tc>
        <w:tc>
          <w:tcPr>
            <w:tcW w:w="2198" w:type="dxa"/>
            <w:vAlign w:val="center"/>
          </w:tcPr>
          <w:p>
            <w:pPr>
              <w:spacing w:line="360" w:lineRule="auto"/>
              <w:jc w:val="left"/>
              <w:rPr>
                <w:rFonts w:ascii="宋体" w:cs="宋体"/>
                <w:sz w:val="24"/>
              </w:rPr>
            </w:pPr>
            <w:r>
              <w:rPr>
                <w:rFonts w:hint="eastAsia" w:ascii="宋体" w:hAnsi="宋体" w:cs="宋体"/>
                <w:sz w:val="24"/>
              </w:rPr>
              <w:t>其他费用</w:t>
            </w:r>
          </w:p>
        </w:tc>
        <w:tc>
          <w:tcPr>
            <w:tcW w:w="4986" w:type="dxa"/>
            <w:gridSpan w:val="3"/>
            <w:vAlign w:val="center"/>
          </w:tcPr>
          <w:p>
            <w:pPr>
              <w:spacing w:line="360" w:lineRule="auto"/>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41" w:type="dxa"/>
            <w:vAlign w:val="center"/>
          </w:tcPr>
          <w:p>
            <w:pPr>
              <w:spacing w:line="360" w:lineRule="auto"/>
              <w:jc w:val="left"/>
              <w:rPr>
                <w:rFonts w:ascii="宋体" w:cs="宋体"/>
                <w:sz w:val="24"/>
              </w:rPr>
            </w:pPr>
            <w:r>
              <w:rPr>
                <w:rFonts w:hint="eastAsia" w:ascii="宋体" w:hAnsi="宋体" w:cs="宋体"/>
                <w:sz w:val="24"/>
              </w:rPr>
              <w:t>总计</w:t>
            </w:r>
          </w:p>
        </w:tc>
        <w:tc>
          <w:tcPr>
            <w:tcW w:w="7184" w:type="dxa"/>
            <w:gridSpan w:val="4"/>
            <w:vAlign w:val="center"/>
          </w:tcPr>
          <w:p>
            <w:pPr>
              <w:spacing w:line="360" w:lineRule="auto"/>
              <w:jc w:val="left"/>
              <w:rPr>
                <w:rFonts w:ascii="宋体" w:cs="宋体"/>
                <w:sz w:val="24"/>
              </w:rPr>
            </w:pPr>
            <w:r>
              <w:rPr>
                <w:rFonts w:hint="eastAsia" w:ascii="宋体" w:hAnsi="宋体" w:cs="宋体"/>
                <w:sz w:val="24"/>
              </w:rPr>
              <w:t>小写</w:t>
            </w:r>
            <w:r>
              <w:rPr>
                <w:rFonts w:ascii="宋体" w:hAnsi="宋体" w:cs="宋体"/>
                <w:sz w:val="24"/>
              </w:rPr>
              <w:t xml:space="preserve">:                                  </w:t>
            </w:r>
          </w:p>
          <w:p>
            <w:pPr>
              <w:spacing w:line="360" w:lineRule="auto"/>
              <w:jc w:val="left"/>
              <w:rPr>
                <w:rFonts w:ascii="宋体" w:cs="宋体"/>
                <w:sz w:val="24"/>
              </w:rPr>
            </w:pPr>
            <w:r>
              <w:rPr>
                <w:rFonts w:hint="eastAsia" w:ascii="宋体" w:hAnsi="宋体" w:cs="宋体"/>
                <w:sz w:val="24"/>
              </w:rPr>
              <w:t>大写</w:t>
            </w:r>
            <w:r>
              <w:rPr>
                <w:rFonts w:ascii="宋体" w:hAnsi="宋体" w:cs="宋体"/>
                <w:sz w:val="24"/>
              </w:rPr>
              <w:t>:</w:t>
            </w:r>
          </w:p>
        </w:tc>
      </w:tr>
    </w:tbl>
    <w:p>
      <w:pPr>
        <w:spacing w:line="360" w:lineRule="auto"/>
        <w:jc w:val="left"/>
        <w:rPr>
          <w:rFonts w:ascii="宋体" w:cs="宋体"/>
          <w:sz w:val="24"/>
        </w:rPr>
      </w:pPr>
    </w:p>
    <w:p>
      <w:pPr>
        <w:spacing w:line="360" w:lineRule="auto"/>
        <w:jc w:val="left"/>
        <w:rPr>
          <w:rFonts w:ascii="宋体" w:cs="宋体"/>
          <w:sz w:val="24"/>
        </w:rPr>
      </w:pPr>
    </w:p>
    <w:p>
      <w:pPr>
        <w:spacing w:line="360" w:lineRule="auto"/>
        <w:jc w:val="left"/>
        <w:rPr>
          <w:rFonts w:ascii="宋体" w:cs="宋体"/>
          <w:sz w:val="24"/>
        </w:rPr>
      </w:pPr>
      <w:r>
        <w:rPr>
          <w:rFonts w:hint="eastAsia" w:ascii="宋体" w:hAnsi="宋体" w:cs="宋体"/>
          <w:sz w:val="24"/>
        </w:rPr>
        <w:t>投标人法定代表人或代理人（盖章或签字）：</w:t>
      </w:r>
    </w:p>
    <w:p>
      <w:pPr>
        <w:spacing w:line="360" w:lineRule="auto"/>
        <w:jc w:val="left"/>
        <w:rPr>
          <w:rFonts w:ascii="宋体" w:cs="宋体"/>
          <w:sz w:val="24"/>
        </w:rPr>
      </w:pPr>
    </w:p>
    <w:p>
      <w:pPr>
        <w:spacing w:line="360" w:lineRule="auto"/>
        <w:jc w:val="left"/>
        <w:rPr>
          <w:rFonts w:ascii="宋体" w:cs="宋体"/>
          <w:sz w:val="24"/>
        </w:rPr>
      </w:pPr>
      <w:r>
        <w:rPr>
          <w:rFonts w:hint="eastAsia" w:ascii="宋体" w:hAnsi="宋体" w:cs="宋体"/>
          <w:sz w:val="24"/>
        </w:rPr>
        <w:t>投标人盖章：</w:t>
      </w:r>
      <w:r>
        <w:rPr>
          <w:rFonts w:ascii="宋体" w:hAnsi="宋体" w:cs="宋体"/>
          <w:sz w:val="24"/>
        </w:rPr>
        <w:t xml:space="preserve">                                       </w:t>
      </w:r>
    </w:p>
    <w:p>
      <w:pPr>
        <w:spacing w:line="360" w:lineRule="auto"/>
        <w:jc w:val="left"/>
        <w:rPr>
          <w:rFonts w:ascii="宋体" w:cs="宋体"/>
          <w:sz w:val="24"/>
        </w:rPr>
      </w:pPr>
    </w:p>
    <w:p>
      <w:pPr>
        <w:spacing w:line="360" w:lineRule="auto"/>
        <w:jc w:val="left"/>
        <w:rPr>
          <w:rFonts w:ascii="宋体" w:cs="宋体"/>
          <w:sz w:val="24"/>
        </w:rPr>
      </w:pPr>
    </w:p>
    <w:p>
      <w:pPr>
        <w:spacing w:line="360" w:lineRule="auto"/>
        <w:jc w:val="right"/>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spacing w:line="360" w:lineRule="auto"/>
        <w:jc w:val="left"/>
        <w:rPr>
          <w:rFonts w:ascii="宋体" w:cs="宋体"/>
          <w:sz w:val="24"/>
        </w:rPr>
      </w:pPr>
    </w:p>
    <w:p>
      <w:pPr>
        <w:spacing w:line="360" w:lineRule="auto"/>
        <w:jc w:val="left"/>
        <w:rPr>
          <w:rFonts w:ascii="宋体" w:cs="宋体"/>
          <w:sz w:val="24"/>
        </w:rPr>
      </w:pPr>
    </w:p>
    <w:p>
      <w:pPr>
        <w:spacing w:line="360" w:lineRule="auto"/>
        <w:jc w:val="left"/>
        <w:rPr>
          <w:rFonts w:ascii="宋体" w:cs="宋体"/>
          <w:sz w:val="24"/>
        </w:rPr>
      </w:pPr>
      <w:r>
        <w:rPr>
          <w:rFonts w:hint="eastAsia" w:ascii="宋体" w:hAnsi="宋体" w:cs="宋体"/>
          <w:sz w:val="24"/>
        </w:rPr>
        <w:t>注：上述报价包含一切由供方承担的费用；</w:t>
      </w:r>
    </w:p>
    <w:p>
      <w:pPr>
        <w:widowControl/>
        <w:spacing w:line="360" w:lineRule="auto"/>
        <w:jc w:val="left"/>
        <w:rPr>
          <w:rFonts w:ascii="宋体" w:cs="宋体"/>
          <w:b/>
          <w:sz w:val="24"/>
        </w:rPr>
      </w:pPr>
      <w:r>
        <w:rPr>
          <w:rFonts w:ascii="宋体" w:cs="宋体"/>
          <w:b/>
          <w:sz w:val="24"/>
        </w:rPr>
        <w:br w:type="page"/>
      </w:r>
    </w:p>
    <w:p>
      <w:pPr>
        <w:spacing w:line="360" w:lineRule="auto"/>
        <w:jc w:val="center"/>
        <w:rPr>
          <w:rFonts w:ascii="宋体" w:cs="宋体"/>
          <w:b/>
          <w:sz w:val="24"/>
        </w:rPr>
      </w:pPr>
      <w:r>
        <w:rPr>
          <w:rFonts w:hint="eastAsia" w:ascii="宋体" w:hAnsi="宋体" w:cs="宋体"/>
          <w:b/>
          <w:sz w:val="24"/>
        </w:rPr>
        <w:t>单价分析表</w:t>
      </w:r>
    </w:p>
    <w:p>
      <w:pPr>
        <w:spacing w:line="360" w:lineRule="auto"/>
        <w:rPr>
          <w:rFonts w:hint="eastAsia" w:ascii="宋体" w:hAnsi="宋体" w:cs="宋体"/>
          <w:sz w:val="24"/>
        </w:rPr>
      </w:pPr>
      <w:r>
        <w:rPr>
          <w:rFonts w:hint="eastAsia" w:ascii="宋体" w:hAnsi="宋体" w:cs="宋体"/>
          <w:sz w:val="24"/>
        </w:rPr>
        <w:t>项目名称：</w:t>
      </w:r>
    </w:p>
    <w:p>
      <w:pPr>
        <w:spacing w:line="360" w:lineRule="auto"/>
        <w:rPr>
          <w:rFonts w:ascii="宋体" w:cs="宋体"/>
          <w:sz w:val="24"/>
        </w:rPr>
      </w:pPr>
      <w:r>
        <w:rPr>
          <w:rFonts w:hint="eastAsia" w:ascii="宋体" w:hAnsi="宋体" w:cs="宋体"/>
          <w:sz w:val="24"/>
        </w:rPr>
        <w:t xml:space="preserve">标项名称： </w:t>
      </w:r>
      <w:r>
        <w:rPr>
          <w:rFonts w:ascii="宋体" w:hAnsi="宋体" w:cs="宋体"/>
          <w:sz w:val="24"/>
        </w:rPr>
        <w:t xml:space="preserve">                      </w:t>
      </w:r>
      <w:r>
        <w:rPr>
          <w:rFonts w:hint="eastAsia" w:ascii="宋体" w:hAnsi="宋体" w:cs="宋体"/>
          <w:sz w:val="24"/>
        </w:rPr>
        <w:t>项目编号：</w:t>
      </w:r>
      <w:r>
        <w:rPr>
          <w:rFonts w:ascii="宋体" w:hAnsi="宋体" w:cs="宋体"/>
          <w:sz w:val="24"/>
        </w:rPr>
        <w:t xml:space="preserve">                     </w:t>
      </w:r>
    </w:p>
    <w:tbl>
      <w:tblPr>
        <w:tblStyle w:val="47"/>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000"/>
        <w:gridCol w:w="1374"/>
        <w:gridCol w:w="1417"/>
        <w:gridCol w:w="1560"/>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9" w:type="dxa"/>
            <w:vAlign w:val="center"/>
          </w:tcPr>
          <w:p>
            <w:pPr>
              <w:spacing w:line="360" w:lineRule="auto"/>
              <w:jc w:val="center"/>
              <w:rPr>
                <w:rFonts w:ascii="宋体" w:cs="宋体"/>
                <w:sz w:val="24"/>
              </w:rPr>
            </w:pPr>
            <w:r>
              <w:rPr>
                <w:rFonts w:hint="eastAsia" w:ascii="宋体" w:hAnsi="宋体" w:cs="宋体"/>
                <w:sz w:val="24"/>
              </w:rPr>
              <w:t>序号</w:t>
            </w:r>
          </w:p>
        </w:tc>
        <w:tc>
          <w:tcPr>
            <w:tcW w:w="2000" w:type="dxa"/>
            <w:vAlign w:val="center"/>
          </w:tcPr>
          <w:p>
            <w:pPr>
              <w:spacing w:line="360" w:lineRule="auto"/>
              <w:jc w:val="center"/>
              <w:rPr>
                <w:rFonts w:ascii="宋体" w:cs="宋体"/>
                <w:sz w:val="24"/>
              </w:rPr>
            </w:pPr>
            <w:r>
              <w:rPr>
                <w:rFonts w:ascii="宋体" w:cs="宋体"/>
                <w:sz w:val="24"/>
              </w:rPr>
              <w:t>岗位</w:t>
            </w:r>
          </w:p>
        </w:tc>
        <w:tc>
          <w:tcPr>
            <w:tcW w:w="1374" w:type="dxa"/>
            <w:vAlign w:val="center"/>
          </w:tcPr>
          <w:p>
            <w:pPr>
              <w:spacing w:line="360" w:lineRule="auto"/>
              <w:jc w:val="center"/>
              <w:rPr>
                <w:rFonts w:ascii="宋体" w:cs="宋体"/>
                <w:sz w:val="24"/>
              </w:rPr>
            </w:pPr>
            <w:r>
              <w:rPr>
                <w:rFonts w:hint="eastAsia" w:ascii="宋体" w:hAnsi="宋体" w:cs="宋体"/>
                <w:sz w:val="24"/>
              </w:rPr>
              <w:t>工作内容</w:t>
            </w:r>
          </w:p>
        </w:tc>
        <w:tc>
          <w:tcPr>
            <w:tcW w:w="1417" w:type="dxa"/>
            <w:vAlign w:val="center"/>
          </w:tcPr>
          <w:p>
            <w:pPr>
              <w:spacing w:line="360" w:lineRule="auto"/>
              <w:jc w:val="center"/>
              <w:rPr>
                <w:rFonts w:ascii="宋体" w:hAnsi="宋体" w:cs="宋体"/>
                <w:sz w:val="24"/>
              </w:rPr>
            </w:pPr>
            <w:r>
              <w:rPr>
                <w:rFonts w:hint="eastAsia" w:ascii="宋体" w:hAnsi="宋体" w:cs="宋体"/>
                <w:sz w:val="24"/>
              </w:rPr>
              <w:t>人数</w:t>
            </w:r>
          </w:p>
        </w:tc>
        <w:tc>
          <w:tcPr>
            <w:tcW w:w="1560" w:type="dxa"/>
            <w:vAlign w:val="center"/>
          </w:tcPr>
          <w:p>
            <w:pPr>
              <w:spacing w:line="360" w:lineRule="auto"/>
              <w:jc w:val="center"/>
              <w:rPr>
                <w:rFonts w:ascii="宋体" w:cs="宋体"/>
                <w:sz w:val="24"/>
              </w:rPr>
            </w:pPr>
            <w:r>
              <w:rPr>
                <w:rFonts w:hint="eastAsia" w:ascii="宋体" w:hAnsi="宋体" w:cs="宋体"/>
                <w:sz w:val="24"/>
              </w:rPr>
              <w:t>单位</w:t>
            </w:r>
          </w:p>
        </w:tc>
        <w:tc>
          <w:tcPr>
            <w:tcW w:w="2125" w:type="dxa"/>
            <w:vAlign w:val="center"/>
          </w:tcPr>
          <w:p>
            <w:pPr>
              <w:spacing w:line="360" w:lineRule="auto"/>
              <w:jc w:val="center"/>
              <w:rPr>
                <w:rFonts w:ascii="宋体" w:cs="宋体"/>
                <w:sz w:val="24"/>
              </w:rPr>
            </w:pPr>
            <w:r>
              <w:rPr>
                <w:rFonts w:hint="eastAsia" w:ascii="宋体" w:hAnsi="宋体" w:cs="宋体"/>
                <w:sz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9" w:type="dxa"/>
            <w:vAlign w:val="center"/>
          </w:tcPr>
          <w:p>
            <w:pPr>
              <w:spacing w:line="360" w:lineRule="auto"/>
              <w:jc w:val="center"/>
              <w:rPr>
                <w:rFonts w:ascii="宋体" w:cs="宋体"/>
                <w:sz w:val="24"/>
              </w:rPr>
            </w:pPr>
            <w:r>
              <w:rPr>
                <w:rFonts w:ascii="宋体" w:hAnsi="宋体" w:cs="宋体"/>
                <w:sz w:val="24"/>
              </w:rPr>
              <w:t>1</w:t>
            </w:r>
          </w:p>
        </w:tc>
        <w:tc>
          <w:tcPr>
            <w:tcW w:w="2000" w:type="dxa"/>
            <w:vAlign w:val="center"/>
          </w:tcPr>
          <w:p>
            <w:pPr>
              <w:spacing w:line="360" w:lineRule="auto"/>
              <w:jc w:val="center"/>
              <w:rPr>
                <w:rFonts w:ascii="宋体" w:cs="宋体"/>
                <w:sz w:val="24"/>
              </w:rPr>
            </w:pPr>
            <w:r>
              <w:rPr>
                <w:rFonts w:ascii="宋体" w:cs="宋体"/>
                <w:sz w:val="24"/>
              </w:rPr>
              <w:t>...</w:t>
            </w:r>
          </w:p>
        </w:tc>
        <w:tc>
          <w:tcPr>
            <w:tcW w:w="1374" w:type="dxa"/>
            <w:vAlign w:val="center"/>
          </w:tcPr>
          <w:p>
            <w:pPr>
              <w:spacing w:line="360" w:lineRule="auto"/>
              <w:jc w:val="center"/>
              <w:rPr>
                <w:rFonts w:ascii="宋体" w:cs="宋体"/>
                <w:sz w:val="24"/>
              </w:rPr>
            </w:pPr>
          </w:p>
        </w:tc>
        <w:tc>
          <w:tcPr>
            <w:tcW w:w="1417" w:type="dxa"/>
          </w:tcPr>
          <w:p>
            <w:pPr>
              <w:spacing w:line="360" w:lineRule="auto"/>
              <w:jc w:val="center"/>
              <w:rPr>
                <w:rFonts w:ascii="宋体" w:cs="宋体"/>
                <w:sz w:val="24"/>
              </w:rPr>
            </w:pPr>
          </w:p>
        </w:tc>
        <w:tc>
          <w:tcPr>
            <w:tcW w:w="1560" w:type="dxa"/>
            <w:vAlign w:val="center"/>
          </w:tcPr>
          <w:p>
            <w:pPr>
              <w:spacing w:line="360" w:lineRule="auto"/>
              <w:jc w:val="center"/>
              <w:rPr>
                <w:rFonts w:ascii="宋体" w:cs="宋体"/>
                <w:sz w:val="24"/>
              </w:rPr>
            </w:pPr>
          </w:p>
        </w:tc>
        <w:tc>
          <w:tcPr>
            <w:tcW w:w="2125"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19" w:type="dxa"/>
            <w:vAlign w:val="center"/>
          </w:tcPr>
          <w:p>
            <w:pPr>
              <w:spacing w:line="360" w:lineRule="auto"/>
              <w:jc w:val="center"/>
              <w:rPr>
                <w:rFonts w:ascii="宋体" w:cs="宋体"/>
                <w:sz w:val="24"/>
              </w:rPr>
            </w:pPr>
            <w:r>
              <w:rPr>
                <w:rFonts w:ascii="宋体" w:hAnsi="宋体" w:cs="宋体"/>
                <w:sz w:val="24"/>
              </w:rPr>
              <w:t>2</w:t>
            </w:r>
          </w:p>
        </w:tc>
        <w:tc>
          <w:tcPr>
            <w:tcW w:w="2000" w:type="dxa"/>
            <w:vAlign w:val="center"/>
          </w:tcPr>
          <w:p>
            <w:pPr>
              <w:spacing w:line="360" w:lineRule="auto"/>
              <w:jc w:val="center"/>
              <w:rPr>
                <w:rFonts w:ascii="宋体" w:cs="宋体"/>
                <w:sz w:val="24"/>
              </w:rPr>
            </w:pPr>
            <w:r>
              <w:rPr>
                <w:rFonts w:ascii="宋体" w:cs="宋体"/>
                <w:sz w:val="24"/>
              </w:rPr>
              <w:t>...</w:t>
            </w:r>
          </w:p>
        </w:tc>
        <w:tc>
          <w:tcPr>
            <w:tcW w:w="1374" w:type="dxa"/>
            <w:vAlign w:val="center"/>
          </w:tcPr>
          <w:p>
            <w:pPr>
              <w:spacing w:line="360" w:lineRule="auto"/>
              <w:jc w:val="center"/>
              <w:rPr>
                <w:rFonts w:ascii="宋体" w:cs="宋体"/>
                <w:sz w:val="24"/>
              </w:rPr>
            </w:pPr>
          </w:p>
        </w:tc>
        <w:tc>
          <w:tcPr>
            <w:tcW w:w="1417" w:type="dxa"/>
          </w:tcPr>
          <w:p>
            <w:pPr>
              <w:spacing w:line="360" w:lineRule="auto"/>
              <w:jc w:val="center"/>
              <w:rPr>
                <w:rFonts w:ascii="宋体" w:cs="宋体"/>
                <w:sz w:val="24"/>
              </w:rPr>
            </w:pPr>
          </w:p>
        </w:tc>
        <w:tc>
          <w:tcPr>
            <w:tcW w:w="1560" w:type="dxa"/>
            <w:vAlign w:val="center"/>
          </w:tcPr>
          <w:p>
            <w:pPr>
              <w:spacing w:line="360" w:lineRule="auto"/>
              <w:jc w:val="center"/>
              <w:rPr>
                <w:rFonts w:ascii="宋体" w:cs="宋体"/>
                <w:sz w:val="24"/>
              </w:rPr>
            </w:pPr>
          </w:p>
        </w:tc>
        <w:tc>
          <w:tcPr>
            <w:tcW w:w="2125"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19" w:type="dxa"/>
            <w:vAlign w:val="center"/>
          </w:tcPr>
          <w:p>
            <w:pPr>
              <w:spacing w:line="360" w:lineRule="auto"/>
              <w:jc w:val="center"/>
              <w:rPr>
                <w:rFonts w:ascii="宋体" w:cs="宋体"/>
                <w:sz w:val="24"/>
              </w:rPr>
            </w:pPr>
            <w:r>
              <w:rPr>
                <w:rFonts w:ascii="宋体" w:hAnsi="宋体" w:cs="宋体"/>
                <w:sz w:val="24"/>
              </w:rPr>
              <w:t>3</w:t>
            </w:r>
          </w:p>
        </w:tc>
        <w:tc>
          <w:tcPr>
            <w:tcW w:w="2000" w:type="dxa"/>
            <w:vAlign w:val="center"/>
          </w:tcPr>
          <w:p>
            <w:pPr>
              <w:spacing w:line="360" w:lineRule="auto"/>
              <w:jc w:val="center"/>
              <w:rPr>
                <w:rFonts w:ascii="宋体" w:cs="宋体"/>
                <w:sz w:val="24"/>
              </w:rPr>
            </w:pPr>
            <w:r>
              <w:rPr>
                <w:rFonts w:ascii="宋体" w:cs="宋体"/>
                <w:sz w:val="24"/>
              </w:rPr>
              <w:t>...</w:t>
            </w:r>
          </w:p>
        </w:tc>
        <w:tc>
          <w:tcPr>
            <w:tcW w:w="1374" w:type="dxa"/>
            <w:vAlign w:val="center"/>
          </w:tcPr>
          <w:p>
            <w:pPr>
              <w:spacing w:line="360" w:lineRule="auto"/>
              <w:jc w:val="center"/>
              <w:rPr>
                <w:rFonts w:ascii="宋体" w:cs="宋体"/>
                <w:sz w:val="24"/>
              </w:rPr>
            </w:pPr>
          </w:p>
        </w:tc>
        <w:tc>
          <w:tcPr>
            <w:tcW w:w="1417" w:type="dxa"/>
          </w:tcPr>
          <w:p>
            <w:pPr>
              <w:spacing w:line="360" w:lineRule="auto"/>
              <w:jc w:val="center"/>
              <w:rPr>
                <w:rFonts w:ascii="宋体" w:cs="宋体"/>
                <w:sz w:val="24"/>
              </w:rPr>
            </w:pPr>
          </w:p>
        </w:tc>
        <w:tc>
          <w:tcPr>
            <w:tcW w:w="1560" w:type="dxa"/>
            <w:vAlign w:val="center"/>
          </w:tcPr>
          <w:p>
            <w:pPr>
              <w:spacing w:line="360" w:lineRule="auto"/>
              <w:jc w:val="center"/>
              <w:rPr>
                <w:rFonts w:ascii="宋体" w:cs="宋体"/>
                <w:sz w:val="24"/>
              </w:rPr>
            </w:pPr>
          </w:p>
        </w:tc>
        <w:tc>
          <w:tcPr>
            <w:tcW w:w="2125"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19" w:type="dxa"/>
            <w:vAlign w:val="center"/>
          </w:tcPr>
          <w:p>
            <w:pPr>
              <w:spacing w:line="360" w:lineRule="auto"/>
              <w:jc w:val="center"/>
              <w:rPr>
                <w:rFonts w:ascii="宋体" w:cs="宋体"/>
                <w:sz w:val="24"/>
              </w:rPr>
            </w:pPr>
            <w:r>
              <w:rPr>
                <w:rFonts w:ascii="宋体" w:hAnsi="宋体" w:cs="宋体"/>
                <w:sz w:val="24"/>
              </w:rPr>
              <w:t>4</w:t>
            </w:r>
          </w:p>
        </w:tc>
        <w:tc>
          <w:tcPr>
            <w:tcW w:w="2000" w:type="dxa"/>
            <w:vAlign w:val="center"/>
          </w:tcPr>
          <w:p>
            <w:pPr>
              <w:spacing w:line="360" w:lineRule="auto"/>
              <w:jc w:val="center"/>
              <w:rPr>
                <w:rFonts w:ascii="宋体" w:cs="宋体"/>
                <w:kern w:val="0"/>
                <w:szCs w:val="21"/>
              </w:rPr>
            </w:pPr>
            <w:r>
              <w:rPr>
                <w:rFonts w:ascii="宋体" w:cs="宋体"/>
                <w:sz w:val="24"/>
              </w:rPr>
              <w:t>...</w:t>
            </w:r>
          </w:p>
        </w:tc>
        <w:tc>
          <w:tcPr>
            <w:tcW w:w="1374" w:type="dxa"/>
            <w:vAlign w:val="center"/>
          </w:tcPr>
          <w:p>
            <w:pPr>
              <w:spacing w:line="360" w:lineRule="auto"/>
              <w:jc w:val="center"/>
              <w:rPr>
                <w:rFonts w:ascii="宋体" w:cs="宋体"/>
                <w:sz w:val="24"/>
              </w:rPr>
            </w:pPr>
          </w:p>
        </w:tc>
        <w:tc>
          <w:tcPr>
            <w:tcW w:w="1417" w:type="dxa"/>
          </w:tcPr>
          <w:p>
            <w:pPr>
              <w:spacing w:line="360" w:lineRule="auto"/>
              <w:jc w:val="center"/>
              <w:rPr>
                <w:rFonts w:ascii="宋体" w:cs="宋体"/>
                <w:sz w:val="24"/>
              </w:rPr>
            </w:pPr>
          </w:p>
        </w:tc>
        <w:tc>
          <w:tcPr>
            <w:tcW w:w="1560" w:type="dxa"/>
            <w:vAlign w:val="center"/>
          </w:tcPr>
          <w:p>
            <w:pPr>
              <w:spacing w:line="360" w:lineRule="auto"/>
              <w:jc w:val="center"/>
              <w:rPr>
                <w:rFonts w:ascii="宋体" w:cs="宋体"/>
                <w:sz w:val="24"/>
              </w:rPr>
            </w:pPr>
          </w:p>
        </w:tc>
        <w:tc>
          <w:tcPr>
            <w:tcW w:w="2125"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19" w:type="dxa"/>
            <w:vAlign w:val="center"/>
          </w:tcPr>
          <w:p>
            <w:pPr>
              <w:spacing w:line="360" w:lineRule="auto"/>
              <w:jc w:val="center"/>
              <w:rPr>
                <w:rFonts w:ascii="宋体" w:cs="宋体"/>
                <w:sz w:val="24"/>
              </w:rPr>
            </w:pPr>
            <w:r>
              <w:rPr>
                <w:rFonts w:ascii="宋体" w:hAnsi="宋体" w:cs="宋体"/>
                <w:sz w:val="24"/>
              </w:rPr>
              <w:t>5</w:t>
            </w:r>
          </w:p>
        </w:tc>
        <w:tc>
          <w:tcPr>
            <w:tcW w:w="2000" w:type="dxa"/>
            <w:vAlign w:val="center"/>
          </w:tcPr>
          <w:p>
            <w:pPr>
              <w:spacing w:line="360" w:lineRule="auto"/>
              <w:jc w:val="center"/>
              <w:rPr>
                <w:rFonts w:ascii="宋体" w:cs="宋体"/>
                <w:sz w:val="24"/>
              </w:rPr>
            </w:pPr>
            <w:r>
              <w:rPr>
                <w:rFonts w:ascii="宋体" w:cs="宋体"/>
                <w:sz w:val="24"/>
              </w:rPr>
              <w:t>...</w:t>
            </w:r>
          </w:p>
        </w:tc>
        <w:tc>
          <w:tcPr>
            <w:tcW w:w="1374" w:type="dxa"/>
            <w:vAlign w:val="center"/>
          </w:tcPr>
          <w:p>
            <w:pPr>
              <w:spacing w:line="360" w:lineRule="auto"/>
              <w:jc w:val="center"/>
              <w:rPr>
                <w:rFonts w:ascii="宋体" w:cs="宋体"/>
                <w:sz w:val="24"/>
              </w:rPr>
            </w:pPr>
          </w:p>
        </w:tc>
        <w:tc>
          <w:tcPr>
            <w:tcW w:w="1417" w:type="dxa"/>
          </w:tcPr>
          <w:p>
            <w:pPr>
              <w:spacing w:line="360" w:lineRule="auto"/>
              <w:jc w:val="center"/>
              <w:rPr>
                <w:rFonts w:ascii="宋体" w:cs="宋体"/>
                <w:sz w:val="24"/>
              </w:rPr>
            </w:pPr>
          </w:p>
        </w:tc>
        <w:tc>
          <w:tcPr>
            <w:tcW w:w="1560" w:type="dxa"/>
            <w:vAlign w:val="center"/>
          </w:tcPr>
          <w:p>
            <w:pPr>
              <w:spacing w:line="360" w:lineRule="auto"/>
              <w:jc w:val="center"/>
              <w:rPr>
                <w:rFonts w:ascii="宋体" w:cs="宋体"/>
                <w:sz w:val="24"/>
              </w:rPr>
            </w:pPr>
          </w:p>
        </w:tc>
        <w:tc>
          <w:tcPr>
            <w:tcW w:w="2125"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19" w:type="dxa"/>
            <w:vAlign w:val="center"/>
          </w:tcPr>
          <w:p>
            <w:pPr>
              <w:spacing w:line="360" w:lineRule="auto"/>
              <w:jc w:val="center"/>
              <w:rPr>
                <w:rFonts w:ascii="宋体" w:cs="宋体"/>
                <w:sz w:val="24"/>
              </w:rPr>
            </w:pPr>
            <w:r>
              <w:rPr>
                <w:rFonts w:ascii="宋体" w:hAnsi="宋体" w:cs="宋体"/>
                <w:sz w:val="24"/>
              </w:rPr>
              <w:t>6</w:t>
            </w:r>
          </w:p>
        </w:tc>
        <w:tc>
          <w:tcPr>
            <w:tcW w:w="2000" w:type="dxa"/>
            <w:vAlign w:val="center"/>
          </w:tcPr>
          <w:p>
            <w:pPr>
              <w:spacing w:line="360" w:lineRule="auto"/>
              <w:jc w:val="center"/>
              <w:rPr>
                <w:rFonts w:ascii="宋体" w:cs="宋体"/>
                <w:sz w:val="24"/>
              </w:rPr>
            </w:pPr>
            <w:r>
              <w:rPr>
                <w:rFonts w:ascii="宋体" w:cs="宋体"/>
                <w:sz w:val="24"/>
              </w:rPr>
              <w:t>...</w:t>
            </w:r>
          </w:p>
        </w:tc>
        <w:tc>
          <w:tcPr>
            <w:tcW w:w="1374" w:type="dxa"/>
            <w:vAlign w:val="center"/>
          </w:tcPr>
          <w:p>
            <w:pPr>
              <w:spacing w:line="360" w:lineRule="auto"/>
              <w:jc w:val="center"/>
              <w:rPr>
                <w:rFonts w:ascii="宋体" w:cs="宋体"/>
                <w:sz w:val="24"/>
              </w:rPr>
            </w:pPr>
          </w:p>
        </w:tc>
        <w:tc>
          <w:tcPr>
            <w:tcW w:w="1417" w:type="dxa"/>
          </w:tcPr>
          <w:p>
            <w:pPr>
              <w:spacing w:line="360" w:lineRule="auto"/>
              <w:jc w:val="center"/>
              <w:rPr>
                <w:rFonts w:ascii="宋体" w:cs="宋体"/>
                <w:sz w:val="24"/>
              </w:rPr>
            </w:pPr>
          </w:p>
        </w:tc>
        <w:tc>
          <w:tcPr>
            <w:tcW w:w="1560" w:type="dxa"/>
            <w:vAlign w:val="center"/>
          </w:tcPr>
          <w:p>
            <w:pPr>
              <w:spacing w:line="360" w:lineRule="auto"/>
              <w:jc w:val="center"/>
              <w:rPr>
                <w:rFonts w:ascii="宋体" w:cs="宋体"/>
                <w:sz w:val="24"/>
              </w:rPr>
            </w:pPr>
          </w:p>
        </w:tc>
        <w:tc>
          <w:tcPr>
            <w:tcW w:w="2125"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9" w:type="dxa"/>
            <w:vAlign w:val="center"/>
          </w:tcPr>
          <w:p>
            <w:pPr>
              <w:spacing w:line="360" w:lineRule="auto"/>
              <w:jc w:val="center"/>
              <w:rPr>
                <w:rFonts w:ascii="宋体" w:cs="宋体"/>
                <w:sz w:val="24"/>
              </w:rPr>
            </w:pPr>
            <w:r>
              <w:rPr>
                <w:rFonts w:ascii="宋体" w:hAnsi="宋体" w:cs="宋体"/>
                <w:sz w:val="24"/>
              </w:rPr>
              <w:t>7</w:t>
            </w:r>
          </w:p>
        </w:tc>
        <w:tc>
          <w:tcPr>
            <w:tcW w:w="2000" w:type="dxa"/>
            <w:vAlign w:val="center"/>
          </w:tcPr>
          <w:p>
            <w:pPr>
              <w:spacing w:line="360" w:lineRule="auto"/>
              <w:jc w:val="center"/>
              <w:rPr>
                <w:rFonts w:ascii="宋体" w:cs="宋体"/>
                <w:sz w:val="24"/>
              </w:rPr>
            </w:pPr>
            <w:r>
              <w:rPr>
                <w:rFonts w:ascii="宋体" w:cs="宋体"/>
                <w:sz w:val="24"/>
              </w:rPr>
              <w:t>...</w:t>
            </w:r>
          </w:p>
        </w:tc>
        <w:tc>
          <w:tcPr>
            <w:tcW w:w="1374" w:type="dxa"/>
            <w:vAlign w:val="center"/>
          </w:tcPr>
          <w:p>
            <w:pPr>
              <w:spacing w:line="360" w:lineRule="auto"/>
              <w:jc w:val="center"/>
              <w:rPr>
                <w:rFonts w:ascii="宋体" w:cs="宋体"/>
                <w:sz w:val="24"/>
              </w:rPr>
            </w:pPr>
          </w:p>
        </w:tc>
        <w:tc>
          <w:tcPr>
            <w:tcW w:w="1417" w:type="dxa"/>
          </w:tcPr>
          <w:p>
            <w:pPr>
              <w:spacing w:line="360" w:lineRule="auto"/>
              <w:jc w:val="center"/>
              <w:rPr>
                <w:rFonts w:ascii="宋体" w:cs="宋体"/>
                <w:sz w:val="24"/>
              </w:rPr>
            </w:pPr>
          </w:p>
        </w:tc>
        <w:tc>
          <w:tcPr>
            <w:tcW w:w="1560" w:type="dxa"/>
            <w:vAlign w:val="center"/>
          </w:tcPr>
          <w:p>
            <w:pPr>
              <w:spacing w:line="360" w:lineRule="auto"/>
              <w:jc w:val="center"/>
              <w:rPr>
                <w:rFonts w:ascii="宋体" w:cs="宋体"/>
                <w:sz w:val="24"/>
              </w:rPr>
            </w:pPr>
          </w:p>
        </w:tc>
        <w:tc>
          <w:tcPr>
            <w:tcW w:w="2125"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9" w:type="dxa"/>
            <w:vAlign w:val="center"/>
          </w:tcPr>
          <w:p>
            <w:pPr>
              <w:spacing w:line="360" w:lineRule="auto"/>
              <w:jc w:val="center"/>
              <w:rPr>
                <w:rFonts w:ascii="宋体" w:cs="宋体"/>
                <w:sz w:val="24"/>
              </w:rPr>
            </w:pPr>
            <w:r>
              <w:rPr>
                <w:rFonts w:ascii="宋体" w:hAnsi="宋体" w:cs="宋体"/>
                <w:sz w:val="24"/>
              </w:rPr>
              <w:t>8</w:t>
            </w:r>
          </w:p>
        </w:tc>
        <w:tc>
          <w:tcPr>
            <w:tcW w:w="2000" w:type="dxa"/>
            <w:vAlign w:val="center"/>
          </w:tcPr>
          <w:p>
            <w:pPr>
              <w:spacing w:line="360" w:lineRule="auto"/>
              <w:jc w:val="center"/>
              <w:rPr>
                <w:rFonts w:ascii="宋体" w:cs="宋体"/>
                <w:sz w:val="24"/>
              </w:rPr>
            </w:pPr>
            <w:r>
              <w:rPr>
                <w:rFonts w:ascii="宋体" w:cs="宋体"/>
                <w:sz w:val="24"/>
              </w:rPr>
              <w:t>...</w:t>
            </w:r>
          </w:p>
        </w:tc>
        <w:tc>
          <w:tcPr>
            <w:tcW w:w="1374" w:type="dxa"/>
            <w:vAlign w:val="center"/>
          </w:tcPr>
          <w:p>
            <w:pPr>
              <w:spacing w:line="360" w:lineRule="auto"/>
              <w:jc w:val="center"/>
              <w:rPr>
                <w:rFonts w:ascii="宋体" w:cs="宋体"/>
                <w:sz w:val="24"/>
              </w:rPr>
            </w:pPr>
          </w:p>
        </w:tc>
        <w:tc>
          <w:tcPr>
            <w:tcW w:w="1417" w:type="dxa"/>
          </w:tcPr>
          <w:p>
            <w:pPr>
              <w:spacing w:line="360" w:lineRule="auto"/>
              <w:jc w:val="center"/>
              <w:rPr>
                <w:rFonts w:ascii="宋体" w:cs="宋体"/>
                <w:sz w:val="24"/>
              </w:rPr>
            </w:pPr>
          </w:p>
        </w:tc>
        <w:tc>
          <w:tcPr>
            <w:tcW w:w="1560" w:type="dxa"/>
            <w:vAlign w:val="center"/>
          </w:tcPr>
          <w:p>
            <w:pPr>
              <w:spacing w:line="360" w:lineRule="auto"/>
              <w:jc w:val="center"/>
              <w:rPr>
                <w:rFonts w:ascii="宋体" w:cs="宋体"/>
                <w:sz w:val="24"/>
              </w:rPr>
            </w:pPr>
          </w:p>
        </w:tc>
        <w:tc>
          <w:tcPr>
            <w:tcW w:w="2125"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9" w:type="dxa"/>
            <w:vAlign w:val="center"/>
          </w:tcPr>
          <w:p>
            <w:pPr>
              <w:spacing w:line="360" w:lineRule="auto"/>
              <w:jc w:val="center"/>
              <w:rPr>
                <w:rFonts w:ascii="宋体" w:cs="宋体"/>
                <w:sz w:val="24"/>
              </w:rPr>
            </w:pPr>
            <w:r>
              <w:rPr>
                <w:rFonts w:ascii="宋体" w:hAnsi="宋体" w:cs="宋体"/>
                <w:sz w:val="24"/>
              </w:rPr>
              <w:t>9</w:t>
            </w:r>
          </w:p>
        </w:tc>
        <w:tc>
          <w:tcPr>
            <w:tcW w:w="2000" w:type="dxa"/>
            <w:vAlign w:val="center"/>
          </w:tcPr>
          <w:p>
            <w:pPr>
              <w:spacing w:line="360" w:lineRule="auto"/>
              <w:jc w:val="center"/>
              <w:rPr>
                <w:rFonts w:ascii="宋体" w:cs="宋体"/>
                <w:sz w:val="24"/>
              </w:rPr>
            </w:pPr>
            <w:r>
              <w:rPr>
                <w:rFonts w:hint="eastAsia" w:ascii="宋体" w:hAnsi="宋体" w:cs="宋体"/>
                <w:sz w:val="24"/>
              </w:rPr>
              <w:t>其他费用</w:t>
            </w:r>
          </w:p>
        </w:tc>
        <w:tc>
          <w:tcPr>
            <w:tcW w:w="1374" w:type="dxa"/>
            <w:vAlign w:val="center"/>
          </w:tcPr>
          <w:p>
            <w:pPr>
              <w:spacing w:line="360" w:lineRule="auto"/>
              <w:jc w:val="center"/>
              <w:rPr>
                <w:rFonts w:ascii="宋体" w:cs="宋体"/>
                <w:sz w:val="24"/>
              </w:rPr>
            </w:pPr>
          </w:p>
        </w:tc>
        <w:tc>
          <w:tcPr>
            <w:tcW w:w="1417" w:type="dxa"/>
          </w:tcPr>
          <w:p>
            <w:pPr>
              <w:spacing w:line="360" w:lineRule="auto"/>
              <w:jc w:val="center"/>
              <w:rPr>
                <w:rFonts w:ascii="宋体" w:cs="宋体"/>
                <w:sz w:val="24"/>
              </w:rPr>
            </w:pPr>
          </w:p>
        </w:tc>
        <w:tc>
          <w:tcPr>
            <w:tcW w:w="1560" w:type="dxa"/>
            <w:vAlign w:val="center"/>
          </w:tcPr>
          <w:p>
            <w:pPr>
              <w:spacing w:line="360" w:lineRule="auto"/>
              <w:jc w:val="center"/>
              <w:rPr>
                <w:rFonts w:ascii="宋体" w:cs="宋体"/>
                <w:sz w:val="24"/>
              </w:rPr>
            </w:pPr>
          </w:p>
        </w:tc>
        <w:tc>
          <w:tcPr>
            <w:tcW w:w="2125"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9" w:type="dxa"/>
            <w:vAlign w:val="center"/>
          </w:tcPr>
          <w:p>
            <w:pPr>
              <w:spacing w:line="360" w:lineRule="auto"/>
              <w:jc w:val="center"/>
              <w:rPr>
                <w:rFonts w:ascii="宋体" w:cs="宋体"/>
                <w:sz w:val="24"/>
              </w:rPr>
            </w:pPr>
          </w:p>
        </w:tc>
        <w:tc>
          <w:tcPr>
            <w:tcW w:w="2000" w:type="dxa"/>
            <w:vAlign w:val="center"/>
          </w:tcPr>
          <w:p>
            <w:pPr>
              <w:spacing w:line="360" w:lineRule="auto"/>
              <w:jc w:val="center"/>
              <w:rPr>
                <w:rFonts w:ascii="宋体" w:cs="宋体"/>
                <w:sz w:val="24"/>
              </w:rPr>
            </w:pPr>
          </w:p>
        </w:tc>
        <w:tc>
          <w:tcPr>
            <w:tcW w:w="1374" w:type="dxa"/>
            <w:vAlign w:val="center"/>
          </w:tcPr>
          <w:p>
            <w:pPr>
              <w:spacing w:line="360" w:lineRule="auto"/>
              <w:jc w:val="center"/>
              <w:rPr>
                <w:rFonts w:ascii="宋体" w:cs="宋体"/>
                <w:sz w:val="24"/>
              </w:rPr>
            </w:pPr>
          </w:p>
        </w:tc>
        <w:tc>
          <w:tcPr>
            <w:tcW w:w="1417" w:type="dxa"/>
          </w:tcPr>
          <w:p>
            <w:pPr>
              <w:spacing w:line="360" w:lineRule="auto"/>
              <w:jc w:val="center"/>
              <w:rPr>
                <w:rFonts w:ascii="宋体" w:cs="宋体"/>
                <w:sz w:val="24"/>
              </w:rPr>
            </w:pPr>
          </w:p>
        </w:tc>
        <w:tc>
          <w:tcPr>
            <w:tcW w:w="1560" w:type="dxa"/>
            <w:vAlign w:val="center"/>
          </w:tcPr>
          <w:p>
            <w:pPr>
              <w:spacing w:line="360" w:lineRule="auto"/>
              <w:jc w:val="center"/>
              <w:rPr>
                <w:rFonts w:ascii="宋体" w:cs="宋体"/>
                <w:sz w:val="24"/>
              </w:rPr>
            </w:pPr>
          </w:p>
        </w:tc>
        <w:tc>
          <w:tcPr>
            <w:tcW w:w="2125"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419" w:type="dxa"/>
            <w:vAlign w:val="center"/>
          </w:tcPr>
          <w:p>
            <w:pPr>
              <w:spacing w:line="360" w:lineRule="auto"/>
              <w:jc w:val="center"/>
              <w:rPr>
                <w:rFonts w:ascii="宋体" w:cs="宋体"/>
                <w:sz w:val="24"/>
              </w:rPr>
            </w:pPr>
            <w:r>
              <w:rPr>
                <w:rFonts w:hint="eastAsia" w:ascii="宋体" w:hAnsi="宋体" w:cs="宋体"/>
                <w:sz w:val="24"/>
              </w:rPr>
              <w:t>总计</w:t>
            </w:r>
          </w:p>
        </w:tc>
        <w:tc>
          <w:tcPr>
            <w:tcW w:w="8476" w:type="dxa"/>
            <w:gridSpan w:val="5"/>
          </w:tcPr>
          <w:p>
            <w:pPr>
              <w:spacing w:line="360" w:lineRule="auto"/>
              <w:rPr>
                <w:rFonts w:ascii="宋体" w:cs="宋体"/>
                <w:sz w:val="24"/>
              </w:rPr>
            </w:pPr>
            <w:r>
              <w:rPr>
                <w:rFonts w:hint="eastAsia" w:ascii="宋体" w:hAnsi="宋体" w:cs="宋体"/>
                <w:sz w:val="24"/>
              </w:rPr>
              <w:t>小写</w:t>
            </w:r>
            <w:r>
              <w:rPr>
                <w:rFonts w:ascii="宋体" w:hAnsi="宋体" w:cs="宋体"/>
                <w:sz w:val="24"/>
              </w:rPr>
              <w:t>:</w:t>
            </w:r>
          </w:p>
          <w:p>
            <w:pPr>
              <w:spacing w:line="360" w:lineRule="auto"/>
              <w:rPr>
                <w:rFonts w:ascii="宋体" w:cs="宋体"/>
                <w:sz w:val="24"/>
              </w:rPr>
            </w:pPr>
            <w:r>
              <w:rPr>
                <w:rFonts w:hint="eastAsia" w:ascii="宋体" w:hAnsi="宋体" w:cs="宋体"/>
                <w:sz w:val="24"/>
              </w:rPr>
              <w:t>大写</w:t>
            </w:r>
          </w:p>
        </w:tc>
      </w:tr>
    </w:tbl>
    <w:p>
      <w:pPr>
        <w:spacing w:line="360" w:lineRule="auto"/>
        <w:rPr>
          <w:rFonts w:ascii="宋体" w:hAnsi="宋体" w:cs="宋体"/>
          <w:sz w:val="24"/>
        </w:rPr>
      </w:pPr>
      <w:r>
        <w:rPr>
          <w:rFonts w:hint="eastAsia" w:ascii="宋体" w:hAnsi="宋体" w:cs="宋体"/>
          <w:sz w:val="24"/>
        </w:rPr>
        <w:t>注：本表必须完整填写。表中内容必须做分析，不得缺项，表中内容不限于上述内容在此基础上可以增项做分析，此表可扩展。</w:t>
      </w:r>
    </w:p>
    <w:p>
      <w:pPr>
        <w:pStyle w:val="21"/>
      </w:pPr>
    </w:p>
    <w:p>
      <w:pPr>
        <w:pStyle w:val="21"/>
        <w:sectPr>
          <w:footerReference r:id="rId9" w:type="default"/>
          <w:pgSz w:w="11907" w:h="16840"/>
          <w:pgMar w:top="1440" w:right="1469" w:bottom="1440" w:left="1622" w:header="851" w:footer="992" w:gutter="0"/>
          <w:pgBorders>
            <w:top w:val="none" w:sz="0" w:space="0"/>
            <w:left w:val="none" w:sz="0" w:space="0"/>
            <w:bottom w:val="none" w:sz="0" w:space="0"/>
            <w:right w:val="none" w:sz="0" w:space="0"/>
          </w:pgBorders>
          <w:cols w:space="720" w:num="1"/>
          <w:docGrid w:linePitch="312" w:charSpace="0"/>
        </w:sectPr>
      </w:pPr>
    </w:p>
    <w:p>
      <w:pPr>
        <w:pStyle w:val="6"/>
        <w:rPr>
          <w:rFonts w:ascii="宋体" w:cs="宋体"/>
          <w:bCs w:val="0"/>
          <w:sz w:val="32"/>
          <w:szCs w:val="24"/>
        </w:rPr>
      </w:pPr>
      <w:bookmarkStart w:id="208" w:name="_Toc44705072"/>
      <w:bookmarkStart w:id="209" w:name="_Toc44704925"/>
      <w:bookmarkStart w:id="210" w:name="_Toc44705293"/>
      <w:r>
        <w:rPr>
          <w:rFonts w:ascii="宋体" w:hAnsi="宋体" w:cs="宋体"/>
          <w:bCs w:val="0"/>
          <w:sz w:val="32"/>
          <w:szCs w:val="24"/>
        </w:rPr>
        <w:t>2.4</w:t>
      </w:r>
      <w:r>
        <w:rPr>
          <w:rFonts w:hint="eastAsia" w:ascii="宋体" w:hAnsi="宋体" w:cs="宋体"/>
          <w:bCs w:val="0"/>
          <w:sz w:val="32"/>
          <w:szCs w:val="24"/>
        </w:rPr>
        <w:t>、服务需求偏离表格式</w:t>
      </w:r>
      <w:bookmarkEnd w:id="208"/>
      <w:bookmarkEnd w:id="209"/>
      <w:bookmarkEnd w:id="210"/>
    </w:p>
    <w:p>
      <w:pPr>
        <w:spacing w:line="360" w:lineRule="auto"/>
        <w:jc w:val="center"/>
        <w:rPr>
          <w:rFonts w:ascii="宋体" w:cs="宋体"/>
          <w:b/>
          <w:bCs/>
          <w:sz w:val="32"/>
          <w:szCs w:val="32"/>
        </w:rPr>
      </w:pPr>
      <w:r>
        <w:rPr>
          <w:rFonts w:hint="eastAsia" w:ascii="宋体" w:hAnsi="宋体" w:cs="宋体"/>
          <w:b/>
          <w:bCs/>
          <w:sz w:val="32"/>
          <w:szCs w:val="32"/>
        </w:rPr>
        <w:t>服务需求偏离表</w:t>
      </w:r>
    </w:p>
    <w:p>
      <w:pPr>
        <w:spacing w:line="360" w:lineRule="auto"/>
        <w:jc w:val="center"/>
        <w:rPr>
          <w:rFonts w:ascii="宋体" w:cs="宋体"/>
          <w:b/>
          <w:bCs/>
          <w:szCs w:val="21"/>
        </w:rPr>
      </w:pP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招标编号：</w:t>
      </w: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 xml:space="preserve">项目名称：　          </w:t>
      </w: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 xml:space="preserve">标项名称： </w:t>
      </w:r>
    </w:p>
    <w:p>
      <w:pPr>
        <w:spacing w:line="360" w:lineRule="auto"/>
        <w:rPr>
          <w:rFonts w:ascii="宋体" w:cs="宋体"/>
          <w:sz w:val="24"/>
          <w:szCs w:val="24"/>
        </w:rPr>
      </w:pPr>
    </w:p>
    <w:tbl>
      <w:tblPr>
        <w:tblStyle w:val="47"/>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782"/>
        <w:gridCol w:w="1250"/>
        <w:gridCol w:w="1250"/>
        <w:gridCol w:w="1250"/>
        <w:gridCol w:w="125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45" w:type="dxa"/>
            <w:vAlign w:val="center"/>
          </w:tcPr>
          <w:p>
            <w:pPr>
              <w:spacing w:line="360" w:lineRule="auto"/>
              <w:jc w:val="center"/>
              <w:rPr>
                <w:rFonts w:ascii="宋体" w:cs="宋体"/>
                <w:sz w:val="24"/>
                <w:szCs w:val="24"/>
              </w:rPr>
            </w:pPr>
            <w:r>
              <w:rPr>
                <w:rFonts w:hint="eastAsia" w:ascii="宋体" w:hAnsi="宋体" w:cs="宋体"/>
                <w:sz w:val="24"/>
                <w:szCs w:val="24"/>
              </w:rPr>
              <w:t>序号</w:t>
            </w:r>
          </w:p>
        </w:tc>
        <w:tc>
          <w:tcPr>
            <w:tcW w:w="1782" w:type="dxa"/>
            <w:vAlign w:val="center"/>
          </w:tcPr>
          <w:p>
            <w:pPr>
              <w:spacing w:line="360" w:lineRule="auto"/>
              <w:jc w:val="center"/>
              <w:rPr>
                <w:rFonts w:ascii="宋体" w:cs="宋体"/>
                <w:sz w:val="24"/>
                <w:szCs w:val="24"/>
              </w:rPr>
            </w:pPr>
            <w:r>
              <w:rPr>
                <w:rFonts w:hint="eastAsia" w:ascii="宋体" w:hAnsi="宋体" w:cs="宋体"/>
                <w:sz w:val="24"/>
                <w:szCs w:val="24"/>
              </w:rPr>
              <w:t>标的名称</w:t>
            </w:r>
          </w:p>
        </w:tc>
        <w:tc>
          <w:tcPr>
            <w:tcW w:w="1250" w:type="dxa"/>
            <w:vAlign w:val="center"/>
          </w:tcPr>
          <w:p>
            <w:pPr>
              <w:spacing w:line="360" w:lineRule="auto"/>
              <w:jc w:val="center"/>
              <w:rPr>
                <w:rFonts w:ascii="宋体" w:cs="宋体"/>
                <w:sz w:val="24"/>
                <w:szCs w:val="24"/>
              </w:rPr>
            </w:pPr>
            <w:r>
              <w:rPr>
                <w:rFonts w:hint="eastAsia" w:ascii="宋体" w:hAnsi="宋体" w:cs="宋体"/>
                <w:sz w:val="24"/>
                <w:szCs w:val="24"/>
              </w:rPr>
              <w:t>招标文件</w:t>
            </w:r>
          </w:p>
          <w:p>
            <w:pPr>
              <w:spacing w:line="360" w:lineRule="auto"/>
              <w:jc w:val="center"/>
              <w:rPr>
                <w:rFonts w:ascii="宋体" w:cs="宋体"/>
                <w:sz w:val="24"/>
                <w:szCs w:val="24"/>
              </w:rPr>
            </w:pPr>
            <w:r>
              <w:rPr>
                <w:rFonts w:hint="eastAsia" w:ascii="宋体" w:hAnsi="宋体" w:cs="宋体"/>
                <w:sz w:val="24"/>
                <w:szCs w:val="24"/>
              </w:rPr>
              <w:t>条目号</w:t>
            </w:r>
          </w:p>
        </w:tc>
        <w:tc>
          <w:tcPr>
            <w:tcW w:w="1250" w:type="dxa"/>
            <w:vAlign w:val="center"/>
          </w:tcPr>
          <w:p>
            <w:pPr>
              <w:spacing w:line="360" w:lineRule="auto"/>
              <w:jc w:val="center"/>
              <w:rPr>
                <w:rFonts w:ascii="宋体" w:cs="宋体"/>
                <w:sz w:val="24"/>
                <w:szCs w:val="24"/>
              </w:rPr>
            </w:pPr>
            <w:r>
              <w:rPr>
                <w:rFonts w:hint="eastAsia" w:ascii="宋体" w:hAnsi="宋体" w:cs="宋体"/>
                <w:sz w:val="24"/>
                <w:szCs w:val="24"/>
              </w:rPr>
              <w:t>招标文件要求规格</w:t>
            </w:r>
          </w:p>
        </w:tc>
        <w:tc>
          <w:tcPr>
            <w:tcW w:w="1250" w:type="dxa"/>
            <w:vAlign w:val="center"/>
          </w:tcPr>
          <w:p>
            <w:pPr>
              <w:spacing w:line="360" w:lineRule="auto"/>
              <w:jc w:val="center"/>
              <w:rPr>
                <w:rFonts w:ascii="宋体" w:cs="宋体"/>
                <w:sz w:val="24"/>
                <w:szCs w:val="24"/>
              </w:rPr>
            </w:pPr>
            <w:r>
              <w:rPr>
                <w:rFonts w:hint="eastAsia" w:ascii="宋体" w:hAnsi="宋体" w:cs="宋体"/>
                <w:sz w:val="24"/>
                <w:szCs w:val="24"/>
              </w:rPr>
              <w:t>投标规格</w:t>
            </w:r>
          </w:p>
        </w:tc>
        <w:tc>
          <w:tcPr>
            <w:tcW w:w="1250" w:type="dxa"/>
            <w:vAlign w:val="center"/>
          </w:tcPr>
          <w:p>
            <w:pPr>
              <w:spacing w:line="360" w:lineRule="auto"/>
              <w:jc w:val="center"/>
              <w:rPr>
                <w:rFonts w:ascii="宋体" w:cs="宋体"/>
                <w:sz w:val="24"/>
                <w:szCs w:val="24"/>
              </w:rPr>
            </w:pPr>
            <w:r>
              <w:rPr>
                <w:rFonts w:hint="eastAsia" w:ascii="宋体" w:hAnsi="宋体" w:cs="宋体"/>
                <w:sz w:val="24"/>
                <w:szCs w:val="24"/>
              </w:rPr>
              <w:t>偏离情况</w:t>
            </w:r>
          </w:p>
        </w:tc>
        <w:tc>
          <w:tcPr>
            <w:tcW w:w="1605" w:type="dxa"/>
            <w:vAlign w:val="center"/>
          </w:tcPr>
          <w:p>
            <w:pPr>
              <w:spacing w:line="360" w:lineRule="auto"/>
              <w:jc w:val="center"/>
              <w:rPr>
                <w:rFonts w:ascii="宋体" w:cs="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bl>
    <w:p>
      <w:pPr>
        <w:spacing w:line="360" w:lineRule="auto"/>
        <w:rPr>
          <w:rFonts w:ascii="宋体" w:cs="宋体"/>
          <w:sz w:val="24"/>
          <w:szCs w:val="24"/>
          <w:u w:val="single"/>
        </w:rPr>
      </w:pPr>
      <w:r>
        <w:rPr>
          <w:rFonts w:hint="eastAsia" w:ascii="宋体" w:hAnsi="宋体" w:cs="宋体"/>
          <w:sz w:val="24"/>
          <w:szCs w:val="24"/>
        </w:rPr>
        <w:t>投标人法定代表人或授权代表（签字）：</w:t>
      </w:r>
    </w:p>
    <w:p>
      <w:pPr>
        <w:spacing w:line="360" w:lineRule="auto"/>
        <w:rPr>
          <w:rFonts w:ascii="宋体" w:cs="宋体"/>
          <w:sz w:val="24"/>
          <w:szCs w:val="24"/>
        </w:rPr>
      </w:pPr>
      <w:r>
        <w:rPr>
          <w:rFonts w:hint="eastAsia" w:ascii="宋体" w:hAnsi="宋体" w:cs="宋体"/>
          <w:sz w:val="24"/>
          <w:szCs w:val="24"/>
        </w:rPr>
        <w:t>投标人名称（加盖单位公章）：</w:t>
      </w:r>
    </w:p>
    <w:p>
      <w:pPr>
        <w:spacing w:line="360" w:lineRule="auto"/>
        <w:rPr>
          <w:rFonts w:ascii="宋体" w:cs="宋体"/>
          <w:sz w:val="24"/>
          <w:szCs w:val="24"/>
        </w:rPr>
      </w:pPr>
      <w:r>
        <w:rPr>
          <w:rFonts w:hint="eastAsia" w:ascii="宋体" w:hAnsi="宋体" w:cs="宋体"/>
          <w:sz w:val="24"/>
          <w:szCs w:val="24"/>
        </w:rPr>
        <w:t>日期：</w:t>
      </w:r>
    </w:p>
    <w:p>
      <w:pPr>
        <w:spacing w:line="360" w:lineRule="auto"/>
        <w:rPr>
          <w:rFonts w:ascii="宋体" w:cs="宋体"/>
          <w:sz w:val="24"/>
        </w:rPr>
      </w:pPr>
      <w:r>
        <w:rPr>
          <w:rFonts w:hint="eastAsia" w:ascii="宋体" w:hAnsi="宋体" w:cs="宋体"/>
          <w:sz w:val="24"/>
        </w:rPr>
        <w:t>注：</w:t>
      </w:r>
      <w:r>
        <w:rPr>
          <w:rFonts w:ascii="宋体" w:hAnsi="宋体" w:cs="宋体"/>
          <w:sz w:val="24"/>
        </w:rPr>
        <w:t>1</w:t>
      </w:r>
      <w:r>
        <w:rPr>
          <w:rFonts w:hint="eastAsia" w:ascii="宋体" w:hAnsi="宋体" w:cs="宋体"/>
          <w:sz w:val="24"/>
        </w:rPr>
        <w:t>、投标人应对招标文件技术要求逐条填写偏离情况（正偏离、负偏离或无偏离），并说明偏离的具体内容及做出必要说明。投标人应对故意隐瞒偏离的行为承担责任。</w:t>
      </w:r>
    </w:p>
    <w:p>
      <w:pPr>
        <w:spacing w:line="360" w:lineRule="auto"/>
        <w:rPr>
          <w:rFonts w:ascii="宋体" w:cs="宋体"/>
          <w:sz w:val="24"/>
        </w:rPr>
      </w:pPr>
      <w:r>
        <w:rPr>
          <w:rFonts w:ascii="宋体" w:hAnsi="宋体" w:cs="宋体"/>
          <w:kern w:val="0"/>
          <w:sz w:val="24"/>
        </w:rPr>
        <w:t>2</w:t>
      </w:r>
      <w:r>
        <w:rPr>
          <w:rFonts w:hint="eastAsia" w:ascii="宋体" w:hAnsi="宋体" w:cs="宋体"/>
          <w:kern w:val="0"/>
          <w:sz w:val="24"/>
        </w:rPr>
        <w:t>、投标人应根据自身投标服务合理填写投标规格，</w:t>
      </w:r>
      <w:r>
        <w:rPr>
          <w:rFonts w:hint="eastAsia" w:ascii="宋体" w:hAnsi="宋体" w:cs="宋体"/>
          <w:sz w:val="24"/>
        </w:rPr>
        <w:t>如完全复制招标文件内容，评委有权按不响应处理，情况恶劣时将做无效投标处理。</w:t>
      </w:r>
    </w:p>
    <w:p>
      <w:pPr>
        <w:pStyle w:val="6"/>
        <w:rPr>
          <w:rFonts w:ascii="宋体" w:cs="宋体"/>
          <w:sz w:val="24"/>
        </w:rPr>
      </w:pPr>
      <w:r>
        <w:rPr>
          <w:rFonts w:ascii="宋体" w:cs="宋体"/>
          <w:sz w:val="24"/>
        </w:rPr>
        <w:br w:type="page"/>
      </w:r>
      <w:bookmarkStart w:id="211" w:name="_Toc44705294"/>
      <w:bookmarkStart w:id="212" w:name="_Toc2355269"/>
      <w:bookmarkStart w:id="213" w:name="_Toc497167416"/>
      <w:bookmarkStart w:id="214" w:name="_Toc2512011"/>
      <w:bookmarkStart w:id="215" w:name="_Toc44705073"/>
      <w:bookmarkStart w:id="216" w:name="_Toc493422663"/>
      <w:bookmarkStart w:id="217" w:name="_Toc44704926"/>
      <w:bookmarkStart w:id="218" w:name="_Toc14776861"/>
      <w:r>
        <w:rPr>
          <w:rFonts w:ascii="宋体" w:hAnsi="宋体" w:cs="宋体"/>
          <w:sz w:val="32"/>
          <w:szCs w:val="24"/>
        </w:rPr>
        <w:t>2.5</w:t>
      </w:r>
      <w:r>
        <w:rPr>
          <w:rFonts w:hint="eastAsia" w:ascii="宋体" w:hAnsi="宋体" w:cs="宋体"/>
          <w:sz w:val="32"/>
          <w:szCs w:val="24"/>
        </w:rPr>
        <w:t>、商务条款偏离表格式</w:t>
      </w:r>
      <w:bookmarkEnd w:id="211"/>
      <w:bookmarkEnd w:id="212"/>
      <w:bookmarkEnd w:id="213"/>
      <w:bookmarkEnd w:id="214"/>
      <w:bookmarkEnd w:id="215"/>
      <w:bookmarkEnd w:id="216"/>
      <w:bookmarkEnd w:id="217"/>
      <w:bookmarkEnd w:id="218"/>
    </w:p>
    <w:p>
      <w:pPr>
        <w:spacing w:line="360" w:lineRule="auto"/>
        <w:rPr>
          <w:rFonts w:ascii="宋体" w:cs="宋体"/>
          <w:sz w:val="24"/>
          <w:szCs w:val="24"/>
        </w:rPr>
      </w:pPr>
    </w:p>
    <w:p>
      <w:pPr>
        <w:spacing w:line="360" w:lineRule="auto"/>
        <w:jc w:val="center"/>
        <w:rPr>
          <w:rFonts w:ascii="宋体" w:cs="宋体"/>
          <w:b/>
          <w:bCs/>
          <w:sz w:val="32"/>
          <w:szCs w:val="32"/>
        </w:rPr>
      </w:pPr>
      <w:r>
        <w:rPr>
          <w:rFonts w:hint="eastAsia" w:ascii="宋体" w:hAnsi="宋体" w:cs="宋体"/>
          <w:b/>
          <w:bCs/>
          <w:sz w:val="32"/>
          <w:szCs w:val="32"/>
        </w:rPr>
        <w:t>商务条款偏离表</w:t>
      </w: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招标编号：</w:t>
      </w: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 xml:space="preserve">项目名称：　          </w:t>
      </w: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 xml:space="preserve">标项名称： </w:t>
      </w:r>
    </w:p>
    <w:p>
      <w:pPr>
        <w:tabs>
          <w:tab w:val="left" w:pos="1800"/>
          <w:tab w:val="left" w:pos="5580"/>
        </w:tabs>
        <w:spacing w:line="360" w:lineRule="auto"/>
        <w:jc w:val="left"/>
        <w:rPr>
          <w:rFonts w:ascii="宋体" w:cs="宋体"/>
          <w:sz w:val="24"/>
          <w:u w:val="single"/>
        </w:rPr>
      </w:pPr>
    </w:p>
    <w:tbl>
      <w:tblPr>
        <w:tblStyle w:val="47"/>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750"/>
        <w:gridCol w:w="2208"/>
        <w:gridCol w:w="2041"/>
        <w:gridCol w:w="127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72" w:type="dxa"/>
            <w:vAlign w:val="center"/>
          </w:tcPr>
          <w:p>
            <w:pPr>
              <w:spacing w:line="360" w:lineRule="auto"/>
              <w:jc w:val="center"/>
              <w:rPr>
                <w:rFonts w:ascii="宋体" w:cs="宋体"/>
                <w:sz w:val="24"/>
                <w:szCs w:val="24"/>
              </w:rPr>
            </w:pPr>
            <w:r>
              <w:rPr>
                <w:rFonts w:hint="eastAsia" w:ascii="宋体" w:hAnsi="宋体" w:cs="宋体"/>
                <w:sz w:val="24"/>
                <w:szCs w:val="24"/>
              </w:rPr>
              <w:t>序号</w:t>
            </w:r>
          </w:p>
        </w:tc>
        <w:tc>
          <w:tcPr>
            <w:tcW w:w="1750" w:type="dxa"/>
            <w:vAlign w:val="center"/>
          </w:tcPr>
          <w:p>
            <w:pPr>
              <w:spacing w:line="360" w:lineRule="auto"/>
              <w:jc w:val="center"/>
              <w:rPr>
                <w:rFonts w:ascii="宋体" w:cs="宋体"/>
                <w:sz w:val="24"/>
                <w:szCs w:val="24"/>
              </w:rPr>
            </w:pPr>
            <w:r>
              <w:rPr>
                <w:rFonts w:hint="eastAsia" w:ascii="宋体" w:hAnsi="宋体" w:cs="宋体"/>
                <w:sz w:val="24"/>
                <w:szCs w:val="24"/>
              </w:rPr>
              <w:t>招标文件</w:t>
            </w:r>
          </w:p>
          <w:p>
            <w:pPr>
              <w:spacing w:line="360" w:lineRule="auto"/>
              <w:jc w:val="center"/>
              <w:rPr>
                <w:rFonts w:ascii="宋体" w:cs="宋体"/>
                <w:sz w:val="24"/>
                <w:szCs w:val="24"/>
              </w:rPr>
            </w:pPr>
            <w:r>
              <w:rPr>
                <w:rFonts w:hint="eastAsia" w:ascii="宋体" w:hAnsi="宋体" w:cs="宋体"/>
                <w:sz w:val="24"/>
                <w:szCs w:val="24"/>
              </w:rPr>
              <w:t>条目号</w:t>
            </w:r>
          </w:p>
        </w:tc>
        <w:tc>
          <w:tcPr>
            <w:tcW w:w="2208" w:type="dxa"/>
            <w:vAlign w:val="center"/>
          </w:tcPr>
          <w:p>
            <w:pPr>
              <w:spacing w:line="360" w:lineRule="auto"/>
              <w:jc w:val="center"/>
              <w:rPr>
                <w:rFonts w:ascii="宋体" w:cs="宋体"/>
                <w:sz w:val="24"/>
                <w:szCs w:val="24"/>
              </w:rPr>
            </w:pPr>
            <w:r>
              <w:rPr>
                <w:rFonts w:hint="eastAsia" w:ascii="宋体" w:hAnsi="宋体" w:cs="宋体"/>
                <w:sz w:val="24"/>
                <w:szCs w:val="24"/>
              </w:rPr>
              <w:t>招标文件的</w:t>
            </w:r>
          </w:p>
          <w:p>
            <w:pPr>
              <w:spacing w:line="360" w:lineRule="auto"/>
              <w:jc w:val="center"/>
              <w:rPr>
                <w:rFonts w:ascii="宋体" w:cs="宋体"/>
                <w:sz w:val="24"/>
                <w:szCs w:val="24"/>
              </w:rPr>
            </w:pPr>
            <w:r>
              <w:rPr>
                <w:rFonts w:hint="eastAsia" w:ascii="宋体" w:hAnsi="宋体" w:cs="宋体"/>
                <w:sz w:val="24"/>
                <w:szCs w:val="24"/>
              </w:rPr>
              <w:t>商务条款</w:t>
            </w:r>
          </w:p>
        </w:tc>
        <w:tc>
          <w:tcPr>
            <w:tcW w:w="2041" w:type="dxa"/>
            <w:vAlign w:val="center"/>
          </w:tcPr>
          <w:p>
            <w:pPr>
              <w:spacing w:line="360" w:lineRule="auto"/>
              <w:jc w:val="center"/>
              <w:rPr>
                <w:rFonts w:ascii="宋体" w:cs="宋体"/>
                <w:sz w:val="24"/>
                <w:szCs w:val="24"/>
              </w:rPr>
            </w:pPr>
            <w:r>
              <w:rPr>
                <w:rFonts w:hint="eastAsia" w:ascii="宋体" w:hAnsi="宋体" w:cs="宋体"/>
                <w:sz w:val="24"/>
                <w:szCs w:val="24"/>
              </w:rPr>
              <w:t>投标文件的</w:t>
            </w:r>
          </w:p>
          <w:p>
            <w:pPr>
              <w:spacing w:line="360" w:lineRule="auto"/>
              <w:jc w:val="center"/>
              <w:rPr>
                <w:rFonts w:ascii="宋体" w:cs="宋体"/>
                <w:sz w:val="24"/>
                <w:szCs w:val="24"/>
              </w:rPr>
            </w:pPr>
            <w:r>
              <w:rPr>
                <w:rFonts w:hint="eastAsia" w:ascii="宋体" w:hAnsi="宋体" w:cs="宋体"/>
                <w:sz w:val="24"/>
                <w:szCs w:val="24"/>
              </w:rPr>
              <w:t>商务条款</w:t>
            </w:r>
          </w:p>
        </w:tc>
        <w:tc>
          <w:tcPr>
            <w:tcW w:w="1275" w:type="dxa"/>
            <w:vAlign w:val="center"/>
          </w:tcPr>
          <w:p>
            <w:pPr>
              <w:spacing w:line="360" w:lineRule="auto"/>
              <w:jc w:val="center"/>
              <w:rPr>
                <w:rFonts w:ascii="宋体" w:cs="宋体"/>
                <w:sz w:val="24"/>
                <w:szCs w:val="24"/>
              </w:rPr>
            </w:pPr>
            <w:r>
              <w:rPr>
                <w:rFonts w:hint="eastAsia" w:ascii="宋体" w:hAnsi="宋体" w:cs="宋体"/>
                <w:sz w:val="24"/>
                <w:szCs w:val="24"/>
              </w:rPr>
              <w:t>偏离情况</w:t>
            </w:r>
          </w:p>
        </w:tc>
        <w:tc>
          <w:tcPr>
            <w:tcW w:w="986" w:type="dxa"/>
            <w:vAlign w:val="center"/>
          </w:tcPr>
          <w:p>
            <w:pPr>
              <w:spacing w:line="360" w:lineRule="auto"/>
              <w:jc w:val="center"/>
              <w:rPr>
                <w:rFonts w:ascii="宋体" w:cs="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bl>
    <w:p>
      <w:pPr>
        <w:spacing w:line="360" w:lineRule="auto"/>
        <w:rPr>
          <w:rFonts w:ascii="宋体" w:cs="宋体"/>
          <w:sz w:val="24"/>
          <w:szCs w:val="24"/>
          <w:u w:val="single"/>
        </w:rPr>
      </w:pPr>
      <w:r>
        <w:rPr>
          <w:rFonts w:hint="eastAsia" w:ascii="宋体" w:hAnsi="宋体" w:cs="宋体"/>
          <w:sz w:val="24"/>
          <w:szCs w:val="24"/>
        </w:rPr>
        <w:t>投标人法定代表人或授权代表（签字）：</w:t>
      </w:r>
    </w:p>
    <w:p>
      <w:pPr>
        <w:spacing w:line="360" w:lineRule="auto"/>
        <w:rPr>
          <w:rFonts w:ascii="宋体" w:cs="宋体"/>
          <w:sz w:val="24"/>
          <w:szCs w:val="24"/>
        </w:rPr>
      </w:pPr>
      <w:r>
        <w:rPr>
          <w:rFonts w:hint="eastAsia" w:ascii="宋体" w:hAnsi="宋体" w:cs="宋体"/>
          <w:sz w:val="24"/>
          <w:szCs w:val="24"/>
        </w:rPr>
        <w:t>投标人名称（加盖单位公章）：</w:t>
      </w:r>
    </w:p>
    <w:p>
      <w:pPr>
        <w:spacing w:line="360" w:lineRule="auto"/>
        <w:rPr>
          <w:rFonts w:ascii="宋体" w:cs="宋体"/>
          <w:sz w:val="24"/>
          <w:szCs w:val="24"/>
        </w:rPr>
      </w:pPr>
      <w:r>
        <w:rPr>
          <w:rFonts w:hint="eastAsia" w:ascii="宋体" w:hAnsi="宋体" w:cs="宋体"/>
          <w:sz w:val="24"/>
          <w:szCs w:val="24"/>
        </w:rPr>
        <w:t>日期：</w:t>
      </w:r>
    </w:p>
    <w:p>
      <w:pPr>
        <w:spacing w:line="360" w:lineRule="auto"/>
        <w:rPr>
          <w:rFonts w:ascii="宋体" w:cs="宋体"/>
          <w:sz w:val="24"/>
          <w:szCs w:val="24"/>
        </w:rPr>
      </w:pPr>
      <w:r>
        <w:rPr>
          <w:rFonts w:hint="eastAsia" w:ascii="宋体" w:hAnsi="宋体" w:cs="宋体"/>
          <w:sz w:val="24"/>
          <w:szCs w:val="24"/>
        </w:rPr>
        <w:t>注：投标人如果对包括服务期限、服务地点，付款方式、时间、条件及合同条款等在内的商务条款的响应有任何偏离（正偏离</w:t>
      </w:r>
      <w:r>
        <w:rPr>
          <w:rFonts w:ascii="宋体" w:hAnsi="宋体" w:cs="宋体"/>
          <w:sz w:val="24"/>
          <w:szCs w:val="24"/>
        </w:rPr>
        <w:t>/</w:t>
      </w:r>
      <w:r>
        <w:rPr>
          <w:rFonts w:hint="eastAsia" w:ascii="宋体" w:hAnsi="宋体" w:cs="宋体"/>
          <w:sz w:val="24"/>
          <w:szCs w:val="24"/>
        </w:rPr>
        <w:t>负偏离），请在本表中详细填写；如对商务条款没有偏离，请注明“无偏离”。</w:t>
      </w:r>
    </w:p>
    <w:p>
      <w:pPr>
        <w:pStyle w:val="6"/>
        <w:rPr>
          <w:rFonts w:ascii="宋体"/>
        </w:rPr>
      </w:pPr>
      <w:r>
        <w:rPr>
          <w:u w:val="single"/>
        </w:rPr>
        <w:br w:type="page"/>
      </w:r>
      <w:bookmarkStart w:id="219" w:name="_Toc2355270"/>
      <w:bookmarkStart w:id="220" w:name="_Toc44705295"/>
      <w:bookmarkStart w:id="221" w:name="_Toc44705074"/>
      <w:bookmarkStart w:id="222" w:name="_Toc44704927"/>
      <w:bookmarkStart w:id="223" w:name="_Toc2512012"/>
      <w:bookmarkStart w:id="224" w:name="_Toc497167417"/>
      <w:bookmarkStart w:id="225" w:name="_Toc493422664"/>
      <w:bookmarkStart w:id="226" w:name="_Toc14776862"/>
      <w:r>
        <w:rPr>
          <w:rFonts w:ascii="宋体" w:hAnsi="宋体"/>
          <w:sz w:val="32"/>
        </w:rPr>
        <w:t>2.6</w:t>
      </w:r>
      <w:r>
        <w:rPr>
          <w:rFonts w:hint="eastAsia" w:ascii="宋体" w:hAnsi="宋体"/>
          <w:sz w:val="32"/>
        </w:rPr>
        <w:t>、法定代表人授权书格式</w:t>
      </w:r>
      <w:bookmarkEnd w:id="219"/>
      <w:bookmarkEnd w:id="220"/>
      <w:bookmarkEnd w:id="221"/>
      <w:bookmarkEnd w:id="222"/>
      <w:bookmarkEnd w:id="223"/>
      <w:bookmarkEnd w:id="224"/>
      <w:bookmarkEnd w:id="225"/>
      <w:bookmarkEnd w:id="226"/>
    </w:p>
    <w:p>
      <w:pPr>
        <w:spacing w:line="360" w:lineRule="auto"/>
        <w:rPr>
          <w:rFonts w:ascii="宋体" w:cs="宋体"/>
          <w:szCs w:val="21"/>
        </w:rPr>
      </w:pPr>
    </w:p>
    <w:p>
      <w:pPr>
        <w:spacing w:line="360" w:lineRule="auto"/>
        <w:jc w:val="center"/>
        <w:rPr>
          <w:rFonts w:ascii="宋体" w:cs="宋体"/>
          <w:b/>
          <w:bCs/>
          <w:sz w:val="32"/>
          <w:szCs w:val="32"/>
        </w:rPr>
      </w:pPr>
      <w:r>
        <w:rPr>
          <w:rFonts w:hint="eastAsia" w:ascii="宋体" w:hAnsi="宋体" w:cs="宋体"/>
          <w:b/>
          <w:bCs/>
          <w:sz w:val="32"/>
          <w:szCs w:val="32"/>
        </w:rPr>
        <w:t>法定代表人授权书</w:t>
      </w:r>
    </w:p>
    <w:p>
      <w:pPr>
        <w:spacing w:line="360" w:lineRule="auto"/>
        <w:rPr>
          <w:rFonts w:ascii="宋体" w:cs="宋体"/>
          <w:sz w:val="24"/>
          <w:szCs w:val="24"/>
        </w:rPr>
      </w:pPr>
    </w:p>
    <w:p>
      <w:pPr>
        <w:spacing w:line="360" w:lineRule="auto"/>
        <w:ind w:firstLine="435"/>
        <w:rPr>
          <w:rFonts w:ascii="宋体" w:cs="宋体"/>
          <w:sz w:val="24"/>
          <w:szCs w:val="24"/>
        </w:rPr>
      </w:pPr>
      <w:r>
        <w:rPr>
          <w:rFonts w:hint="eastAsia" w:ascii="宋体" w:hAnsi="宋体" w:cs="宋体"/>
          <w:sz w:val="24"/>
          <w:szCs w:val="24"/>
        </w:rPr>
        <w:t>本授权书声明：注册于（国家或地区的名称）的</w:t>
      </w:r>
      <w:r>
        <w:rPr>
          <w:rFonts w:hint="eastAsia" w:ascii="宋体" w:hAnsi="宋体" w:cs="宋体"/>
          <w:sz w:val="24"/>
          <w:szCs w:val="24"/>
          <w:u w:val="single"/>
        </w:rPr>
        <w:t>（投标人名称）</w:t>
      </w:r>
      <w:r>
        <w:rPr>
          <w:rFonts w:hint="eastAsia" w:ascii="宋体" w:hAnsi="宋体" w:cs="宋体"/>
          <w:sz w:val="24"/>
          <w:szCs w:val="24"/>
        </w:rPr>
        <w:t>的在下面签字的</w:t>
      </w:r>
      <w:r>
        <w:rPr>
          <w:rFonts w:hint="eastAsia" w:ascii="宋体" w:hAnsi="宋体" w:cs="宋体"/>
          <w:sz w:val="24"/>
          <w:szCs w:val="24"/>
          <w:u w:val="single"/>
        </w:rPr>
        <w:t>（法定代表人姓名、职务、身份证号码）</w:t>
      </w:r>
      <w:r>
        <w:rPr>
          <w:rFonts w:hint="eastAsia" w:ascii="宋体" w:hAnsi="宋体" w:cs="宋体"/>
          <w:sz w:val="24"/>
          <w:szCs w:val="24"/>
        </w:rPr>
        <w:t>代表本公司授权的在下面签字的</w:t>
      </w:r>
      <w:r>
        <w:rPr>
          <w:rFonts w:hint="eastAsia" w:ascii="宋体" w:hAnsi="宋体" w:cs="宋体"/>
          <w:sz w:val="24"/>
          <w:szCs w:val="24"/>
          <w:u w:val="single"/>
        </w:rPr>
        <w:t>（被授权人的姓名、职务、身份证号码）</w:t>
      </w:r>
      <w:r>
        <w:rPr>
          <w:rFonts w:hint="eastAsia" w:ascii="宋体" w:hAnsi="宋体" w:cs="宋体"/>
          <w:sz w:val="24"/>
          <w:szCs w:val="24"/>
        </w:rPr>
        <w:t>为本公司的合法代理人，就项目（招标编号</w:t>
      </w:r>
      <w:r>
        <w:rPr>
          <w:rFonts w:hint="eastAsia" w:ascii="宋体" w:hAnsi="宋体" w:cs="宋体"/>
          <w:sz w:val="24"/>
          <w:szCs w:val="24"/>
          <w:lang w:val="en-US" w:eastAsia="zh-CN"/>
        </w:rPr>
        <w:t xml:space="preserve"> </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w:t>
      </w:r>
      <w:r>
        <w:rPr>
          <w:rFonts w:hint="eastAsia" w:ascii="宋体" w:hAnsi="宋体" w:cs="宋体"/>
          <w:sz w:val="24"/>
          <w:szCs w:val="24"/>
        </w:rPr>
        <w:t>的采购（含投标和转为其他方式），以本公司名义处理一切与之有关的事务。我公司对被授权人的签名负全部法律责任。</w:t>
      </w:r>
    </w:p>
    <w:p>
      <w:pPr>
        <w:spacing w:line="360" w:lineRule="auto"/>
        <w:ind w:firstLine="435"/>
        <w:rPr>
          <w:rFonts w:ascii="宋体" w:cs="宋体"/>
          <w:sz w:val="24"/>
          <w:szCs w:val="24"/>
        </w:rPr>
      </w:pPr>
      <w:r>
        <w:rPr>
          <w:rFonts w:hint="eastAsia" w:ascii="宋体" w:hAnsi="宋体" w:cs="宋体"/>
          <w:sz w:val="24"/>
          <w:szCs w:val="24"/>
        </w:rPr>
        <w:t>本授权书于</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日盖章生效，特此声明。</w:t>
      </w:r>
    </w:p>
    <w:p>
      <w:pPr>
        <w:spacing w:line="360" w:lineRule="auto"/>
        <w:ind w:firstLine="435"/>
        <w:rPr>
          <w:rFonts w:ascii="宋体" w:cs="宋体"/>
          <w:sz w:val="24"/>
          <w:szCs w:val="24"/>
        </w:rPr>
      </w:pPr>
    </w:p>
    <w:p>
      <w:pPr>
        <w:spacing w:line="360" w:lineRule="auto"/>
        <w:ind w:firstLine="435"/>
        <w:rPr>
          <w:rFonts w:ascii="宋体" w:cs="宋体"/>
          <w:sz w:val="24"/>
          <w:szCs w:val="24"/>
        </w:rPr>
      </w:pPr>
    </w:p>
    <w:p>
      <w:pPr>
        <w:spacing w:line="360" w:lineRule="auto"/>
        <w:ind w:firstLine="435"/>
        <w:rPr>
          <w:rFonts w:ascii="宋体" w:cs="宋体"/>
          <w:sz w:val="24"/>
          <w:szCs w:val="24"/>
        </w:rPr>
      </w:pPr>
    </w:p>
    <w:p>
      <w:pPr>
        <w:spacing w:line="360" w:lineRule="auto"/>
        <w:ind w:firstLine="435"/>
        <w:jc w:val="right"/>
        <w:rPr>
          <w:rFonts w:ascii="宋体" w:cs="宋体"/>
          <w:sz w:val="24"/>
          <w:szCs w:val="24"/>
        </w:rPr>
      </w:pPr>
      <w:r>
        <w:rPr>
          <w:rFonts w:hint="eastAsia" w:ascii="宋体" w:hAnsi="宋体" w:cs="宋体"/>
          <w:sz w:val="24"/>
          <w:szCs w:val="24"/>
        </w:rPr>
        <w:t>法定代表人签字或盖章：</w:t>
      </w:r>
    </w:p>
    <w:p>
      <w:pPr>
        <w:pStyle w:val="21"/>
      </w:pPr>
    </w:p>
    <w:p>
      <w:pPr>
        <w:spacing w:line="360" w:lineRule="auto"/>
        <w:ind w:firstLine="435"/>
        <w:jc w:val="right"/>
        <w:rPr>
          <w:rFonts w:ascii="宋体" w:cs="宋体"/>
          <w:sz w:val="24"/>
        </w:rPr>
      </w:pPr>
      <w:r>
        <w:rPr>
          <w:rFonts w:hint="eastAsia" w:ascii="宋体" w:hAnsi="宋体" w:cs="宋体"/>
          <w:sz w:val="24"/>
        </w:rPr>
        <w:t>授权代表签字：</w:t>
      </w:r>
    </w:p>
    <w:p>
      <w:pPr>
        <w:pStyle w:val="21"/>
      </w:pPr>
    </w:p>
    <w:p>
      <w:pPr>
        <w:spacing w:line="360" w:lineRule="auto"/>
        <w:ind w:firstLine="435"/>
        <w:jc w:val="right"/>
        <w:rPr>
          <w:rFonts w:ascii="宋体" w:cs="宋体"/>
          <w:sz w:val="24"/>
          <w:u w:val="single"/>
        </w:rPr>
      </w:pPr>
      <w:r>
        <w:rPr>
          <w:rFonts w:hint="eastAsia" w:ascii="宋体" w:hAnsi="宋体" w:cs="宋体"/>
          <w:sz w:val="24"/>
        </w:rPr>
        <w:t>投标人名称（加盖单位公章）：</w:t>
      </w:r>
    </w:p>
    <w:p>
      <w:pPr>
        <w:spacing w:line="360" w:lineRule="auto"/>
        <w:ind w:firstLine="435"/>
        <w:rPr>
          <w:rFonts w:ascii="宋体" w:cs="宋体"/>
        </w:rPr>
      </w:pPr>
    </w:p>
    <w:p>
      <w:pPr>
        <w:spacing w:line="360" w:lineRule="auto"/>
        <w:ind w:firstLine="435"/>
        <w:rPr>
          <w:rFonts w:ascii="宋体" w:cs="宋体"/>
          <w:sz w:val="24"/>
          <w:szCs w:val="24"/>
        </w:rPr>
      </w:pPr>
      <w:r>
        <w:rPr>
          <w:rFonts w:hint="eastAsia" w:ascii="宋体" w:hAnsi="宋体" w:cs="宋体"/>
          <w:sz w:val="24"/>
          <w:szCs w:val="24"/>
        </w:rPr>
        <w:t>附：</w:t>
      </w:r>
    </w:p>
    <w:p>
      <w:pPr>
        <w:spacing w:line="360" w:lineRule="auto"/>
        <w:ind w:firstLine="435"/>
        <w:rPr>
          <w:rFonts w:ascii="宋体" w:cs="宋体"/>
          <w:sz w:val="24"/>
          <w:szCs w:val="24"/>
          <w:u w:val="single"/>
        </w:rPr>
      </w:pPr>
      <w:r>
        <w:rPr>
          <w:rFonts w:hint="eastAsia" w:ascii="宋体" w:hAnsi="宋体" w:cs="宋体"/>
          <w:sz w:val="24"/>
          <w:szCs w:val="24"/>
        </w:rPr>
        <w:t>被授权人姓名：</w:t>
      </w:r>
    </w:p>
    <w:p>
      <w:pPr>
        <w:spacing w:line="360" w:lineRule="auto"/>
        <w:ind w:firstLine="435"/>
        <w:rPr>
          <w:rFonts w:ascii="宋体" w:cs="宋体"/>
          <w:sz w:val="24"/>
          <w:szCs w:val="24"/>
        </w:rPr>
      </w:pPr>
      <w:r>
        <w:rPr>
          <w:rFonts w:hint="eastAsia" w:ascii="宋体" w:hAnsi="宋体" w:cs="宋体"/>
          <w:sz w:val="24"/>
          <w:szCs w:val="24"/>
        </w:rPr>
        <w:t>职　　　　务：</w:t>
      </w:r>
    </w:p>
    <w:p>
      <w:pPr>
        <w:spacing w:line="360" w:lineRule="auto"/>
        <w:ind w:firstLine="435"/>
        <w:rPr>
          <w:rFonts w:ascii="宋体" w:cs="宋体"/>
          <w:sz w:val="24"/>
          <w:szCs w:val="24"/>
        </w:rPr>
      </w:pPr>
      <w:r>
        <w:rPr>
          <w:rFonts w:hint="eastAsia" w:ascii="宋体" w:hAnsi="宋体" w:cs="宋体"/>
          <w:sz w:val="24"/>
          <w:szCs w:val="24"/>
        </w:rPr>
        <w:t>详细通讯地址：</w:t>
      </w:r>
    </w:p>
    <w:p>
      <w:pPr>
        <w:spacing w:line="360" w:lineRule="auto"/>
        <w:ind w:firstLine="435"/>
        <w:rPr>
          <w:rFonts w:ascii="宋体" w:cs="宋体"/>
          <w:sz w:val="24"/>
          <w:szCs w:val="24"/>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政</w:t>
      </w:r>
      <w:r>
        <w:rPr>
          <w:rFonts w:ascii="宋体" w:hAnsi="宋体" w:cs="宋体"/>
          <w:sz w:val="24"/>
          <w:szCs w:val="24"/>
        </w:rPr>
        <w:t xml:space="preserve">  </w:t>
      </w:r>
      <w:r>
        <w:rPr>
          <w:rFonts w:hint="eastAsia" w:ascii="宋体" w:hAnsi="宋体" w:cs="宋体"/>
          <w:sz w:val="24"/>
          <w:szCs w:val="24"/>
        </w:rPr>
        <w:t>编</w:t>
      </w:r>
      <w:r>
        <w:rPr>
          <w:rFonts w:ascii="宋体" w:hAnsi="宋体" w:cs="宋体"/>
          <w:sz w:val="24"/>
          <w:szCs w:val="24"/>
        </w:rPr>
        <w:t xml:space="preserve"> </w:t>
      </w:r>
      <w:r>
        <w:rPr>
          <w:rFonts w:hint="eastAsia" w:ascii="宋体" w:hAnsi="宋体" w:cs="宋体"/>
          <w:sz w:val="24"/>
          <w:szCs w:val="24"/>
        </w:rPr>
        <w:t>码：</w:t>
      </w:r>
    </w:p>
    <w:p>
      <w:pPr>
        <w:spacing w:line="360" w:lineRule="auto"/>
        <w:ind w:firstLine="435"/>
        <w:rPr>
          <w:rFonts w:ascii="宋体" w:cs="宋体"/>
          <w:sz w:val="24"/>
          <w:szCs w:val="24"/>
        </w:rPr>
      </w:pPr>
      <w:r>
        <w:rPr>
          <w:rFonts w:hint="eastAsia" w:ascii="宋体" w:hAnsi="宋体" w:cs="宋体"/>
          <w:sz w:val="24"/>
          <w:szCs w:val="24"/>
        </w:rPr>
        <w:t>传　　　　真：</w:t>
      </w:r>
    </w:p>
    <w:p>
      <w:pPr>
        <w:spacing w:line="360" w:lineRule="auto"/>
        <w:ind w:firstLine="435"/>
        <w:rPr>
          <w:rFonts w:ascii="宋体" w:cs="宋体"/>
          <w:sz w:val="24"/>
          <w:szCs w:val="24"/>
        </w:rPr>
      </w:pPr>
      <w:r>
        <w:rPr>
          <w:rFonts w:hint="eastAsia" w:ascii="宋体" w:hAnsi="宋体" w:cs="宋体"/>
          <w:sz w:val="24"/>
          <w:szCs w:val="24"/>
        </w:rPr>
        <w:t>电　　　　话：</w:t>
      </w:r>
    </w:p>
    <w:p>
      <w:pPr>
        <w:spacing w:line="360" w:lineRule="auto"/>
        <w:ind w:firstLine="435"/>
        <w:rPr>
          <w:rFonts w:ascii="宋体" w:cs="宋体"/>
          <w:sz w:val="24"/>
          <w:szCs w:val="24"/>
        </w:rPr>
      </w:pPr>
      <w:r>
        <w:rPr>
          <w:rFonts w:hint="eastAsia" w:ascii="宋体" w:hAnsi="宋体" w:cs="宋体"/>
          <w:sz w:val="24"/>
          <w:szCs w:val="24"/>
        </w:rPr>
        <w:t>手</w:t>
      </w:r>
      <w:r>
        <w:rPr>
          <w:rFonts w:ascii="宋体" w:hAnsi="宋体" w:cs="宋体"/>
          <w:sz w:val="24"/>
          <w:szCs w:val="24"/>
        </w:rPr>
        <w:t xml:space="preserve">        </w:t>
      </w:r>
      <w:r>
        <w:rPr>
          <w:rFonts w:hint="eastAsia" w:ascii="宋体" w:hAnsi="宋体" w:cs="宋体"/>
          <w:sz w:val="24"/>
          <w:szCs w:val="24"/>
        </w:rPr>
        <w:t>机：</w:t>
      </w:r>
    </w:p>
    <w:p>
      <w:pPr>
        <w:spacing w:line="360" w:lineRule="auto"/>
        <w:ind w:firstLine="435"/>
        <w:rPr>
          <w:rFonts w:ascii="宋体" w:cs="宋体"/>
        </w:rPr>
      </w:pPr>
    </w:p>
    <w:p>
      <w:pPr>
        <w:spacing w:line="360" w:lineRule="auto"/>
        <w:ind w:firstLine="435"/>
        <w:rPr>
          <w:rFonts w:ascii="宋体" w:cs="宋体"/>
          <w:b/>
        </w:rPr>
      </w:pPr>
      <w:r>
        <w:rPr>
          <w:rFonts w:hint="eastAsia" w:ascii="宋体" w:hAnsi="宋体" w:cs="宋体"/>
          <w:b/>
        </w:rPr>
        <w:t>（后附法定代表人和被授权人身份证复印件加盖单位公章）</w:t>
      </w:r>
    </w:p>
    <w:p>
      <w:pPr>
        <w:pStyle w:val="6"/>
        <w:rPr>
          <w:rFonts w:ascii="宋体" w:cs="宋体"/>
        </w:rPr>
      </w:pPr>
      <w:r>
        <w:rPr>
          <w:rFonts w:ascii="宋体" w:cs="宋体"/>
        </w:rPr>
        <w:br w:type="page"/>
      </w:r>
      <w:bookmarkStart w:id="227" w:name="_Toc2512013"/>
      <w:bookmarkStart w:id="228" w:name="_Toc497167418"/>
      <w:bookmarkStart w:id="229" w:name="_Toc2355271"/>
      <w:bookmarkStart w:id="230" w:name="_Toc493422670"/>
      <w:bookmarkStart w:id="231" w:name="_Toc44705296"/>
      <w:bookmarkStart w:id="232" w:name="_Toc44705075"/>
      <w:bookmarkStart w:id="233" w:name="_Toc14776863"/>
      <w:bookmarkStart w:id="234" w:name="_Toc44704928"/>
      <w:r>
        <w:rPr>
          <w:rFonts w:ascii="宋体" w:hAnsi="宋体" w:cs="宋体"/>
          <w:sz w:val="32"/>
          <w:szCs w:val="24"/>
        </w:rPr>
        <w:t>2.7</w:t>
      </w:r>
      <w:r>
        <w:rPr>
          <w:rFonts w:hint="eastAsia" w:ascii="宋体" w:hAnsi="宋体" w:cs="宋体"/>
          <w:sz w:val="32"/>
          <w:szCs w:val="24"/>
        </w:rPr>
        <w:t>、按招标文件中投标人须知和采购需求中要求提供的有关文件</w:t>
      </w:r>
      <w:bookmarkEnd w:id="227"/>
      <w:bookmarkEnd w:id="228"/>
      <w:bookmarkEnd w:id="229"/>
      <w:bookmarkEnd w:id="230"/>
      <w:r>
        <w:rPr>
          <w:rFonts w:hint="eastAsia" w:ascii="宋体" w:hAnsi="宋体" w:cs="宋体"/>
          <w:sz w:val="32"/>
          <w:szCs w:val="24"/>
        </w:rPr>
        <w:t>（部分格式）</w:t>
      </w:r>
      <w:bookmarkEnd w:id="231"/>
      <w:bookmarkEnd w:id="232"/>
      <w:bookmarkEnd w:id="233"/>
      <w:bookmarkEnd w:id="234"/>
    </w:p>
    <w:p>
      <w:pPr>
        <w:spacing w:line="360" w:lineRule="auto"/>
        <w:rPr>
          <w:rFonts w:ascii="宋体" w:cs="宋体"/>
        </w:rPr>
      </w:pPr>
      <w:r>
        <w:rPr>
          <w:rFonts w:hint="eastAsia" w:ascii="宋体" w:hAnsi="宋体" w:cs="宋体"/>
          <w:color w:val="000000"/>
          <w:sz w:val="24"/>
          <w:szCs w:val="24"/>
        </w:rPr>
        <w:t>一、目录</w:t>
      </w:r>
    </w:p>
    <w:p>
      <w:pPr>
        <w:spacing w:line="360" w:lineRule="auto"/>
        <w:rPr>
          <w:rFonts w:ascii="宋体" w:cs="宋体"/>
          <w:sz w:val="24"/>
          <w:szCs w:val="24"/>
        </w:rPr>
      </w:pPr>
      <w:r>
        <w:rPr>
          <w:rFonts w:ascii="宋体" w:hAnsi="宋体" w:cs="宋体"/>
          <w:sz w:val="24"/>
          <w:szCs w:val="24"/>
        </w:rPr>
        <w:t>2.7.1</w:t>
      </w:r>
      <w:r>
        <w:rPr>
          <w:rFonts w:hint="eastAsia" w:ascii="宋体" w:hAnsi="宋体" w:cs="宋体"/>
          <w:sz w:val="24"/>
          <w:szCs w:val="24"/>
        </w:rPr>
        <w:t>近三年</w:t>
      </w:r>
      <w:r>
        <w:rPr>
          <w:rFonts w:hint="eastAsia" w:ascii="宋体" w:hAnsi="宋体" w:cs="宋体"/>
          <w:sz w:val="24"/>
          <w:szCs w:val="24"/>
          <w:lang w:eastAsia="zh-CN"/>
        </w:rPr>
        <w:t>（</w:t>
      </w:r>
      <w:r>
        <w:rPr>
          <w:rFonts w:hint="eastAsia" w:ascii="宋体" w:hAnsi="宋体" w:cs="宋体"/>
          <w:sz w:val="24"/>
          <w:szCs w:val="24"/>
          <w:lang w:val="en-US" w:eastAsia="zh-CN"/>
        </w:rPr>
        <w:t>2022年至今</w:t>
      </w:r>
      <w:r>
        <w:rPr>
          <w:rFonts w:hint="eastAsia" w:ascii="宋体" w:hAnsi="宋体" w:cs="宋体"/>
          <w:sz w:val="24"/>
          <w:szCs w:val="24"/>
          <w:lang w:eastAsia="zh-CN"/>
        </w:rPr>
        <w:t>）</w:t>
      </w:r>
      <w:r>
        <w:rPr>
          <w:rFonts w:hint="eastAsia" w:ascii="宋体" w:hAnsi="宋体" w:cs="宋体"/>
          <w:sz w:val="24"/>
          <w:szCs w:val="24"/>
        </w:rPr>
        <w:t>类似项目业绩表（须提供中标</w:t>
      </w:r>
      <w:r>
        <w:rPr>
          <w:rFonts w:ascii="宋体" w:hAnsi="宋体" w:cs="宋体"/>
          <w:sz w:val="24"/>
          <w:szCs w:val="24"/>
        </w:rPr>
        <w:t>/</w:t>
      </w:r>
      <w:r>
        <w:rPr>
          <w:rFonts w:hint="eastAsia" w:ascii="宋体" w:hAnsi="宋体" w:cs="宋体"/>
          <w:sz w:val="24"/>
          <w:szCs w:val="24"/>
        </w:rPr>
        <w:t>中标通知书或者合同复印件加盖公章）；</w:t>
      </w:r>
    </w:p>
    <w:p>
      <w:pPr>
        <w:tabs>
          <w:tab w:val="left" w:pos="720"/>
        </w:tabs>
        <w:autoSpaceDE w:val="0"/>
        <w:autoSpaceDN w:val="0"/>
        <w:adjustRightInd w:val="0"/>
        <w:spacing w:line="360" w:lineRule="auto"/>
        <w:ind w:right="17"/>
        <w:jc w:val="left"/>
        <w:rPr>
          <w:rFonts w:ascii="宋体" w:cs="宋体"/>
          <w:sz w:val="24"/>
          <w:szCs w:val="24"/>
        </w:rPr>
      </w:pPr>
      <w:r>
        <w:rPr>
          <w:rFonts w:ascii="宋体" w:hAnsi="宋体" w:cs="宋体"/>
          <w:sz w:val="24"/>
          <w:szCs w:val="24"/>
        </w:rPr>
        <w:t>2.7.2</w:t>
      </w:r>
      <w:r>
        <w:rPr>
          <w:rFonts w:hint="eastAsia" w:ascii="宋体" w:hAnsi="宋体" w:cs="宋体"/>
          <w:sz w:val="24"/>
          <w:szCs w:val="24"/>
        </w:rPr>
        <w:t>项目人员配备表（须提供相关证明材料并同时提供社保缴纳证明，复印件加盖单位公章）；</w:t>
      </w:r>
    </w:p>
    <w:p>
      <w:pPr>
        <w:tabs>
          <w:tab w:val="left" w:pos="720"/>
        </w:tabs>
        <w:autoSpaceDE w:val="0"/>
        <w:autoSpaceDN w:val="0"/>
        <w:adjustRightInd w:val="0"/>
        <w:spacing w:line="360" w:lineRule="auto"/>
        <w:ind w:right="17"/>
        <w:jc w:val="left"/>
        <w:rPr>
          <w:rFonts w:hint="eastAsia" w:ascii="宋体" w:hAnsi="宋体" w:cs="宋体"/>
          <w:sz w:val="24"/>
          <w:szCs w:val="24"/>
        </w:rPr>
      </w:pPr>
      <w:r>
        <w:rPr>
          <w:rFonts w:ascii="宋体" w:hAnsi="宋体" w:cs="宋体"/>
          <w:sz w:val="24"/>
          <w:szCs w:val="24"/>
        </w:rPr>
        <w:t>2.7.3</w:t>
      </w:r>
      <w:r>
        <w:rPr>
          <w:rFonts w:hint="eastAsia" w:ascii="宋体" w:hAnsi="宋体" w:cs="宋体"/>
          <w:sz w:val="24"/>
          <w:szCs w:val="24"/>
        </w:rPr>
        <w:t>服务方案</w:t>
      </w:r>
      <w:r>
        <w:rPr>
          <w:rFonts w:ascii="宋体" w:cs="宋体"/>
          <w:sz w:val="24"/>
          <w:szCs w:val="24"/>
        </w:rPr>
        <w:t>-</w:t>
      </w:r>
      <w:r>
        <w:rPr>
          <w:rFonts w:hint="eastAsia" w:ascii="宋体" w:hAnsi="宋体" w:cs="宋体"/>
          <w:sz w:val="24"/>
          <w:szCs w:val="24"/>
        </w:rPr>
        <w:t>格式自拟；</w:t>
      </w:r>
    </w:p>
    <w:p>
      <w:pPr>
        <w:tabs>
          <w:tab w:val="left" w:pos="720"/>
        </w:tabs>
        <w:autoSpaceDE w:val="0"/>
        <w:autoSpaceDN w:val="0"/>
        <w:adjustRightInd w:val="0"/>
        <w:spacing w:line="360" w:lineRule="auto"/>
        <w:ind w:right="17"/>
        <w:jc w:val="left"/>
        <w:rPr>
          <w:rFonts w:ascii="宋体" w:cs="宋体"/>
          <w:color w:val="000000"/>
          <w:sz w:val="24"/>
          <w:szCs w:val="24"/>
        </w:rPr>
      </w:pPr>
      <w:r>
        <w:rPr>
          <w:rFonts w:ascii="宋体" w:hAnsi="宋体" w:cs="宋体"/>
          <w:sz w:val="24"/>
          <w:szCs w:val="24"/>
        </w:rPr>
        <w:t>2.7.</w:t>
      </w:r>
      <w:r>
        <w:rPr>
          <w:rFonts w:hint="eastAsia" w:ascii="宋体" w:hAnsi="宋体" w:cs="宋体"/>
          <w:sz w:val="24"/>
          <w:szCs w:val="24"/>
          <w:lang w:val="en-US" w:eastAsia="zh-CN"/>
        </w:rPr>
        <w:t>4</w:t>
      </w:r>
      <w:r>
        <w:rPr>
          <w:rFonts w:hint="eastAsia" w:ascii="宋体" w:hAnsi="宋体" w:cs="宋体"/>
          <w:sz w:val="24"/>
          <w:szCs w:val="24"/>
        </w:rPr>
        <w:t>中小企业声明函（格式，不符合条件无须提交，如符合则提交并附相关证明材料，详见“评标方法及评标标准”</w:t>
      </w:r>
      <w:r>
        <w:rPr>
          <w:rFonts w:hint="eastAsia" w:ascii="宋体" w:hAnsi="宋体" w:cs="宋体"/>
          <w:color w:val="000000"/>
          <w:sz w:val="24"/>
          <w:szCs w:val="24"/>
        </w:rPr>
        <w:t>）；</w:t>
      </w:r>
    </w:p>
    <w:p>
      <w:pPr>
        <w:tabs>
          <w:tab w:val="left" w:pos="720"/>
        </w:tabs>
        <w:autoSpaceDE w:val="0"/>
        <w:autoSpaceDN w:val="0"/>
        <w:adjustRightInd w:val="0"/>
        <w:spacing w:line="360" w:lineRule="auto"/>
        <w:ind w:right="17"/>
        <w:jc w:val="left"/>
        <w:rPr>
          <w:rFonts w:ascii="宋体" w:cs="宋体"/>
          <w:color w:val="000000"/>
          <w:sz w:val="24"/>
        </w:rPr>
      </w:pPr>
      <w:r>
        <w:rPr>
          <w:rFonts w:ascii="宋体" w:hAnsi="宋体" w:cs="宋体"/>
          <w:color w:val="000000"/>
          <w:sz w:val="24"/>
        </w:rPr>
        <w:t>2.7.</w:t>
      </w:r>
      <w:r>
        <w:rPr>
          <w:rFonts w:hint="eastAsia" w:ascii="宋体" w:hAnsi="宋体" w:cs="宋体"/>
          <w:color w:val="000000"/>
          <w:sz w:val="24"/>
          <w:lang w:val="en-US" w:eastAsia="zh-CN"/>
        </w:rPr>
        <w:t>5</w:t>
      </w:r>
      <w:r>
        <w:rPr>
          <w:rFonts w:hint="eastAsia" w:ascii="宋体" w:hAnsi="宋体" w:cs="宋体"/>
          <w:color w:val="000000"/>
          <w:sz w:val="24"/>
        </w:rPr>
        <w:t>残疾人福利性单位声明函（</w:t>
      </w:r>
      <w:r>
        <w:rPr>
          <w:rFonts w:hint="eastAsia" w:ascii="宋体" w:hAnsi="宋体" w:cs="宋体"/>
          <w:sz w:val="24"/>
          <w:szCs w:val="24"/>
        </w:rPr>
        <w:t>格式，不符合 条件无须提交</w:t>
      </w:r>
      <w:r>
        <w:rPr>
          <w:rFonts w:hint="eastAsia" w:ascii="宋体" w:hAnsi="宋体" w:cs="宋体"/>
          <w:color w:val="000000"/>
          <w:sz w:val="24"/>
        </w:rPr>
        <w:t>）</w:t>
      </w:r>
    </w:p>
    <w:p>
      <w:pPr>
        <w:spacing w:line="360" w:lineRule="auto"/>
        <w:rPr>
          <w:rFonts w:ascii="宋体" w:hAnsi="宋体" w:cs="宋体"/>
          <w:color w:val="000000"/>
          <w:sz w:val="24"/>
        </w:rPr>
      </w:pPr>
      <w:r>
        <w:rPr>
          <w:rFonts w:ascii="宋体" w:hAnsi="宋体" w:cs="宋体"/>
          <w:color w:val="000000"/>
          <w:kern w:val="0"/>
          <w:sz w:val="24"/>
        </w:rPr>
        <w:t>2.7.</w:t>
      </w:r>
      <w:r>
        <w:rPr>
          <w:rFonts w:hint="eastAsia" w:ascii="宋体" w:hAnsi="宋体" w:cs="宋体"/>
          <w:color w:val="000000"/>
          <w:kern w:val="0"/>
          <w:sz w:val="24"/>
          <w:lang w:val="en-US" w:eastAsia="zh-CN"/>
        </w:rPr>
        <w:t>6</w:t>
      </w:r>
      <w:r>
        <w:rPr>
          <w:rFonts w:hint="eastAsia" w:ascii="宋体" w:hAnsi="宋体" w:cs="宋体"/>
          <w:color w:val="000000"/>
          <w:sz w:val="24"/>
        </w:rPr>
        <w:t>招标文件要求的其它文件及投标人认为有必要提供的其它文件。</w:t>
      </w:r>
    </w:p>
    <w:p>
      <w:pPr>
        <w:spacing w:line="360" w:lineRule="auto"/>
        <w:rPr>
          <w:rFonts w:ascii="宋体" w:cs="宋体"/>
          <w:color w:val="000000"/>
          <w:sz w:val="24"/>
          <w:szCs w:val="24"/>
        </w:rPr>
      </w:pPr>
      <w:r>
        <w:rPr>
          <w:rFonts w:hint="eastAsia" w:ascii="宋体" w:hAnsi="宋体" w:cs="宋体"/>
          <w:color w:val="000000"/>
          <w:sz w:val="24"/>
          <w:szCs w:val="24"/>
        </w:rPr>
        <w:t>二、填写须知</w:t>
      </w:r>
    </w:p>
    <w:p>
      <w:pPr>
        <w:spacing w:line="360" w:lineRule="auto"/>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）制造商或经销商作为投标人应填写和提交下述规定的全部格式以及其他有关资料。</w:t>
      </w:r>
    </w:p>
    <w:p>
      <w:pPr>
        <w:spacing w:line="360" w:lineRule="auto"/>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）所附格式中要求填写的全部问题和信息都必须填写。</w:t>
      </w:r>
    </w:p>
    <w:p>
      <w:pPr>
        <w:spacing w:line="360" w:lineRule="auto"/>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）本资格声明的签字人应保证全部声明和填写的内容是真实的和正确的。</w:t>
      </w:r>
    </w:p>
    <w:p>
      <w:pPr>
        <w:spacing w:line="360" w:lineRule="auto"/>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）评标委员会将依据投标人提交的资料根据自己的评价和考虑决定投标人履行合同的能力。</w:t>
      </w:r>
    </w:p>
    <w:p>
      <w:pPr>
        <w:spacing w:line="360" w:lineRule="auto"/>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）投标人提交的材料将被保密，但不退还。</w:t>
      </w:r>
    </w:p>
    <w:p>
      <w:pPr>
        <w:spacing w:line="360" w:lineRule="auto"/>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）全部文件应按“投标人须知前附表”规定的份数提交。</w:t>
      </w:r>
    </w:p>
    <w:p>
      <w:pPr>
        <w:spacing w:line="360" w:lineRule="auto"/>
        <w:rPr>
          <w:rFonts w:ascii="宋体" w:cs="宋体"/>
          <w:b/>
          <w:color w:val="000000"/>
          <w:sz w:val="24"/>
          <w:szCs w:val="24"/>
        </w:rPr>
      </w:pPr>
      <w:r>
        <w:rPr>
          <w:rFonts w:ascii="宋体" w:hAnsi="宋体" w:cs="宋体"/>
          <w:b/>
          <w:color w:val="000000"/>
          <w:sz w:val="24"/>
          <w:szCs w:val="24"/>
        </w:rPr>
        <w:t>2.7.1-2.7.</w:t>
      </w:r>
      <w:r>
        <w:rPr>
          <w:rFonts w:hint="eastAsia" w:ascii="宋体" w:hAnsi="宋体" w:cs="宋体"/>
          <w:b/>
          <w:color w:val="000000"/>
          <w:sz w:val="24"/>
          <w:szCs w:val="24"/>
          <w:lang w:val="en-US" w:eastAsia="zh-CN"/>
        </w:rPr>
        <w:t>6</w:t>
      </w:r>
      <w:r>
        <w:rPr>
          <w:rFonts w:hint="eastAsia" w:ascii="宋体" w:hAnsi="宋体" w:cs="宋体"/>
          <w:b/>
          <w:color w:val="000000"/>
          <w:sz w:val="24"/>
          <w:szCs w:val="24"/>
        </w:rPr>
        <w:t>为附加条件，执行招标文件中评标方法综合打分。</w:t>
      </w:r>
    </w:p>
    <w:p>
      <w:pPr>
        <w:pStyle w:val="7"/>
        <w:rPr>
          <w:rFonts w:ascii="宋体" w:cs="宋体"/>
          <w:sz w:val="24"/>
          <w:szCs w:val="24"/>
          <w:lang w:eastAsia="zh-CN"/>
        </w:rPr>
      </w:pPr>
      <w:r>
        <w:rPr>
          <w:rFonts w:ascii="宋体" w:cs="宋体"/>
          <w:color w:val="000000"/>
          <w:lang w:eastAsia="zh-CN"/>
        </w:rPr>
        <w:br w:type="page"/>
      </w:r>
      <w:bookmarkStart w:id="235" w:name="_Toc493422672"/>
      <w:bookmarkStart w:id="236" w:name="_Toc44705297"/>
      <w:bookmarkStart w:id="237" w:name="_Toc44704929"/>
      <w:r>
        <w:rPr>
          <w:rFonts w:ascii="宋体" w:hAnsi="宋体" w:cs="宋体"/>
          <w:szCs w:val="24"/>
          <w:lang w:eastAsia="zh-CN"/>
        </w:rPr>
        <w:t>2.7.1</w:t>
      </w:r>
      <w:bookmarkEnd w:id="235"/>
      <w:r>
        <w:rPr>
          <w:rFonts w:hint="eastAsia" w:ascii="宋体" w:hAnsi="宋体" w:cs="宋体"/>
          <w:szCs w:val="24"/>
          <w:lang w:eastAsia="zh-CN"/>
        </w:rPr>
        <w:t>近三年类似项目业绩表</w:t>
      </w:r>
      <w:bookmarkEnd w:id="236"/>
      <w:bookmarkEnd w:id="237"/>
    </w:p>
    <w:p>
      <w:pPr>
        <w:spacing w:line="360" w:lineRule="auto"/>
        <w:rPr>
          <w:rFonts w:ascii="宋体" w:cs="宋体"/>
          <w:color w:val="000000"/>
          <w:szCs w:val="21"/>
        </w:rPr>
      </w:pPr>
    </w:p>
    <w:p>
      <w:pPr>
        <w:spacing w:line="360" w:lineRule="auto"/>
        <w:jc w:val="center"/>
        <w:rPr>
          <w:rFonts w:ascii="宋体" w:cs="宋体"/>
          <w:b/>
          <w:color w:val="000000"/>
          <w:sz w:val="24"/>
          <w:szCs w:val="24"/>
        </w:rPr>
      </w:pPr>
      <w:r>
        <w:rPr>
          <w:rFonts w:hint="eastAsia" w:ascii="宋体" w:hAnsi="宋体" w:cs="宋体"/>
          <w:b/>
          <w:color w:val="000000"/>
          <w:sz w:val="24"/>
          <w:szCs w:val="24"/>
        </w:rPr>
        <w:t>近三年类似项目业绩表（</w:t>
      </w:r>
      <w:r>
        <w:rPr>
          <w:rFonts w:hint="eastAsia" w:ascii="宋体" w:hAnsi="宋体" w:cs="宋体"/>
          <w:b/>
          <w:color w:val="000000"/>
          <w:sz w:val="24"/>
          <w:szCs w:val="24"/>
          <w:lang w:eastAsia="zh-CN"/>
        </w:rPr>
        <w:t>2022</w:t>
      </w:r>
      <w:r>
        <w:rPr>
          <w:rFonts w:hint="eastAsia" w:ascii="宋体" w:hAnsi="宋体" w:cs="宋体"/>
          <w:b/>
          <w:color w:val="000000"/>
          <w:sz w:val="24"/>
          <w:szCs w:val="24"/>
        </w:rPr>
        <w:t>年至今）</w:t>
      </w:r>
    </w:p>
    <w:p>
      <w:pPr>
        <w:spacing w:line="360" w:lineRule="auto"/>
        <w:jc w:val="center"/>
        <w:rPr>
          <w:rFonts w:ascii="宋体" w:cs="宋体"/>
          <w:b/>
          <w:color w:val="000000"/>
          <w:sz w:val="24"/>
          <w:szCs w:val="24"/>
        </w:rPr>
      </w:pPr>
    </w:p>
    <w:tbl>
      <w:tblPr>
        <w:tblStyle w:val="47"/>
        <w:tblW w:w="990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79"/>
        <w:gridCol w:w="1980"/>
        <w:gridCol w:w="1262"/>
        <w:gridCol w:w="1262"/>
        <w:gridCol w:w="126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1" w:type="dxa"/>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序号</w:t>
            </w:r>
          </w:p>
        </w:tc>
        <w:tc>
          <w:tcPr>
            <w:tcW w:w="1979" w:type="dxa"/>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业主名称</w:t>
            </w:r>
          </w:p>
        </w:tc>
        <w:tc>
          <w:tcPr>
            <w:tcW w:w="1980" w:type="dxa"/>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项目名称</w:t>
            </w:r>
          </w:p>
        </w:tc>
        <w:tc>
          <w:tcPr>
            <w:tcW w:w="1262" w:type="dxa"/>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联系人</w:t>
            </w:r>
          </w:p>
        </w:tc>
        <w:tc>
          <w:tcPr>
            <w:tcW w:w="1262" w:type="dxa"/>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联系方式</w:t>
            </w:r>
          </w:p>
        </w:tc>
        <w:tc>
          <w:tcPr>
            <w:tcW w:w="1262" w:type="dxa"/>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完成情况</w:t>
            </w:r>
          </w:p>
        </w:tc>
        <w:tc>
          <w:tcPr>
            <w:tcW w:w="1442" w:type="dxa"/>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是否有用户反馈情况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1" w:type="dxa"/>
          </w:tcPr>
          <w:p>
            <w:pPr>
              <w:spacing w:line="360" w:lineRule="auto"/>
              <w:jc w:val="center"/>
              <w:rPr>
                <w:rFonts w:ascii="宋体" w:cs="宋体"/>
                <w:color w:val="000000"/>
                <w:sz w:val="24"/>
                <w:szCs w:val="24"/>
              </w:rPr>
            </w:pPr>
          </w:p>
        </w:tc>
        <w:tc>
          <w:tcPr>
            <w:tcW w:w="1979" w:type="dxa"/>
          </w:tcPr>
          <w:p>
            <w:pPr>
              <w:spacing w:line="360" w:lineRule="auto"/>
              <w:jc w:val="center"/>
              <w:rPr>
                <w:rFonts w:ascii="宋体" w:cs="宋体"/>
                <w:color w:val="000000"/>
                <w:sz w:val="24"/>
                <w:szCs w:val="24"/>
              </w:rPr>
            </w:pPr>
          </w:p>
        </w:tc>
        <w:tc>
          <w:tcPr>
            <w:tcW w:w="1980"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442" w:type="dxa"/>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1" w:type="dxa"/>
          </w:tcPr>
          <w:p>
            <w:pPr>
              <w:spacing w:line="360" w:lineRule="auto"/>
              <w:jc w:val="center"/>
              <w:rPr>
                <w:rFonts w:ascii="宋体" w:cs="宋体"/>
                <w:color w:val="000000"/>
                <w:sz w:val="24"/>
                <w:szCs w:val="24"/>
              </w:rPr>
            </w:pPr>
          </w:p>
        </w:tc>
        <w:tc>
          <w:tcPr>
            <w:tcW w:w="1979" w:type="dxa"/>
          </w:tcPr>
          <w:p>
            <w:pPr>
              <w:spacing w:line="360" w:lineRule="auto"/>
              <w:jc w:val="center"/>
              <w:rPr>
                <w:rFonts w:ascii="宋体" w:cs="宋体"/>
                <w:color w:val="000000"/>
                <w:sz w:val="24"/>
                <w:szCs w:val="24"/>
              </w:rPr>
            </w:pPr>
          </w:p>
        </w:tc>
        <w:tc>
          <w:tcPr>
            <w:tcW w:w="1980"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442" w:type="dxa"/>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1" w:type="dxa"/>
          </w:tcPr>
          <w:p>
            <w:pPr>
              <w:spacing w:line="360" w:lineRule="auto"/>
              <w:jc w:val="center"/>
              <w:rPr>
                <w:rFonts w:ascii="宋体" w:cs="宋体"/>
                <w:color w:val="000000"/>
                <w:sz w:val="24"/>
                <w:szCs w:val="24"/>
              </w:rPr>
            </w:pPr>
          </w:p>
        </w:tc>
        <w:tc>
          <w:tcPr>
            <w:tcW w:w="1979" w:type="dxa"/>
          </w:tcPr>
          <w:p>
            <w:pPr>
              <w:spacing w:line="360" w:lineRule="auto"/>
              <w:jc w:val="center"/>
              <w:rPr>
                <w:rFonts w:ascii="宋体" w:cs="宋体"/>
                <w:color w:val="000000"/>
                <w:sz w:val="24"/>
                <w:szCs w:val="24"/>
              </w:rPr>
            </w:pPr>
          </w:p>
        </w:tc>
        <w:tc>
          <w:tcPr>
            <w:tcW w:w="1980"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442" w:type="dxa"/>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1" w:type="dxa"/>
          </w:tcPr>
          <w:p>
            <w:pPr>
              <w:spacing w:line="360" w:lineRule="auto"/>
              <w:jc w:val="center"/>
              <w:rPr>
                <w:rFonts w:ascii="宋体" w:cs="宋体"/>
                <w:color w:val="000000"/>
                <w:sz w:val="24"/>
                <w:szCs w:val="24"/>
              </w:rPr>
            </w:pPr>
          </w:p>
        </w:tc>
        <w:tc>
          <w:tcPr>
            <w:tcW w:w="1979" w:type="dxa"/>
          </w:tcPr>
          <w:p>
            <w:pPr>
              <w:spacing w:line="360" w:lineRule="auto"/>
              <w:jc w:val="center"/>
              <w:rPr>
                <w:rFonts w:ascii="宋体" w:cs="宋体"/>
                <w:color w:val="000000"/>
                <w:sz w:val="24"/>
                <w:szCs w:val="24"/>
              </w:rPr>
            </w:pPr>
          </w:p>
        </w:tc>
        <w:tc>
          <w:tcPr>
            <w:tcW w:w="1980"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442" w:type="dxa"/>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1" w:type="dxa"/>
          </w:tcPr>
          <w:p>
            <w:pPr>
              <w:spacing w:line="360" w:lineRule="auto"/>
              <w:jc w:val="center"/>
              <w:rPr>
                <w:rFonts w:ascii="宋体" w:cs="宋体"/>
                <w:color w:val="000000"/>
                <w:sz w:val="24"/>
                <w:szCs w:val="24"/>
              </w:rPr>
            </w:pPr>
          </w:p>
        </w:tc>
        <w:tc>
          <w:tcPr>
            <w:tcW w:w="1979" w:type="dxa"/>
          </w:tcPr>
          <w:p>
            <w:pPr>
              <w:spacing w:line="360" w:lineRule="auto"/>
              <w:jc w:val="center"/>
              <w:rPr>
                <w:rFonts w:ascii="宋体" w:cs="宋体"/>
                <w:color w:val="000000"/>
                <w:sz w:val="24"/>
                <w:szCs w:val="24"/>
              </w:rPr>
            </w:pPr>
          </w:p>
        </w:tc>
        <w:tc>
          <w:tcPr>
            <w:tcW w:w="1980"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442" w:type="dxa"/>
          </w:tcPr>
          <w:p>
            <w:pPr>
              <w:spacing w:line="360" w:lineRule="auto"/>
              <w:jc w:val="center"/>
              <w:rPr>
                <w:rFonts w:ascii="宋体" w:cs="宋体"/>
                <w:color w:val="000000"/>
                <w:sz w:val="24"/>
                <w:szCs w:val="24"/>
              </w:rPr>
            </w:pPr>
          </w:p>
        </w:tc>
      </w:tr>
    </w:tbl>
    <w:p>
      <w:pPr>
        <w:spacing w:line="360" w:lineRule="auto"/>
        <w:rPr>
          <w:rFonts w:ascii="宋体" w:cs="宋体"/>
          <w:color w:val="000000"/>
          <w:sz w:val="24"/>
          <w:szCs w:val="24"/>
        </w:rPr>
      </w:pPr>
    </w:p>
    <w:p>
      <w:pPr>
        <w:spacing w:line="360" w:lineRule="auto"/>
        <w:rPr>
          <w:rFonts w:ascii="宋体" w:cs="宋体"/>
          <w:color w:val="000000"/>
          <w:sz w:val="24"/>
          <w:szCs w:val="24"/>
        </w:rPr>
      </w:pPr>
      <w:r>
        <w:rPr>
          <w:rFonts w:hint="eastAsia" w:ascii="宋体" w:hAnsi="宋体" w:cs="宋体"/>
          <w:color w:val="000000"/>
          <w:sz w:val="24"/>
          <w:szCs w:val="24"/>
        </w:rPr>
        <w:t>注：</w:t>
      </w:r>
      <w:r>
        <w:rPr>
          <w:rFonts w:ascii="宋体" w:hAnsi="宋体" w:cs="宋体"/>
          <w:color w:val="000000"/>
          <w:sz w:val="24"/>
          <w:szCs w:val="24"/>
        </w:rPr>
        <w:t>1</w:t>
      </w:r>
      <w:r>
        <w:rPr>
          <w:rFonts w:hint="eastAsia" w:ascii="宋体" w:hAnsi="宋体" w:cs="宋体"/>
          <w:color w:val="000000"/>
          <w:sz w:val="24"/>
          <w:szCs w:val="24"/>
        </w:rPr>
        <w:t>、项目业绩证明以加盖投标人公章的合同复印件或中标</w:t>
      </w:r>
      <w:r>
        <w:rPr>
          <w:rFonts w:ascii="宋体" w:hAnsi="宋体" w:cs="宋体"/>
          <w:color w:val="000000"/>
          <w:sz w:val="24"/>
          <w:szCs w:val="24"/>
        </w:rPr>
        <w:t>/</w:t>
      </w:r>
      <w:r>
        <w:rPr>
          <w:rFonts w:hint="eastAsia" w:ascii="宋体" w:hAnsi="宋体" w:cs="宋体"/>
          <w:color w:val="000000"/>
          <w:sz w:val="24"/>
          <w:szCs w:val="24"/>
        </w:rPr>
        <w:t>成交通知书作为依据。</w:t>
      </w:r>
    </w:p>
    <w:p>
      <w:pPr>
        <w:numPr>
          <w:ilvl w:val="0"/>
          <w:numId w:val="15"/>
        </w:numPr>
        <w:spacing w:line="360" w:lineRule="auto"/>
        <w:rPr>
          <w:rFonts w:ascii="宋体" w:cs="宋体"/>
          <w:color w:val="000000"/>
          <w:sz w:val="24"/>
        </w:rPr>
      </w:pPr>
      <w:r>
        <w:rPr>
          <w:rFonts w:hint="eastAsia" w:ascii="宋体" w:hAnsi="宋体" w:cs="宋体"/>
          <w:color w:val="000000"/>
          <w:sz w:val="24"/>
        </w:rPr>
        <w:t>如投标人成立日期不足三年，请提供自成立之日至投标之日的同类项目案例；</w:t>
      </w:r>
    </w:p>
    <w:p>
      <w:pPr>
        <w:spacing w:line="360" w:lineRule="auto"/>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、所有复印件应清晰，并由投标人单位加盖公章；</w:t>
      </w:r>
    </w:p>
    <w:p>
      <w:pPr>
        <w:spacing w:line="360" w:lineRule="auto"/>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、不提供复印件的案例，评分阶段不予以考虑。</w:t>
      </w:r>
    </w:p>
    <w:p>
      <w:pPr>
        <w:spacing w:line="360" w:lineRule="auto"/>
        <w:rPr>
          <w:rFonts w:ascii="宋体" w:cs="宋体"/>
          <w:color w:val="000000"/>
          <w:sz w:val="24"/>
          <w:szCs w:val="24"/>
        </w:rPr>
      </w:pPr>
    </w:p>
    <w:p>
      <w:pPr>
        <w:spacing w:line="360" w:lineRule="auto"/>
        <w:jc w:val="right"/>
        <w:rPr>
          <w:rFonts w:ascii="宋体" w:cs="宋体"/>
          <w:sz w:val="24"/>
          <w:szCs w:val="24"/>
        </w:rPr>
      </w:pPr>
      <w:r>
        <w:rPr>
          <w:rFonts w:hint="eastAsia" w:ascii="宋体" w:hAnsi="宋体" w:cs="宋体"/>
          <w:sz w:val="24"/>
          <w:szCs w:val="24"/>
        </w:rPr>
        <w:t>投标人法定代表人或授权代表（签字</w:t>
      </w:r>
      <w:r>
        <w:rPr>
          <w:rFonts w:hint="eastAsia" w:ascii="宋体" w:hAnsi="宋体"/>
          <w:sz w:val="24"/>
        </w:rPr>
        <w:t>或盖章</w:t>
      </w:r>
      <w:r>
        <w:rPr>
          <w:rFonts w:hint="eastAsia" w:ascii="宋体" w:hAnsi="宋体" w:cs="宋体"/>
          <w:sz w:val="24"/>
          <w:szCs w:val="24"/>
        </w:rPr>
        <w:t>）：</w:t>
      </w:r>
    </w:p>
    <w:p>
      <w:pPr>
        <w:pStyle w:val="21"/>
      </w:pPr>
    </w:p>
    <w:p>
      <w:pPr>
        <w:spacing w:line="360" w:lineRule="auto"/>
        <w:jc w:val="right"/>
        <w:rPr>
          <w:rFonts w:ascii="宋体" w:cs="宋体"/>
          <w:sz w:val="24"/>
          <w:szCs w:val="24"/>
        </w:rPr>
      </w:pPr>
      <w:r>
        <w:rPr>
          <w:rFonts w:hint="eastAsia" w:ascii="宋体" w:hAnsi="宋体" w:cs="宋体"/>
          <w:sz w:val="24"/>
          <w:szCs w:val="24"/>
        </w:rPr>
        <w:t>投标人名称（加盖单位公章）：</w:t>
      </w:r>
    </w:p>
    <w:p>
      <w:pPr>
        <w:pStyle w:val="21"/>
      </w:pPr>
    </w:p>
    <w:p>
      <w:pPr>
        <w:spacing w:line="360" w:lineRule="auto"/>
        <w:jc w:val="right"/>
        <w:rPr>
          <w:rFonts w:ascii="宋体" w:cs="宋体"/>
          <w:sz w:val="24"/>
          <w:szCs w:val="24"/>
        </w:rPr>
      </w:pPr>
      <w:r>
        <w:rPr>
          <w:rFonts w:hint="eastAsia" w:ascii="宋体" w:hAnsi="宋体" w:cs="宋体"/>
          <w:sz w:val="24"/>
          <w:szCs w:val="24"/>
        </w:rPr>
        <w:t>日期：</w:t>
      </w:r>
    </w:p>
    <w:p>
      <w:pPr>
        <w:pStyle w:val="7"/>
        <w:rPr>
          <w:rFonts w:ascii="宋体" w:cs="宋体"/>
          <w:b w:val="0"/>
          <w:color w:val="000000"/>
          <w:sz w:val="24"/>
          <w:szCs w:val="24"/>
          <w:u w:val="single"/>
          <w:lang w:eastAsia="zh-CN"/>
        </w:rPr>
      </w:pPr>
      <w:r>
        <w:rPr>
          <w:rFonts w:ascii="宋体" w:cs="宋体"/>
          <w:color w:val="000000"/>
          <w:sz w:val="24"/>
          <w:szCs w:val="24"/>
          <w:u w:val="single"/>
          <w:lang w:eastAsia="zh-CN"/>
        </w:rPr>
        <w:br w:type="page"/>
      </w:r>
      <w:bookmarkStart w:id="238" w:name="_Toc493422675"/>
      <w:bookmarkStart w:id="239" w:name="_Toc44705298"/>
      <w:bookmarkStart w:id="240" w:name="_Toc44704930"/>
      <w:r>
        <w:rPr>
          <w:rFonts w:ascii="宋体" w:hAnsi="宋体" w:cs="宋体"/>
          <w:szCs w:val="24"/>
          <w:lang w:eastAsia="zh-CN"/>
        </w:rPr>
        <w:t>2.7.</w:t>
      </w:r>
      <w:bookmarkEnd w:id="238"/>
      <w:r>
        <w:rPr>
          <w:rFonts w:ascii="宋体" w:hAnsi="宋体" w:cs="宋体"/>
          <w:szCs w:val="24"/>
          <w:lang w:eastAsia="zh-CN"/>
        </w:rPr>
        <w:t>2</w:t>
      </w:r>
      <w:r>
        <w:rPr>
          <w:rFonts w:hint="eastAsia" w:ascii="宋体" w:hAnsi="宋体" w:cs="宋体"/>
          <w:szCs w:val="24"/>
          <w:lang w:eastAsia="zh-CN"/>
        </w:rPr>
        <w:t>项目人员配备表</w:t>
      </w:r>
      <w:r>
        <w:rPr>
          <w:rFonts w:hint="eastAsia" w:ascii="宋体" w:hAnsi="宋体" w:cs="宋体"/>
          <w:b w:val="0"/>
          <w:sz w:val="24"/>
          <w:szCs w:val="24"/>
          <w:lang w:eastAsia="zh-CN"/>
        </w:rPr>
        <w:t>（后附人员相关身份证明及职称证明等相关证书并加盖公章）</w:t>
      </w:r>
      <w:bookmarkEnd w:id="239"/>
      <w:bookmarkEnd w:id="240"/>
    </w:p>
    <w:p>
      <w:pPr>
        <w:spacing w:line="360" w:lineRule="auto"/>
        <w:rPr>
          <w:rFonts w:ascii="宋体" w:cs="宋体"/>
        </w:rPr>
      </w:pPr>
      <w:bookmarkStart w:id="241" w:name="_Toc521670795"/>
      <w:bookmarkStart w:id="242" w:name="_Toc508200460"/>
    </w:p>
    <w:p>
      <w:pPr>
        <w:spacing w:line="360" w:lineRule="auto"/>
        <w:rPr>
          <w:rFonts w:ascii="宋体" w:cs="宋体"/>
          <w:sz w:val="24"/>
          <w:szCs w:val="24"/>
        </w:rPr>
      </w:pPr>
      <w:bookmarkStart w:id="243" w:name="_Toc2355272"/>
      <w:bookmarkStart w:id="244" w:name="_Toc2512014"/>
      <w:r>
        <w:rPr>
          <w:rFonts w:hint="eastAsia" w:ascii="宋体" w:hAnsi="宋体" w:cs="宋体"/>
          <w:sz w:val="24"/>
          <w:szCs w:val="24"/>
        </w:rPr>
        <w:t>项目人员配备表格式</w:t>
      </w:r>
      <w:bookmarkEnd w:id="241"/>
      <w:bookmarkEnd w:id="242"/>
      <w:bookmarkEnd w:id="243"/>
      <w:bookmarkEnd w:id="244"/>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招标编号：</w:t>
      </w: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 xml:space="preserve">项目名称：　          </w:t>
      </w: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 xml:space="preserve">标项名称： </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533"/>
        <w:gridCol w:w="1872"/>
        <w:gridCol w:w="1872"/>
        <w:gridCol w:w="1872"/>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47" w:type="dxa"/>
            <w:vAlign w:val="center"/>
          </w:tcPr>
          <w:p>
            <w:pPr>
              <w:spacing w:line="360" w:lineRule="auto"/>
              <w:rPr>
                <w:rFonts w:ascii="宋体" w:cs="宋体"/>
                <w:sz w:val="24"/>
                <w:szCs w:val="24"/>
              </w:rPr>
            </w:pPr>
            <w:r>
              <w:rPr>
                <w:rFonts w:hint="eastAsia" w:ascii="宋体" w:hAnsi="宋体" w:cs="宋体"/>
                <w:sz w:val="24"/>
                <w:szCs w:val="24"/>
              </w:rPr>
              <w:t>序号</w:t>
            </w:r>
          </w:p>
        </w:tc>
        <w:tc>
          <w:tcPr>
            <w:tcW w:w="1533" w:type="dxa"/>
            <w:vAlign w:val="center"/>
          </w:tcPr>
          <w:p>
            <w:pPr>
              <w:spacing w:line="360" w:lineRule="auto"/>
              <w:rPr>
                <w:rFonts w:ascii="宋体" w:cs="宋体"/>
                <w:sz w:val="24"/>
                <w:szCs w:val="24"/>
              </w:rPr>
            </w:pPr>
            <w:r>
              <w:rPr>
                <w:rFonts w:hint="eastAsia" w:ascii="宋体" w:hAnsi="宋体" w:cs="宋体"/>
                <w:sz w:val="24"/>
                <w:szCs w:val="24"/>
              </w:rPr>
              <w:t>姓名</w:t>
            </w:r>
          </w:p>
        </w:tc>
        <w:tc>
          <w:tcPr>
            <w:tcW w:w="1872" w:type="dxa"/>
            <w:vAlign w:val="center"/>
          </w:tcPr>
          <w:p>
            <w:pPr>
              <w:spacing w:line="360" w:lineRule="auto"/>
              <w:rPr>
                <w:rFonts w:ascii="宋体" w:cs="宋体"/>
                <w:sz w:val="24"/>
                <w:szCs w:val="24"/>
              </w:rPr>
            </w:pPr>
            <w:r>
              <w:rPr>
                <w:rFonts w:hint="eastAsia" w:ascii="宋体" w:hAnsi="宋体" w:cs="宋体"/>
                <w:sz w:val="24"/>
                <w:szCs w:val="24"/>
              </w:rPr>
              <w:t>职务</w:t>
            </w:r>
          </w:p>
        </w:tc>
        <w:tc>
          <w:tcPr>
            <w:tcW w:w="1872" w:type="dxa"/>
            <w:vAlign w:val="center"/>
          </w:tcPr>
          <w:p>
            <w:pPr>
              <w:spacing w:line="360" w:lineRule="auto"/>
              <w:rPr>
                <w:rFonts w:ascii="宋体" w:cs="宋体"/>
                <w:sz w:val="24"/>
                <w:szCs w:val="24"/>
              </w:rPr>
            </w:pPr>
            <w:r>
              <w:rPr>
                <w:rFonts w:hint="eastAsia" w:ascii="宋体" w:hAnsi="宋体" w:cs="宋体"/>
                <w:sz w:val="24"/>
                <w:szCs w:val="24"/>
              </w:rPr>
              <w:t>职称</w:t>
            </w:r>
          </w:p>
        </w:tc>
        <w:tc>
          <w:tcPr>
            <w:tcW w:w="1872" w:type="dxa"/>
            <w:vAlign w:val="center"/>
          </w:tcPr>
          <w:p>
            <w:pPr>
              <w:spacing w:line="360" w:lineRule="auto"/>
              <w:rPr>
                <w:rFonts w:ascii="宋体" w:cs="宋体"/>
                <w:sz w:val="24"/>
                <w:szCs w:val="24"/>
              </w:rPr>
            </w:pPr>
            <w:r>
              <w:rPr>
                <w:rFonts w:hint="eastAsia" w:ascii="宋体" w:hAnsi="宋体" w:cs="宋体"/>
                <w:sz w:val="24"/>
                <w:szCs w:val="24"/>
              </w:rPr>
              <w:t>行业经验</w:t>
            </w:r>
          </w:p>
        </w:tc>
        <w:tc>
          <w:tcPr>
            <w:tcW w:w="1333" w:type="dxa"/>
            <w:vAlign w:val="center"/>
          </w:tcPr>
          <w:p>
            <w:pPr>
              <w:spacing w:line="360" w:lineRule="auto"/>
              <w:rPr>
                <w:rFonts w:asci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47" w:type="dxa"/>
            <w:vAlign w:val="center"/>
          </w:tcPr>
          <w:p>
            <w:pPr>
              <w:spacing w:line="360" w:lineRule="auto"/>
              <w:rPr>
                <w:rFonts w:ascii="宋体" w:cs="宋体"/>
                <w:sz w:val="24"/>
                <w:szCs w:val="24"/>
              </w:rPr>
            </w:pPr>
            <w:r>
              <w:rPr>
                <w:rFonts w:ascii="宋体" w:hAnsi="宋体" w:cs="宋体"/>
                <w:sz w:val="24"/>
                <w:szCs w:val="24"/>
              </w:rPr>
              <w:t>1.</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7" w:type="dxa"/>
            <w:vAlign w:val="center"/>
          </w:tcPr>
          <w:p>
            <w:pPr>
              <w:spacing w:line="360" w:lineRule="auto"/>
              <w:rPr>
                <w:rFonts w:ascii="宋体" w:cs="宋体"/>
                <w:sz w:val="24"/>
                <w:szCs w:val="24"/>
              </w:rPr>
            </w:pPr>
            <w:r>
              <w:rPr>
                <w:rFonts w:ascii="宋体" w:hAnsi="宋体" w:cs="宋体"/>
                <w:sz w:val="24"/>
                <w:szCs w:val="24"/>
              </w:rPr>
              <w:t>2.</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7" w:type="dxa"/>
            <w:vAlign w:val="center"/>
          </w:tcPr>
          <w:p>
            <w:pPr>
              <w:spacing w:line="360" w:lineRule="auto"/>
              <w:rPr>
                <w:rFonts w:ascii="宋体" w:cs="宋体"/>
                <w:sz w:val="24"/>
                <w:szCs w:val="24"/>
              </w:rPr>
            </w:pPr>
            <w:r>
              <w:rPr>
                <w:rFonts w:ascii="宋体" w:hAnsi="宋体" w:cs="宋体"/>
                <w:sz w:val="24"/>
                <w:szCs w:val="24"/>
              </w:rPr>
              <w:t>3.</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47" w:type="dxa"/>
            <w:vAlign w:val="center"/>
          </w:tcPr>
          <w:p>
            <w:pPr>
              <w:spacing w:line="360" w:lineRule="auto"/>
              <w:rPr>
                <w:rFonts w:ascii="宋体" w:cs="宋体"/>
                <w:sz w:val="24"/>
                <w:szCs w:val="24"/>
              </w:rPr>
            </w:pPr>
            <w:r>
              <w:rPr>
                <w:rFonts w:ascii="宋体" w:hAnsi="宋体" w:cs="宋体"/>
                <w:sz w:val="24"/>
                <w:szCs w:val="24"/>
              </w:rPr>
              <w:t>4.</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7" w:type="dxa"/>
            <w:vAlign w:val="center"/>
          </w:tcPr>
          <w:p>
            <w:pPr>
              <w:spacing w:line="360" w:lineRule="auto"/>
              <w:rPr>
                <w:rFonts w:ascii="宋体" w:cs="宋体"/>
                <w:sz w:val="24"/>
                <w:szCs w:val="24"/>
              </w:rPr>
            </w:pPr>
            <w:r>
              <w:rPr>
                <w:rFonts w:ascii="宋体" w:hAnsi="宋体" w:cs="宋体"/>
                <w:sz w:val="24"/>
                <w:szCs w:val="24"/>
              </w:rPr>
              <w:t>5.</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47" w:type="dxa"/>
            <w:vAlign w:val="center"/>
          </w:tcPr>
          <w:p>
            <w:pPr>
              <w:spacing w:line="360" w:lineRule="auto"/>
              <w:rPr>
                <w:rFonts w:ascii="宋体" w:cs="宋体"/>
                <w:sz w:val="24"/>
                <w:szCs w:val="24"/>
              </w:rPr>
            </w:pPr>
            <w:r>
              <w:rPr>
                <w:rFonts w:ascii="宋体" w:hAnsi="宋体" w:cs="宋体"/>
                <w:sz w:val="24"/>
                <w:szCs w:val="24"/>
              </w:rPr>
              <w:t>6.</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147" w:type="dxa"/>
            <w:vAlign w:val="center"/>
          </w:tcPr>
          <w:p>
            <w:pPr>
              <w:spacing w:line="360" w:lineRule="auto"/>
              <w:rPr>
                <w:rFonts w:ascii="宋体" w:cs="宋体"/>
                <w:sz w:val="24"/>
                <w:szCs w:val="24"/>
              </w:rPr>
            </w:pPr>
            <w:r>
              <w:rPr>
                <w:rFonts w:ascii="宋体" w:hAnsi="宋体" w:cs="宋体"/>
                <w:sz w:val="24"/>
                <w:szCs w:val="24"/>
              </w:rPr>
              <w:t>7.</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47" w:type="dxa"/>
            <w:vAlign w:val="center"/>
          </w:tcPr>
          <w:p>
            <w:pPr>
              <w:spacing w:line="360" w:lineRule="auto"/>
              <w:rPr>
                <w:rFonts w:ascii="宋体" w:cs="宋体"/>
                <w:sz w:val="24"/>
                <w:szCs w:val="24"/>
              </w:rPr>
            </w:pPr>
            <w:r>
              <w:rPr>
                <w:rFonts w:ascii="宋体" w:hAnsi="宋体" w:cs="宋体"/>
                <w:sz w:val="24"/>
                <w:szCs w:val="24"/>
              </w:rPr>
              <w:t>8</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47" w:type="dxa"/>
            <w:vAlign w:val="center"/>
          </w:tcPr>
          <w:p>
            <w:pPr>
              <w:spacing w:line="360" w:lineRule="auto"/>
              <w:rPr>
                <w:rFonts w:ascii="宋体" w:cs="宋体"/>
                <w:sz w:val="24"/>
                <w:szCs w:val="24"/>
              </w:rPr>
            </w:pPr>
            <w:r>
              <w:rPr>
                <w:rFonts w:ascii="宋体" w:hAnsi="宋体" w:cs="宋体"/>
                <w:sz w:val="24"/>
                <w:szCs w:val="24"/>
              </w:rPr>
              <w:t>9</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47" w:type="dxa"/>
            <w:vAlign w:val="center"/>
          </w:tcPr>
          <w:p>
            <w:pPr>
              <w:spacing w:line="360" w:lineRule="auto"/>
              <w:rPr>
                <w:rFonts w:ascii="宋体" w:cs="宋体"/>
                <w:sz w:val="24"/>
                <w:szCs w:val="24"/>
              </w:rPr>
            </w:pPr>
            <w:r>
              <w:rPr>
                <w:rFonts w:ascii="宋体" w:hAnsi="宋体" w:cs="宋体"/>
                <w:sz w:val="24"/>
                <w:szCs w:val="24"/>
              </w:rPr>
              <w:t>10</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bl>
    <w:p>
      <w:pPr>
        <w:spacing w:line="360" w:lineRule="auto"/>
        <w:rPr>
          <w:rFonts w:ascii="宋体" w:cs="宋体"/>
          <w:sz w:val="24"/>
          <w:szCs w:val="24"/>
        </w:rPr>
      </w:pPr>
      <w:r>
        <w:rPr>
          <w:rFonts w:hint="eastAsia" w:ascii="宋体" w:hAnsi="宋体" w:cs="宋体"/>
          <w:sz w:val="24"/>
          <w:szCs w:val="24"/>
        </w:rPr>
        <w:t>合计共</w:t>
      </w:r>
      <w:r>
        <w:rPr>
          <w:rFonts w:ascii="宋体" w:hAnsi="宋体" w:cs="宋体"/>
          <w:sz w:val="24"/>
          <w:szCs w:val="24"/>
          <w:u w:val="single"/>
        </w:rPr>
        <w:t xml:space="preserve">    </w:t>
      </w:r>
      <w:r>
        <w:rPr>
          <w:rFonts w:hint="eastAsia" w:ascii="宋体" w:hAnsi="宋体" w:cs="宋体"/>
          <w:sz w:val="24"/>
          <w:szCs w:val="24"/>
        </w:rPr>
        <w:t>人。</w:t>
      </w:r>
    </w:p>
    <w:p>
      <w:pPr>
        <w:spacing w:line="360" w:lineRule="auto"/>
        <w:rPr>
          <w:rFonts w:ascii="宋体" w:cs="宋体"/>
          <w:sz w:val="24"/>
          <w:szCs w:val="24"/>
        </w:rPr>
      </w:pPr>
      <w:r>
        <w:rPr>
          <w:rFonts w:hint="eastAsia" w:ascii="宋体" w:hAnsi="宋体" w:cs="宋体"/>
          <w:sz w:val="24"/>
          <w:szCs w:val="24"/>
        </w:rPr>
        <w:t>注：此表不足可以按照格式扩展。</w:t>
      </w:r>
    </w:p>
    <w:p>
      <w:pPr>
        <w:pStyle w:val="184"/>
        <w:spacing w:line="360" w:lineRule="auto"/>
        <w:rPr>
          <w:sz w:val="24"/>
          <w:szCs w:val="24"/>
        </w:rPr>
      </w:pPr>
    </w:p>
    <w:p>
      <w:pPr>
        <w:spacing w:line="360" w:lineRule="auto"/>
        <w:rPr>
          <w:rFonts w:ascii="宋体" w:cs="宋体"/>
        </w:rPr>
      </w:pPr>
    </w:p>
    <w:p>
      <w:pPr>
        <w:spacing w:line="360" w:lineRule="auto"/>
        <w:jc w:val="right"/>
        <w:rPr>
          <w:rFonts w:ascii="宋体" w:cs="宋体"/>
          <w:sz w:val="24"/>
          <w:szCs w:val="24"/>
        </w:rPr>
      </w:pPr>
      <w:r>
        <w:rPr>
          <w:rFonts w:hint="eastAsia" w:ascii="宋体" w:hAnsi="宋体" w:cs="宋体"/>
          <w:sz w:val="24"/>
          <w:szCs w:val="24"/>
        </w:rPr>
        <w:t>被授权人签字：</w:t>
      </w:r>
    </w:p>
    <w:p>
      <w:pPr>
        <w:spacing w:line="360" w:lineRule="auto"/>
        <w:jc w:val="right"/>
        <w:rPr>
          <w:rFonts w:ascii="宋体" w:cs="宋体"/>
          <w:sz w:val="24"/>
          <w:szCs w:val="24"/>
          <w:u w:val="single"/>
        </w:rPr>
      </w:pPr>
    </w:p>
    <w:p>
      <w:pPr>
        <w:spacing w:line="360" w:lineRule="auto"/>
        <w:jc w:val="right"/>
        <w:rPr>
          <w:rFonts w:ascii="宋体" w:cs="宋体"/>
          <w:sz w:val="24"/>
          <w:szCs w:val="24"/>
        </w:rPr>
      </w:pPr>
      <w:r>
        <w:rPr>
          <w:rFonts w:hint="eastAsia" w:ascii="宋体" w:hAnsi="宋体" w:cs="宋体"/>
          <w:sz w:val="24"/>
          <w:szCs w:val="24"/>
        </w:rPr>
        <w:t>投标人名称（加盖单位公章）：</w:t>
      </w:r>
    </w:p>
    <w:p>
      <w:pPr>
        <w:pStyle w:val="21"/>
        <w:jc w:val="right"/>
      </w:pPr>
    </w:p>
    <w:p>
      <w:pPr>
        <w:pStyle w:val="21"/>
        <w:jc w:val="right"/>
      </w:pPr>
      <w:r>
        <w:rPr>
          <w:rFonts w:hint="eastAsia"/>
        </w:rPr>
        <w:t>日期：</w:t>
      </w:r>
    </w:p>
    <w:p>
      <w:pPr>
        <w:pStyle w:val="7"/>
        <w:rPr>
          <w:rFonts w:ascii="宋体" w:hAnsi="宋体" w:cs="宋体"/>
          <w:szCs w:val="24"/>
          <w:lang w:eastAsia="zh-CN"/>
        </w:rPr>
      </w:pPr>
      <w:r>
        <w:rPr>
          <w:rFonts w:ascii="宋体" w:cs="宋体"/>
          <w:lang w:eastAsia="zh-CN"/>
        </w:rPr>
        <w:br w:type="page"/>
      </w:r>
      <w:bookmarkStart w:id="245" w:name="_Toc44705299"/>
      <w:bookmarkStart w:id="246" w:name="_Toc44704931"/>
      <w:r>
        <w:rPr>
          <w:rFonts w:ascii="宋体" w:hAnsi="宋体" w:cs="宋体"/>
          <w:szCs w:val="24"/>
          <w:lang w:eastAsia="zh-CN"/>
        </w:rPr>
        <w:t>2.7.3</w:t>
      </w:r>
      <w:r>
        <w:rPr>
          <w:rFonts w:hint="eastAsia" w:ascii="宋体" w:hAnsi="宋体" w:cs="宋体"/>
          <w:szCs w:val="24"/>
          <w:lang w:eastAsia="zh-CN"/>
        </w:rPr>
        <w:t>服务方案</w:t>
      </w:r>
      <w:r>
        <w:rPr>
          <w:rFonts w:ascii="宋体" w:cs="宋体"/>
          <w:szCs w:val="24"/>
          <w:lang w:eastAsia="zh-CN"/>
        </w:rPr>
        <w:t>-</w:t>
      </w:r>
      <w:r>
        <w:rPr>
          <w:rFonts w:hint="eastAsia" w:ascii="宋体" w:hAnsi="宋体" w:cs="宋体"/>
          <w:szCs w:val="24"/>
          <w:lang w:eastAsia="zh-CN"/>
        </w:rPr>
        <w:t>格式自拟</w:t>
      </w:r>
      <w:bookmarkEnd w:id="245"/>
      <w:bookmarkEnd w:id="246"/>
    </w:p>
    <w:p>
      <w:pPr>
        <w:spacing w:line="360" w:lineRule="auto"/>
        <w:ind w:firstLine="480" w:firstLineChars="200"/>
        <w:rPr>
          <w:rFonts w:ascii="宋体" w:cs="宋体"/>
          <w:bCs/>
          <w:kern w:val="0"/>
          <w:sz w:val="24"/>
          <w:szCs w:val="24"/>
        </w:rPr>
      </w:pPr>
    </w:p>
    <w:p>
      <w:pPr>
        <w:spacing w:line="360" w:lineRule="auto"/>
        <w:ind w:firstLine="480" w:firstLineChars="200"/>
        <w:rPr>
          <w:rFonts w:ascii="宋体" w:cs="宋体"/>
        </w:rPr>
      </w:pPr>
      <w:r>
        <w:rPr>
          <w:rFonts w:hint="eastAsia" w:ascii="宋体" w:cs="宋体"/>
          <w:bCs/>
          <w:kern w:val="0"/>
          <w:sz w:val="24"/>
          <w:szCs w:val="24"/>
        </w:rPr>
        <w:t>服务技术描述（</w:t>
      </w:r>
      <w:r>
        <w:rPr>
          <w:rFonts w:hint="eastAsia" w:ascii="宋体" w:hAnsi="宋体" w:cs="宋体"/>
          <w:sz w:val="24"/>
          <w:szCs w:val="24"/>
        </w:rPr>
        <w:t>体检服务方案</w:t>
      </w:r>
      <w:r>
        <w:rPr>
          <w:rFonts w:hint="eastAsia" w:ascii="宋体" w:hAnsi="宋体" w:cs="宋体"/>
          <w:sz w:val="24"/>
          <w:szCs w:val="24"/>
          <w:lang w:eastAsia="zh-CN"/>
        </w:rPr>
        <w:t>、</w:t>
      </w:r>
      <w:r>
        <w:rPr>
          <w:rFonts w:hint="eastAsia" w:ascii="宋体" w:hAnsi="宋体" w:cs="宋体"/>
          <w:sz w:val="24"/>
          <w:szCs w:val="24"/>
          <w:lang w:val="en-US" w:eastAsia="zh-CN"/>
        </w:rPr>
        <w:t>体检质量保证方案、应急方案、后期服务方案</w:t>
      </w:r>
      <w:r>
        <w:rPr>
          <w:rFonts w:hint="eastAsia" w:ascii="宋体" w:cs="宋体"/>
          <w:bCs/>
          <w:kern w:val="0"/>
          <w:sz w:val="24"/>
          <w:szCs w:val="24"/>
        </w:rPr>
        <w:t>）、招标文件技术需求部分要求提供的内容、综合说明、服务偏离表等。</w:t>
      </w: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jc w:val="right"/>
        <w:rPr>
          <w:rFonts w:ascii="宋体" w:cs="宋体"/>
        </w:rPr>
      </w:pPr>
    </w:p>
    <w:p>
      <w:pPr>
        <w:spacing w:line="360" w:lineRule="auto"/>
        <w:jc w:val="right"/>
        <w:rPr>
          <w:rFonts w:ascii="宋体" w:cs="宋体"/>
          <w:sz w:val="24"/>
          <w:szCs w:val="24"/>
        </w:rPr>
      </w:pPr>
      <w:r>
        <w:rPr>
          <w:rFonts w:hint="eastAsia" w:ascii="宋体" w:hAnsi="宋体" w:cs="宋体"/>
          <w:sz w:val="24"/>
          <w:szCs w:val="24"/>
        </w:rPr>
        <w:t>投标人法定代表人或授权代表（签字</w:t>
      </w:r>
      <w:r>
        <w:rPr>
          <w:rFonts w:hint="eastAsia" w:ascii="宋体" w:hAnsi="宋体"/>
          <w:sz w:val="24"/>
        </w:rPr>
        <w:t>或盖章</w:t>
      </w:r>
      <w:r>
        <w:rPr>
          <w:rFonts w:hint="eastAsia" w:ascii="宋体" w:hAnsi="宋体" w:cs="宋体"/>
          <w:sz w:val="24"/>
          <w:szCs w:val="24"/>
        </w:rPr>
        <w:t>）：</w:t>
      </w:r>
    </w:p>
    <w:p>
      <w:pPr>
        <w:pStyle w:val="21"/>
      </w:pPr>
    </w:p>
    <w:p>
      <w:pPr>
        <w:spacing w:line="360" w:lineRule="auto"/>
        <w:jc w:val="right"/>
        <w:rPr>
          <w:rFonts w:ascii="宋体" w:cs="宋体"/>
          <w:sz w:val="24"/>
          <w:szCs w:val="24"/>
        </w:rPr>
      </w:pPr>
      <w:r>
        <w:rPr>
          <w:rFonts w:hint="eastAsia" w:ascii="宋体" w:hAnsi="宋体" w:cs="宋体"/>
          <w:sz w:val="24"/>
          <w:szCs w:val="24"/>
        </w:rPr>
        <w:t>投标人名称（加盖单位公章）：</w:t>
      </w:r>
    </w:p>
    <w:p>
      <w:pPr>
        <w:pStyle w:val="21"/>
      </w:pPr>
    </w:p>
    <w:p>
      <w:pPr>
        <w:spacing w:line="360" w:lineRule="auto"/>
        <w:jc w:val="right"/>
        <w:rPr>
          <w:rFonts w:ascii="宋体" w:hAnsi="宋体" w:cs="宋体"/>
          <w:sz w:val="24"/>
          <w:szCs w:val="24"/>
        </w:rPr>
      </w:pPr>
      <w:r>
        <w:rPr>
          <w:rFonts w:hint="eastAsia" w:ascii="宋体" w:hAnsi="宋体" w:cs="宋体"/>
          <w:sz w:val="24"/>
          <w:szCs w:val="24"/>
        </w:rPr>
        <w:t>日期：</w:t>
      </w:r>
    </w:p>
    <w:p>
      <w:pPr>
        <w:rPr>
          <w:rFonts w:ascii="宋体" w:hAnsi="宋体" w:cs="宋体"/>
          <w:szCs w:val="24"/>
          <w:lang w:eastAsia="zh-CN"/>
        </w:rPr>
      </w:pPr>
      <w:bookmarkStart w:id="247" w:name="_Toc44704932"/>
      <w:bookmarkStart w:id="248" w:name="_Toc44705300"/>
      <w:r>
        <w:rPr>
          <w:rFonts w:ascii="宋体" w:hAnsi="宋体" w:cs="宋体"/>
          <w:szCs w:val="24"/>
          <w:lang w:eastAsia="zh-CN"/>
        </w:rPr>
        <w:br w:type="page"/>
      </w:r>
    </w:p>
    <w:p>
      <w:pPr>
        <w:pStyle w:val="7"/>
        <w:rPr>
          <w:rFonts w:ascii="宋体" w:cs="宋体"/>
          <w:b w:val="0"/>
          <w:sz w:val="32"/>
          <w:szCs w:val="32"/>
          <w:lang w:eastAsia="zh-CN"/>
        </w:rPr>
      </w:pPr>
      <w:r>
        <w:rPr>
          <w:rFonts w:ascii="宋体" w:hAnsi="宋体" w:cs="宋体"/>
          <w:szCs w:val="24"/>
          <w:lang w:eastAsia="zh-CN"/>
        </w:rPr>
        <w:t>2.7.</w:t>
      </w:r>
      <w:r>
        <w:rPr>
          <w:rFonts w:hint="eastAsia" w:ascii="宋体" w:hAnsi="宋体" w:cs="宋体"/>
          <w:szCs w:val="24"/>
          <w:lang w:val="en-US" w:eastAsia="zh-CN"/>
        </w:rPr>
        <w:t>4</w:t>
      </w:r>
      <w:r>
        <w:rPr>
          <w:rFonts w:hint="eastAsia" w:ascii="宋体" w:hAnsi="宋体" w:cs="宋体"/>
          <w:szCs w:val="24"/>
          <w:lang w:eastAsia="zh-CN"/>
        </w:rPr>
        <w:t>中小企业声明函</w:t>
      </w:r>
      <w:r>
        <w:rPr>
          <w:rFonts w:hint="eastAsia" w:ascii="宋体" w:hAnsi="宋体" w:cs="宋体"/>
          <w:b w:val="0"/>
          <w:lang w:eastAsia="zh-CN"/>
        </w:rPr>
        <w:t>（格式，不符合条件无须提交）</w:t>
      </w:r>
      <w:bookmarkEnd w:id="247"/>
      <w:bookmarkEnd w:id="248"/>
    </w:p>
    <w:p>
      <w:pPr>
        <w:tabs>
          <w:tab w:val="left" w:pos="720"/>
        </w:tabs>
        <w:autoSpaceDE w:val="0"/>
        <w:autoSpaceDN w:val="0"/>
        <w:adjustRightInd w:val="0"/>
        <w:spacing w:line="360" w:lineRule="auto"/>
        <w:ind w:right="17"/>
        <w:jc w:val="left"/>
        <w:rPr>
          <w:rFonts w:ascii="宋体" w:cs="宋体"/>
          <w:sz w:val="24"/>
        </w:rPr>
      </w:pPr>
    </w:p>
    <w:p>
      <w:pPr>
        <w:pStyle w:val="6"/>
        <w:spacing w:before="0" w:after="0" w:line="480" w:lineRule="auto"/>
        <w:ind w:firstLine="2276" w:firstLineChars="900"/>
        <w:rPr>
          <w:rFonts w:ascii="宋体" w:hAnsi="宋体"/>
          <w:bCs w:val="0"/>
          <w:kern w:val="0"/>
          <w:sz w:val="24"/>
          <w:szCs w:val="24"/>
        </w:rPr>
      </w:pPr>
      <w:r>
        <w:rPr>
          <w:rFonts w:hint="eastAsia" w:ascii="宋体" w:hAnsi="宋体" w:cs="宋体"/>
          <w:bCs w:val="0"/>
          <w:spacing w:val="6"/>
          <w:sz w:val="24"/>
          <w:szCs w:val="20"/>
          <w:shd w:val="clear" w:color="auto" w:fill="FFFFFF"/>
        </w:rPr>
        <w:t>中小企业声明函（工程、服务）</w:t>
      </w:r>
    </w:p>
    <w:p>
      <w:pPr>
        <w:pStyle w:val="6"/>
        <w:spacing w:line="360" w:lineRule="auto"/>
        <w:ind w:firstLine="480" w:firstLineChars="200"/>
        <w:rPr>
          <w:rFonts w:ascii="宋体" w:hAnsi="宋体"/>
          <w:b w:val="0"/>
          <w:bCs w:val="0"/>
          <w:sz w:val="24"/>
          <w:szCs w:val="24"/>
        </w:rPr>
      </w:pPr>
      <w:r>
        <w:rPr>
          <w:rFonts w:hint="eastAsia" w:ascii="宋体" w:hAnsi="宋体"/>
          <w:b w:val="0"/>
          <w:bCs w:val="0"/>
          <w:sz w:val="24"/>
          <w:szCs w:val="24"/>
        </w:rPr>
        <w:t>本公司（联合体）郑重声明，根据《政府采购促进中小企业发展管理办法》（财库﹝2020﹞46 号）的规定，本公司（联合体）参加</w:t>
      </w:r>
      <w:r>
        <w:rPr>
          <w:rFonts w:hint="eastAsia" w:ascii="宋体" w:hAnsi="宋体"/>
          <w:b w:val="0"/>
          <w:bCs w:val="0"/>
          <w:sz w:val="24"/>
          <w:szCs w:val="24"/>
          <w:u w:val="single"/>
        </w:rPr>
        <w:t>（单位名称）</w:t>
      </w:r>
      <w:r>
        <w:rPr>
          <w:rFonts w:hint="eastAsia" w:ascii="宋体" w:hAnsi="宋体"/>
          <w:b w:val="0"/>
          <w:bCs w:val="0"/>
          <w:sz w:val="24"/>
          <w:szCs w:val="24"/>
        </w:rPr>
        <w:t>的</w:t>
      </w:r>
      <w:r>
        <w:rPr>
          <w:rFonts w:hint="eastAsia" w:ascii="宋体" w:hAnsi="宋体"/>
          <w:b w:val="0"/>
          <w:bCs w:val="0"/>
          <w:sz w:val="24"/>
          <w:szCs w:val="24"/>
          <w:u w:val="single"/>
        </w:rPr>
        <w:t>（项目名称）</w:t>
      </w:r>
      <w:r>
        <w:rPr>
          <w:rFonts w:hint="eastAsia" w:ascii="宋体" w:hAnsi="宋体"/>
          <w:b w:val="0"/>
          <w:bCs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6"/>
        <w:spacing w:line="360" w:lineRule="auto"/>
        <w:ind w:firstLine="480" w:firstLineChars="200"/>
        <w:rPr>
          <w:rFonts w:ascii="宋体" w:hAnsi="宋体"/>
          <w:b w:val="0"/>
          <w:bCs w:val="0"/>
          <w:sz w:val="24"/>
          <w:szCs w:val="24"/>
        </w:rPr>
      </w:pPr>
      <w:r>
        <w:rPr>
          <w:rFonts w:hint="eastAsia" w:ascii="宋体" w:hAnsi="宋体"/>
          <w:b w:val="0"/>
          <w:bCs w:val="0"/>
          <w:sz w:val="24"/>
          <w:szCs w:val="24"/>
        </w:rPr>
        <w:t xml:space="preserve">1. </w:t>
      </w:r>
      <w:r>
        <w:rPr>
          <w:rFonts w:hint="eastAsia" w:ascii="宋体" w:hAnsi="宋体"/>
          <w:b w:val="0"/>
          <w:bCs w:val="0"/>
          <w:sz w:val="24"/>
          <w:szCs w:val="24"/>
          <w:u w:val="single"/>
        </w:rPr>
        <w:t>（标的名称）</w:t>
      </w:r>
      <w:r>
        <w:rPr>
          <w:rFonts w:hint="eastAsia" w:ascii="宋体" w:hAnsi="宋体"/>
          <w:b w:val="0"/>
          <w:bCs w:val="0"/>
          <w:sz w:val="24"/>
          <w:szCs w:val="24"/>
        </w:rPr>
        <w:t xml:space="preserve"> ，属于</w:t>
      </w:r>
      <w:r>
        <w:rPr>
          <w:rFonts w:hint="eastAsia" w:ascii="宋体" w:hAnsi="宋体"/>
          <w:b w:val="0"/>
          <w:bCs w:val="0"/>
          <w:sz w:val="24"/>
          <w:szCs w:val="24"/>
          <w:u w:val="single"/>
        </w:rPr>
        <w:t>（采购文件中明确的所属行业）</w:t>
      </w:r>
      <w:r>
        <w:rPr>
          <w:rFonts w:hint="eastAsia" w:ascii="宋体" w:hAnsi="宋体"/>
          <w:b w:val="0"/>
          <w:bCs w:val="0"/>
          <w:sz w:val="24"/>
          <w:szCs w:val="24"/>
        </w:rPr>
        <w:t>；承建（承接）企业为</w:t>
      </w:r>
      <w:r>
        <w:rPr>
          <w:rFonts w:hint="eastAsia" w:ascii="宋体" w:hAnsi="宋体"/>
          <w:b w:val="0"/>
          <w:bCs w:val="0"/>
          <w:sz w:val="24"/>
          <w:szCs w:val="24"/>
          <w:u w:val="single"/>
        </w:rPr>
        <w:t>（企业名称）</w:t>
      </w:r>
      <w:r>
        <w:rPr>
          <w:rFonts w:hint="eastAsia" w:ascii="宋体" w:hAnsi="宋体"/>
          <w:b w:val="0"/>
          <w:bCs w:val="0"/>
          <w:sz w:val="24"/>
          <w:szCs w:val="24"/>
        </w:rPr>
        <w:t>，从业人员</w:t>
      </w:r>
      <w:r>
        <w:rPr>
          <w:rFonts w:hint="eastAsia" w:ascii="宋体" w:hAnsi="宋体"/>
          <w:b w:val="0"/>
          <w:bCs w:val="0"/>
          <w:sz w:val="24"/>
          <w:szCs w:val="24"/>
          <w:u w:val="single"/>
        </w:rPr>
        <w:t xml:space="preserve">   </w:t>
      </w:r>
      <w:r>
        <w:rPr>
          <w:rFonts w:hint="eastAsia" w:ascii="宋体" w:hAnsi="宋体"/>
          <w:b w:val="0"/>
          <w:bCs w:val="0"/>
          <w:sz w:val="24"/>
          <w:szCs w:val="24"/>
        </w:rPr>
        <w:t>人，营业收入为</w:t>
      </w:r>
      <w:r>
        <w:rPr>
          <w:rFonts w:hint="eastAsia" w:ascii="宋体" w:hAnsi="宋体"/>
          <w:b w:val="0"/>
          <w:bCs w:val="0"/>
          <w:sz w:val="24"/>
          <w:szCs w:val="24"/>
          <w:u w:val="single"/>
        </w:rPr>
        <w:t xml:space="preserve">   </w:t>
      </w:r>
      <w:r>
        <w:rPr>
          <w:rFonts w:hint="eastAsia" w:ascii="宋体" w:hAnsi="宋体"/>
          <w:b w:val="0"/>
          <w:bCs w:val="0"/>
          <w:sz w:val="24"/>
          <w:szCs w:val="24"/>
        </w:rPr>
        <w:t>万元，资产总额为</w:t>
      </w:r>
      <w:r>
        <w:rPr>
          <w:rFonts w:hint="eastAsia" w:ascii="宋体" w:hAnsi="宋体"/>
          <w:b w:val="0"/>
          <w:bCs w:val="0"/>
          <w:sz w:val="24"/>
          <w:szCs w:val="24"/>
          <w:u w:val="single"/>
        </w:rPr>
        <w:t xml:space="preserve">    </w:t>
      </w:r>
      <w:r>
        <w:rPr>
          <w:rFonts w:hint="eastAsia" w:ascii="宋体" w:hAnsi="宋体"/>
          <w:b w:val="0"/>
          <w:bCs w:val="0"/>
          <w:sz w:val="24"/>
          <w:szCs w:val="24"/>
        </w:rPr>
        <w:t>万元，属于</w:t>
      </w:r>
      <w:r>
        <w:rPr>
          <w:rFonts w:hint="eastAsia" w:ascii="宋体" w:hAnsi="宋体"/>
          <w:b w:val="0"/>
          <w:bCs w:val="0"/>
          <w:sz w:val="24"/>
          <w:szCs w:val="24"/>
          <w:u w:val="single"/>
        </w:rPr>
        <w:t>（中型企业、小型企业、微型企业）</w:t>
      </w:r>
      <w:r>
        <w:rPr>
          <w:rFonts w:hint="eastAsia" w:ascii="宋体" w:hAnsi="宋体"/>
          <w:b w:val="0"/>
          <w:bCs w:val="0"/>
          <w:sz w:val="24"/>
          <w:szCs w:val="24"/>
        </w:rPr>
        <w:t>；</w:t>
      </w:r>
    </w:p>
    <w:p>
      <w:pPr>
        <w:pStyle w:val="6"/>
        <w:spacing w:line="360" w:lineRule="auto"/>
        <w:ind w:left="210" w:leftChars="100" w:firstLine="240" w:firstLineChars="100"/>
        <w:rPr>
          <w:rFonts w:ascii="宋体" w:hAnsi="宋体"/>
          <w:b w:val="0"/>
          <w:bCs w:val="0"/>
          <w:sz w:val="24"/>
          <w:szCs w:val="24"/>
          <w:u w:val="single"/>
        </w:rPr>
      </w:pPr>
      <w:r>
        <w:rPr>
          <w:rFonts w:hint="eastAsia" w:ascii="宋体" w:hAnsi="宋体"/>
          <w:b w:val="0"/>
          <w:bCs w:val="0"/>
          <w:sz w:val="24"/>
          <w:szCs w:val="24"/>
        </w:rPr>
        <w:t xml:space="preserve">2. </w:t>
      </w:r>
      <w:r>
        <w:rPr>
          <w:rFonts w:hint="eastAsia" w:ascii="宋体" w:hAnsi="宋体"/>
          <w:b w:val="0"/>
          <w:bCs w:val="0"/>
          <w:sz w:val="24"/>
          <w:szCs w:val="24"/>
          <w:u w:val="single"/>
        </w:rPr>
        <w:t>（标的名称）</w:t>
      </w:r>
      <w:r>
        <w:rPr>
          <w:rFonts w:hint="eastAsia" w:ascii="宋体" w:hAnsi="宋体"/>
          <w:b w:val="0"/>
          <w:bCs w:val="0"/>
          <w:sz w:val="24"/>
          <w:szCs w:val="24"/>
        </w:rPr>
        <w:t xml:space="preserve"> ，属于</w:t>
      </w:r>
      <w:r>
        <w:rPr>
          <w:rFonts w:hint="eastAsia" w:ascii="宋体" w:hAnsi="宋体"/>
          <w:b w:val="0"/>
          <w:bCs w:val="0"/>
          <w:sz w:val="24"/>
          <w:szCs w:val="24"/>
          <w:u w:val="single"/>
        </w:rPr>
        <w:t>（采购文件中明确的所属行业）</w:t>
      </w:r>
      <w:r>
        <w:rPr>
          <w:rFonts w:hint="eastAsia" w:ascii="宋体" w:hAnsi="宋体"/>
          <w:b w:val="0"/>
          <w:bCs w:val="0"/>
          <w:sz w:val="24"/>
          <w:szCs w:val="24"/>
        </w:rPr>
        <w:t>；承建（承接）企业为</w:t>
      </w:r>
      <w:r>
        <w:rPr>
          <w:rFonts w:hint="eastAsia" w:ascii="宋体" w:hAnsi="宋体"/>
          <w:b w:val="0"/>
          <w:bCs w:val="0"/>
          <w:sz w:val="24"/>
          <w:szCs w:val="24"/>
          <w:u w:val="single"/>
        </w:rPr>
        <w:t>（企业名称）</w:t>
      </w:r>
      <w:r>
        <w:rPr>
          <w:rFonts w:hint="eastAsia" w:ascii="宋体" w:hAnsi="宋体"/>
          <w:b w:val="0"/>
          <w:bCs w:val="0"/>
          <w:sz w:val="24"/>
          <w:szCs w:val="24"/>
        </w:rPr>
        <w:t>，从业人员</w:t>
      </w:r>
      <w:r>
        <w:rPr>
          <w:rFonts w:hint="eastAsia" w:ascii="宋体" w:hAnsi="宋体"/>
          <w:b w:val="0"/>
          <w:bCs w:val="0"/>
          <w:sz w:val="24"/>
          <w:szCs w:val="24"/>
          <w:u w:val="single"/>
        </w:rPr>
        <w:t xml:space="preserve">     </w:t>
      </w:r>
      <w:r>
        <w:rPr>
          <w:rFonts w:hint="eastAsia" w:ascii="宋体" w:hAnsi="宋体"/>
          <w:b w:val="0"/>
          <w:bCs w:val="0"/>
          <w:sz w:val="24"/>
          <w:szCs w:val="24"/>
        </w:rPr>
        <w:t>人，营业收入为</w:t>
      </w:r>
      <w:r>
        <w:rPr>
          <w:rFonts w:hint="eastAsia" w:ascii="宋体" w:hAnsi="宋体"/>
          <w:b w:val="0"/>
          <w:bCs w:val="0"/>
          <w:sz w:val="24"/>
          <w:szCs w:val="24"/>
          <w:u w:val="single"/>
        </w:rPr>
        <w:t xml:space="preserve">    </w:t>
      </w:r>
      <w:r>
        <w:rPr>
          <w:rFonts w:hint="eastAsia" w:ascii="宋体" w:hAnsi="宋体"/>
          <w:b w:val="0"/>
          <w:bCs w:val="0"/>
          <w:sz w:val="24"/>
          <w:szCs w:val="24"/>
        </w:rPr>
        <w:t>万元，资产总额为</w:t>
      </w:r>
      <w:r>
        <w:rPr>
          <w:rFonts w:hint="eastAsia" w:ascii="宋体" w:hAnsi="宋体"/>
          <w:b w:val="0"/>
          <w:bCs w:val="0"/>
          <w:sz w:val="24"/>
          <w:szCs w:val="24"/>
          <w:u w:val="single"/>
        </w:rPr>
        <w:t xml:space="preserve">     </w:t>
      </w:r>
      <w:r>
        <w:rPr>
          <w:rFonts w:hint="eastAsia" w:ascii="宋体" w:hAnsi="宋体"/>
          <w:b w:val="0"/>
          <w:bCs w:val="0"/>
          <w:sz w:val="24"/>
          <w:szCs w:val="24"/>
        </w:rPr>
        <w:t>万元，属于</w:t>
      </w:r>
      <w:r>
        <w:rPr>
          <w:rFonts w:hint="eastAsia" w:ascii="宋体" w:hAnsi="宋体"/>
          <w:b w:val="0"/>
          <w:bCs w:val="0"/>
          <w:sz w:val="24"/>
          <w:szCs w:val="24"/>
          <w:u w:val="single"/>
        </w:rPr>
        <w:t>（中型企业、小型企业、微型企业）；</w:t>
      </w:r>
    </w:p>
    <w:p>
      <w:pPr>
        <w:pStyle w:val="6"/>
        <w:rPr>
          <w:rFonts w:ascii="宋体" w:hAnsi="宋体"/>
          <w:b w:val="0"/>
          <w:bCs w:val="0"/>
          <w:sz w:val="24"/>
          <w:szCs w:val="24"/>
        </w:rPr>
      </w:pPr>
      <w:r>
        <w:rPr>
          <w:rFonts w:hint="eastAsia" w:ascii="宋体" w:hAnsi="宋体"/>
          <w:b w:val="0"/>
          <w:bCs w:val="0"/>
          <w:sz w:val="24"/>
          <w:szCs w:val="24"/>
        </w:rPr>
        <w:t>……</w:t>
      </w:r>
    </w:p>
    <w:p>
      <w:pPr>
        <w:pStyle w:val="6"/>
        <w:spacing w:line="360" w:lineRule="auto"/>
        <w:ind w:firstLine="480" w:firstLineChars="200"/>
        <w:rPr>
          <w:rFonts w:ascii="宋体" w:hAnsi="宋体"/>
          <w:b w:val="0"/>
          <w:bCs w:val="0"/>
          <w:sz w:val="24"/>
          <w:szCs w:val="24"/>
        </w:rPr>
      </w:pPr>
      <w:r>
        <w:rPr>
          <w:rFonts w:hint="eastAsia" w:ascii="宋体" w:hAnsi="宋体"/>
          <w:b w:val="0"/>
          <w:bCs w:val="0"/>
          <w:sz w:val="24"/>
          <w:szCs w:val="24"/>
        </w:rPr>
        <w:t>以上企业，不属于大企业的分支机构，不存在控股股东为大企业的情形，也不存在与大企业的负责人为同一人的情形。</w:t>
      </w:r>
    </w:p>
    <w:p>
      <w:pPr>
        <w:pStyle w:val="6"/>
        <w:ind w:left="210" w:leftChars="100" w:firstLine="240" w:firstLineChars="100"/>
        <w:rPr>
          <w:rFonts w:ascii="宋体" w:hAnsi="宋体"/>
          <w:b w:val="0"/>
          <w:bCs w:val="0"/>
          <w:sz w:val="24"/>
          <w:szCs w:val="24"/>
        </w:rPr>
      </w:pPr>
      <w:r>
        <w:rPr>
          <w:rFonts w:hint="eastAsia" w:ascii="宋体" w:hAnsi="宋体"/>
          <w:b w:val="0"/>
          <w:bCs w:val="0"/>
          <w:sz w:val="24"/>
          <w:szCs w:val="24"/>
        </w:rPr>
        <w:t>本企业对上述声明内容的真实性负责。如有虚假，将依法承担相应责任。</w:t>
      </w:r>
    </w:p>
    <w:p>
      <w:pPr>
        <w:pStyle w:val="6"/>
        <w:rPr>
          <w:rFonts w:ascii="宋体" w:hAnsi="宋体"/>
          <w:b w:val="0"/>
          <w:bCs w:val="0"/>
          <w:sz w:val="24"/>
          <w:szCs w:val="24"/>
        </w:rPr>
      </w:pPr>
      <w:r>
        <w:rPr>
          <w:rFonts w:hint="eastAsia" w:ascii="宋体" w:hAnsi="宋体"/>
          <w:b w:val="0"/>
          <w:bCs w:val="0"/>
          <w:sz w:val="24"/>
          <w:szCs w:val="24"/>
        </w:rPr>
        <w:t xml:space="preserve">                                     企业名称（盖章）：</w:t>
      </w:r>
    </w:p>
    <w:p>
      <w:pPr>
        <w:pStyle w:val="6"/>
        <w:rPr>
          <w:rFonts w:ascii="宋体" w:hAnsi="宋体"/>
          <w:b w:val="0"/>
          <w:bCs w:val="0"/>
          <w:sz w:val="24"/>
          <w:szCs w:val="24"/>
        </w:rPr>
      </w:pPr>
      <w:r>
        <w:rPr>
          <w:rFonts w:hint="eastAsia" w:ascii="宋体" w:hAnsi="宋体"/>
          <w:b w:val="0"/>
          <w:bCs w:val="0"/>
          <w:sz w:val="24"/>
          <w:szCs w:val="24"/>
        </w:rPr>
        <w:t xml:space="preserve">                                      日 期：</w:t>
      </w:r>
    </w:p>
    <w:p>
      <w:pPr>
        <w:pStyle w:val="6"/>
        <w:spacing w:line="360" w:lineRule="auto"/>
        <w:ind w:firstLine="480" w:firstLineChars="200"/>
        <w:rPr>
          <w:rFonts w:ascii="宋体" w:hAnsi="宋体"/>
          <w:b w:val="0"/>
          <w:bCs w:val="0"/>
          <w:sz w:val="24"/>
          <w:szCs w:val="24"/>
        </w:rPr>
      </w:pPr>
    </w:p>
    <w:p>
      <w:pPr>
        <w:pStyle w:val="6"/>
        <w:spacing w:line="360" w:lineRule="auto"/>
        <w:ind w:firstLine="480" w:firstLineChars="200"/>
        <w:rPr>
          <w:rFonts w:ascii="宋体" w:hAnsi="宋体"/>
          <w:b w:val="0"/>
          <w:bCs w:val="0"/>
          <w:sz w:val="24"/>
          <w:szCs w:val="24"/>
        </w:rPr>
      </w:pPr>
    </w:p>
    <w:p>
      <w:pPr>
        <w:pStyle w:val="6"/>
        <w:spacing w:line="360" w:lineRule="auto"/>
        <w:ind w:firstLine="482" w:firstLineChars="200"/>
        <w:rPr>
          <w:rFonts w:ascii="宋体" w:hAnsi="宋体"/>
          <w:bCs w:val="0"/>
          <w:sz w:val="24"/>
          <w:szCs w:val="24"/>
        </w:rPr>
      </w:pPr>
      <w:r>
        <w:rPr>
          <w:rFonts w:hint="eastAsia" w:ascii="宋体" w:hAnsi="宋体"/>
          <w:bCs w:val="0"/>
          <w:sz w:val="24"/>
          <w:szCs w:val="24"/>
        </w:rPr>
        <w:t>注：从业人员、营业收入、资产总额填报上一年度数据，无上度数据的新成立企业可不填报</w:t>
      </w:r>
    </w:p>
    <w:p>
      <w:pPr>
        <w:pStyle w:val="6"/>
        <w:spacing w:line="360" w:lineRule="auto"/>
        <w:rPr>
          <w:rFonts w:ascii="宋体" w:cs="宋体"/>
          <w:b w:val="0"/>
          <w:color w:val="000000"/>
          <w:sz w:val="24"/>
        </w:rPr>
      </w:pPr>
      <w:r>
        <w:rPr>
          <w:rFonts w:ascii="宋体" w:cs="宋体"/>
        </w:rPr>
        <w:br w:type="page"/>
      </w:r>
      <w:bookmarkStart w:id="249" w:name="_Toc44704933"/>
      <w:bookmarkStart w:id="250" w:name="_Toc44705301"/>
      <w:r>
        <w:rPr>
          <w:rFonts w:ascii="宋体" w:hAnsi="宋体" w:cs="宋体"/>
          <w:sz w:val="28"/>
          <w:szCs w:val="28"/>
        </w:rPr>
        <w:t>2.7.</w:t>
      </w:r>
      <w:r>
        <w:rPr>
          <w:rFonts w:hint="eastAsia" w:ascii="宋体" w:hAnsi="宋体" w:cs="宋体"/>
          <w:sz w:val="28"/>
          <w:szCs w:val="28"/>
          <w:lang w:val="en-US" w:eastAsia="zh-CN"/>
        </w:rPr>
        <w:t>5</w:t>
      </w:r>
      <w:r>
        <w:rPr>
          <w:rFonts w:hint="eastAsia" w:ascii="宋体" w:hAnsi="宋体" w:cs="宋体"/>
          <w:sz w:val="28"/>
          <w:szCs w:val="28"/>
        </w:rPr>
        <w:t>残疾人福利性单位声明函</w:t>
      </w:r>
      <w:r>
        <w:rPr>
          <w:rFonts w:hint="eastAsia" w:ascii="宋体" w:hAnsi="宋体" w:cs="宋体"/>
          <w:b w:val="0"/>
          <w:sz w:val="28"/>
          <w:szCs w:val="28"/>
        </w:rPr>
        <w:t>（格式，不符合条件无须提交）</w:t>
      </w:r>
      <w:bookmarkEnd w:id="249"/>
      <w:bookmarkEnd w:id="250"/>
    </w:p>
    <w:p>
      <w:pPr>
        <w:pStyle w:val="41"/>
        <w:spacing w:line="360" w:lineRule="auto"/>
        <w:rPr>
          <w:rFonts w:cs="宋体"/>
        </w:rPr>
      </w:pPr>
      <w:r>
        <w:rPr>
          <w:rFonts w:hint="eastAsia" w:cs="宋体"/>
        </w:rPr>
        <w:t>注：</w:t>
      </w:r>
      <w:r>
        <w:rPr>
          <w:rFonts w:cs="宋体"/>
        </w:rPr>
        <w:t>1</w:t>
      </w:r>
      <w:r>
        <w:rPr>
          <w:rFonts w:hint="eastAsia" w:cs="宋体"/>
        </w:rPr>
        <w:t>、</w:t>
      </w:r>
      <w:r>
        <w:rPr>
          <w:rFonts w:hint="eastAsia" w:cs="宋体"/>
          <w:spacing w:val="6"/>
        </w:rPr>
        <w:t>根据《财政部</w:t>
      </w:r>
      <w:r>
        <w:rPr>
          <w:rFonts w:cs="宋体"/>
          <w:spacing w:val="6"/>
        </w:rPr>
        <w:t xml:space="preserve"> </w:t>
      </w:r>
      <w:r>
        <w:rPr>
          <w:rFonts w:hint="eastAsia" w:cs="宋体"/>
          <w:spacing w:val="6"/>
        </w:rPr>
        <w:t>民政部</w:t>
      </w:r>
      <w:r>
        <w:rPr>
          <w:rFonts w:cs="宋体"/>
          <w:spacing w:val="6"/>
        </w:rPr>
        <w:t xml:space="preserve"> </w:t>
      </w:r>
      <w:r>
        <w:rPr>
          <w:rFonts w:hint="eastAsia" w:cs="宋体"/>
          <w:spacing w:val="6"/>
        </w:rPr>
        <w:t>中国残疾人联合会关于促进残疾人就业政府采购政策的通知》（财库</w:t>
      </w:r>
      <w:r>
        <w:rPr>
          <w:rFonts w:hint="eastAsia" w:cs="宋体"/>
        </w:rPr>
        <w:t>〔</w:t>
      </w:r>
      <w:r>
        <w:rPr>
          <w:rFonts w:cs="宋体"/>
        </w:rPr>
        <w:t>2017</w:t>
      </w:r>
      <w:r>
        <w:rPr>
          <w:rFonts w:hint="eastAsia" w:cs="宋体"/>
        </w:rPr>
        <w:t>〕</w:t>
      </w:r>
      <w:r>
        <w:rPr>
          <w:rFonts w:cs="宋体"/>
        </w:rPr>
        <w:t xml:space="preserve"> 141</w:t>
      </w:r>
      <w:r>
        <w:rPr>
          <w:rFonts w:hint="eastAsia" w:cs="宋体"/>
          <w:spacing w:val="6"/>
        </w:rPr>
        <w:t>号）的规定，</w:t>
      </w:r>
      <w:r>
        <w:rPr>
          <w:rFonts w:hint="eastAsia" w:cs="宋体"/>
        </w:rPr>
        <w:t>符合条件的残疾人福利性单位在参加政府采购活动时，应当提供通知规定的《残疾人福利性单位声明函》，并对声明的真实性负责。</w:t>
      </w:r>
    </w:p>
    <w:p>
      <w:pPr>
        <w:pStyle w:val="41"/>
        <w:spacing w:line="360" w:lineRule="auto"/>
        <w:rPr>
          <w:rFonts w:cs="宋体"/>
        </w:rPr>
      </w:pPr>
      <w:r>
        <w:rPr>
          <w:rFonts w:hint="eastAsia" w:cs="宋体"/>
        </w:rPr>
        <w:t>　　</w:t>
      </w:r>
      <w:r>
        <w:rPr>
          <w:rFonts w:cs="宋体"/>
        </w:rPr>
        <w:t>2</w:t>
      </w:r>
      <w:r>
        <w:rPr>
          <w:rFonts w:hint="eastAsia" w:cs="宋体"/>
        </w:rPr>
        <w:t>、中标人为残疾人福利性单位的，其《残疾人福利性单位声明函》将随中标结果同时公告，接受社会监督。</w:t>
      </w:r>
    </w:p>
    <w:p>
      <w:pPr>
        <w:spacing w:before="240" w:beforeLines="100" w:line="360" w:lineRule="auto"/>
        <w:ind w:left="1359" w:leftChars="257" w:hanging="819" w:hangingChars="325"/>
        <w:jc w:val="center"/>
        <w:rPr>
          <w:rFonts w:ascii="宋体" w:cs="宋体"/>
          <w:color w:val="000000"/>
          <w:spacing w:val="6"/>
          <w:sz w:val="24"/>
          <w:szCs w:val="24"/>
        </w:rPr>
      </w:pPr>
    </w:p>
    <w:p>
      <w:pPr>
        <w:spacing w:before="240" w:beforeLines="100" w:line="360" w:lineRule="auto"/>
        <w:ind w:left="1323" w:leftChars="257" w:hanging="783" w:hangingChars="325"/>
        <w:jc w:val="center"/>
        <w:rPr>
          <w:rFonts w:ascii="宋体" w:cs="宋体"/>
          <w:b/>
          <w:spacing w:val="6"/>
          <w:sz w:val="28"/>
          <w:szCs w:val="32"/>
        </w:rPr>
      </w:pPr>
      <w:r>
        <w:rPr>
          <w:rFonts w:hint="eastAsia" w:ascii="宋体" w:hAnsi="宋体" w:cs="宋体"/>
          <w:b/>
          <w:kern w:val="0"/>
          <w:sz w:val="24"/>
        </w:rPr>
        <w:t>残疾人福利性单位声明函</w:t>
      </w:r>
    </w:p>
    <w:p>
      <w:pPr>
        <w:spacing w:line="360" w:lineRule="auto"/>
        <w:rPr>
          <w:rFonts w:ascii="宋体" w:cs="宋体"/>
          <w:b/>
          <w:spacing w:val="6"/>
          <w:sz w:val="30"/>
          <w:szCs w:val="30"/>
        </w:rPr>
      </w:pPr>
    </w:p>
    <w:p>
      <w:pPr>
        <w:spacing w:line="360" w:lineRule="auto"/>
        <w:ind w:firstLine="504" w:firstLineChars="200"/>
        <w:rPr>
          <w:rFonts w:ascii="宋体" w:cs="宋体"/>
          <w:spacing w:val="6"/>
          <w:sz w:val="24"/>
          <w:szCs w:val="24"/>
        </w:rPr>
      </w:pPr>
      <w:r>
        <w:rPr>
          <w:rFonts w:hint="eastAsia" w:ascii="宋体" w:hAnsi="宋体" w:cs="宋体"/>
          <w:spacing w:val="6"/>
          <w:sz w:val="24"/>
          <w:szCs w:val="24"/>
        </w:rPr>
        <w:t>本单位郑重声明，根据《财政部</w:t>
      </w:r>
      <w:r>
        <w:rPr>
          <w:rFonts w:ascii="宋体" w:hAnsi="宋体" w:cs="宋体"/>
          <w:spacing w:val="6"/>
          <w:sz w:val="24"/>
          <w:szCs w:val="24"/>
        </w:rPr>
        <w:t xml:space="preserve"> </w:t>
      </w:r>
      <w:r>
        <w:rPr>
          <w:rFonts w:hint="eastAsia" w:ascii="宋体" w:hAnsi="宋体" w:cs="宋体"/>
          <w:spacing w:val="6"/>
          <w:sz w:val="24"/>
          <w:szCs w:val="24"/>
        </w:rPr>
        <w:t>民政部</w:t>
      </w:r>
      <w:r>
        <w:rPr>
          <w:rFonts w:ascii="宋体" w:hAnsi="宋体" w:cs="宋体"/>
          <w:spacing w:val="6"/>
          <w:sz w:val="24"/>
          <w:szCs w:val="24"/>
        </w:rPr>
        <w:t xml:space="preserve"> </w:t>
      </w:r>
      <w:r>
        <w:rPr>
          <w:rFonts w:hint="eastAsia" w:ascii="宋体" w:hAnsi="宋体" w:cs="宋体"/>
          <w:spacing w:val="6"/>
          <w:sz w:val="24"/>
          <w:szCs w:val="24"/>
        </w:rPr>
        <w:t>中国残疾人联合会关于促进残疾人就业政府采购政策的通知》（财库</w:t>
      </w:r>
      <w:r>
        <w:rPr>
          <w:rFonts w:hint="eastAsia" w:ascii="宋体" w:hAnsi="宋体" w:cs="宋体"/>
          <w:sz w:val="24"/>
          <w:szCs w:val="24"/>
        </w:rPr>
        <w:t>〔</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pacing w:val="6"/>
          <w:sz w:val="24"/>
          <w:szCs w:val="24"/>
        </w:rPr>
        <w:t>号）的规定，本单位为符合条件的残疾人福利性单位，且本单位参加</w:t>
      </w:r>
      <w:r>
        <w:rPr>
          <w:rFonts w:ascii="宋体" w:hAnsi="宋体" w:cs="宋体"/>
          <w:spacing w:val="6"/>
          <w:sz w:val="24"/>
          <w:szCs w:val="24"/>
        </w:rPr>
        <w:t>______</w:t>
      </w:r>
      <w:r>
        <w:rPr>
          <w:rFonts w:hint="eastAsia" w:ascii="宋体" w:hAnsi="宋体" w:cs="宋体"/>
          <w:spacing w:val="6"/>
          <w:sz w:val="24"/>
          <w:szCs w:val="24"/>
        </w:rPr>
        <w:t>单位的</w:t>
      </w:r>
      <w:r>
        <w:rPr>
          <w:rFonts w:ascii="宋体" w:hAnsi="宋体" w:cs="宋体"/>
          <w:spacing w:val="6"/>
          <w:sz w:val="24"/>
          <w:szCs w:val="24"/>
        </w:rPr>
        <w:t>______</w:t>
      </w:r>
      <w:r>
        <w:rPr>
          <w:rFonts w:hint="eastAsia" w:ascii="宋体" w:hAnsi="宋体" w:cs="宋体"/>
          <w:spacing w:val="6"/>
          <w:sz w:val="24"/>
          <w:szCs w:val="24"/>
        </w:rPr>
        <w:t>项目采购活动提供本单位制造的货物（由本单位承担工程</w:t>
      </w:r>
      <w:r>
        <w:rPr>
          <w:rFonts w:ascii="宋体" w:hAnsi="宋体" w:cs="宋体"/>
          <w:spacing w:val="6"/>
          <w:sz w:val="24"/>
          <w:szCs w:val="24"/>
        </w:rPr>
        <w:t>/</w:t>
      </w:r>
      <w:r>
        <w:rPr>
          <w:rFonts w:hint="eastAsia" w:ascii="宋体" w:hAnsi="宋体" w:cs="宋体"/>
          <w:spacing w:val="6"/>
          <w:sz w:val="24"/>
          <w:szCs w:val="24"/>
        </w:rPr>
        <w:t>提供服务），或者提供其他残疾人福利性单位制造的货物（不包括使用非残疾人福利性单位注册商标的货物）。</w:t>
      </w:r>
    </w:p>
    <w:p>
      <w:pPr>
        <w:widowControl/>
        <w:spacing w:before="240" w:beforeLines="100" w:after="100" w:afterAutospacing="1" w:line="360" w:lineRule="auto"/>
        <w:ind w:firstLine="720" w:firstLineChars="300"/>
        <w:jc w:val="left"/>
        <w:rPr>
          <w:rFonts w:ascii="宋体" w:cs="宋体"/>
          <w:sz w:val="24"/>
        </w:rPr>
      </w:pPr>
      <w:r>
        <w:rPr>
          <w:rFonts w:hint="eastAsia" w:ascii="宋体" w:hAnsi="宋体" w:cs="宋体"/>
          <w:sz w:val="24"/>
        </w:rPr>
        <w:t>本单位对上述声明的真实性负责。如有虚假，将依法承担相应责任。</w:t>
      </w:r>
    </w:p>
    <w:p>
      <w:pPr>
        <w:spacing w:line="360" w:lineRule="auto"/>
        <w:ind w:firstLine="624" w:firstLineChars="200"/>
        <w:rPr>
          <w:rFonts w:ascii="宋体" w:cs="宋体"/>
          <w:spacing w:val="6"/>
          <w:sz w:val="30"/>
          <w:szCs w:val="30"/>
        </w:rPr>
      </w:pPr>
    </w:p>
    <w:p>
      <w:pPr>
        <w:spacing w:line="360" w:lineRule="auto"/>
        <w:ind w:firstLine="624" w:firstLineChars="200"/>
        <w:rPr>
          <w:rFonts w:ascii="宋体" w:cs="宋体"/>
          <w:spacing w:val="6"/>
          <w:sz w:val="30"/>
          <w:szCs w:val="30"/>
        </w:rPr>
      </w:pPr>
    </w:p>
    <w:p>
      <w:pPr>
        <w:widowControl/>
        <w:spacing w:before="100" w:beforeAutospacing="1" w:after="100" w:afterAutospacing="1" w:line="360" w:lineRule="auto"/>
        <w:ind w:firstLine="5160" w:firstLineChars="2150"/>
        <w:jc w:val="left"/>
        <w:rPr>
          <w:rFonts w:ascii="宋体" w:cs="宋体"/>
          <w:sz w:val="24"/>
        </w:rPr>
      </w:pPr>
      <w:r>
        <w:rPr>
          <w:rFonts w:hint="eastAsia" w:ascii="宋体" w:hAnsi="宋体" w:cs="宋体"/>
          <w:sz w:val="24"/>
        </w:rPr>
        <w:t>单位名称（盖章）：</w:t>
      </w:r>
    </w:p>
    <w:p>
      <w:pPr>
        <w:widowControl/>
        <w:spacing w:before="100" w:beforeAutospacing="1" w:after="100" w:afterAutospacing="1" w:line="360" w:lineRule="auto"/>
        <w:ind w:firstLine="5160" w:firstLineChars="2150"/>
        <w:jc w:val="left"/>
        <w:rPr>
          <w:rFonts w:ascii="宋体" w:cs="宋体"/>
          <w:sz w:val="24"/>
        </w:rPr>
      </w:pPr>
      <w:r>
        <w:rPr>
          <w:rFonts w:hint="eastAsia" w:ascii="宋体" w:hAnsi="宋体" w:cs="宋体"/>
          <w:sz w:val="24"/>
        </w:rPr>
        <w:t>日期：</w:t>
      </w:r>
    </w:p>
    <w:p>
      <w:pPr>
        <w:pStyle w:val="7"/>
        <w:rPr>
          <w:rFonts w:ascii="宋体" w:cs="宋体"/>
          <w:color w:val="000000"/>
          <w:sz w:val="24"/>
          <w:szCs w:val="24"/>
          <w:lang w:eastAsia="zh-CN"/>
        </w:rPr>
      </w:pPr>
      <w:r>
        <w:rPr>
          <w:rFonts w:ascii="宋体" w:cs="宋体"/>
          <w:color w:val="000000"/>
          <w:lang w:eastAsia="zh-CN"/>
        </w:rPr>
        <w:br w:type="page"/>
      </w:r>
      <w:bookmarkStart w:id="251" w:name="_Toc44705303"/>
      <w:bookmarkStart w:id="252" w:name="_Toc493422677"/>
      <w:bookmarkStart w:id="253" w:name="_Toc44704935"/>
      <w:r>
        <w:rPr>
          <w:rFonts w:ascii="宋体" w:hAnsi="宋体" w:cs="宋体"/>
          <w:szCs w:val="24"/>
          <w:lang w:eastAsia="zh-CN"/>
        </w:rPr>
        <w:t>2.7.</w:t>
      </w:r>
      <w:r>
        <w:rPr>
          <w:rFonts w:hint="eastAsia" w:ascii="宋体" w:hAnsi="宋体" w:cs="宋体"/>
          <w:szCs w:val="24"/>
          <w:lang w:val="en-US" w:eastAsia="zh-CN"/>
        </w:rPr>
        <w:t>6</w:t>
      </w:r>
      <w:r>
        <w:rPr>
          <w:rFonts w:hint="eastAsia" w:ascii="宋体" w:hAnsi="宋体" w:cs="宋体"/>
          <w:szCs w:val="24"/>
          <w:lang w:eastAsia="zh-CN"/>
        </w:rPr>
        <w:t>招标文件要求的其它文件及投标人认为有必要提供的其它文件</w:t>
      </w:r>
      <w:bookmarkEnd w:id="251"/>
      <w:bookmarkEnd w:id="252"/>
      <w:bookmarkEnd w:id="253"/>
    </w:p>
    <w:p>
      <w:pPr>
        <w:spacing w:line="360" w:lineRule="auto"/>
        <w:jc w:val="left"/>
        <w:rPr>
          <w:rFonts w:ascii="宋体" w:cs="宋体"/>
          <w:color w:val="000000"/>
          <w:sz w:val="24"/>
          <w:szCs w:val="24"/>
        </w:rPr>
      </w:pPr>
    </w:p>
    <w:p>
      <w:pPr>
        <w:spacing w:line="360" w:lineRule="auto"/>
        <w:jc w:val="left"/>
        <w:rPr>
          <w:rFonts w:ascii="宋体" w:cs="宋体"/>
          <w:color w:val="000000"/>
          <w:sz w:val="24"/>
          <w:szCs w:val="24"/>
        </w:rPr>
      </w:pPr>
    </w:p>
    <w:p>
      <w:pPr>
        <w:spacing w:line="360" w:lineRule="auto"/>
        <w:jc w:val="left"/>
        <w:rPr>
          <w:rFonts w:ascii="宋体" w:hAnsi="宋体" w:cs="宋体"/>
          <w:color w:val="000000"/>
          <w:sz w:val="24"/>
          <w:szCs w:val="24"/>
        </w:rPr>
      </w:pPr>
      <w:r>
        <w:rPr>
          <w:rFonts w:hint="eastAsia" w:ascii="宋体" w:hAnsi="宋体" w:cs="宋体"/>
          <w:color w:val="000000"/>
          <w:sz w:val="24"/>
          <w:szCs w:val="24"/>
        </w:rPr>
        <w:t>投标人应仔细阅读招标文件，包括评标标准等，提供招标文件要求的相关方案、措施等，</w:t>
      </w:r>
      <w:r>
        <w:rPr>
          <w:rFonts w:hint="eastAsia" w:ascii="宋体" w:hAnsi="宋体" w:cs="宋体"/>
          <w:b/>
          <w:bCs/>
          <w:color w:val="000000"/>
          <w:sz w:val="24"/>
          <w:szCs w:val="24"/>
        </w:rPr>
        <w:t>格式自拟提供</w:t>
      </w:r>
      <w:r>
        <w:rPr>
          <w:rFonts w:hint="eastAsia" w:ascii="宋体" w:hAnsi="宋体" w:cs="宋体"/>
          <w:color w:val="000000"/>
          <w:sz w:val="24"/>
          <w:szCs w:val="24"/>
        </w:rPr>
        <w:t>。</w:t>
      </w:r>
      <w:bookmarkStart w:id="254" w:name="_Toc153353723"/>
      <w:bookmarkStart w:id="255" w:name="_Toc155772037"/>
      <w:bookmarkStart w:id="256" w:name="_Toc195427236"/>
      <w:bookmarkStart w:id="257" w:name="_Toc153356464"/>
      <w:bookmarkStart w:id="258" w:name="_Toc193858800"/>
      <w:bookmarkStart w:id="259" w:name="_Toc146011787"/>
      <w:bookmarkStart w:id="260" w:name="_Toc155772936"/>
      <w:bookmarkStart w:id="261" w:name="_Toc47418939"/>
      <w:bookmarkStart w:id="262" w:name="_Toc48995852"/>
      <w:bookmarkStart w:id="263" w:name="_Toc47418256"/>
      <w:bookmarkStart w:id="264" w:name="_Toc47261886"/>
      <w:bookmarkStart w:id="265" w:name="_Toc47262070"/>
      <w:bookmarkStart w:id="266" w:name="_Toc47261691"/>
      <w:bookmarkStart w:id="267" w:name="_Toc146011786"/>
      <w:bookmarkStart w:id="268" w:name="_Toc155772930"/>
      <w:bookmarkStart w:id="269" w:name="_Toc48791236"/>
      <w:bookmarkStart w:id="270" w:name="_Toc49019237"/>
      <w:bookmarkStart w:id="271" w:name="_Toc153353722"/>
      <w:bookmarkStart w:id="272" w:name="_Toc47418732"/>
    </w:p>
    <w:p>
      <w:pPr>
        <w:spacing w:line="360" w:lineRule="auto"/>
        <w:jc w:val="center"/>
        <w:rPr>
          <w:rFonts w:ascii="宋体" w:cs="宋体"/>
          <w:b/>
          <w:color w:val="000000"/>
          <w:sz w:val="24"/>
          <w:szCs w:val="24"/>
        </w:rPr>
      </w:pPr>
      <w:r>
        <w:br w:type="page"/>
      </w:r>
      <w:bookmarkEnd w:id="254"/>
      <w:bookmarkEnd w:id="255"/>
      <w:bookmarkEnd w:id="256"/>
      <w:bookmarkEnd w:id="257"/>
      <w:bookmarkEnd w:id="258"/>
      <w:bookmarkEnd w:id="259"/>
      <w:bookmarkEnd w:id="260"/>
      <w:r>
        <w:rPr>
          <w:rFonts w:hint="eastAsia" w:ascii="宋体" w:hAnsi="宋体" w:cs="宋体"/>
          <w:b/>
          <w:color w:val="000000"/>
          <w:sz w:val="24"/>
          <w:szCs w:val="24"/>
        </w:rPr>
        <w:t>关于中小企业的相关规定</w:t>
      </w:r>
    </w:p>
    <w:p>
      <w:pPr>
        <w:spacing w:line="360" w:lineRule="auto"/>
        <w:jc w:val="center"/>
        <w:rPr>
          <w:rFonts w:ascii="宋体" w:hAnsi="宋体" w:cs="宋体"/>
          <w:b/>
          <w:color w:val="000000"/>
          <w:sz w:val="32"/>
          <w:szCs w:val="24"/>
        </w:rPr>
      </w:pPr>
      <w:r>
        <w:rPr>
          <w:rFonts w:hint="eastAsia" w:ascii="宋体" w:hAnsi="宋体" w:cs="宋体"/>
          <w:b/>
          <w:color w:val="000000"/>
          <w:sz w:val="32"/>
          <w:szCs w:val="24"/>
        </w:rPr>
        <w:t>政府采购促进中小企业发展管理办法</w:t>
      </w:r>
    </w:p>
    <w:p>
      <w:pPr>
        <w:spacing w:line="360" w:lineRule="auto"/>
        <w:ind w:firstLine="482" w:firstLineChars="200"/>
        <w:rPr>
          <w:rFonts w:ascii="宋体" w:hAnsi="宋体" w:cs="宋体"/>
          <w:b/>
          <w:color w:val="000000"/>
          <w:sz w:val="24"/>
          <w:szCs w:val="24"/>
        </w:rPr>
      </w:pP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第一条</w:t>
      </w:r>
      <w:r>
        <w:rPr>
          <w:rFonts w:hint="eastAsia" w:ascii="宋体" w:hAnsi="宋体" w:cs="宋体"/>
          <w:color w:val="000000"/>
          <w:sz w:val="24"/>
          <w:szCs w:val="24"/>
        </w:rPr>
        <w:t>为了发挥政府采购的政策功能，促进中小企业健康发展，根据《中华人民共和国政府采购法》、《中华人民共和国中小企业促进法》等有关法律法规，制定本办法。</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第二条</w:t>
      </w:r>
      <w:r>
        <w:rPr>
          <w:rFonts w:hint="eastAsia" w:ascii="宋体" w:hAnsi="宋体" w:cs="宋体"/>
          <w:color w:val="000000"/>
          <w:sz w:val="24"/>
          <w:szCs w:val="24"/>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第三条</w:t>
      </w:r>
      <w:r>
        <w:rPr>
          <w:rFonts w:hint="eastAsia" w:ascii="宋体" w:hAnsi="宋体" w:cs="宋体"/>
          <w:color w:val="000000"/>
          <w:sz w:val="24"/>
          <w:szCs w:val="24"/>
        </w:rPr>
        <w:t>采购人在政府采购活动中应当通过加强采购需求管理，落实预留采购份额、价格评审优惠、优先采购等措施，提高中小企业在政府采购中的份额，支持中小企业发展。</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第四条</w:t>
      </w:r>
      <w:r>
        <w:rPr>
          <w:rFonts w:hint="eastAsia" w:ascii="宋体" w:hAnsi="宋体" w:cs="宋体"/>
          <w:color w:val="000000"/>
          <w:sz w:val="24"/>
          <w:szCs w:val="24"/>
        </w:rPr>
        <w:t>在政府采购活动中，供应商提供的货物、工程或者服务符合下列情形的，享受本办法规定的中小企业扶持政策：</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（一）在货物采购项目中，货物由中小企业制造，即货</w:t>
      </w:r>
    </w:p>
    <w:p>
      <w:pPr>
        <w:spacing w:line="360" w:lineRule="auto"/>
        <w:rPr>
          <w:rFonts w:ascii="宋体" w:hAnsi="宋体" w:cs="宋体"/>
          <w:color w:val="000000"/>
          <w:sz w:val="24"/>
          <w:szCs w:val="24"/>
        </w:rPr>
      </w:pPr>
      <w:r>
        <w:rPr>
          <w:rFonts w:hint="eastAsia" w:ascii="宋体" w:hAnsi="宋体" w:cs="宋体"/>
          <w:color w:val="000000"/>
          <w:sz w:val="24"/>
          <w:szCs w:val="24"/>
        </w:rPr>
        <w:t>物由中小企业生产且使用该中小企业商号或者注册商标；</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（二）在工程采购项目中，工程由中小企业承建，即工</w:t>
      </w:r>
    </w:p>
    <w:p>
      <w:pPr>
        <w:spacing w:line="360" w:lineRule="auto"/>
        <w:rPr>
          <w:rFonts w:ascii="宋体" w:hAnsi="宋体" w:cs="宋体"/>
          <w:color w:val="000000"/>
          <w:sz w:val="24"/>
          <w:szCs w:val="24"/>
        </w:rPr>
      </w:pPr>
      <w:r>
        <w:rPr>
          <w:rFonts w:hint="eastAsia" w:ascii="宋体" w:hAnsi="宋体" w:cs="宋体"/>
          <w:color w:val="000000"/>
          <w:sz w:val="24"/>
          <w:szCs w:val="24"/>
        </w:rPr>
        <w:t>程施工单位为中小企业；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在货物采购项目中，供应商提供的货物既有中小企业制造货物，也有大型企业制造货物的，不享受本办法规定的中小企业扶持政策。</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以联合体形式参加政府采购活动，联合体各方均为中小企业的，联合体视同中小企业。其中，联合体各方均为小微企业的，联合体视同小微企业。</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第五条</w:t>
      </w:r>
      <w:r>
        <w:rPr>
          <w:rFonts w:hint="eastAsia" w:ascii="宋体" w:hAnsi="宋体" w:cs="宋体"/>
          <w:color w:val="000000"/>
          <w:sz w:val="24"/>
          <w:szCs w:val="24"/>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第六条</w:t>
      </w:r>
      <w:r>
        <w:rPr>
          <w:rFonts w:hint="eastAsia" w:ascii="宋体" w:hAnsi="宋体" w:cs="宋体"/>
          <w:color w:val="000000"/>
          <w:sz w:val="24"/>
          <w:szCs w:val="24"/>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符合下列情形之一的，可不专门面向中小企业预留采购份额：</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（一）法律法规和国家有关政策明确规定优先或者应当面向事业单位、社会组织等非企业主体采购的；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（二）因确需使用不可替代的专利、专有技术，基础设施限制，或者提供特定公共服务等原因，只能从中小企业之外的供应商处采购的；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（三）按照本办法规定预留采购份额无法确保充分供应、充分竞争，或者存在可能影响政府采购目标实现的情形；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（四）框架协议采购项目；</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（五）省级以上人民政府财政部门规定的其他情形。除上述情形外，其他均为适宜由中小企业提供的情形。</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第七条</w:t>
      </w:r>
      <w:r>
        <w:rPr>
          <w:rFonts w:hint="eastAsia" w:ascii="宋体" w:hAnsi="宋体" w:cs="宋体"/>
          <w:color w:val="000000"/>
          <w:sz w:val="24"/>
          <w:szCs w:val="24"/>
        </w:rPr>
        <w:t>采购限额标准以上，</w:t>
      </w:r>
      <w:r>
        <w:rPr>
          <w:rFonts w:ascii="宋体" w:hAnsi="宋体" w:cs="宋体"/>
          <w:color w:val="000000"/>
          <w:sz w:val="24"/>
          <w:szCs w:val="24"/>
        </w:rPr>
        <w:t xml:space="preserve">200 </w:t>
      </w:r>
      <w:r>
        <w:rPr>
          <w:rFonts w:hint="eastAsia" w:ascii="宋体" w:hAnsi="宋体" w:cs="宋体"/>
          <w:color w:val="000000"/>
          <w:sz w:val="24"/>
          <w:szCs w:val="24"/>
        </w:rPr>
        <w:t>万元以下的货物和服务采购项目、</w:t>
      </w:r>
      <w:r>
        <w:rPr>
          <w:rFonts w:ascii="宋体" w:hAnsi="宋体" w:cs="宋体"/>
          <w:color w:val="000000"/>
          <w:sz w:val="24"/>
          <w:szCs w:val="24"/>
        </w:rPr>
        <w:t xml:space="preserve">400 </w:t>
      </w:r>
      <w:r>
        <w:rPr>
          <w:rFonts w:hint="eastAsia" w:ascii="宋体" w:hAnsi="宋体" w:cs="宋体"/>
          <w:color w:val="000000"/>
          <w:sz w:val="24"/>
          <w:szCs w:val="24"/>
        </w:rPr>
        <w:t>万元以下的工程采购项目，适宜由中小企业提供的，采购人应当专门面向中小企业采购。</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第八条</w:t>
      </w:r>
      <w:r>
        <w:rPr>
          <w:rFonts w:hint="eastAsia" w:ascii="宋体" w:hAnsi="宋体" w:cs="宋体"/>
          <w:color w:val="000000"/>
          <w:sz w:val="24"/>
          <w:szCs w:val="24"/>
        </w:rPr>
        <w:t>超过</w:t>
      </w:r>
      <w:r>
        <w:rPr>
          <w:rFonts w:ascii="宋体" w:hAnsi="宋体" w:cs="宋体"/>
          <w:color w:val="000000"/>
          <w:sz w:val="24"/>
          <w:szCs w:val="24"/>
        </w:rPr>
        <w:t xml:space="preserve">200 </w:t>
      </w:r>
      <w:r>
        <w:rPr>
          <w:rFonts w:hint="eastAsia" w:ascii="宋体" w:hAnsi="宋体" w:cs="宋体"/>
          <w:color w:val="000000"/>
          <w:sz w:val="24"/>
          <w:szCs w:val="24"/>
        </w:rPr>
        <w:t>万元的货物和服务采购项目、超过</w:t>
      </w:r>
      <w:r>
        <w:rPr>
          <w:rFonts w:ascii="宋体" w:hAnsi="宋体" w:cs="宋体"/>
          <w:color w:val="000000"/>
          <w:sz w:val="24"/>
          <w:szCs w:val="24"/>
        </w:rPr>
        <w:t xml:space="preserve">400 </w:t>
      </w:r>
      <w:r>
        <w:rPr>
          <w:rFonts w:hint="eastAsia" w:ascii="宋体" w:hAnsi="宋体" w:cs="宋体"/>
          <w:color w:val="000000"/>
          <w:sz w:val="24"/>
          <w:szCs w:val="24"/>
        </w:rPr>
        <w:t>万元的工程采购项目中适宜由中小企业提供的，预留该部分采购项目预算总额的</w:t>
      </w:r>
      <w:r>
        <w:rPr>
          <w:rFonts w:ascii="宋体" w:hAnsi="宋体" w:cs="宋体"/>
          <w:color w:val="000000"/>
          <w:sz w:val="24"/>
          <w:szCs w:val="24"/>
        </w:rPr>
        <w:t>30%</w:t>
      </w:r>
      <w:r>
        <w:rPr>
          <w:rFonts w:hint="eastAsia" w:ascii="宋体" w:hAnsi="宋体" w:cs="宋体"/>
          <w:color w:val="000000"/>
          <w:sz w:val="24"/>
          <w:szCs w:val="24"/>
        </w:rPr>
        <w:t>以上专门面向中小企业采购，其中预留给小微企业的比例不低于</w:t>
      </w:r>
      <w:r>
        <w:rPr>
          <w:rFonts w:ascii="宋体" w:hAnsi="宋体" w:cs="宋体"/>
          <w:color w:val="000000"/>
          <w:sz w:val="24"/>
          <w:szCs w:val="24"/>
        </w:rPr>
        <w:t>60%</w:t>
      </w:r>
      <w:r>
        <w:rPr>
          <w:rFonts w:hint="eastAsia" w:ascii="宋体" w:hAnsi="宋体" w:cs="宋体"/>
          <w:color w:val="000000"/>
          <w:sz w:val="24"/>
          <w:szCs w:val="24"/>
        </w:rPr>
        <w:t>。预留份额通过下列措施进行：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（一）将采购项目整体或者设置采购包专门面向中小企业采购；</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（二）要求供应商以联合体形式参加采购活动，且联合体中中小企业承担的部分达到一定比例；</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（三）要求获得采购合同的供应商将采购项目中的一定比例分包给一家或者多家中小企业。组成联合体或者接受分包合同的中小企业与联合体内其他企业、分包企业之间不得存在直接控股、管理关系。</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第九条</w:t>
      </w:r>
      <w:r>
        <w:rPr>
          <w:rFonts w:hint="eastAsia" w:ascii="宋体" w:hAnsi="宋体" w:cs="宋体"/>
          <w:color w:val="000000"/>
          <w:sz w:val="24"/>
          <w:szCs w:val="24"/>
        </w:rPr>
        <w:t>对于经主管预算单位统筹后未预留份额专门面向中小企业采购的采购项目，以及预留份额项目中的非预留部分采购包，采购人、采购代理机构应当对符合本办法规定的小微企业报价给予</w:t>
      </w:r>
      <w:r>
        <w:rPr>
          <w:rFonts w:ascii="宋体" w:hAnsi="宋体" w:cs="宋体"/>
          <w:color w:val="000000"/>
          <w:sz w:val="24"/>
          <w:szCs w:val="24"/>
        </w:rPr>
        <w:t>6%</w:t>
      </w:r>
      <w:r>
        <w:rPr>
          <w:rFonts w:hint="eastAsia" w:ascii="宋体" w:hAnsi="宋体" w:cs="宋体"/>
          <w:color w:val="000000"/>
          <w:sz w:val="24"/>
          <w:szCs w:val="24"/>
        </w:rPr>
        <w:t>—</w:t>
      </w:r>
      <w:r>
        <w:rPr>
          <w:rFonts w:ascii="宋体" w:hAnsi="宋体" w:cs="宋体"/>
          <w:color w:val="000000"/>
          <w:sz w:val="24"/>
          <w:szCs w:val="24"/>
        </w:rPr>
        <w:t>10%</w:t>
      </w:r>
      <w:r>
        <w:rPr>
          <w:rFonts w:hint="eastAsia" w:ascii="宋体" w:hAnsi="宋体" w:cs="宋体"/>
          <w:color w:val="000000"/>
          <w:sz w:val="24"/>
          <w:szCs w:val="24"/>
        </w:rPr>
        <w:t>（工程项目为</w:t>
      </w:r>
      <w:r>
        <w:rPr>
          <w:rFonts w:ascii="宋体" w:hAnsi="宋体" w:cs="宋体"/>
          <w:color w:val="000000"/>
          <w:sz w:val="24"/>
          <w:szCs w:val="24"/>
        </w:rPr>
        <w:t>3%</w:t>
      </w: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）的扣除，用扣除后的价格参加评审。适用招标投标法的政府采购工程建设项目，采用综合评估法但未采用低价优先法计算价格分的，评标时应当在采用原报价进行评分的基础上增加其价格得分的</w:t>
      </w:r>
      <w:r>
        <w:rPr>
          <w:rFonts w:ascii="宋体" w:hAnsi="宋体" w:cs="宋体"/>
          <w:color w:val="000000"/>
          <w:sz w:val="24"/>
          <w:szCs w:val="24"/>
        </w:rPr>
        <w:t>3%</w:t>
      </w: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作为其价格分。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color w:val="000000"/>
          <w:sz w:val="24"/>
          <w:szCs w:val="24"/>
        </w:rPr>
        <w:t>30%</w:t>
      </w:r>
      <w:r>
        <w:rPr>
          <w:rFonts w:hint="eastAsia" w:ascii="宋体" w:hAnsi="宋体" w:cs="宋体"/>
          <w:color w:val="000000"/>
          <w:sz w:val="24"/>
          <w:szCs w:val="24"/>
        </w:rPr>
        <w:t>以上的，采购人、采购代理机构应当对联合体或者大中型企业的报价给予</w:t>
      </w:r>
      <w:r>
        <w:rPr>
          <w:rFonts w:ascii="宋体" w:hAnsi="宋体" w:cs="宋体"/>
          <w:color w:val="000000"/>
          <w:sz w:val="24"/>
          <w:szCs w:val="24"/>
        </w:rPr>
        <w:t>2%-3%</w:t>
      </w:r>
      <w:r>
        <w:rPr>
          <w:rFonts w:hint="eastAsia" w:ascii="宋体" w:hAnsi="宋体" w:cs="宋体"/>
          <w:color w:val="000000"/>
          <w:sz w:val="24"/>
          <w:szCs w:val="24"/>
        </w:rPr>
        <w:t>（工程项目为</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）的扣除，用扣除后的价格参加评审。适用招标投标法的政府采购工程建设项目，采用综合评估法但未采用低价优先法计算价格分的，评标时应当在采用原报价进行评分的基础上增加其价格得分的</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作为其价格分。组成联合体或者接受分包的小微企业与联合体内其他企业、分包企业之间存在直接控</w:t>
      </w:r>
    </w:p>
    <w:p>
      <w:pPr>
        <w:spacing w:line="360" w:lineRule="auto"/>
        <w:rPr>
          <w:rFonts w:ascii="宋体" w:hAnsi="宋体" w:cs="宋体"/>
          <w:color w:val="000000"/>
          <w:sz w:val="24"/>
          <w:szCs w:val="24"/>
        </w:rPr>
      </w:pPr>
      <w:r>
        <w:rPr>
          <w:rFonts w:hint="eastAsia" w:ascii="宋体" w:hAnsi="宋体" w:cs="宋体"/>
          <w:color w:val="000000"/>
          <w:sz w:val="24"/>
          <w:szCs w:val="24"/>
        </w:rPr>
        <w:t>股、管理关系的，不享受价格扣除优惠政策。</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第十条</w:t>
      </w:r>
      <w:r>
        <w:rPr>
          <w:rFonts w:hint="eastAsia" w:ascii="宋体" w:hAnsi="宋体" w:cs="宋体"/>
          <w:color w:val="000000"/>
          <w:sz w:val="24"/>
          <w:szCs w:val="24"/>
        </w:rPr>
        <w:t>采购人应当严格按照本办法规定和主管预算单位制定的预留采购份额具体方案开展采购活动。预留份额的采购项目或者采购包，通过发布公告方式邀请供应商后，符合资格条件的中小企业数量不足</w:t>
      </w:r>
      <w:r>
        <w:rPr>
          <w:rFonts w:ascii="宋体" w:hAnsi="宋体" w:cs="宋体"/>
          <w:color w:val="000000"/>
          <w:sz w:val="24"/>
          <w:szCs w:val="24"/>
        </w:rPr>
        <w:t xml:space="preserve">3 </w:t>
      </w:r>
      <w:r>
        <w:rPr>
          <w:rFonts w:hint="eastAsia" w:ascii="宋体" w:hAnsi="宋体" w:cs="宋体"/>
          <w:color w:val="000000"/>
          <w:sz w:val="24"/>
          <w:szCs w:val="24"/>
        </w:rPr>
        <w:t>家的，应当中止采购活动，视同未预留份额的采购项目或者采购包，按照本办法第九条有关规定重新组织采购活动。</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第十一条</w:t>
      </w:r>
      <w:r>
        <w:rPr>
          <w:rFonts w:hint="eastAsia" w:ascii="宋体" w:hAnsi="宋体" w:cs="宋体"/>
          <w:color w:val="000000"/>
          <w:sz w:val="24"/>
          <w:szCs w:val="24"/>
        </w:rPr>
        <w:t>中小企业参加政府采购活动，应当出具本办法规定的《中小企业声明函》，否则不得享受相关中小企业扶持政策。任何单位和个人不得要求供应商提供《中小企业声明函》之外的中小企业身份证明文件。</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第十二条</w:t>
      </w:r>
      <w:r>
        <w:rPr>
          <w:rFonts w:hint="eastAsia" w:ascii="宋体" w:hAnsi="宋体" w:cs="宋体"/>
          <w:color w:val="000000"/>
          <w:sz w:val="24"/>
          <w:szCs w:val="24"/>
        </w:rPr>
        <w:t>采购项目涉及中小企业采购的，采购文件应当明确以下内容：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（一）预留份额的采购项目或者采购包，明确该项目或相关采购包专门面向中小企业采购，以及相关标的及预算金额；</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（二）要求以联合体形式参加或者合同分包的，明确联合协议或者分包意向协议中中小企业合同金额应当达到的比例，并作为供应商资格条件；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（三）非预留份额的采购项目或者采购包，明确有关价格扣除比例或者价格分加分比例；</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（四）规定依据本办法规定享受扶持政策获得政府采购合同的，小微企业不得将合同分包给大中型企业，中型企业不得将合同分包给大型企业；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（五）采购人认为具备相关条件的，明确对中小企业在资金支付期限、预付款比例等方面的优惠措施；</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（六）明确采购标的对应的中小企业划分标准所属行业；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（七）法律法规和省级以上人民政府财政部门规定的其他事项。</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第十三条</w:t>
      </w:r>
      <w:r>
        <w:rPr>
          <w:rFonts w:hint="eastAsia" w:ascii="宋体" w:hAnsi="宋体" w:cs="宋体"/>
          <w:color w:val="000000"/>
          <w:sz w:val="24"/>
          <w:szCs w:val="24"/>
        </w:rPr>
        <w:t>中标、中标人享受本办法规定的中小企业扶持政策的，采购人、采购代理机构应当随中标、中标结果公开中标、中标人的《中小企业声明函》。</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适用招标投标法的政府采购工程建设项目，应当在公示中标候选人时公开中标候选人的《中小企业声明函》。</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第十四条</w:t>
      </w:r>
      <w:r>
        <w:rPr>
          <w:rFonts w:hint="eastAsia" w:ascii="宋体" w:hAnsi="宋体" w:cs="宋体"/>
          <w:color w:val="000000"/>
          <w:sz w:val="24"/>
          <w:szCs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第十五条</w:t>
      </w:r>
      <w:r>
        <w:rPr>
          <w:rFonts w:hint="eastAsia" w:ascii="宋体" w:hAnsi="宋体" w:cs="宋体"/>
          <w:color w:val="000000"/>
          <w:sz w:val="24"/>
          <w:szCs w:val="24"/>
        </w:rPr>
        <w:t>鼓励各地区、各部门在采购活动中允许中小企业引入信用担保手段，为中小企业在投标（响应）保证、履约保证等方面提供专业化服务。鼓励中小企业依法合规通过政府采购合同融资。</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第十六条</w:t>
      </w:r>
      <w:r>
        <w:rPr>
          <w:rFonts w:hint="eastAsia" w:ascii="宋体" w:hAnsi="宋体" w:cs="宋体"/>
          <w:color w:val="000000"/>
          <w:sz w:val="24"/>
          <w:szCs w:val="24"/>
        </w:rPr>
        <w:t>政府采购监督检查、投诉处理及政府采购行政处罚中对中小企业的认定，由货物制造商或者工程、服务供应商注册登记所在地的县级以上人民政府中小企业主管部门负责。</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中小企业主管部门应当在收到财政部门或者有关招标投标行政监督部门关于协助开展中小企业认定函后</w:t>
      </w:r>
      <w:r>
        <w:rPr>
          <w:rFonts w:ascii="宋体" w:hAnsi="宋体" w:cs="宋体"/>
          <w:color w:val="000000"/>
          <w:sz w:val="24"/>
          <w:szCs w:val="24"/>
        </w:rPr>
        <w:t xml:space="preserve">10 </w:t>
      </w:r>
      <w:r>
        <w:rPr>
          <w:rFonts w:hint="eastAsia" w:ascii="宋体" w:hAnsi="宋体" w:cs="宋体"/>
          <w:color w:val="000000"/>
          <w:sz w:val="24"/>
          <w:szCs w:val="24"/>
        </w:rPr>
        <w:t>个工作日内做出书面答复。</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第十七条</w:t>
      </w:r>
      <w:r>
        <w:rPr>
          <w:rFonts w:hint="eastAsia" w:ascii="宋体" w:hAnsi="宋体" w:cs="宋体"/>
          <w:color w:val="000000"/>
          <w:sz w:val="24"/>
          <w:szCs w:val="24"/>
        </w:rPr>
        <w:t>各地区、各部门应当对涉及中小企业采购的预算项目实施全过程绩效管理，合理设置绩效目标和指标，落实扶持中小企业有关政策要求，定期开展绩效监控和评价，强化绩效评价结果应用。</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第十八条</w:t>
      </w:r>
      <w:r>
        <w:rPr>
          <w:rFonts w:hint="eastAsia" w:ascii="宋体" w:hAnsi="宋体" w:cs="宋体"/>
          <w:color w:val="000000"/>
          <w:sz w:val="24"/>
          <w:szCs w:val="24"/>
        </w:rPr>
        <w:t>主管预算单位应当自</w:t>
      </w:r>
      <w:r>
        <w:rPr>
          <w:rFonts w:ascii="宋体" w:hAnsi="宋体" w:cs="宋体"/>
          <w:color w:val="000000"/>
          <w:sz w:val="24"/>
          <w:szCs w:val="24"/>
        </w:rPr>
        <w:t xml:space="preserve">2022 </w:t>
      </w:r>
      <w:r>
        <w:rPr>
          <w:rFonts w:hint="eastAsia" w:ascii="宋体" w:hAnsi="宋体" w:cs="宋体"/>
          <w:color w:val="000000"/>
          <w:sz w:val="24"/>
          <w:szCs w:val="24"/>
        </w:rPr>
        <w:t>年起向同级财政部门报告本部门上一年度面向中小企业预留份额和采购的具体情况，并在中国政府采购网公开预留项目执行情况。未达到本办法规定的预留份额比例的，应当作出说明。</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第十九条</w:t>
      </w:r>
      <w:r>
        <w:rPr>
          <w:rFonts w:hint="eastAsia" w:ascii="宋体" w:hAnsi="宋体" w:cs="宋体"/>
          <w:color w:val="000000"/>
          <w:sz w:val="24"/>
          <w:szCs w:val="24"/>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第二十条</w:t>
      </w:r>
      <w:r>
        <w:rPr>
          <w:rFonts w:hint="eastAsia" w:ascii="宋体" w:hAnsi="宋体" w:cs="宋体"/>
          <w:color w:val="000000"/>
          <w:sz w:val="24"/>
          <w:szCs w:val="24"/>
        </w:rPr>
        <w:t>供应商按照本办法规定提供声明函内容不实的，属于提供虚假材料谋取中标、中标，依照《中华人民共和国政府采购法》等国家有关规定追究相应责任。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适用招标投标法的政府采购工程建设项目，投标人按照本办法规定提供声明函内容不实的，属于弄虚作假骗取中标，</w:t>
      </w:r>
    </w:p>
    <w:p>
      <w:pPr>
        <w:spacing w:line="360" w:lineRule="auto"/>
        <w:rPr>
          <w:rFonts w:ascii="宋体" w:hAnsi="宋体" w:cs="宋体"/>
          <w:color w:val="000000"/>
          <w:sz w:val="24"/>
          <w:szCs w:val="24"/>
        </w:rPr>
      </w:pPr>
      <w:r>
        <w:rPr>
          <w:rFonts w:hint="eastAsia" w:ascii="宋体" w:hAnsi="宋体" w:cs="宋体"/>
          <w:color w:val="000000"/>
          <w:sz w:val="24"/>
          <w:szCs w:val="24"/>
        </w:rPr>
        <w:t>依照《中华人民共和国招标投标法》等国家有关规定追究相应责任。</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第二十一条</w:t>
      </w:r>
      <w:r>
        <w:rPr>
          <w:rFonts w:hint="eastAsia" w:ascii="宋体" w:hAnsi="宋体" w:cs="宋体"/>
          <w:color w:val="000000"/>
          <w:sz w:val="24"/>
          <w:szCs w:val="24"/>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第二十二条</w:t>
      </w:r>
      <w:r>
        <w:rPr>
          <w:rFonts w:hint="eastAsia" w:ascii="宋体" w:hAnsi="宋体" w:cs="宋体"/>
          <w:color w:val="000000"/>
          <w:sz w:val="24"/>
          <w:szCs w:val="24"/>
        </w:rPr>
        <w:t>对外援助项目、国家相关资格或者资质管理制度另有规定的项目，不适用本办法。</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第二十三条</w:t>
      </w:r>
      <w:r>
        <w:rPr>
          <w:rFonts w:hint="eastAsia" w:ascii="宋体" w:hAnsi="宋体" w:cs="宋体"/>
          <w:color w:val="000000"/>
          <w:sz w:val="24"/>
          <w:szCs w:val="24"/>
        </w:rPr>
        <w:t>关于视同中小企业的其他主体的政府采购扶持政策，由财政部会同有关部门另行规定。</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第二十四条</w:t>
      </w:r>
      <w:r>
        <w:rPr>
          <w:rFonts w:hint="eastAsia" w:ascii="宋体" w:hAnsi="宋体" w:cs="宋体"/>
          <w:color w:val="000000"/>
          <w:sz w:val="24"/>
          <w:szCs w:val="24"/>
        </w:rPr>
        <w:t>省级财政部门可以会同中小企业主管部门根据本办法的规定制定具体实施办法。</w:t>
      </w:r>
    </w:p>
    <w:p>
      <w:pPr>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第二十五条</w:t>
      </w:r>
      <w:r>
        <w:rPr>
          <w:rFonts w:hint="eastAsia" w:ascii="宋体" w:hAnsi="宋体" w:cs="宋体"/>
          <w:color w:val="000000"/>
          <w:sz w:val="24"/>
          <w:szCs w:val="24"/>
        </w:rPr>
        <w:t>本办法自</w:t>
      </w:r>
      <w:r>
        <w:rPr>
          <w:rFonts w:ascii="宋体" w:hAnsi="宋体" w:cs="宋体"/>
          <w:color w:val="000000"/>
          <w:sz w:val="24"/>
          <w:szCs w:val="24"/>
        </w:rPr>
        <w:t xml:space="preserve">2021 </w:t>
      </w:r>
      <w:r>
        <w:rPr>
          <w:rFonts w:hint="eastAsia" w:ascii="宋体" w:hAnsi="宋体" w:cs="宋体"/>
          <w:color w:val="000000"/>
          <w:sz w:val="24"/>
          <w:szCs w:val="24"/>
        </w:rPr>
        <w:t>年</w:t>
      </w:r>
      <w:r>
        <w:rPr>
          <w:rFonts w:ascii="宋体" w:hAnsi="宋体" w:cs="宋体"/>
          <w:color w:val="000000"/>
          <w:sz w:val="24"/>
          <w:szCs w:val="24"/>
        </w:rPr>
        <w:t xml:space="preserve">1 </w:t>
      </w:r>
      <w:r>
        <w:rPr>
          <w:rFonts w:hint="eastAsia" w:ascii="宋体" w:hAnsi="宋体" w:cs="宋体"/>
          <w:color w:val="000000"/>
          <w:sz w:val="24"/>
          <w:szCs w:val="24"/>
        </w:rPr>
        <w:t>月</w:t>
      </w:r>
      <w:r>
        <w:rPr>
          <w:rFonts w:ascii="宋体" w:hAnsi="宋体" w:cs="宋体"/>
          <w:color w:val="000000"/>
          <w:sz w:val="24"/>
          <w:szCs w:val="24"/>
        </w:rPr>
        <w:t xml:space="preserve">1 </w:t>
      </w:r>
      <w:r>
        <w:rPr>
          <w:rFonts w:hint="eastAsia" w:ascii="宋体" w:hAnsi="宋体" w:cs="宋体"/>
          <w:color w:val="000000"/>
          <w:sz w:val="24"/>
          <w:szCs w:val="24"/>
        </w:rPr>
        <w:t>日起施行。《财政部工业和信息化部关于印发〈政府采购促进中小企业发展暂行办法〉的通知》（财库﹝</w:t>
      </w:r>
      <w:r>
        <w:rPr>
          <w:rFonts w:ascii="宋体" w:hAnsi="宋体" w:cs="宋体"/>
          <w:color w:val="000000"/>
          <w:sz w:val="24"/>
          <w:szCs w:val="24"/>
        </w:rPr>
        <w:t>2011</w:t>
      </w:r>
      <w:r>
        <w:rPr>
          <w:rFonts w:hint="eastAsia" w:ascii="宋体" w:hAnsi="宋体" w:cs="宋体"/>
          <w:color w:val="000000"/>
          <w:sz w:val="24"/>
          <w:szCs w:val="24"/>
        </w:rPr>
        <w:t>﹞</w:t>
      </w:r>
      <w:r>
        <w:rPr>
          <w:rFonts w:ascii="宋体" w:hAnsi="宋体" w:cs="宋体"/>
          <w:color w:val="000000"/>
          <w:sz w:val="24"/>
          <w:szCs w:val="24"/>
        </w:rPr>
        <w:t xml:space="preserve">181 </w:t>
      </w:r>
      <w:r>
        <w:rPr>
          <w:rFonts w:hint="eastAsia" w:ascii="宋体" w:hAnsi="宋体" w:cs="宋体"/>
          <w:color w:val="000000"/>
          <w:sz w:val="24"/>
          <w:szCs w:val="24"/>
        </w:rPr>
        <w:t>号）同时废止。</w:t>
      </w:r>
    </w:p>
    <w:p>
      <w:pPr>
        <w:widowControl/>
        <w:jc w:val="left"/>
        <w:rPr>
          <w:rFonts w:ascii="宋体" w:hAnsi="宋体" w:cs="宋体"/>
          <w:b/>
          <w:color w:val="000000"/>
          <w:sz w:val="24"/>
          <w:szCs w:val="24"/>
        </w:rPr>
      </w:pPr>
      <w:r>
        <w:rPr>
          <w:rFonts w:ascii="宋体" w:hAnsi="宋体" w:cs="宋体"/>
          <w:b/>
          <w:color w:val="000000"/>
          <w:sz w:val="24"/>
          <w:szCs w:val="24"/>
        </w:rPr>
        <w:br w:type="page"/>
      </w:r>
    </w:p>
    <w:p>
      <w:pPr>
        <w:spacing w:line="360" w:lineRule="auto"/>
        <w:rPr>
          <w:rFonts w:ascii="宋体" w:hAnsi="宋体" w:cs="宋体"/>
          <w:b/>
          <w:color w:val="000000"/>
          <w:sz w:val="24"/>
          <w:szCs w:val="24"/>
        </w:rPr>
      </w:pPr>
      <w:r>
        <w:rPr>
          <w:rFonts w:hint="eastAsia" w:ascii="宋体" w:hAnsi="宋体" w:cs="宋体"/>
          <w:b/>
          <w:color w:val="000000"/>
          <w:sz w:val="24"/>
          <w:szCs w:val="24"/>
        </w:rPr>
        <w:t>关于进一步加大政府采购支持中小企业力度的通知</w:t>
      </w:r>
    </w:p>
    <w:p>
      <w:pPr>
        <w:spacing w:line="360" w:lineRule="auto"/>
        <w:rPr>
          <w:rFonts w:ascii="宋体" w:hAnsi="宋体" w:cs="宋体"/>
          <w:color w:val="000000"/>
          <w:sz w:val="24"/>
          <w:szCs w:val="24"/>
        </w:rPr>
      </w:pPr>
    </w:p>
    <w:p>
      <w:pPr>
        <w:spacing w:line="360" w:lineRule="auto"/>
        <w:jc w:val="center"/>
        <w:rPr>
          <w:rFonts w:ascii="宋体" w:hAnsi="宋体" w:cs="宋体"/>
          <w:color w:val="000000"/>
          <w:sz w:val="24"/>
          <w:szCs w:val="24"/>
        </w:rPr>
      </w:pPr>
      <w:r>
        <w:rPr>
          <w:rFonts w:hint="eastAsia" w:ascii="宋体" w:hAnsi="宋体" w:cs="宋体"/>
          <w:color w:val="000000"/>
          <w:sz w:val="24"/>
          <w:szCs w:val="24"/>
        </w:rPr>
        <w:t>财库〔2022〕19号</w:t>
      </w:r>
    </w:p>
    <w:p>
      <w:pPr>
        <w:spacing w:line="360" w:lineRule="auto"/>
        <w:rPr>
          <w:rFonts w:ascii="宋体" w:hAnsi="宋体" w:cs="宋体"/>
          <w:color w:val="000000"/>
          <w:sz w:val="24"/>
          <w:szCs w:val="24"/>
        </w:rPr>
      </w:pPr>
      <w:r>
        <w:rPr>
          <w:rFonts w:hint="eastAsia" w:ascii="宋体" w:hAnsi="宋体" w:cs="宋体"/>
          <w:color w:val="000000"/>
          <w:sz w:val="24"/>
          <w:szCs w:val="24"/>
        </w:rPr>
        <w:t>各中央预算单位，各省、自治区、直辖市、计划单列市财政厅（局），新疆生产建设兵团财政局：</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四、认真做好组织实施。各地区、各部门应当加强组织领导，明确工作责任，细化执行要求，强化监督检查，确保国务院部署落实到位，对通知执行中出现的问题要及时向财政部报告。</w:t>
      </w:r>
    </w:p>
    <w:p>
      <w:pPr>
        <w:spacing w:line="360" w:lineRule="auto"/>
        <w:rPr>
          <w:rFonts w:ascii="宋体" w:hAnsi="宋体" w:cs="宋体"/>
          <w:color w:val="000000"/>
          <w:sz w:val="24"/>
          <w:szCs w:val="24"/>
        </w:rPr>
      </w:pPr>
    </w:p>
    <w:p>
      <w:pPr>
        <w:spacing w:line="360" w:lineRule="auto"/>
        <w:jc w:val="right"/>
        <w:rPr>
          <w:rFonts w:ascii="宋体" w:hAnsi="宋体" w:cs="宋体"/>
          <w:color w:val="000000"/>
          <w:sz w:val="24"/>
          <w:szCs w:val="24"/>
        </w:rPr>
      </w:pPr>
      <w:r>
        <w:rPr>
          <w:rFonts w:hint="eastAsia" w:ascii="宋体" w:hAnsi="宋体" w:cs="宋体"/>
          <w:color w:val="000000"/>
          <w:sz w:val="24"/>
          <w:szCs w:val="24"/>
        </w:rPr>
        <w:t>财  政  部</w:t>
      </w:r>
    </w:p>
    <w:p>
      <w:pPr>
        <w:spacing w:line="360" w:lineRule="auto"/>
        <w:jc w:val="right"/>
        <w:rPr>
          <w:rFonts w:ascii="宋体" w:hAnsi="宋体" w:cs="宋体"/>
          <w:color w:val="000000"/>
          <w:sz w:val="24"/>
          <w:szCs w:val="24"/>
        </w:rPr>
      </w:pPr>
    </w:p>
    <w:p>
      <w:pPr>
        <w:spacing w:line="360" w:lineRule="auto"/>
        <w:jc w:val="right"/>
        <w:rPr>
          <w:rFonts w:ascii="宋体" w:hAnsi="宋体" w:cs="宋体"/>
          <w:color w:val="000000"/>
          <w:sz w:val="24"/>
          <w:szCs w:val="24"/>
        </w:rPr>
      </w:pPr>
      <w:r>
        <w:rPr>
          <w:rFonts w:hint="eastAsia" w:ascii="宋体" w:hAnsi="宋体" w:cs="宋体"/>
          <w:color w:val="000000"/>
          <w:sz w:val="24"/>
          <w:szCs w:val="24"/>
        </w:rPr>
        <w:t>2022年5月30日</w:t>
      </w:r>
    </w:p>
    <w:p>
      <w:pPr>
        <w:pStyle w:val="41"/>
        <w:spacing w:before="0" w:beforeAutospacing="0" w:after="0" w:afterAutospacing="0" w:line="360" w:lineRule="auto"/>
        <w:rPr>
          <w:rFonts w:cs="宋体"/>
          <w:color w:val="000000"/>
        </w:rPr>
      </w:pPr>
      <w:r>
        <w:rPr>
          <w:rFonts w:cs="宋体"/>
          <w:b/>
          <w:color w:val="000000"/>
        </w:rPr>
        <w:br w:type="page"/>
      </w:r>
      <w:r>
        <w:rPr>
          <w:rStyle w:val="50"/>
          <w:rFonts w:hint="eastAsia" w:cs="宋体"/>
          <w:color w:val="000000"/>
        </w:rPr>
        <w:t>中小企业划型标准规定</w:t>
      </w:r>
    </w:p>
    <w:p>
      <w:pPr>
        <w:pStyle w:val="41"/>
        <w:spacing w:before="0" w:beforeAutospacing="0" w:after="0" w:afterAutospacing="0" w:line="360" w:lineRule="auto"/>
        <w:rPr>
          <w:rFonts w:hint="eastAsia" w:eastAsia="宋体" w:cs="宋体"/>
          <w:color w:val="000000"/>
          <w:lang w:eastAsia="zh-CN"/>
        </w:rPr>
      </w:pPr>
      <w:r>
        <w:rPr>
          <w:rFonts w:cs="宋体"/>
          <w:color w:val="000000"/>
        </w:rPr>
        <w:t> </w:t>
      </w:r>
      <w:r>
        <w:rPr>
          <w:rFonts w:hint="eastAsia" w:cs="宋体"/>
          <w:color w:val="000000"/>
        </w:rPr>
        <w:t>　一、根据《中华人民共和国中小企业促进法》和《国务院关于进一步促进中小企业发展的若干意见》</w:t>
      </w:r>
      <w:r>
        <w:rPr>
          <w:rFonts w:cs="宋体"/>
          <w:color w:val="000000"/>
        </w:rPr>
        <w:t>(</w:t>
      </w:r>
      <w:r>
        <w:rPr>
          <w:rFonts w:hint="eastAsia" w:cs="宋体"/>
          <w:color w:val="000000"/>
        </w:rPr>
        <w:t>国发〔</w:t>
      </w:r>
      <w:r>
        <w:rPr>
          <w:rFonts w:cs="宋体"/>
          <w:color w:val="000000"/>
        </w:rPr>
        <w:t>2009</w:t>
      </w:r>
      <w:r>
        <w:rPr>
          <w:rFonts w:hint="eastAsia" w:cs="宋体"/>
          <w:color w:val="000000"/>
        </w:rPr>
        <w:t>〕</w:t>
      </w:r>
      <w:r>
        <w:rPr>
          <w:rFonts w:cs="宋体"/>
          <w:color w:val="000000"/>
        </w:rPr>
        <w:t>36</w:t>
      </w:r>
      <w:r>
        <w:rPr>
          <w:rFonts w:hint="eastAsia" w:cs="宋体"/>
          <w:color w:val="000000"/>
        </w:rPr>
        <w:t>号</w:t>
      </w:r>
      <w:r>
        <w:rPr>
          <w:rFonts w:cs="宋体"/>
          <w:color w:val="000000"/>
        </w:rPr>
        <w:t>)</w:t>
      </w:r>
      <w:r>
        <w:rPr>
          <w:rFonts w:hint="eastAsia" w:cs="宋体"/>
          <w:color w:val="000000"/>
        </w:rPr>
        <w:t>，制定本规定。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二、中小企业划分为中型、小型、微型三种类型，具体标准根据企业从业人员、营业收入、资产总额等指标，结合行业特点制定。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四、各行业划型标准为：</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（一）农、林、牧、渔业。营业收入</w:t>
      </w:r>
      <w:r>
        <w:rPr>
          <w:rFonts w:cs="宋体"/>
          <w:color w:val="000000"/>
        </w:rPr>
        <w:t>20000</w:t>
      </w:r>
      <w:r>
        <w:rPr>
          <w:rFonts w:hint="eastAsia" w:cs="宋体"/>
          <w:color w:val="000000"/>
        </w:rPr>
        <w:t>万元以下的为中小微型企业。其中，营业收入</w:t>
      </w:r>
      <w:r>
        <w:rPr>
          <w:rFonts w:cs="宋体"/>
          <w:color w:val="000000"/>
        </w:rPr>
        <w:t>500</w:t>
      </w:r>
      <w:r>
        <w:rPr>
          <w:rFonts w:hint="eastAsia" w:cs="宋体"/>
          <w:color w:val="000000"/>
        </w:rPr>
        <w:t>万元及以上的为中型企业，营业收入</w:t>
      </w:r>
      <w:r>
        <w:rPr>
          <w:rFonts w:cs="宋体"/>
          <w:color w:val="000000"/>
        </w:rPr>
        <w:t>50</w:t>
      </w:r>
      <w:r>
        <w:rPr>
          <w:rFonts w:hint="eastAsia" w:cs="宋体"/>
          <w:color w:val="000000"/>
        </w:rPr>
        <w:t>万元及以上的为小型企业，营业收入</w:t>
      </w:r>
      <w:r>
        <w:rPr>
          <w:rFonts w:cs="宋体"/>
          <w:color w:val="000000"/>
        </w:rPr>
        <w:t>50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（二）工业。从业人员</w:t>
      </w:r>
      <w:r>
        <w:rPr>
          <w:rFonts w:cs="宋体"/>
          <w:color w:val="000000"/>
        </w:rPr>
        <w:t>1000</w:t>
      </w:r>
      <w:r>
        <w:rPr>
          <w:rFonts w:hint="eastAsia" w:cs="宋体"/>
          <w:color w:val="000000"/>
        </w:rPr>
        <w:t>人以下或营业收入</w:t>
      </w:r>
      <w:r>
        <w:rPr>
          <w:rFonts w:cs="宋体"/>
          <w:color w:val="000000"/>
        </w:rPr>
        <w:t>40000</w:t>
      </w:r>
      <w:r>
        <w:rPr>
          <w:rFonts w:hint="eastAsia" w:cs="宋体"/>
          <w:color w:val="000000"/>
        </w:rPr>
        <w:t>万元以下的为中小微型企业。其中，从业人员</w:t>
      </w:r>
      <w:r>
        <w:rPr>
          <w:rFonts w:cs="宋体"/>
          <w:color w:val="000000"/>
        </w:rPr>
        <w:t>300</w:t>
      </w:r>
      <w:r>
        <w:rPr>
          <w:rFonts w:hint="eastAsia" w:cs="宋体"/>
          <w:color w:val="000000"/>
        </w:rPr>
        <w:t>人及以上，且营业收入</w:t>
      </w:r>
      <w:r>
        <w:rPr>
          <w:rFonts w:cs="宋体"/>
          <w:color w:val="000000"/>
        </w:rPr>
        <w:t>2000</w:t>
      </w:r>
      <w:r>
        <w:rPr>
          <w:rFonts w:hint="eastAsia" w:cs="宋体"/>
          <w:color w:val="000000"/>
        </w:rPr>
        <w:t>万元及以上的为中型企业；从业人员</w:t>
      </w:r>
      <w:r>
        <w:rPr>
          <w:rFonts w:cs="宋体"/>
          <w:color w:val="000000"/>
        </w:rPr>
        <w:t>20</w:t>
      </w:r>
      <w:r>
        <w:rPr>
          <w:rFonts w:hint="eastAsia" w:cs="宋体"/>
          <w:color w:val="000000"/>
        </w:rPr>
        <w:t>人及以上，且营业收入</w:t>
      </w:r>
      <w:r>
        <w:rPr>
          <w:rFonts w:cs="宋体"/>
          <w:color w:val="000000"/>
        </w:rPr>
        <w:t>300</w:t>
      </w:r>
      <w:r>
        <w:rPr>
          <w:rFonts w:hint="eastAsia" w:cs="宋体"/>
          <w:color w:val="000000"/>
        </w:rPr>
        <w:t>万元及以上的为小型企业；从业人员</w:t>
      </w:r>
      <w:r>
        <w:rPr>
          <w:rFonts w:cs="宋体"/>
          <w:color w:val="000000"/>
        </w:rPr>
        <w:t>20</w:t>
      </w:r>
      <w:r>
        <w:rPr>
          <w:rFonts w:hint="eastAsia" w:cs="宋体"/>
          <w:color w:val="000000"/>
        </w:rPr>
        <w:t>人以下或营业收入</w:t>
      </w:r>
      <w:r>
        <w:rPr>
          <w:rFonts w:cs="宋体"/>
          <w:color w:val="000000"/>
        </w:rPr>
        <w:t>300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（三）建筑业。营业收入</w:t>
      </w:r>
      <w:r>
        <w:rPr>
          <w:rFonts w:cs="宋体"/>
          <w:color w:val="000000"/>
        </w:rPr>
        <w:t>80000</w:t>
      </w:r>
      <w:r>
        <w:rPr>
          <w:rFonts w:hint="eastAsia" w:cs="宋体"/>
          <w:color w:val="000000"/>
        </w:rPr>
        <w:t>万元以下或资产总额</w:t>
      </w:r>
      <w:r>
        <w:rPr>
          <w:rFonts w:cs="宋体"/>
          <w:color w:val="000000"/>
        </w:rPr>
        <w:t>80000</w:t>
      </w:r>
      <w:r>
        <w:rPr>
          <w:rFonts w:hint="eastAsia" w:cs="宋体"/>
          <w:color w:val="000000"/>
        </w:rPr>
        <w:t>万元以下的为中小微型企业。其中，营业收入</w:t>
      </w:r>
      <w:r>
        <w:rPr>
          <w:rFonts w:cs="宋体"/>
          <w:color w:val="000000"/>
        </w:rPr>
        <w:t>6000</w:t>
      </w:r>
      <w:r>
        <w:rPr>
          <w:rFonts w:hint="eastAsia" w:cs="宋体"/>
          <w:color w:val="000000"/>
        </w:rPr>
        <w:t>万元及以上，且资产总额</w:t>
      </w:r>
      <w:r>
        <w:rPr>
          <w:rFonts w:cs="宋体"/>
          <w:color w:val="000000"/>
        </w:rPr>
        <w:t>5000</w:t>
      </w:r>
      <w:r>
        <w:rPr>
          <w:rFonts w:hint="eastAsia" w:cs="宋体"/>
          <w:color w:val="000000"/>
        </w:rPr>
        <w:t>万元及以上的为中型企业；营业收入</w:t>
      </w:r>
      <w:r>
        <w:rPr>
          <w:rFonts w:cs="宋体"/>
          <w:color w:val="000000"/>
        </w:rPr>
        <w:t>300</w:t>
      </w:r>
      <w:r>
        <w:rPr>
          <w:rFonts w:hint="eastAsia" w:cs="宋体"/>
          <w:color w:val="000000"/>
        </w:rPr>
        <w:t>万元及以上，且资产总额</w:t>
      </w:r>
      <w:r>
        <w:rPr>
          <w:rFonts w:cs="宋体"/>
          <w:color w:val="000000"/>
        </w:rPr>
        <w:t>300</w:t>
      </w:r>
      <w:r>
        <w:rPr>
          <w:rFonts w:hint="eastAsia" w:cs="宋体"/>
          <w:color w:val="000000"/>
        </w:rPr>
        <w:t>万元及以上的为小型企业；营业收入</w:t>
      </w:r>
      <w:r>
        <w:rPr>
          <w:rFonts w:cs="宋体"/>
          <w:color w:val="000000"/>
        </w:rPr>
        <w:t>300</w:t>
      </w:r>
      <w:r>
        <w:rPr>
          <w:rFonts w:hint="eastAsia" w:cs="宋体"/>
          <w:color w:val="000000"/>
        </w:rPr>
        <w:t>万元以下或资产总额</w:t>
      </w:r>
      <w:r>
        <w:rPr>
          <w:rFonts w:cs="宋体"/>
          <w:color w:val="000000"/>
        </w:rPr>
        <w:t>300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（四）批发业。从业人员</w:t>
      </w:r>
      <w:r>
        <w:rPr>
          <w:rFonts w:cs="宋体"/>
          <w:color w:val="000000"/>
        </w:rPr>
        <w:t>200</w:t>
      </w:r>
      <w:r>
        <w:rPr>
          <w:rFonts w:hint="eastAsia" w:cs="宋体"/>
          <w:color w:val="000000"/>
        </w:rPr>
        <w:t>人以下或营业收入</w:t>
      </w:r>
      <w:r>
        <w:rPr>
          <w:rFonts w:cs="宋体"/>
          <w:color w:val="000000"/>
        </w:rPr>
        <w:t>40000</w:t>
      </w:r>
      <w:r>
        <w:rPr>
          <w:rFonts w:hint="eastAsia" w:cs="宋体"/>
          <w:color w:val="000000"/>
        </w:rPr>
        <w:t>万元以下的为中小微型企业。其中，从业人员</w:t>
      </w:r>
      <w:r>
        <w:rPr>
          <w:rFonts w:cs="宋体"/>
          <w:color w:val="000000"/>
        </w:rPr>
        <w:t>20</w:t>
      </w:r>
      <w:r>
        <w:rPr>
          <w:rFonts w:hint="eastAsia" w:cs="宋体"/>
          <w:color w:val="000000"/>
        </w:rPr>
        <w:t>人及以上，且营业收入</w:t>
      </w:r>
      <w:r>
        <w:rPr>
          <w:rFonts w:cs="宋体"/>
          <w:color w:val="000000"/>
        </w:rPr>
        <w:t>5000</w:t>
      </w:r>
      <w:r>
        <w:rPr>
          <w:rFonts w:hint="eastAsia" w:cs="宋体"/>
          <w:color w:val="000000"/>
        </w:rPr>
        <w:t>万元及以上的为中型企业；从业人员</w:t>
      </w:r>
      <w:r>
        <w:rPr>
          <w:rFonts w:cs="宋体"/>
          <w:color w:val="000000"/>
        </w:rPr>
        <w:t>5</w:t>
      </w:r>
      <w:r>
        <w:rPr>
          <w:rFonts w:hint="eastAsia" w:cs="宋体"/>
          <w:color w:val="000000"/>
        </w:rPr>
        <w:t>人及以上，且营业收入</w:t>
      </w:r>
      <w:r>
        <w:rPr>
          <w:rFonts w:cs="宋体"/>
          <w:color w:val="000000"/>
        </w:rPr>
        <w:t>1000</w:t>
      </w:r>
      <w:r>
        <w:rPr>
          <w:rFonts w:hint="eastAsia" w:cs="宋体"/>
          <w:color w:val="000000"/>
        </w:rPr>
        <w:t>万元及以上的为小型企业；从业人员</w:t>
      </w:r>
      <w:r>
        <w:rPr>
          <w:rFonts w:cs="宋体"/>
          <w:color w:val="000000"/>
        </w:rPr>
        <w:t>5</w:t>
      </w:r>
      <w:r>
        <w:rPr>
          <w:rFonts w:hint="eastAsia" w:cs="宋体"/>
          <w:color w:val="000000"/>
        </w:rPr>
        <w:t>人以下或营业收入</w:t>
      </w:r>
      <w:r>
        <w:rPr>
          <w:rFonts w:cs="宋体"/>
          <w:color w:val="000000"/>
        </w:rPr>
        <w:t>1000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（五）零售业。从业人员</w:t>
      </w:r>
      <w:r>
        <w:rPr>
          <w:rFonts w:cs="宋体"/>
          <w:color w:val="000000"/>
        </w:rPr>
        <w:t>300</w:t>
      </w:r>
      <w:r>
        <w:rPr>
          <w:rFonts w:hint="eastAsia" w:cs="宋体"/>
          <w:color w:val="000000"/>
        </w:rPr>
        <w:t>人以下或营业收入</w:t>
      </w:r>
      <w:r>
        <w:rPr>
          <w:rFonts w:cs="宋体"/>
          <w:color w:val="000000"/>
        </w:rPr>
        <w:t>20000</w:t>
      </w:r>
      <w:r>
        <w:rPr>
          <w:rFonts w:hint="eastAsia" w:cs="宋体"/>
          <w:color w:val="000000"/>
        </w:rPr>
        <w:t>万元以下的为中小微型企业。其中，从业人员</w:t>
      </w:r>
      <w:r>
        <w:rPr>
          <w:rFonts w:cs="宋体"/>
          <w:color w:val="000000"/>
        </w:rPr>
        <w:t>50</w:t>
      </w:r>
      <w:r>
        <w:rPr>
          <w:rFonts w:hint="eastAsia" w:cs="宋体"/>
          <w:color w:val="000000"/>
        </w:rPr>
        <w:t>人及以上，且营业收入</w:t>
      </w:r>
      <w:r>
        <w:rPr>
          <w:rFonts w:cs="宋体"/>
          <w:color w:val="000000"/>
        </w:rPr>
        <w:t>500</w:t>
      </w:r>
      <w:r>
        <w:rPr>
          <w:rFonts w:hint="eastAsia" w:cs="宋体"/>
          <w:color w:val="000000"/>
        </w:rPr>
        <w:t>万元及以上的为中型企业；从业人员</w:t>
      </w:r>
      <w:r>
        <w:rPr>
          <w:rFonts w:cs="宋体"/>
          <w:color w:val="000000"/>
        </w:rPr>
        <w:t>10</w:t>
      </w:r>
      <w:r>
        <w:rPr>
          <w:rFonts w:hint="eastAsia" w:cs="宋体"/>
          <w:color w:val="000000"/>
        </w:rPr>
        <w:t>人及以上，且营业收入</w:t>
      </w:r>
      <w:r>
        <w:rPr>
          <w:rFonts w:cs="宋体"/>
          <w:color w:val="000000"/>
        </w:rPr>
        <w:t>100</w:t>
      </w:r>
      <w:r>
        <w:rPr>
          <w:rFonts w:hint="eastAsia" w:cs="宋体"/>
          <w:color w:val="000000"/>
        </w:rPr>
        <w:t>万元及以上的为小型企业；从业人员</w:t>
      </w:r>
      <w:r>
        <w:rPr>
          <w:rFonts w:cs="宋体"/>
          <w:color w:val="000000"/>
        </w:rPr>
        <w:t>10</w:t>
      </w:r>
      <w:r>
        <w:rPr>
          <w:rFonts w:hint="eastAsia" w:cs="宋体"/>
          <w:color w:val="000000"/>
        </w:rPr>
        <w:t>人以下或营业收入</w:t>
      </w:r>
      <w:r>
        <w:rPr>
          <w:rFonts w:cs="宋体"/>
          <w:color w:val="000000"/>
        </w:rPr>
        <w:t>100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（六）交通运输业。从业人员</w:t>
      </w:r>
      <w:r>
        <w:rPr>
          <w:rFonts w:cs="宋体"/>
          <w:color w:val="000000"/>
        </w:rPr>
        <w:t>1000</w:t>
      </w:r>
      <w:r>
        <w:rPr>
          <w:rFonts w:hint="eastAsia" w:cs="宋体"/>
          <w:color w:val="000000"/>
        </w:rPr>
        <w:t>人以下或营业收入</w:t>
      </w:r>
      <w:r>
        <w:rPr>
          <w:rFonts w:cs="宋体"/>
          <w:color w:val="000000"/>
        </w:rPr>
        <w:t>30000</w:t>
      </w:r>
      <w:r>
        <w:rPr>
          <w:rFonts w:hint="eastAsia" w:cs="宋体"/>
          <w:color w:val="000000"/>
        </w:rPr>
        <w:t>万元以下的为中小微型企业。其中，从业人员</w:t>
      </w:r>
      <w:r>
        <w:rPr>
          <w:rFonts w:cs="宋体"/>
          <w:color w:val="000000"/>
        </w:rPr>
        <w:t>300</w:t>
      </w:r>
      <w:r>
        <w:rPr>
          <w:rFonts w:hint="eastAsia" w:cs="宋体"/>
          <w:color w:val="000000"/>
        </w:rPr>
        <w:t>人及以上，且营业收入</w:t>
      </w:r>
      <w:r>
        <w:rPr>
          <w:rFonts w:cs="宋体"/>
          <w:color w:val="000000"/>
        </w:rPr>
        <w:t>3000</w:t>
      </w:r>
      <w:r>
        <w:rPr>
          <w:rFonts w:hint="eastAsia" w:cs="宋体"/>
          <w:color w:val="000000"/>
        </w:rPr>
        <w:t>万元及以上的为中型企业；从业人员</w:t>
      </w:r>
      <w:r>
        <w:rPr>
          <w:rFonts w:cs="宋体"/>
          <w:color w:val="000000"/>
        </w:rPr>
        <w:t>20</w:t>
      </w:r>
      <w:r>
        <w:rPr>
          <w:rFonts w:hint="eastAsia" w:cs="宋体"/>
          <w:color w:val="000000"/>
        </w:rPr>
        <w:t>人及以上，且营业收入</w:t>
      </w:r>
      <w:r>
        <w:rPr>
          <w:rFonts w:cs="宋体"/>
          <w:color w:val="000000"/>
        </w:rPr>
        <w:t>200</w:t>
      </w:r>
      <w:r>
        <w:rPr>
          <w:rFonts w:hint="eastAsia" w:cs="宋体"/>
          <w:color w:val="000000"/>
        </w:rPr>
        <w:t>万元及以上的为小型企业；从业人员</w:t>
      </w:r>
      <w:r>
        <w:rPr>
          <w:rFonts w:cs="宋体"/>
          <w:color w:val="000000"/>
        </w:rPr>
        <w:t>20</w:t>
      </w:r>
      <w:r>
        <w:rPr>
          <w:rFonts w:hint="eastAsia" w:cs="宋体"/>
          <w:color w:val="000000"/>
        </w:rPr>
        <w:t>人以下或营业收入</w:t>
      </w:r>
      <w:r>
        <w:rPr>
          <w:rFonts w:cs="宋体"/>
          <w:color w:val="000000"/>
        </w:rPr>
        <w:t>200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（七）仓储业。从业人员</w:t>
      </w:r>
      <w:r>
        <w:rPr>
          <w:rFonts w:cs="宋体"/>
          <w:color w:val="000000"/>
        </w:rPr>
        <w:t>200</w:t>
      </w:r>
      <w:r>
        <w:rPr>
          <w:rFonts w:hint="eastAsia" w:cs="宋体"/>
          <w:color w:val="000000"/>
        </w:rPr>
        <w:t>人以下或营业收入</w:t>
      </w:r>
      <w:r>
        <w:rPr>
          <w:rFonts w:cs="宋体"/>
          <w:color w:val="000000"/>
        </w:rPr>
        <w:t>30000</w:t>
      </w:r>
      <w:r>
        <w:rPr>
          <w:rFonts w:hint="eastAsia" w:cs="宋体"/>
          <w:color w:val="000000"/>
        </w:rPr>
        <w:t>万元以下的为中小微型企业。其中，从业人员</w:t>
      </w:r>
      <w:r>
        <w:rPr>
          <w:rFonts w:cs="宋体"/>
          <w:color w:val="000000"/>
        </w:rPr>
        <w:t>100</w:t>
      </w:r>
      <w:r>
        <w:rPr>
          <w:rFonts w:hint="eastAsia" w:cs="宋体"/>
          <w:color w:val="000000"/>
        </w:rPr>
        <w:t>人及以上，且营业收入</w:t>
      </w:r>
      <w:r>
        <w:rPr>
          <w:rFonts w:cs="宋体"/>
          <w:color w:val="000000"/>
        </w:rPr>
        <w:t>1000</w:t>
      </w:r>
      <w:r>
        <w:rPr>
          <w:rFonts w:hint="eastAsia" w:cs="宋体"/>
          <w:color w:val="000000"/>
        </w:rPr>
        <w:t>万元及以上的为中型企业；从业人员</w:t>
      </w:r>
      <w:r>
        <w:rPr>
          <w:rFonts w:cs="宋体"/>
          <w:color w:val="000000"/>
        </w:rPr>
        <w:t>20</w:t>
      </w:r>
      <w:r>
        <w:rPr>
          <w:rFonts w:hint="eastAsia" w:cs="宋体"/>
          <w:color w:val="000000"/>
        </w:rPr>
        <w:t>人及以上，且营业收入</w:t>
      </w:r>
      <w:r>
        <w:rPr>
          <w:rFonts w:cs="宋体"/>
          <w:color w:val="000000"/>
        </w:rPr>
        <w:t>100</w:t>
      </w:r>
      <w:r>
        <w:rPr>
          <w:rFonts w:hint="eastAsia" w:cs="宋体"/>
          <w:color w:val="000000"/>
        </w:rPr>
        <w:t>万元及以上的为小型企业；从业人员</w:t>
      </w:r>
      <w:r>
        <w:rPr>
          <w:rFonts w:cs="宋体"/>
          <w:color w:val="000000"/>
        </w:rPr>
        <w:t>20</w:t>
      </w:r>
      <w:r>
        <w:rPr>
          <w:rFonts w:hint="eastAsia" w:cs="宋体"/>
          <w:color w:val="000000"/>
        </w:rPr>
        <w:t>人以下或营业收入</w:t>
      </w:r>
      <w:r>
        <w:rPr>
          <w:rFonts w:cs="宋体"/>
          <w:color w:val="000000"/>
        </w:rPr>
        <w:t>100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（八）邮政业。从业人员</w:t>
      </w:r>
      <w:r>
        <w:rPr>
          <w:rFonts w:cs="宋体"/>
          <w:color w:val="000000"/>
        </w:rPr>
        <w:t>1000</w:t>
      </w:r>
      <w:r>
        <w:rPr>
          <w:rFonts w:hint="eastAsia" w:cs="宋体"/>
          <w:color w:val="000000"/>
        </w:rPr>
        <w:t>人以下或营业收入</w:t>
      </w:r>
      <w:r>
        <w:rPr>
          <w:rFonts w:cs="宋体"/>
          <w:color w:val="000000"/>
        </w:rPr>
        <w:t>30000</w:t>
      </w:r>
      <w:r>
        <w:rPr>
          <w:rFonts w:hint="eastAsia" w:cs="宋体"/>
          <w:color w:val="000000"/>
        </w:rPr>
        <w:t>万元以下的为中小微型企业。其中，从业人员</w:t>
      </w:r>
      <w:r>
        <w:rPr>
          <w:rFonts w:cs="宋体"/>
          <w:color w:val="000000"/>
        </w:rPr>
        <w:t>300</w:t>
      </w:r>
      <w:r>
        <w:rPr>
          <w:rFonts w:hint="eastAsia" w:cs="宋体"/>
          <w:color w:val="000000"/>
        </w:rPr>
        <w:t>人及以上，且营业收入</w:t>
      </w:r>
      <w:r>
        <w:rPr>
          <w:rFonts w:cs="宋体"/>
          <w:color w:val="000000"/>
        </w:rPr>
        <w:t>2000</w:t>
      </w:r>
      <w:r>
        <w:rPr>
          <w:rFonts w:hint="eastAsia" w:cs="宋体"/>
          <w:color w:val="000000"/>
        </w:rPr>
        <w:t>万元及以上的为中型企业；从业人员</w:t>
      </w:r>
      <w:r>
        <w:rPr>
          <w:rFonts w:cs="宋体"/>
          <w:color w:val="000000"/>
        </w:rPr>
        <w:t>20</w:t>
      </w:r>
      <w:r>
        <w:rPr>
          <w:rFonts w:hint="eastAsia" w:cs="宋体"/>
          <w:color w:val="000000"/>
        </w:rPr>
        <w:t>人及以上，且营业收入</w:t>
      </w:r>
      <w:r>
        <w:rPr>
          <w:rFonts w:cs="宋体"/>
          <w:color w:val="000000"/>
        </w:rPr>
        <w:t>100</w:t>
      </w:r>
      <w:r>
        <w:rPr>
          <w:rFonts w:hint="eastAsia" w:cs="宋体"/>
          <w:color w:val="000000"/>
        </w:rPr>
        <w:t>万元及以上的为小型企业；从业人员</w:t>
      </w:r>
      <w:r>
        <w:rPr>
          <w:rFonts w:cs="宋体"/>
          <w:color w:val="000000"/>
        </w:rPr>
        <w:t>20</w:t>
      </w:r>
      <w:r>
        <w:rPr>
          <w:rFonts w:hint="eastAsia" w:cs="宋体"/>
          <w:color w:val="000000"/>
        </w:rPr>
        <w:t>人以下或营业收入</w:t>
      </w:r>
      <w:r>
        <w:rPr>
          <w:rFonts w:cs="宋体"/>
          <w:color w:val="000000"/>
        </w:rPr>
        <w:t>100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（九）住宿业。从业人员</w:t>
      </w:r>
      <w:r>
        <w:rPr>
          <w:rFonts w:cs="宋体"/>
          <w:color w:val="000000"/>
        </w:rPr>
        <w:t>300</w:t>
      </w:r>
      <w:r>
        <w:rPr>
          <w:rFonts w:hint="eastAsia" w:cs="宋体"/>
          <w:color w:val="000000"/>
        </w:rPr>
        <w:t>人以下或营业收入</w:t>
      </w:r>
      <w:r>
        <w:rPr>
          <w:rFonts w:cs="宋体"/>
          <w:color w:val="000000"/>
        </w:rPr>
        <w:t>10000</w:t>
      </w:r>
      <w:r>
        <w:rPr>
          <w:rFonts w:hint="eastAsia" w:cs="宋体"/>
          <w:color w:val="000000"/>
        </w:rPr>
        <w:t>万元以下的为中小微型企业。其中，从业人员</w:t>
      </w:r>
      <w:r>
        <w:rPr>
          <w:rFonts w:cs="宋体"/>
          <w:color w:val="000000"/>
        </w:rPr>
        <w:t>100</w:t>
      </w:r>
      <w:r>
        <w:rPr>
          <w:rFonts w:hint="eastAsia" w:cs="宋体"/>
          <w:color w:val="000000"/>
        </w:rPr>
        <w:t>人及以上，且营业收入</w:t>
      </w:r>
      <w:r>
        <w:rPr>
          <w:rFonts w:cs="宋体"/>
          <w:color w:val="000000"/>
        </w:rPr>
        <w:t>2000</w:t>
      </w:r>
      <w:r>
        <w:rPr>
          <w:rFonts w:hint="eastAsia" w:cs="宋体"/>
          <w:color w:val="000000"/>
        </w:rPr>
        <w:t>万元及以上的为中型企业；从业人员</w:t>
      </w:r>
      <w:r>
        <w:rPr>
          <w:rFonts w:cs="宋体"/>
          <w:color w:val="000000"/>
        </w:rPr>
        <w:t>10</w:t>
      </w:r>
      <w:r>
        <w:rPr>
          <w:rFonts w:hint="eastAsia" w:cs="宋体"/>
          <w:color w:val="000000"/>
        </w:rPr>
        <w:t>人及以上，且营业收入</w:t>
      </w:r>
      <w:r>
        <w:rPr>
          <w:rFonts w:cs="宋体"/>
          <w:color w:val="000000"/>
        </w:rPr>
        <w:t>100</w:t>
      </w:r>
      <w:r>
        <w:rPr>
          <w:rFonts w:hint="eastAsia" w:cs="宋体"/>
          <w:color w:val="000000"/>
        </w:rPr>
        <w:t>万元及以上的为小型企业；从业人员</w:t>
      </w:r>
      <w:r>
        <w:rPr>
          <w:rFonts w:cs="宋体"/>
          <w:color w:val="000000"/>
        </w:rPr>
        <w:t>10</w:t>
      </w:r>
      <w:r>
        <w:rPr>
          <w:rFonts w:hint="eastAsia" w:cs="宋体"/>
          <w:color w:val="000000"/>
        </w:rPr>
        <w:t>人以下或营业收入</w:t>
      </w:r>
      <w:r>
        <w:rPr>
          <w:rFonts w:cs="宋体"/>
          <w:color w:val="000000"/>
        </w:rPr>
        <w:t>100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（十）餐饮业。从业人员</w:t>
      </w:r>
      <w:r>
        <w:rPr>
          <w:rFonts w:cs="宋体"/>
          <w:color w:val="000000"/>
        </w:rPr>
        <w:t>300</w:t>
      </w:r>
      <w:r>
        <w:rPr>
          <w:rFonts w:hint="eastAsia" w:cs="宋体"/>
          <w:color w:val="000000"/>
        </w:rPr>
        <w:t>人以下或营业收入</w:t>
      </w:r>
      <w:r>
        <w:rPr>
          <w:rFonts w:cs="宋体"/>
          <w:color w:val="000000"/>
        </w:rPr>
        <w:t>10000</w:t>
      </w:r>
      <w:r>
        <w:rPr>
          <w:rFonts w:hint="eastAsia" w:cs="宋体"/>
          <w:color w:val="000000"/>
        </w:rPr>
        <w:t>万元以下的为中小微型企业。其中，从业人员</w:t>
      </w:r>
      <w:r>
        <w:rPr>
          <w:rFonts w:cs="宋体"/>
          <w:color w:val="000000"/>
        </w:rPr>
        <w:t>100</w:t>
      </w:r>
      <w:r>
        <w:rPr>
          <w:rFonts w:hint="eastAsia" w:cs="宋体"/>
          <w:color w:val="000000"/>
        </w:rPr>
        <w:t>人及以上，且营业收入</w:t>
      </w:r>
      <w:r>
        <w:rPr>
          <w:rFonts w:cs="宋体"/>
          <w:color w:val="000000"/>
        </w:rPr>
        <w:t>2000</w:t>
      </w:r>
      <w:r>
        <w:rPr>
          <w:rFonts w:hint="eastAsia" w:cs="宋体"/>
          <w:color w:val="000000"/>
        </w:rPr>
        <w:t>万元及以上的为中型企业；从业人员</w:t>
      </w:r>
      <w:r>
        <w:rPr>
          <w:rFonts w:cs="宋体"/>
          <w:color w:val="000000"/>
        </w:rPr>
        <w:t>10</w:t>
      </w:r>
      <w:r>
        <w:rPr>
          <w:rFonts w:hint="eastAsia" w:cs="宋体"/>
          <w:color w:val="000000"/>
        </w:rPr>
        <w:t>人及以上，且营业收入</w:t>
      </w:r>
      <w:r>
        <w:rPr>
          <w:rFonts w:cs="宋体"/>
          <w:color w:val="000000"/>
        </w:rPr>
        <w:t>100</w:t>
      </w:r>
      <w:r>
        <w:rPr>
          <w:rFonts w:hint="eastAsia" w:cs="宋体"/>
          <w:color w:val="000000"/>
        </w:rPr>
        <w:t>万元及以上的为小型企业；从业人员</w:t>
      </w:r>
      <w:r>
        <w:rPr>
          <w:rFonts w:cs="宋体"/>
          <w:color w:val="000000"/>
        </w:rPr>
        <w:t>10</w:t>
      </w:r>
      <w:r>
        <w:rPr>
          <w:rFonts w:hint="eastAsia" w:cs="宋体"/>
          <w:color w:val="000000"/>
        </w:rPr>
        <w:t>人以下或营业收入</w:t>
      </w:r>
      <w:r>
        <w:rPr>
          <w:rFonts w:cs="宋体"/>
          <w:color w:val="000000"/>
        </w:rPr>
        <w:t>100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（十一）信息传输业。从业人员</w:t>
      </w:r>
      <w:r>
        <w:rPr>
          <w:rFonts w:cs="宋体"/>
          <w:color w:val="000000"/>
        </w:rPr>
        <w:t>2000</w:t>
      </w:r>
      <w:r>
        <w:rPr>
          <w:rFonts w:hint="eastAsia" w:cs="宋体"/>
          <w:color w:val="000000"/>
        </w:rPr>
        <w:t>人以下或营业收入</w:t>
      </w:r>
      <w:r>
        <w:rPr>
          <w:rFonts w:cs="宋体"/>
          <w:color w:val="000000"/>
        </w:rPr>
        <w:t>100000</w:t>
      </w:r>
      <w:r>
        <w:rPr>
          <w:rFonts w:hint="eastAsia" w:cs="宋体"/>
          <w:color w:val="000000"/>
        </w:rPr>
        <w:t>万元以下的为中小微型企业。其中，从业人员</w:t>
      </w:r>
      <w:r>
        <w:rPr>
          <w:rFonts w:cs="宋体"/>
          <w:color w:val="000000"/>
        </w:rPr>
        <w:t>100</w:t>
      </w:r>
      <w:r>
        <w:rPr>
          <w:rFonts w:hint="eastAsia" w:cs="宋体"/>
          <w:color w:val="000000"/>
        </w:rPr>
        <w:t>人及以上，且营业收入</w:t>
      </w:r>
      <w:r>
        <w:rPr>
          <w:rFonts w:cs="宋体"/>
          <w:color w:val="000000"/>
        </w:rPr>
        <w:t>1000</w:t>
      </w:r>
      <w:r>
        <w:rPr>
          <w:rFonts w:hint="eastAsia" w:cs="宋体"/>
          <w:color w:val="000000"/>
        </w:rPr>
        <w:t>万元及以上的为中型企业；从业人员</w:t>
      </w:r>
      <w:r>
        <w:rPr>
          <w:rFonts w:cs="宋体"/>
          <w:color w:val="000000"/>
        </w:rPr>
        <w:t>10</w:t>
      </w:r>
      <w:r>
        <w:rPr>
          <w:rFonts w:hint="eastAsia" w:cs="宋体"/>
          <w:color w:val="000000"/>
        </w:rPr>
        <w:t>人及以上，且营业收入</w:t>
      </w:r>
      <w:r>
        <w:rPr>
          <w:rFonts w:cs="宋体"/>
          <w:color w:val="000000"/>
        </w:rPr>
        <w:t>100</w:t>
      </w:r>
      <w:r>
        <w:rPr>
          <w:rFonts w:hint="eastAsia" w:cs="宋体"/>
          <w:color w:val="000000"/>
        </w:rPr>
        <w:t>万元及以上的为小型企业；从业人员</w:t>
      </w:r>
      <w:r>
        <w:rPr>
          <w:rFonts w:cs="宋体"/>
          <w:color w:val="000000"/>
        </w:rPr>
        <w:t>10</w:t>
      </w:r>
      <w:r>
        <w:rPr>
          <w:rFonts w:hint="eastAsia" w:cs="宋体"/>
          <w:color w:val="000000"/>
        </w:rPr>
        <w:t>人以下或营业收入</w:t>
      </w:r>
      <w:r>
        <w:rPr>
          <w:rFonts w:cs="宋体"/>
          <w:color w:val="000000"/>
        </w:rPr>
        <w:t>100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（十二）软件和信息技术服务业。从业人员</w:t>
      </w:r>
      <w:r>
        <w:rPr>
          <w:rFonts w:cs="宋体"/>
          <w:color w:val="000000"/>
        </w:rPr>
        <w:t>300</w:t>
      </w:r>
      <w:r>
        <w:rPr>
          <w:rFonts w:hint="eastAsia" w:cs="宋体"/>
          <w:color w:val="000000"/>
        </w:rPr>
        <w:t>人以下或营业收入</w:t>
      </w:r>
      <w:r>
        <w:rPr>
          <w:rFonts w:cs="宋体"/>
          <w:color w:val="000000"/>
        </w:rPr>
        <w:t>10000</w:t>
      </w:r>
      <w:r>
        <w:rPr>
          <w:rFonts w:hint="eastAsia" w:cs="宋体"/>
          <w:color w:val="000000"/>
        </w:rPr>
        <w:t>万元以下的为中小微型企业。其中，从业人员</w:t>
      </w:r>
      <w:r>
        <w:rPr>
          <w:rFonts w:cs="宋体"/>
          <w:color w:val="000000"/>
        </w:rPr>
        <w:t>100</w:t>
      </w:r>
      <w:r>
        <w:rPr>
          <w:rFonts w:hint="eastAsia" w:cs="宋体"/>
          <w:color w:val="000000"/>
        </w:rPr>
        <w:t>人及以上，且营业收入</w:t>
      </w:r>
      <w:r>
        <w:rPr>
          <w:rFonts w:cs="宋体"/>
          <w:color w:val="000000"/>
        </w:rPr>
        <w:t>1000</w:t>
      </w:r>
      <w:r>
        <w:rPr>
          <w:rFonts w:hint="eastAsia" w:cs="宋体"/>
          <w:color w:val="000000"/>
        </w:rPr>
        <w:t>万元及以上的为中型企业；从业人员</w:t>
      </w:r>
      <w:r>
        <w:rPr>
          <w:rFonts w:cs="宋体"/>
          <w:color w:val="000000"/>
        </w:rPr>
        <w:t>10</w:t>
      </w:r>
      <w:r>
        <w:rPr>
          <w:rFonts w:hint="eastAsia" w:cs="宋体"/>
          <w:color w:val="000000"/>
        </w:rPr>
        <w:t>人及以上，且营业收入</w:t>
      </w:r>
      <w:r>
        <w:rPr>
          <w:rFonts w:cs="宋体"/>
          <w:color w:val="000000"/>
        </w:rPr>
        <w:t>50</w:t>
      </w:r>
      <w:r>
        <w:rPr>
          <w:rFonts w:hint="eastAsia" w:cs="宋体"/>
          <w:color w:val="000000"/>
        </w:rPr>
        <w:t>万元及以上的为小型企业；从业人员</w:t>
      </w:r>
      <w:r>
        <w:rPr>
          <w:rFonts w:cs="宋体"/>
          <w:color w:val="000000"/>
        </w:rPr>
        <w:t>10</w:t>
      </w:r>
      <w:r>
        <w:rPr>
          <w:rFonts w:hint="eastAsia" w:cs="宋体"/>
          <w:color w:val="000000"/>
        </w:rPr>
        <w:t>人以下或营业收入</w:t>
      </w:r>
      <w:r>
        <w:rPr>
          <w:rFonts w:cs="宋体"/>
          <w:color w:val="000000"/>
        </w:rPr>
        <w:t>50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（十三）房地产开发经营。营业收入</w:t>
      </w:r>
      <w:r>
        <w:rPr>
          <w:rFonts w:cs="宋体"/>
          <w:color w:val="000000"/>
        </w:rPr>
        <w:t>200000</w:t>
      </w:r>
      <w:r>
        <w:rPr>
          <w:rFonts w:hint="eastAsia" w:cs="宋体"/>
          <w:color w:val="000000"/>
        </w:rPr>
        <w:t>万元以下或资产总额</w:t>
      </w:r>
      <w:r>
        <w:rPr>
          <w:rFonts w:cs="宋体"/>
          <w:color w:val="000000"/>
        </w:rPr>
        <w:t>10000</w:t>
      </w:r>
      <w:r>
        <w:rPr>
          <w:rFonts w:hint="eastAsia" w:cs="宋体"/>
          <w:color w:val="000000"/>
        </w:rPr>
        <w:t>万元以下的为中小微型企业。其中，营业收入</w:t>
      </w:r>
      <w:r>
        <w:rPr>
          <w:rFonts w:cs="宋体"/>
          <w:color w:val="000000"/>
        </w:rPr>
        <w:t>1000</w:t>
      </w:r>
      <w:r>
        <w:rPr>
          <w:rFonts w:hint="eastAsia" w:cs="宋体"/>
          <w:color w:val="000000"/>
        </w:rPr>
        <w:t>万元及以上，且资产总额</w:t>
      </w:r>
      <w:r>
        <w:rPr>
          <w:rFonts w:cs="宋体"/>
          <w:color w:val="000000"/>
        </w:rPr>
        <w:t>5000</w:t>
      </w:r>
      <w:r>
        <w:rPr>
          <w:rFonts w:hint="eastAsia" w:cs="宋体"/>
          <w:color w:val="000000"/>
        </w:rPr>
        <w:t>万元及以上的为中型企业；营业收入</w:t>
      </w:r>
      <w:r>
        <w:rPr>
          <w:rFonts w:cs="宋体"/>
          <w:color w:val="000000"/>
        </w:rPr>
        <w:t>100</w:t>
      </w:r>
      <w:r>
        <w:rPr>
          <w:rFonts w:hint="eastAsia" w:cs="宋体"/>
          <w:color w:val="000000"/>
        </w:rPr>
        <w:t>万元及以上，且资产总额</w:t>
      </w:r>
      <w:r>
        <w:rPr>
          <w:rFonts w:cs="宋体"/>
          <w:color w:val="000000"/>
        </w:rPr>
        <w:t>2000</w:t>
      </w:r>
      <w:r>
        <w:rPr>
          <w:rFonts w:hint="eastAsia" w:cs="宋体"/>
          <w:color w:val="000000"/>
        </w:rPr>
        <w:t>万元及以上的为小型企业；营业收入</w:t>
      </w:r>
      <w:r>
        <w:rPr>
          <w:rFonts w:cs="宋体"/>
          <w:color w:val="000000"/>
        </w:rPr>
        <w:t>100</w:t>
      </w:r>
      <w:r>
        <w:rPr>
          <w:rFonts w:hint="eastAsia" w:cs="宋体"/>
          <w:color w:val="000000"/>
        </w:rPr>
        <w:t>万元以下或资产总额</w:t>
      </w:r>
      <w:r>
        <w:rPr>
          <w:rFonts w:cs="宋体"/>
          <w:color w:val="000000"/>
        </w:rPr>
        <w:t>2000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（十四）物业管理。从业人员</w:t>
      </w:r>
      <w:r>
        <w:rPr>
          <w:rFonts w:cs="宋体"/>
          <w:color w:val="000000"/>
        </w:rPr>
        <w:t>1000</w:t>
      </w:r>
      <w:r>
        <w:rPr>
          <w:rFonts w:hint="eastAsia" w:cs="宋体"/>
          <w:color w:val="000000"/>
        </w:rPr>
        <w:t>人以下或营业收入</w:t>
      </w:r>
      <w:r>
        <w:rPr>
          <w:rFonts w:cs="宋体"/>
          <w:color w:val="000000"/>
        </w:rPr>
        <w:t>5000</w:t>
      </w:r>
      <w:r>
        <w:rPr>
          <w:rFonts w:hint="eastAsia" w:cs="宋体"/>
          <w:color w:val="000000"/>
        </w:rPr>
        <w:t>万元以下的为中小微型企业。其中，从业人员</w:t>
      </w:r>
      <w:r>
        <w:rPr>
          <w:rFonts w:cs="宋体"/>
          <w:color w:val="000000"/>
        </w:rPr>
        <w:t>300</w:t>
      </w:r>
      <w:r>
        <w:rPr>
          <w:rFonts w:hint="eastAsia" w:cs="宋体"/>
          <w:color w:val="000000"/>
        </w:rPr>
        <w:t>人及以上，且营业收入</w:t>
      </w:r>
      <w:r>
        <w:rPr>
          <w:rFonts w:cs="宋体"/>
          <w:color w:val="000000"/>
        </w:rPr>
        <w:t>1000</w:t>
      </w:r>
      <w:r>
        <w:rPr>
          <w:rFonts w:hint="eastAsia" w:cs="宋体"/>
          <w:color w:val="000000"/>
        </w:rPr>
        <w:t>万元及以上的为中型企业；从业人员</w:t>
      </w:r>
      <w:r>
        <w:rPr>
          <w:rFonts w:cs="宋体"/>
          <w:color w:val="000000"/>
        </w:rPr>
        <w:t>100</w:t>
      </w:r>
      <w:r>
        <w:rPr>
          <w:rFonts w:hint="eastAsia" w:cs="宋体"/>
          <w:color w:val="000000"/>
        </w:rPr>
        <w:t>人及以上，且营业收入</w:t>
      </w:r>
      <w:r>
        <w:rPr>
          <w:rFonts w:cs="宋体"/>
          <w:color w:val="000000"/>
        </w:rPr>
        <w:t>500</w:t>
      </w:r>
      <w:r>
        <w:rPr>
          <w:rFonts w:hint="eastAsia" w:cs="宋体"/>
          <w:color w:val="000000"/>
        </w:rPr>
        <w:t>万元及以上的为小型企业；从业人员</w:t>
      </w:r>
      <w:r>
        <w:rPr>
          <w:rFonts w:cs="宋体"/>
          <w:color w:val="000000"/>
        </w:rPr>
        <w:t>100</w:t>
      </w:r>
      <w:r>
        <w:rPr>
          <w:rFonts w:hint="eastAsia" w:cs="宋体"/>
          <w:color w:val="000000"/>
        </w:rPr>
        <w:t>人以下或营业收入</w:t>
      </w:r>
      <w:r>
        <w:rPr>
          <w:rFonts w:cs="宋体"/>
          <w:color w:val="000000"/>
        </w:rPr>
        <w:t>500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（十五）租赁和商务服务业。从业人员</w:t>
      </w:r>
      <w:r>
        <w:rPr>
          <w:rFonts w:cs="宋体"/>
          <w:color w:val="000000"/>
        </w:rPr>
        <w:t>300</w:t>
      </w:r>
      <w:r>
        <w:rPr>
          <w:rFonts w:hint="eastAsia" w:cs="宋体"/>
          <w:color w:val="000000"/>
        </w:rPr>
        <w:t>人以下或资产总额</w:t>
      </w:r>
      <w:r>
        <w:rPr>
          <w:rFonts w:cs="宋体"/>
          <w:color w:val="000000"/>
        </w:rPr>
        <w:t>120000</w:t>
      </w:r>
      <w:r>
        <w:rPr>
          <w:rFonts w:hint="eastAsia" w:cs="宋体"/>
          <w:color w:val="000000"/>
        </w:rPr>
        <w:t>万元以下的为中小微型企业。其中，从业人员</w:t>
      </w:r>
      <w:r>
        <w:rPr>
          <w:rFonts w:cs="宋体"/>
          <w:color w:val="000000"/>
        </w:rPr>
        <w:t>100</w:t>
      </w:r>
      <w:r>
        <w:rPr>
          <w:rFonts w:hint="eastAsia" w:cs="宋体"/>
          <w:color w:val="000000"/>
        </w:rPr>
        <w:t>人及以上，且资产总额</w:t>
      </w:r>
      <w:r>
        <w:rPr>
          <w:rFonts w:cs="宋体"/>
          <w:color w:val="000000"/>
        </w:rPr>
        <w:t>8000</w:t>
      </w:r>
      <w:r>
        <w:rPr>
          <w:rFonts w:hint="eastAsia" w:cs="宋体"/>
          <w:color w:val="000000"/>
        </w:rPr>
        <w:t>万元及以上的为中型企业；从业人员</w:t>
      </w:r>
      <w:r>
        <w:rPr>
          <w:rFonts w:cs="宋体"/>
          <w:color w:val="000000"/>
        </w:rPr>
        <w:t>10</w:t>
      </w:r>
      <w:r>
        <w:rPr>
          <w:rFonts w:hint="eastAsia" w:cs="宋体"/>
          <w:color w:val="000000"/>
        </w:rPr>
        <w:t>人及以上，且资产总额</w:t>
      </w:r>
      <w:r>
        <w:rPr>
          <w:rFonts w:cs="宋体"/>
          <w:color w:val="000000"/>
        </w:rPr>
        <w:t>100</w:t>
      </w:r>
      <w:r>
        <w:rPr>
          <w:rFonts w:hint="eastAsia" w:cs="宋体"/>
          <w:color w:val="000000"/>
        </w:rPr>
        <w:t>万元及以上的为小型企业；从业人员</w:t>
      </w:r>
      <w:r>
        <w:rPr>
          <w:rFonts w:cs="宋体"/>
          <w:color w:val="000000"/>
        </w:rPr>
        <w:t>10</w:t>
      </w:r>
      <w:r>
        <w:rPr>
          <w:rFonts w:hint="eastAsia" w:cs="宋体"/>
          <w:color w:val="000000"/>
        </w:rPr>
        <w:t>人以下或资产总额</w:t>
      </w:r>
      <w:r>
        <w:rPr>
          <w:rFonts w:cs="宋体"/>
          <w:color w:val="000000"/>
        </w:rPr>
        <w:t>100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（十六）其他未列明行业。从业人员</w:t>
      </w:r>
      <w:r>
        <w:rPr>
          <w:rFonts w:cs="宋体"/>
          <w:color w:val="000000"/>
        </w:rPr>
        <w:t>300</w:t>
      </w:r>
      <w:r>
        <w:rPr>
          <w:rFonts w:hint="eastAsia" w:cs="宋体"/>
          <w:color w:val="000000"/>
        </w:rPr>
        <w:t>人以下的为中小微型企业。其中，从业人员</w:t>
      </w:r>
      <w:r>
        <w:rPr>
          <w:rFonts w:cs="宋体"/>
          <w:color w:val="000000"/>
        </w:rPr>
        <w:t>100</w:t>
      </w:r>
      <w:r>
        <w:rPr>
          <w:rFonts w:hint="eastAsia" w:cs="宋体"/>
          <w:color w:val="000000"/>
        </w:rPr>
        <w:t>人及以上的为中型企业；从业人员</w:t>
      </w:r>
      <w:r>
        <w:rPr>
          <w:rFonts w:cs="宋体"/>
          <w:color w:val="000000"/>
        </w:rPr>
        <w:t>10</w:t>
      </w:r>
      <w:r>
        <w:rPr>
          <w:rFonts w:hint="eastAsia" w:cs="宋体"/>
          <w:color w:val="000000"/>
        </w:rPr>
        <w:t>人及以上的为小型企业；从业人员</w:t>
      </w:r>
      <w:r>
        <w:rPr>
          <w:rFonts w:cs="宋体"/>
          <w:color w:val="000000"/>
        </w:rPr>
        <w:t>10</w:t>
      </w:r>
      <w:r>
        <w:rPr>
          <w:rFonts w:hint="eastAsia" w:cs="宋体"/>
          <w:color w:val="000000"/>
        </w:rPr>
        <w:t>人以下的为微型企业。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五、企业类型的划分以统计部门的统计数据为依据。</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六、本规定适用于在中华人民共和国境内依法设立的各类所有制和各种组织形式的企业。个体工商户和本规定以外的行业，参照本规定进行划型。</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八、本规定由工业和信息化部、国家统计局会同有关部门根据《国民经济行业分类》修订情况和企业发展变化情况适时修订。</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九、本规定由工业和信息化部、国家统计局会同有关部门负责解释。</w:t>
      </w:r>
    </w:p>
    <w:p>
      <w:pPr>
        <w:pStyle w:val="41"/>
        <w:spacing w:before="0" w:beforeAutospacing="0" w:after="0" w:afterAutospacing="0" w:line="360" w:lineRule="auto"/>
        <w:rPr>
          <w:rFonts w:cs="宋体"/>
          <w:color w:val="000000"/>
        </w:rPr>
      </w:pPr>
      <w:r>
        <w:rPr>
          <w:rFonts w:hint="eastAsia" w:cs="宋体"/>
          <w:color w:val="000000"/>
        </w:rPr>
        <w:t>　　十、本规定自发布之日起执行，原国家经贸委、原国家计委、财政部和国家统计局</w:t>
      </w:r>
      <w:r>
        <w:rPr>
          <w:rFonts w:cs="宋体"/>
          <w:color w:val="000000"/>
        </w:rPr>
        <w:t>2003</w:t>
      </w:r>
      <w:r>
        <w:rPr>
          <w:rFonts w:hint="eastAsia" w:cs="宋体"/>
          <w:color w:val="000000"/>
        </w:rPr>
        <w:t>年颁布的《中小企业标准暂行规定》同时废止。</w:t>
      </w:r>
    </w:p>
    <w:p>
      <w:pPr>
        <w:spacing w:line="360" w:lineRule="auto"/>
        <w:rPr>
          <w:rFonts w:ascii="宋体" w:cs="宋体"/>
          <w:color w:val="000000"/>
          <w:sz w:val="24"/>
          <w:szCs w:val="24"/>
        </w:rPr>
      </w:pPr>
    </w:p>
    <w:p>
      <w:pPr>
        <w:spacing w:line="360" w:lineRule="auto"/>
        <w:jc w:val="right"/>
        <w:rPr>
          <w:rFonts w:ascii="宋体" w:cs="宋体"/>
          <w:color w:val="000000"/>
          <w:sz w:val="24"/>
          <w:szCs w:val="24"/>
        </w:rPr>
      </w:pPr>
      <w:r>
        <w:rPr>
          <w:rFonts w:hint="eastAsia" w:ascii="宋体" w:hAnsi="宋体" w:cs="宋体"/>
          <w:color w:val="000000"/>
          <w:sz w:val="24"/>
          <w:szCs w:val="24"/>
        </w:rPr>
        <w:t>工业和信息化部</w:t>
      </w:r>
      <w:r>
        <w:rPr>
          <w:rFonts w:ascii="宋体" w:hAnsi="宋体" w:cs="宋体"/>
          <w:color w:val="000000"/>
          <w:sz w:val="24"/>
          <w:szCs w:val="24"/>
        </w:rPr>
        <w:t xml:space="preserve">   </w:t>
      </w:r>
      <w:r>
        <w:rPr>
          <w:rFonts w:hint="eastAsia" w:ascii="宋体" w:hAnsi="宋体" w:cs="宋体"/>
          <w:color w:val="000000"/>
          <w:sz w:val="24"/>
          <w:szCs w:val="24"/>
        </w:rPr>
        <w:t>国家统计局</w:t>
      </w:r>
    </w:p>
    <w:p>
      <w:pPr>
        <w:spacing w:line="360" w:lineRule="auto"/>
        <w:jc w:val="right"/>
        <w:rPr>
          <w:rFonts w:ascii="宋体" w:cs="宋体"/>
          <w:color w:val="000000"/>
          <w:sz w:val="24"/>
          <w:szCs w:val="24"/>
        </w:rPr>
      </w:pPr>
      <w:r>
        <w:rPr>
          <w:rFonts w:hint="eastAsia" w:ascii="宋体" w:hAnsi="宋体" w:cs="宋体"/>
          <w:color w:val="000000"/>
          <w:sz w:val="24"/>
          <w:szCs w:val="24"/>
        </w:rPr>
        <w:t>国家发展和改革委员会</w:t>
      </w:r>
      <w:r>
        <w:rPr>
          <w:rFonts w:ascii="宋体" w:hAnsi="宋体" w:cs="宋体"/>
          <w:color w:val="000000"/>
          <w:sz w:val="24"/>
          <w:szCs w:val="24"/>
        </w:rPr>
        <w:t xml:space="preserve">  </w:t>
      </w:r>
      <w:r>
        <w:rPr>
          <w:rFonts w:hint="eastAsia" w:ascii="宋体" w:hAnsi="宋体" w:cs="宋体"/>
          <w:color w:val="000000"/>
          <w:sz w:val="24"/>
          <w:szCs w:val="24"/>
        </w:rPr>
        <w:t>财政部</w:t>
      </w:r>
    </w:p>
    <w:p>
      <w:pPr>
        <w:spacing w:line="360" w:lineRule="auto"/>
        <w:ind w:right="240"/>
        <w:jc w:val="right"/>
        <w:rPr>
          <w:rFonts w:hint="eastAsia" w:ascii="宋体" w:hAnsi="宋体" w:cs="宋体"/>
          <w:color w:val="000000"/>
          <w:sz w:val="24"/>
          <w:szCs w:val="24"/>
        </w:rPr>
      </w:pPr>
      <w:r>
        <w:rPr>
          <w:rFonts w:hint="eastAsia" w:ascii="宋体" w:hAnsi="宋体" w:cs="宋体"/>
          <w:color w:val="000000"/>
          <w:sz w:val="24"/>
          <w:szCs w:val="24"/>
        </w:rPr>
        <w:t>二〇一一年六月十八日</w:t>
      </w:r>
      <w:bookmarkEnd w:id="261"/>
      <w:bookmarkEnd w:id="262"/>
      <w:bookmarkEnd w:id="263"/>
      <w:bookmarkEnd w:id="264"/>
      <w:bookmarkEnd w:id="265"/>
      <w:bookmarkEnd w:id="266"/>
      <w:bookmarkEnd w:id="267"/>
      <w:bookmarkEnd w:id="268"/>
      <w:bookmarkEnd w:id="269"/>
      <w:bookmarkEnd w:id="270"/>
      <w:bookmarkEnd w:id="271"/>
      <w:bookmarkEnd w:id="272"/>
    </w:p>
    <w:p>
      <w:pPr>
        <w:spacing w:line="400" w:lineRule="exact"/>
        <w:rPr>
          <w:rFonts w:ascii="宋体"/>
          <w:b/>
          <w:bCs/>
          <w:color w:val="auto"/>
          <w:sz w:val="32"/>
          <w:highlight w:val="none"/>
        </w:rPr>
      </w:pPr>
      <w:r>
        <w:rPr>
          <w:rFonts w:hint="eastAsia" w:ascii="宋体" w:hAnsi="宋体"/>
          <w:b/>
          <w:bCs/>
          <w:color w:val="auto"/>
          <w:sz w:val="32"/>
          <w:highlight w:val="none"/>
        </w:rPr>
        <w:t>附件资料一：</w:t>
      </w:r>
    </w:p>
    <w:p>
      <w:pPr>
        <w:spacing w:line="400" w:lineRule="exact"/>
        <w:jc w:val="center"/>
        <w:rPr>
          <w:rFonts w:ascii="宋体"/>
          <w:b/>
          <w:bCs/>
          <w:color w:val="auto"/>
          <w:sz w:val="32"/>
          <w:highlight w:val="none"/>
        </w:rPr>
      </w:pPr>
    </w:p>
    <w:p>
      <w:pPr>
        <w:spacing w:line="400" w:lineRule="exact"/>
        <w:jc w:val="center"/>
        <w:rPr>
          <w:rFonts w:ascii="宋体"/>
          <w:b/>
          <w:bCs/>
          <w:color w:val="auto"/>
          <w:sz w:val="32"/>
          <w:highlight w:val="none"/>
        </w:rPr>
      </w:pPr>
      <w:r>
        <w:rPr>
          <w:rFonts w:hint="eastAsia" w:ascii="宋体" w:hAnsi="宋体"/>
          <w:b/>
          <w:bCs/>
          <w:color w:val="auto"/>
          <w:sz w:val="32"/>
          <w:highlight w:val="none"/>
        </w:rPr>
        <w:t>招标代理服务收费标准</w:t>
      </w:r>
    </w:p>
    <w:p>
      <w:pPr>
        <w:spacing w:line="400" w:lineRule="exact"/>
        <w:jc w:val="center"/>
        <w:rPr>
          <w:rFonts w:ascii="宋体" w:hAnsi="宋体"/>
          <w:b/>
          <w:bCs/>
          <w:color w:val="auto"/>
          <w:sz w:val="32"/>
          <w:highlight w:val="none"/>
        </w:rPr>
      </w:pPr>
    </w:p>
    <w:p>
      <w:pPr>
        <w:spacing w:line="400" w:lineRule="exact"/>
        <w:ind w:firstLine="480" w:firstLineChars="200"/>
        <w:rPr>
          <w:rFonts w:ascii="宋体" w:hAnsi="宋体"/>
          <w:b/>
          <w:bCs/>
          <w:color w:val="auto"/>
          <w:sz w:val="24"/>
          <w:highlight w:val="none"/>
        </w:rPr>
      </w:pPr>
      <w:bookmarkStart w:id="273" w:name="OLE_LINK3"/>
      <w:r>
        <w:rPr>
          <w:rFonts w:hint="eastAsia" w:ascii="宋体" w:hAnsi="宋体"/>
          <w:bCs/>
          <w:color w:val="auto"/>
          <w:sz w:val="24"/>
          <w:highlight w:val="none"/>
        </w:rPr>
        <w:t>招标代理服务费的计算收费标准及依据：</w:t>
      </w:r>
      <w:r>
        <w:rPr>
          <w:rFonts w:hint="eastAsia" w:ascii="宋体" w:hAnsi="宋体" w:cs="宋体"/>
          <w:color w:val="auto"/>
          <w:kern w:val="0"/>
          <w:sz w:val="24"/>
          <w:highlight w:val="none"/>
        </w:rPr>
        <w:t>国家计委计价格[2002]1980号、</w:t>
      </w:r>
      <w:r>
        <w:rPr>
          <w:rFonts w:ascii="Arial" w:hAnsi="Arial" w:cs="Arial"/>
          <w:color w:val="auto"/>
          <w:sz w:val="24"/>
          <w:highlight w:val="none"/>
          <w:shd w:val="clear" w:color="auto" w:fill="FFFFFF"/>
        </w:rPr>
        <w:t>《国家发展改革委办公厅关于招标代理服务收费有关问题的通知》</w:t>
      </w:r>
      <w:r>
        <w:rPr>
          <w:rFonts w:hint="eastAsia" w:ascii="宋体" w:hAnsi="宋体" w:cs="宋体"/>
          <w:color w:val="auto"/>
          <w:kern w:val="0"/>
          <w:sz w:val="24"/>
          <w:highlight w:val="none"/>
        </w:rPr>
        <w:t>发改办价格[2003]857号通知规定、</w:t>
      </w:r>
      <w:r>
        <w:rPr>
          <w:rFonts w:hint="eastAsia" w:ascii="宋体" w:hAnsi="宋体"/>
          <w:bCs/>
          <w:color w:val="auto"/>
          <w:sz w:val="24"/>
          <w:highlight w:val="none"/>
        </w:rPr>
        <w:t>国家发展改革委办公厅关于招标代理服务收费有关问题的通知（ 发改价格[2011]534号）文件等。</w:t>
      </w:r>
    </w:p>
    <w:bookmarkEnd w:id="273"/>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9"/>
        <w:gridCol w:w="1937"/>
        <w:gridCol w:w="1926"/>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339" w:type="dxa"/>
            <w:tcBorders>
              <w:tl2br w:val="single" w:color="auto" w:sz="4" w:space="0"/>
            </w:tcBorders>
            <w:noWrap w:val="0"/>
            <w:vAlign w:val="top"/>
          </w:tcPr>
          <w:p>
            <w:pPr>
              <w:ind w:firstLine="2520" w:firstLineChars="1050"/>
              <w:rPr>
                <w:color w:val="auto"/>
                <w:sz w:val="24"/>
                <w:highlight w:val="none"/>
              </w:rPr>
            </w:pPr>
            <w:r>
              <w:rPr>
                <w:color w:val="auto"/>
                <w:sz w:val="24"/>
                <w:highlight w:val="none"/>
              </w:rPr>
              <w:t>费率</w:t>
            </w:r>
          </w:p>
          <w:p>
            <w:pPr>
              <w:rPr>
                <w:color w:val="auto"/>
                <w:sz w:val="24"/>
                <w:highlight w:val="none"/>
              </w:rPr>
            </w:pPr>
          </w:p>
          <w:p>
            <w:pPr>
              <w:rPr>
                <w:color w:val="auto"/>
                <w:sz w:val="24"/>
                <w:highlight w:val="none"/>
              </w:rPr>
            </w:pPr>
          </w:p>
          <w:p>
            <w:pPr>
              <w:rPr>
                <w:color w:val="auto"/>
                <w:sz w:val="24"/>
                <w:highlight w:val="none"/>
              </w:rPr>
            </w:pPr>
            <w:r>
              <w:rPr>
                <w:color w:val="auto"/>
                <w:sz w:val="24"/>
                <w:highlight w:val="none"/>
              </w:rPr>
              <w:t>中标金额</w:t>
            </w:r>
            <w:r>
              <w:rPr>
                <w:rFonts w:hint="eastAsia"/>
                <w:color w:val="auto"/>
                <w:sz w:val="24"/>
                <w:highlight w:val="none"/>
              </w:rPr>
              <w:t>（万元）</w:t>
            </w:r>
          </w:p>
        </w:tc>
        <w:tc>
          <w:tcPr>
            <w:tcW w:w="1937" w:type="dxa"/>
            <w:noWrap w:val="0"/>
            <w:vAlign w:val="center"/>
          </w:tcPr>
          <w:p>
            <w:pPr>
              <w:ind w:firstLine="120" w:firstLineChars="50"/>
              <w:jc w:val="center"/>
              <w:rPr>
                <w:color w:val="auto"/>
                <w:sz w:val="24"/>
                <w:highlight w:val="none"/>
              </w:rPr>
            </w:pPr>
            <w:r>
              <w:rPr>
                <w:color w:val="auto"/>
                <w:sz w:val="24"/>
                <w:highlight w:val="none"/>
              </w:rPr>
              <w:t>货物招标</w:t>
            </w:r>
          </w:p>
        </w:tc>
        <w:tc>
          <w:tcPr>
            <w:tcW w:w="1926" w:type="dxa"/>
            <w:noWrap w:val="0"/>
            <w:vAlign w:val="center"/>
          </w:tcPr>
          <w:p>
            <w:pPr>
              <w:jc w:val="center"/>
              <w:rPr>
                <w:color w:val="auto"/>
                <w:sz w:val="24"/>
                <w:highlight w:val="none"/>
              </w:rPr>
            </w:pPr>
            <w:r>
              <w:rPr>
                <w:color w:val="auto"/>
                <w:sz w:val="24"/>
                <w:highlight w:val="none"/>
              </w:rPr>
              <w:t>服务招标</w:t>
            </w:r>
          </w:p>
        </w:tc>
        <w:tc>
          <w:tcPr>
            <w:tcW w:w="1759" w:type="dxa"/>
            <w:noWrap w:val="0"/>
            <w:vAlign w:val="center"/>
          </w:tcPr>
          <w:p>
            <w:pPr>
              <w:jc w:val="center"/>
              <w:rPr>
                <w:color w:val="auto"/>
                <w:sz w:val="24"/>
                <w:highlight w:val="none"/>
              </w:rPr>
            </w:pPr>
            <w:r>
              <w:rPr>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39" w:type="dxa"/>
            <w:noWrap w:val="0"/>
            <w:vAlign w:val="center"/>
          </w:tcPr>
          <w:p>
            <w:pPr>
              <w:rPr>
                <w:color w:val="auto"/>
                <w:sz w:val="24"/>
                <w:highlight w:val="none"/>
              </w:rPr>
            </w:pPr>
            <w:r>
              <w:rPr>
                <w:color w:val="auto"/>
                <w:sz w:val="24"/>
                <w:highlight w:val="none"/>
              </w:rPr>
              <w:t>100以下</w:t>
            </w:r>
          </w:p>
        </w:tc>
        <w:tc>
          <w:tcPr>
            <w:tcW w:w="1937" w:type="dxa"/>
            <w:noWrap w:val="0"/>
            <w:vAlign w:val="center"/>
          </w:tcPr>
          <w:p>
            <w:pPr>
              <w:jc w:val="center"/>
              <w:rPr>
                <w:color w:val="auto"/>
                <w:sz w:val="24"/>
                <w:highlight w:val="none"/>
              </w:rPr>
            </w:pPr>
            <w:r>
              <w:rPr>
                <w:color w:val="auto"/>
                <w:kern w:val="0"/>
                <w:sz w:val="24"/>
                <w:highlight w:val="none"/>
              </w:rPr>
              <w:t>1.5%</w:t>
            </w:r>
          </w:p>
        </w:tc>
        <w:tc>
          <w:tcPr>
            <w:tcW w:w="1926" w:type="dxa"/>
            <w:noWrap w:val="0"/>
            <w:vAlign w:val="center"/>
          </w:tcPr>
          <w:p>
            <w:pPr>
              <w:jc w:val="center"/>
              <w:rPr>
                <w:color w:val="auto"/>
                <w:sz w:val="24"/>
                <w:highlight w:val="none"/>
              </w:rPr>
            </w:pPr>
            <w:r>
              <w:rPr>
                <w:color w:val="auto"/>
                <w:kern w:val="0"/>
                <w:sz w:val="24"/>
                <w:highlight w:val="none"/>
              </w:rPr>
              <w:t>1.5%</w:t>
            </w:r>
          </w:p>
        </w:tc>
        <w:tc>
          <w:tcPr>
            <w:tcW w:w="1759" w:type="dxa"/>
            <w:noWrap w:val="0"/>
            <w:vAlign w:val="center"/>
          </w:tcPr>
          <w:p>
            <w:pPr>
              <w:jc w:val="center"/>
              <w:rPr>
                <w:color w:val="auto"/>
                <w:sz w:val="24"/>
                <w:highlight w:val="none"/>
              </w:rPr>
            </w:pPr>
            <w:r>
              <w:rPr>
                <w:color w:val="auto"/>
                <w:kern w:val="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339" w:type="dxa"/>
            <w:noWrap w:val="0"/>
            <w:vAlign w:val="center"/>
          </w:tcPr>
          <w:p>
            <w:pPr>
              <w:rPr>
                <w:color w:val="auto"/>
                <w:sz w:val="24"/>
                <w:highlight w:val="none"/>
              </w:rPr>
            </w:pPr>
            <w:r>
              <w:rPr>
                <w:color w:val="auto"/>
                <w:sz w:val="24"/>
                <w:highlight w:val="none"/>
              </w:rPr>
              <w:t>100</w:t>
            </w:r>
            <w:r>
              <w:rPr>
                <w:rFonts w:hAnsi="宋体"/>
                <w:color w:val="auto"/>
                <w:sz w:val="24"/>
                <w:highlight w:val="none"/>
              </w:rPr>
              <w:t>～</w:t>
            </w:r>
            <w:r>
              <w:rPr>
                <w:color w:val="auto"/>
                <w:sz w:val="24"/>
                <w:highlight w:val="none"/>
              </w:rPr>
              <w:t>500</w:t>
            </w:r>
          </w:p>
        </w:tc>
        <w:tc>
          <w:tcPr>
            <w:tcW w:w="1937" w:type="dxa"/>
            <w:noWrap w:val="0"/>
            <w:vAlign w:val="center"/>
          </w:tcPr>
          <w:p>
            <w:pPr>
              <w:jc w:val="center"/>
              <w:rPr>
                <w:color w:val="auto"/>
                <w:sz w:val="24"/>
                <w:highlight w:val="none"/>
              </w:rPr>
            </w:pPr>
            <w:r>
              <w:rPr>
                <w:color w:val="auto"/>
                <w:kern w:val="0"/>
                <w:sz w:val="24"/>
                <w:highlight w:val="none"/>
              </w:rPr>
              <w:t>1.1%</w:t>
            </w:r>
          </w:p>
        </w:tc>
        <w:tc>
          <w:tcPr>
            <w:tcW w:w="1926" w:type="dxa"/>
            <w:noWrap w:val="0"/>
            <w:vAlign w:val="center"/>
          </w:tcPr>
          <w:p>
            <w:pPr>
              <w:jc w:val="center"/>
              <w:rPr>
                <w:color w:val="auto"/>
                <w:sz w:val="24"/>
                <w:highlight w:val="none"/>
              </w:rPr>
            </w:pPr>
            <w:r>
              <w:rPr>
                <w:color w:val="auto"/>
                <w:kern w:val="0"/>
                <w:sz w:val="24"/>
                <w:highlight w:val="none"/>
              </w:rPr>
              <w:t>0.8%</w:t>
            </w:r>
          </w:p>
        </w:tc>
        <w:tc>
          <w:tcPr>
            <w:tcW w:w="1759" w:type="dxa"/>
            <w:noWrap w:val="0"/>
            <w:vAlign w:val="center"/>
          </w:tcPr>
          <w:p>
            <w:pPr>
              <w:jc w:val="center"/>
              <w:rPr>
                <w:color w:val="auto"/>
                <w:sz w:val="24"/>
                <w:highlight w:val="none"/>
              </w:rPr>
            </w:pPr>
            <w:r>
              <w:rPr>
                <w:color w:val="auto"/>
                <w:kern w:val="0"/>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39" w:type="dxa"/>
            <w:noWrap w:val="0"/>
            <w:vAlign w:val="center"/>
          </w:tcPr>
          <w:p>
            <w:pPr>
              <w:rPr>
                <w:color w:val="auto"/>
                <w:sz w:val="24"/>
                <w:highlight w:val="none"/>
              </w:rPr>
            </w:pPr>
            <w:r>
              <w:rPr>
                <w:color w:val="auto"/>
                <w:sz w:val="24"/>
                <w:highlight w:val="none"/>
              </w:rPr>
              <w:t>500</w:t>
            </w:r>
            <w:r>
              <w:rPr>
                <w:rFonts w:hAnsi="宋体"/>
                <w:color w:val="auto"/>
                <w:sz w:val="24"/>
                <w:highlight w:val="none"/>
              </w:rPr>
              <w:t>～</w:t>
            </w:r>
            <w:r>
              <w:rPr>
                <w:color w:val="auto"/>
                <w:sz w:val="24"/>
                <w:highlight w:val="none"/>
              </w:rPr>
              <w:t xml:space="preserve">1000 </w:t>
            </w:r>
          </w:p>
        </w:tc>
        <w:tc>
          <w:tcPr>
            <w:tcW w:w="1937" w:type="dxa"/>
            <w:noWrap w:val="0"/>
            <w:vAlign w:val="center"/>
          </w:tcPr>
          <w:p>
            <w:pPr>
              <w:jc w:val="center"/>
              <w:rPr>
                <w:color w:val="auto"/>
                <w:sz w:val="24"/>
                <w:highlight w:val="none"/>
              </w:rPr>
            </w:pPr>
            <w:r>
              <w:rPr>
                <w:color w:val="auto"/>
                <w:kern w:val="0"/>
                <w:sz w:val="24"/>
                <w:highlight w:val="none"/>
              </w:rPr>
              <w:t>0.8%</w:t>
            </w:r>
          </w:p>
        </w:tc>
        <w:tc>
          <w:tcPr>
            <w:tcW w:w="1926" w:type="dxa"/>
            <w:noWrap w:val="0"/>
            <w:vAlign w:val="center"/>
          </w:tcPr>
          <w:p>
            <w:pPr>
              <w:jc w:val="center"/>
              <w:rPr>
                <w:color w:val="auto"/>
                <w:sz w:val="24"/>
                <w:highlight w:val="none"/>
              </w:rPr>
            </w:pPr>
            <w:r>
              <w:rPr>
                <w:color w:val="auto"/>
                <w:kern w:val="0"/>
                <w:sz w:val="24"/>
                <w:highlight w:val="none"/>
              </w:rPr>
              <w:t>0.45%</w:t>
            </w:r>
          </w:p>
        </w:tc>
        <w:tc>
          <w:tcPr>
            <w:tcW w:w="1759" w:type="dxa"/>
            <w:noWrap w:val="0"/>
            <w:vAlign w:val="center"/>
          </w:tcPr>
          <w:p>
            <w:pPr>
              <w:jc w:val="center"/>
              <w:rPr>
                <w:color w:val="auto"/>
                <w:sz w:val="24"/>
                <w:highlight w:val="none"/>
              </w:rPr>
            </w:pPr>
            <w:r>
              <w:rPr>
                <w:color w:val="auto"/>
                <w:kern w:val="0"/>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339" w:type="dxa"/>
            <w:noWrap w:val="0"/>
            <w:vAlign w:val="center"/>
          </w:tcPr>
          <w:p>
            <w:pPr>
              <w:rPr>
                <w:color w:val="auto"/>
                <w:sz w:val="24"/>
                <w:highlight w:val="none"/>
              </w:rPr>
            </w:pPr>
            <w:r>
              <w:rPr>
                <w:color w:val="auto"/>
                <w:sz w:val="24"/>
                <w:highlight w:val="none"/>
              </w:rPr>
              <w:t>1000</w:t>
            </w:r>
            <w:r>
              <w:rPr>
                <w:rFonts w:hAnsi="宋体"/>
                <w:color w:val="auto"/>
                <w:sz w:val="24"/>
                <w:highlight w:val="none"/>
              </w:rPr>
              <w:t>～</w:t>
            </w:r>
            <w:r>
              <w:rPr>
                <w:color w:val="auto"/>
                <w:sz w:val="24"/>
                <w:highlight w:val="none"/>
              </w:rPr>
              <w:t>5000</w:t>
            </w:r>
          </w:p>
        </w:tc>
        <w:tc>
          <w:tcPr>
            <w:tcW w:w="1937" w:type="dxa"/>
            <w:noWrap w:val="0"/>
            <w:vAlign w:val="center"/>
          </w:tcPr>
          <w:p>
            <w:pPr>
              <w:jc w:val="center"/>
              <w:rPr>
                <w:color w:val="auto"/>
                <w:sz w:val="24"/>
                <w:highlight w:val="none"/>
              </w:rPr>
            </w:pPr>
            <w:r>
              <w:rPr>
                <w:color w:val="auto"/>
                <w:kern w:val="0"/>
                <w:sz w:val="24"/>
                <w:highlight w:val="none"/>
              </w:rPr>
              <w:t>0.5%</w:t>
            </w:r>
          </w:p>
        </w:tc>
        <w:tc>
          <w:tcPr>
            <w:tcW w:w="1926" w:type="dxa"/>
            <w:noWrap w:val="0"/>
            <w:vAlign w:val="center"/>
          </w:tcPr>
          <w:p>
            <w:pPr>
              <w:jc w:val="center"/>
              <w:rPr>
                <w:color w:val="auto"/>
                <w:sz w:val="24"/>
                <w:highlight w:val="none"/>
              </w:rPr>
            </w:pPr>
            <w:r>
              <w:rPr>
                <w:color w:val="auto"/>
                <w:kern w:val="0"/>
                <w:sz w:val="24"/>
                <w:highlight w:val="none"/>
              </w:rPr>
              <w:t>0.25%</w:t>
            </w:r>
          </w:p>
        </w:tc>
        <w:tc>
          <w:tcPr>
            <w:tcW w:w="1759" w:type="dxa"/>
            <w:noWrap w:val="0"/>
            <w:vAlign w:val="center"/>
          </w:tcPr>
          <w:p>
            <w:pPr>
              <w:jc w:val="center"/>
              <w:rPr>
                <w:color w:val="auto"/>
                <w:sz w:val="24"/>
                <w:highlight w:val="none"/>
              </w:rPr>
            </w:pPr>
            <w:r>
              <w:rPr>
                <w:color w:val="auto"/>
                <w:kern w:val="0"/>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39" w:type="dxa"/>
            <w:noWrap w:val="0"/>
            <w:vAlign w:val="center"/>
          </w:tcPr>
          <w:p>
            <w:pPr>
              <w:rPr>
                <w:color w:val="auto"/>
                <w:sz w:val="24"/>
                <w:highlight w:val="none"/>
              </w:rPr>
            </w:pPr>
            <w:r>
              <w:rPr>
                <w:color w:val="auto"/>
                <w:sz w:val="24"/>
                <w:highlight w:val="none"/>
              </w:rPr>
              <w:t>5000</w:t>
            </w:r>
            <w:r>
              <w:rPr>
                <w:rFonts w:hAnsi="宋体"/>
                <w:color w:val="auto"/>
                <w:sz w:val="24"/>
                <w:highlight w:val="none"/>
              </w:rPr>
              <w:t>～</w:t>
            </w:r>
            <w:r>
              <w:rPr>
                <w:color w:val="auto"/>
                <w:sz w:val="24"/>
                <w:highlight w:val="none"/>
              </w:rPr>
              <w:t>10000</w:t>
            </w:r>
          </w:p>
        </w:tc>
        <w:tc>
          <w:tcPr>
            <w:tcW w:w="1937" w:type="dxa"/>
            <w:noWrap w:val="0"/>
            <w:vAlign w:val="center"/>
          </w:tcPr>
          <w:p>
            <w:pPr>
              <w:jc w:val="center"/>
              <w:rPr>
                <w:color w:val="auto"/>
                <w:sz w:val="24"/>
                <w:highlight w:val="none"/>
              </w:rPr>
            </w:pPr>
            <w:r>
              <w:rPr>
                <w:color w:val="auto"/>
                <w:kern w:val="0"/>
                <w:sz w:val="24"/>
                <w:highlight w:val="none"/>
              </w:rPr>
              <w:t>0.25%</w:t>
            </w:r>
          </w:p>
        </w:tc>
        <w:tc>
          <w:tcPr>
            <w:tcW w:w="1926" w:type="dxa"/>
            <w:noWrap w:val="0"/>
            <w:vAlign w:val="center"/>
          </w:tcPr>
          <w:p>
            <w:pPr>
              <w:jc w:val="center"/>
              <w:rPr>
                <w:color w:val="auto"/>
                <w:sz w:val="24"/>
                <w:highlight w:val="none"/>
              </w:rPr>
            </w:pPr>
            <w:r>
              <w:rPr>
                <w:color w:val="auto"/>
                <w:kern w:val="0"/>
                <w:sz w:val="24"/>
                <w:highlight w:val="none"/>
              </w:rPr>
              <w:t>0.1%</w:t>
            </w:r>
          </w:p>
        </w:tc>
        <w:tc>
          <w:tcPr>
            <w:tcW w:w="1759" w:type="dxa"/>
            <w:noWrap w:val="0"/>
            <w:vAlign w:val="center"/>
          </w:tcPr>
          <w:p>
            <w:pPr>
              <w:jc w:val="center"/>
              <w:rPr>
                <w:color w:val="auto"/>
                <w:sz w:val="24"/>
                <w:highlight w:val="none"/>
              </w:rPr>
            </w:pPr>
            <w:r>
              <w:rPr>
                <w:color w:val="auto"/>
                <w:kern w:val="0"/>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339" w:type="dxa"/>
            <w:noWrap w:val="0"/>
            <w:vAlign w:val="center"/>
          </w:tcPr>
          <w:p>
            <w:pPr>
              <w:rPr>
                <w:color w:val="auto"/>
                <w:sz w:val="24"/>
                <w:highlight w:val="none"/>
              </w:rPr>
            </w:pPr>
            <w:r>
              <w:rPr>
                <w:color w:val="auto"/>
                <w:sz w:val="24"/>
                <w:highlight w:val="none"/>
              </w:rPr>
              <w:t>10000</w:t>
            </w:r>
            <w:r>
              <w:rPr>
                <w:rFonts w:hAnsi="宋体"/>
                <w:color w:val="auto"/>
                <w:sz w:val="24"/>
                <w:highlight w:val="none"/>
              </w:rPr>
              <w:t>～</w:t>
            </w:r>
            <w:r>
              <w:rPr>
                <w:color w:val="auto"/>
                <w:sz w:val="24"/>
                <w:highlight w:val="none"/>
              </w:rPr>
              <w:t>100000</w:t>
            </w:r>
          </w:p>
        </w:tc>
        <w:tc>
          <w:tcPr>
            <w:tcW w:w="1937" w:type="dxa"/>
            <w:noWrap w:val="0"/>
            <w:vAlign w:val="center"/>
          </w:tcPr>
          <w:p>
            <w:pPr>
              <w:jc w:val="center"/>
              <w:rPr>
                <w:color w:val="auto"/>
                <w:sz w:val="24"/>
                <w:highlight w:val="none"/>
              </w:rPr>
            </w:pPr>
            <w:r>
              <w:rPr>
                <w:color w:val="auto"/>
                <w:sz w:val="24"/>
                <w:highlight w:val="none"/>
              </w:rPr>
              <w:t>0.05%</w:t>
            </w:r>
          </w:p>
        </w:tc>
        <w:tc>
          <w:tcPr>
            <w:tcW w:w="1926" w:type="dxa"/>
            <w:noWrap w:val="0"/>
            <w:vAlign w:val="center"/>
          </w:tcPr>
          <w:p>
            <w:pPr>
              <w:jc w:val="center"/>
              <w:rPr>
                <w:color w:val="auto"/>
                <w:sz w:val="24"/>
                <w:highlight w:val="none"/>
              </w:rPr>
            </w:pPr>
            <w:r>
              <w:rPr>
                <w:color w:val="auto"/>
                <w:sz w:val="24"/>
                <w:highlight w:val="none"/>
              </w:rPr>
              <w:t>0.05%</w:t>
            </w:r>
          </w:p>
        </w:tc>
        <w:tc>
          <w:tcPr>
            <w:tcW w:w="1759" w:type="dxa"/>
            <w:noWrap w:val="0"/>
            <w:vAlign w:val="center"/>
          </w:tcPr>
          <w:p>
            <w:pPr>
              <w:jc w:val="center"/>
              <w:rPr>
                <w:color w:val="auto"/>
                <w:sz w:val="24"/>
                <w:highlight w:val="none"/>
              </w:rPr>
            </w:pPr>
            <w:r>
              <w:rPr>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39" w:type="dxa"/>
            <w:noWrap w:val="0"/>
            <w:vAlign w:val="center"/>
          </w:tcPr>
          <w:p>
            <w:pPr>
              <w:rPr>
                <w:color w:val="auto"/>
                <w:sz w:val="24"/>
                <w:highlight w:val="none"/>
              </w:rPr>
            </w:pPr>
            <w:r>
              <w:rPr>
                <w:rFonts w:hint="eastAsia"/>
                <w:color w:val="auto"/>
                <w:sz w:val="24"/>
                <w:highlight w:val="none"/>
              </w:rPr>
              <w:t>1000000以上</w:t>
            </w:r>
          </w:p>
        </w:tc>
        <w:tc>
          <w:tcPr>
            <w:tcW w:w="1937" w:type="dxa"/>
            <w:noWrap w:val="0"/>
            <w:vAlign w:val="center"/>
          </w:tcPr>
          <w:p>
            <w:pPr>
              <w:jc w:val="center"/>
              <w:rPr>
                <w:color w:val="auto"/>
                <w:sz w:val="24"/>
                <w:highlight w:val="none"/>
              </w:rPr>
            </w:pPr>
            <w:r>
              <w:rPr>
                <w:color w:val="auto"/>
                <w:sz w:val="24"/>
                <w:highlight w:val="none"/>
              </w:rPr>
              <w:t>0.0</w:t>
            </w:r>
            <w:r>
              <w:rPr>
                <w:rFonts w:hint="eastAsia"/>
                <w:color w:val="auto"/>
                <w:sz w:val="24"/>
                <w:highlight w:val="none"/>
              </w:rPr>
              <w:t>1</w:t>
            </w:r>
            <w:r>
              <w:rPr>
                <w:color w:val="auto"/>
                <w:sz w:val="24"/>
                <w:highlight w:val="none"/>
              </w:rPr>
              <w:t>%</w:t>
            </w:r>
          </w:p>
        </w:tc>
        <w:tc>
          <w:tcPr>
            <w:tcW w:w="1926" w:type="dxa"/>
            <w:noWrap w:val="0"/>
            <w:vAlign w:val="center"/>
          </w:tcPr>
          <w:p>
            <w:pPr>
              <w:jc w:val="center"/>
              <w:rPr>
                <w:color w:val="auto"/>
                <w:sz w:val="24"/>
                <w:highlight w:val="none"/>
              </w:rPr>
            </w:pPr>
            <w:r>
              <w:rPr>
                <w:color w:val="auto"/>
                <w:sz w:val="24"/>
                <w:highlight w:val="none"/>
              </w:rPr>
              <w:t>0.0</w:t>
            </w:r>
            <w:r>
              <w:rPr>
                <w:rFonts w:hint="eastAsia"/>
                <w:color w:val="auto"/>
                <w:sz w:val="24"/>
                <w:highlight w:val="none"/>
              </w:rPr>
              <w:t>1</w:t>
            </w:r>
            <w:r>
              <w:rPr>
                <w:color w:val="auto"/>
                <w:sz w:val="24"/>
                <w:highlight w:val="none"/>
              </w:rPr>
              <w:t>%</w:t>
            </w:r>
          </w:p>
        </w:tc>
        <w:tc>
          <w:tcPr>
            <w:tcW w:w="1759" w:type="dxa"/>
            <w:noWrap w:val="0"/>
            <w:vAlign w:val="center"/>
          </w:tcPr>
          <w:p>
            <w:pPr>
              <w:jc w:val="center"/>
              <w:rPr>
                <w:color w:val="auto"/>
                <w:sz w:val="24"/>
                <w:highlight w:val="none"/>
              </w:rPr>
            </w:pPr>
            <w:r>
              <w:rPr>
                <w:color w:val="auto"/>
                <w:sz w:val="24"/>
                <w:highlight w:val="none"/>
              </w:rPr>
              <w:t>0.0</w:t>
            </w:r>
            <w:r>
              <w:rPr>
                <w:rFonts w:hint="eastAsia"/>
                <w:color w:val="auto"/>
                <w:sz w:val="24"/>
                <w:highlight w:val="none"/>
              </w:rPr>
              <w:t>1</w:t>
            </w:r>
            <w:r>
              <w:rPr>
                <w:color w:val="auto"/>
                <w:sz w:val="24"/>
                <w:highlight w:val="none"/>
              </w:rPr>
              <w:t>%</w:t>
            </w:r>
          </w:p>
        </w:tc>
      </w:tr>
    </w:tbl>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招标代理服务收费以中标金额作为计算基数，按差额定率累进法计算。例如：某</w:t>
      </w:r>
      <w:r>
        <w:rPr>
          <w:rFonts w:hint="eastAsia" w:ascii="宋体" w:hAnsi="宋体"/>
          <w:color w:val="auto"/>
          <w:sz w:val="24"/>
          <w:highlight w:val="none"/>
          <w:lang w:val="en-US" w:eastAsia="zh-CN"/>
        </w:rPr>
        <w:t>服务</w:t>
      </w:r>
      <w:r>
        <w:rPr>
          <w:rFonts w:hint="eastAsia" w:ascii="宋体" w:hAnsi="宋体"/>
          <w:color w:val="auto"/>
          <w:sz w:val="24"/>
          <w:highlight w:val="none"/>
        </w:rPr>
        <w:t>采购项目招标代理业务中标金额为200万元，计算招标代理服务收费额如下：</w:t>
      </w:r>
    </w:p>
    <w:p>
      <w:pPr>
        <w:spacing w:line="420" w:lineRule="exact"/>
        <w:ind w:firstLine="240" w:firstLineChars="100"/>
        <w:rPr>
          <w:rFonts w:ascii="宋体" w:hAnsi="宋体"/>
          <w:color w:val="auto"/>
          <w:sz w:val="24"/>
          <w:highlight w:val="none"/>
        </w:rPr>
      </w:pPr>
      <w:r>
        <w:rPr>
          <w:rFonts w:hint="eastAsia" w:ascii="宋体" w:hAnsi="宋体"/>
          <w:color w:val="auto"/>
          <w:sz w:val="24"/>
          <w:highlight w:val="none"/>
        </w:rPr>
        <w:t>100×1.5％=1.5万元</w:t>
      </w:r>
    </w:p>
    <w:p>
      <w:pPr>
        <w:spacing w:line="420" w:lineRule="exact"/>
        <w:ind w:firstLine="120" w:firstLineChars="50"/>
        <w:outlineLvl w:val="0"/>
        <w:rPr>
          <w:rFonts w:ascii="宋体" w:hAnsi="宋体"/>
          <w:color w:val="auto"/>
          <w:sz w:val="24"/>
          <w:highlight w:val="none"/>
        </w:rPr>
      </w:pPr>
      <w:r>
        <w:rPr>
          <w:rFonts w:hint="eastAsia" w:ascii="宋体" w:hAnsi="宋体"/>
          <w:color w:val="auto"/>
          <w:sz w:val="24"/>
          <w:highlight w:val="none"/>
        </w:rPr>
        <w:t>（200-100）万元×</w:t>
      </w:r>
      <w:r>
        <w:rPr>
          <w:rFonts w:hint="eastAsia" w:ascii="宋体" w:hAnsi="宋体"/>
          <w:color w:val="auto"/>
          <w:sz w:val="24"/>
          <w:highlight w:val="none"/>
          <w:lang w:val="en-US" w:eastAsia="zh-CN"/>
        </w:rPr>
        <w:t>0.8</w:t>
      </w:r>
      <w:r>
        <w:rPr>
          <w:rFonts w:hint="eastAsia" w:ascii="宋体" w:hAnsi="宋体"/>
          <w:color w:val="auto"/>
          <w:sz w:val="24"/>
          <w:highlight w:val="none"/>
        </w:rPr>
        <w:t>％=</w:t>
      </w:r>
      <w:r>
        <w:rPr>
          <w:rFonts w:hint="eastAsia" w:ascii="宋体" w:hAnsi="宋体"/>
          <w:color w:val="auto"/>
          <w:sz w:val="24"/>
          <w:highlight w:val="none"/>
          <w:lang w:val="en-US" w:eastAsia="zh-CN"/>
        </w:rPr>
        <w:t>0.8</w:t>
      </w:r>
      <w:r>
        <w:rPr>
          <w:rFonts w:hint="eastAsia" w:ascii="宋体" w:hAnsi="宋体"/>
          <w:color w:val="auto"/>
          <w:sz w:val="24"/>
          <w:highlight w:val="none"/>
        </w:rPr>
        <w:t>万元</w:t>
      </w:r>
    </w:p>
    <w:p>
      <w:pPr>
        <w:spacing w:line="420" w:lineRule="exact"/>
        <w:ind w:firstLine="240" w:firstLineChars="100"/>
        <w:rPr>
          <w:color w:val="auto"/>
          <w:highlight w:val="none"/>
        </w:rPr>
      </w:pPr>
      <w:r>
        <w:rPr>
          <w:rFonts w:hint="eastAsia" w:ascii="宋体" w:hAnsi="宋体"/>
          <w:color w:val="auto"/>
          <w:sz w:val="24"/>
          <w:highlight w:val="none"/>
        </w:rPr>
        <w:t>合计收费=1.5+</w:t>
      </w:r>
      <w:r>
        <w:rPr>
          <w:rFonts w:hint="eastAsia" w:ascii="宋体" w:hAnsi="宋体"/>
          <w:color w:val="auto"/>
          <w:sz w:val="24"/>
          <w:highlight w:val="none"/>
          <w:lang w:val="en-US" w:eastAsia="zh-CN"/>
        </w:rPr>
        <w:t>0.8</w:t>
      </w:r>
      <w:r>
        <w:rPr>
          <w:rFonts w:hint="eastAsia" w:ascii="宋体" w:hAnsi="宋体"/>
          <w:color w:val="auto"/>
          <w:sz w:val="24"/>
          <w:highlight w:val="none"/>
        </w:rPr>
        <w:t>=</w:t>
      </w:r>
      <w:r>
        <w:rPr>
          <w:rFonts w:hint="eastAsia" w:ascii="宋体" w:hAnsi="宋体"/>
          <w:color w:val="auto"/>
          <w:sz w:val="24"/>
          <w:highlight w:val="none"/>
          <w:lang w:val="en-US" w:eastAsia="zh-CN"/>
        </w:rPr>
        <w:t>2.3</w:t>
      </w:r>
      <w:r>
        <w:rPr>
          <w:rFonts w:hint="eastAsia" w:ascii="宋体" w:hAnsi="宋体"/>
          <w:color w:val="auto"/>
          <w:sz w:val="24"/>
          <w:highlight w:val="none"/>
        </w:rPr>
        <w:t>万元。</w:t>
      </w:r>
    </w:p>
    <w:p>
      <w:pPr>
        <w:pStyle w:val="2"/>
      </w:pPr>
    </w:p>
    <w:sectPr>
      <w:footerReference r:id="rId10" w:type="default"/>
      <w:pgSz w:w="11907" w:h="16840"/>
      <w:pgMar w:top="1440" w:right="1469" w:bottom="1440" w:left="1622" w:header="454"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rStyle w:val="51"/>
      </w:rPr>
      <w:fldChar w:fldCharType="begin"/>
    </w:r>
    <w:r>
      <w:rPr>
        <w:rStyle w:val="51"/>
      </w:rPr>
      <w:instrText xml:space="preserve"> PAGE </w:instrText>
    </w:r>
    <w:r>
      <w:rPr>
        <w:rStyle w:val="51"/>
      </w:rPr>
      <w:fldChar w:fldCharType="separate"/>
    </w:r>
    <w:r>
      <w:rPr>
        <w:rStyle w:val="51"/>
      </w:rPr>
      <w:t>2</w:t>
    </w:r>
    <w:r>
      <w:rPr>
        <w:rStyle w:val="5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rPr>
        <w:rStyle w:val="51"/>
      </w:rPr>
      <w:fldChar w:fldCharType="begin"/>
    </w:r>
    <w:r>
      <w:rPr>
        <w:rStyle w:val="51"/>
      </w:rPr>
      <w:instrText xml:space="preserve">PAGE  </w:instrText>
    </w:r>
    <w:r>
      <w:rPr>
        <w:rStyle w:val="51"/>
      </w:rPr>
      <w:fldChar w:fldCharType="separate"/>
    </w:r>
    <w:r>
      <w:rPr>
        <w:rStyle w:val="51"/>
      </w:rPr>
      <w:t>27</w:t>
    </w:r>
    <w:r>
      <w:rPr>
        <w:rStyle w:val="51"/>
      </w:rPr>
      <w:fldChar w:fldCharType="end"/>
    </w:r>
  </w:p>
  <w:p>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81</w:t>
    </w:r>
    <w:r>
      <w:rPr>
        <w:lang w:val="zh-CN"/>
      </w:rPr>
      <w:fldChar w:fldCharType="end"/>
    </w:r>
  </w:p>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Cs w:val="18"/>
      </w:rPr>
    </w:pPr>
    <w:r>
      <w:rPr>
        <w:rStyle w:val="51"/>
        <w:szCs w:val="18"/>
      </w:rPr>
      <w:fldChar w:fldCharType="begin"/>
    </w:r>
    <w:r>
      <w:rPr>
        <w:rStyle w:val="51"/>
        <w:szCs w:val="18"/>
      </w:rPr>
      <w:instrText xml:space="preserve"> PAGE </w:instrText>
    </w:r>
    <w:r>
      <w:rPr>
        <w:rStyle w:val="51"/>
        <w:szCs w:val="18"/>
      </w:rPr>
      <w:fldChar w:fldCharType="separate"/>
    </w:r>
    <w:r>
      <w:rPr>
        <w:rStyle w:val="51"/>
        <w:szCs w:val="18"/>
      </w:rPr>
      <w:t>96</w:t>
    </w:r>
    <w:r>
      <w:rPr>
        <w:rStyle w:val="51"/>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Cs w:val="18"/>
      </w:rPr>
    </w:pPr>
    <w:r>
      <w:rPr>
        <w:rStyle w:val="51"/>
        <w:szCs w:val="18"/>
      </w:rPr>
      <w:fldChar w:fldCharType="begin"/>
    </w:r>
    <w:r>
      <w:rPr>
        <w:rStyle w:val="51"/>
        <w:szCs w:val="18"/>
      </w:rPr>
      <w:instrText xml:space="preserve"> PAGE </w:instrText>
    </w:r>
    <w:r>
      <w:rPr>
        <w:rStyle w:val="51"/>
        <w:szCs w:val="18"/>
      </w:rPr>
      <w:fldChar w:fldCharType="separate"/>
    </w:r>
    <w:r>
      <w:rPr>
        <w:rStyle w:val="51"/>
        <w:szCs w:val="18"/>
      </w:rPr>
      <w:t>117</w:t>
    </w:r>
    <w:r>
      <w:rPr>
        <w:rStyle w:val="51"/>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0"/>
      </w:pBdr>
      <w:jc w:val="center"/>
    </w:pPr>
    <w:r>
      <w:rPr>
        <w:rFonts w:hint="eastAsia" w:ascii="宋体" w:eastAsia="宋体" w:cs="宋体"/>
        <w:b w:val="0"/>
        <w:bCs/>
        <w:sz w:val="160"/>
        <w:szCs w:val="24"/>
        <w:u w:val="single"/>
        <w:lang w:eastAsia="zh-CN"/>
      </w:rPr>
      <w:drawing>
        <wp:anchor distT="0" distB="0" distL="114300" distR="114300" simplePos="0" relativeHeight="251660288" behindDoc="1" locked="0" layoutInCell="1" allowOverlap="1">
          <wp:simplePos x="0" y="0"/>
          <wp:positionH relativeFrom="column">
            <wp:posOffset>-545465</wp:posOffset>
          </wp:positionH>
          <wp:positionV relativeFrom="paragraph">
            <wp:posOffset>-95250</wp:posOffset>
          </wp:positionV>
          <wp:extent cx="566420" cy="481330"/>
          <wp:effectExtent l="0" t="0" r="5080" b="13970"/>
          <wp:wrapTight wrapText="bothSides">
            <wp:wrapPolygon>
              <wp:start x="0" y="0"/>
              <wp:lineTo x="0" y="20517"/>
              <wp:lineTo x="21067" y="20517"/>
              <wp:lineTo x="21067" y="0"/>
              <wp:lineTo x="0" y="0"/>
            </wp:wrapPolygon>
          </wp:wrapTight>
          <wp:docPr id="1" name="图片 1" descr="公司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1"/>
                  <pic:cNvPicPr>
                    <a:picLocks noChangeAspect="1"/>
                  </pic:cNvPicPr>
                </pic:nvPicPr>
                <pic:blipFill>
                  <a:blip r:embed="rId1"/>
                  <a:stretch>
                    <a:fillRect/>
                  </a:stretch>
                </pic:blipFill>
                <pic:spPr>
                  <a:xfrm>
                    <a:off x="0" y="0"/>
                    <a:ext cx="566420" cy="481330"/>
                  </a:xfrm>
                  <a:prstGeom prst="rect">
                    <a:avLst/>
                  </a:prstGeom>
                </pic:spPr>
              </pic:pic>
            </a:graphicData>
          </a:graphic>
        </wp:anchor>
      </w:drawing>
    </w:r>
    <w:r>
      <w:rPr>
        <w:rFonts w:hint="eastAsia" w:ascii="宋体" w:hAnsi="宋体" w:cs="宋体"/>
        <w:bCs/>
        <w:sz w:val="28"/>
        <w:szCs w:val="28"/>
        <w:highlight w:val="none"/>
        <w:u w:val="none"/>
        <w:lang w:eastAsia="zh-CN"/>
      </w:rPr>
      <w:t>高新区（新市区）卫生健康委员会体检医院服务商采购项目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pPr>
    <w:r>
      <w:rPr>
        <w:rFonts w:hint="eastAsia" w:ascii="宋体" w:eastAsia="宋体" w:cs="宋体"/>
        <w:b w:val="0"/>
        <w:bCs/>
        <w:sz w:val="160"/>
        <w:szCs w:val="24"/>
        <w:u w:val="single"/>
        <w:lang w:eastAsia="zh-CN"/>
      </w:rPr>
      <w:drawing>
        <wp:anchor distT="0" distB="0" distL="114300" distR="114300" simplePos="0" relativeHeight="251659264" behindDoc="1" locked="0" layoutInCell="1" allowOverlap="1">
          <wp:simplePos x="0" y="0"/>
          <wp:positionH relativeFrom="column">
            <wp:posOffset>-545465</wp:posOffset>
          </wp:positionH>
          <wp:positionV relativeFrom="paragraph">
            <wp:posOffset>-95250</wp:posOffset>
          </wp:positionV>
          <wp:extent cx="566420" cy="481330"/>
          <wp:effectExtent l="0" t="0" r="5080" b="13970"/>
          <wp:wrapTight wrapText="bothSides">
            <wp:wrapPolygon>
              <wp:start x="0" y="0"/>
              <wp:lineTo x="0" y="20517"/>
              <wp:lineTo x="21067" y="20517"/>
              <wp:lineTo x="21067" y="0"/>
              <wp:lineTo x="0" y="0"/>
            </wp:wrapPolygon>
          </wp:wrapTight>
          <wp:docPr id="4" name="图片 4" descr="公司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logo1"/>
                  <pic:cNvPicPr>
                    <a:picLocks noChangeAspect="1"/>
                  </pic:cNvPicPr>
                </pic:nvPicPr>
                <pic:blipFill>
                  <a:blip r:embed="rId1"/>
                  <a:stretch>
                    <a:fillRect/>
                  </a:stretch>
                </pic:blipFill>
                <pic:spPr>
                  <a:xfrm>
                    <a:off x="0" y="0"/>
                    <a:ext cx="566420" cy="481330"/>
                  </a:xfrm>
                  <a:prstGeom prst="rect">
                    <a:avLst/>
                  </a:prstGeom>
                </pic:spPr>
              </pic:pic>
            </a:graphicData>
          </a:graphic>
        </wp:anchor>
      </w:drawing>
    </w:r>
    <w:r>
      <w:rPr>
        <w:rFonts w:hint="eastAsia" w:ascii="宋体" w:hAnsi="宋体" w:cs="宋体"/>
        <w:bCs/>
        <w:sz w:val="28"/>
        <w:szCs w:val="28"/>
        <w:highlight w:val="none"/>
        <w:u w:val="none"/>
        <w:lang w:eastAsia="zh-CN"/>
      </w:rPr>
      <w:t>高新区（新市区）卫生健康委员会体检医院服务商采购项目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right"/>
      <w:rPr>
        <w:rFonts w:eastAsia="隶书"/>
        <w:color w:val="FF0000"/>
        <w:spacing w:val="40"/>
        <w:sz w:val="21"/>
        <w:szCs w:val="21"/>
        <w:u w:val="single"/>
      </w:rPr>
    </w:pPr>
  </w:p>
  <w:p>
    <w:pPr>
      <w:pStyle w:val="31"/>
      <w:pBdr>
        <w:bottom w:val="single" w:color="auto" w:sz="4" w:space="1"/>
      </w:pBdr>
    </w:pPr>
    <w:r>
      <w:rPr>
        <w:rFonts w:hint="eastAsia" w:ascii="宋体" w:eastAsia="宋体" w:cs="宋体"/>
        <w:b w:val="0"/>
        <w:bCs/>
        <w:sz w:val="160"/>
        <w:szCs w:val="24"/>
        <w:u w:val="single"/>
        <w:lang w:eastAsia="zh-CN"/>
      </w:rPr>
      <w:drawing>
        <wp:anchor distT="0" distB="0" distL="114300" distR="114300" simplePos="0" relativeHeight="251661312" behindDoc="1" locked="0" layoutInCell="1" allowOverlap="1">
          <wp:simplePos x="0" y="0"/>
          <wp:positionH relativeFrom="column">
            <wp:posOffset>-545465</wp:posOffset>
          </wp:positionH>
          <wp:positionV relativeFrom="paragraph">
            <wp:posOffset>-95250</wp:posOffset>
          </wp:positionV>
          <wp:extent cx="566420" cy="481330"/>
          <wp:effectExtent l="0" t="0" r="5080" b="13970"/>
          <wp:wrapTight wrapText="bothSides">
            <wp:wrapPolygon>
              <wp:start x="0" y="0"/>
              <wp:lineTo x="0" y="20517"/>
              <wp:lineTo x="21067" y="20517"/>
              <wp:lineTo x="21067" y="0"/>
              <wp:lineTo x="0" y="0"/>
            </wp:wrapPolygon>
          </wp:wrapTight>
          <wp:docPr id="3" name="图片 3" descr="公司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o1"/>
                  <pic:cNvPicPr>
                    <a:picLocks noChangeAspect="1"/>
                  </pic:cNvPicPr>
                </pic:nvPicPr>
                <pic:blipFill>
                  <a:blip r:embed="rId1"/>
                  <a:stretch>
                    <a:fillRect/>
                  </a:stretch>
                </pic:blipFill>
                <pic:spPr>
                  <a:xfrm>
                    <a:off x="0" y="0"/>
                    <a:ext cx="566420" cy="481330"/>
                  </a:xfrm>
                  <a:prstGeom prst="rect">
                    <a:avLst/>
                  </a:prstGeom>
                </pic:spPr>
              </pic:pic>
            </a:graphicData>
          </a:graphic>
        </wp:anchor>
      </w:drawing>
    </w:r>
    <w:r>
      <w:rPr>
        <w:rFonts w:hint="eastAsia" w:ascii="宋体" w:hAnsi="宋体" w:cs="宋体"/>
        <w:bCs/>
        <w:sz w:val="28"/>
        <w:szCs w:val="28"/>
        <w:highlight w:val="none"/>
        <w:u w:val="none"/>
        <w:lang w:eastAsia="zh-CN"/>
      </w:rPr>
      <w:t>高新区（新市区）卫生健康委员会体检医院服务商采购项目</w:t>
    </w:r>
  </w:p>
  <w:p>
    <w:pPr>
      <w:pStyle w:val="31"/>
      <w:pBdr>
        <w:bottom w:val="none" w:color="auto" w:sz="0" w:space="0"/>
      </w:pBdr>
      <w:jc w:val="both"/>
      <w:rPr>
        <w:rFonts w:eastAsia="隶书"/>
        <w:color w:val="FF0000"/>
        <w:spacing w:val="40"/>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950294"/>
    <w:multiLevelType w:val="singleLevel"/>
    <w:tmpl w:val="FA950294"/>
    <w:lvl w:ilvl="0" w:tentative="0">
      <w:start w:val="1"/>
      <w:numFmt w:val="decimal"/>
      <w:pStyle w:val="34"/>
      <w:lvlText w:val="%1."/>
      <w:lvlJc w:val="left"/>
      <w:pPr>
        <w:tabs>
          <w:tab w:val="left" w:pos="2040"/>
        </w:tabs>
        <w:ind w:left="2040" w:hanging="360"/>
      </w:pPr>
    </w:lvl>
  </w:abstractNum>
  <w:abstractNum w:abstractNumId="1">
    <w:nsid w:val="00000022"/>
    <w:multiLevelType w:val="multilevel"/>
    <w:tmpl w:val="00000022"/>
    <w:lvl w:ilvl="0" w:tentative="0">
      <w:start w:val="1"/>
      <w:numFmt w:val="decimal"/>
      <w:lvlText w:val="%1)"/>
      <w:lvlJc w:val="left"/>
      <w:pPr>
        <w:tabs>
          <w:tab w:val="left" w:pos="1680"/>
        </w:tabs>
        <w:ind w:left="1680" w:hanging="420"/>
      </w:pPr>
      <w:rPr>
        <w:rFonts w:hint="eastAsia" w:cs="Times New Roman"/>
      </w:rPr>
    </w:lvl>
    <w:lvl w:ilvl="1" w:tentative="0">
      <w:start w:val="1"/>
      <w:numFmt w:val="decimal"/>
      <w:lvlText w:val="%2、"/>
      <w:lvlJc w:val="left"/>
      <w:pPr>
        <w:tabs>
          <w:tab w:val="left" w:pos="780"/>
        </w:tabs>
        <w:ind w:left="780" w:hanging="360"/>
      </w:pPr>
      <w:rPr>
        <w:rFonts w:hint="default" w:cs="Times New Roman"/>
        <w:b w:val="0"/>
      </w:rPr>
    </w:lvl>
    <w:lvl w:ilvl="2" w:tentative="0">
      <w:start w:val="1"/>
      <w:numFmt w:val="decimal"/>
      <w:lvlText w:val="%3."/>
      <w:lvlJc w:val="left"/>
      <w:pPr>
        <w:tabs>
          <w:tab w:val="left" w:pos="1560"/>
        </w:tabs>
        <w:ind w:left="1560" w:hanging="720"/>
      </w:pPr>
      <w:rPr>
        <w:rFonts w:hint="default" w:cs="Times New Roman"/>
      </w:rPr>
    </w:lvl>
    <w:lvl w:ilvl="3" w:tentative="0">
      <w:start w:val="5"/>
      <w:numFmt w:val="bullet"/>
      <w:lvlText w:val="●"/>
      <w:lvlJc w:val="left"/>
      <w:pPr>
        <w:tabs>
          <w:tab w:val="left" w:pos="1620"/>
        </w:tabs>
        <w:ind w:left="1620" w:hanging="360"/>
      </w:pPr>
      <w:rPr>
        <w:rFonts w:hint="eastAsia" w:ascii="宋体" w:hAnsi="宋体" w:eastAsia="宋体"/>
      </w:rPr>
    </w:lvl>
    <w:lvl w:ilvl="4" w:tentative="0">
      <w:start w:val="1"/>
      <w:numFmt w:val="japaneseCounting"/>
      <w:lvlText w:val="%5、"/>
      <w:lvlJc w:val="left"/>
      <w:pPr>
        <w:tabs>
          <w:tab w:val="left" w:pos="2400"/>
        </w:tabs>
        <w:ind w:left="2400" w:hanging="720"/>
      </w:pPr>
      <w:rPr>
        <w:rFonts w:hint="default" w:cs="Times New Roman"/>
      </w:rPr>
    </w:lvl>
    <w:lvl w:ilvl="5" w:tentative="0">
      <w:start w:val="0"/>
      <w:numFmt w:val="bullet"/>
      <w:lvlText w:val=""/>
      <w:lvlJc w:val="left"/>
      <w:pPr>
        <w:tabs>
          <w:tab w:val="left" w:pos="2460"/>
        </w:tabs>
        <w:ind w:left="2460" w:hanging="360"/>
      </w:pPr>
      <w:rPr>
        <w:rFonts w:hint="default" w:ascii="Wingdings" w:hAnsi="Wingdings" w:eastAsia="宋体"/>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5C505B4"/>
    <w:multiLevelType w:val="multilevel"/>
    <w:tmpl w:val="05C505B4"/>
    <w:lvl w:ilvl="0" w:tentative="0">
      <w:start w:val="1"/>
      <w:numFmt w:val="decimal"/>
      <w:lvlText w:val="%1)"/>
      <w:lvlJc w:val="left"/>
      <w:pPr>
        <w:tabs>
          <w:tab w:val="left" w:pos="1680"/>
        </w:tabs>
        <w:ind w:left="168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C1657F2"/>
    <w:multiLevelType w:val="multilevel"/>
    <w:tmpl w:val="0C1657F2"/>
    <w:lvl w:ilvl="0" w:tentative="0">
      <w:start w:val="1"/>
      <w:numFmt w:val="decimal"/>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4">
    <w:nsid w:val="23757D77"/>
    <w:multiLevelType w:val="multilevel"/>
    <w:tmpl w:val="23757D77"/>
    <w:lvl w:ilvl="0" w:tentative="0">
      <w:start w:val="1"/>
      <w:numFmt w:val="japaneseCounting"/>
      <w:lvlText w:val="%1、"/>
      <w:lvlJc w:val="left"/>
      <w:pPr>
        <w:tabs>
          <w:tab w:val="left" w:pos="420"/>
        </w:tabs>
        <w:ind w:left="420" w:hanging="420"/>
      </w:pPr>
      <w:rPr>
        <w:rFonts w:hint="default" w:cs="Times New Roman"/>
      </w:rPr>
    </w:lvl>
    <w:lvl w:ilvl="1" w:tentative="0">
      <w:start w:val="1"/>
      <w:numFmt w:val="japaneseCounting"/>
      <w:lvlText w:val="第%2章"/>
      <w:lvlJc w:val="left"/>
      <w:pPr>
        <w:tabs>
          <w:tab w:val="left" w:pos="1408"/>
        </w:tabs>
        <w:ind w:left="1408" w:hanging="840"/>
      </w:pPr>
      <w:rPr>
        <w:rFonts w:hint="default" w:cs="Times New Roman"/>
      </w:rPr>
    </w:lvl>
    <w:lvl w:ilvl="2" w:tentative="0">
      <w:start w:val="1"/>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20"/>
        </w:tabs>
        <w:ind w:left="1620" w:hanging="36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3A77F1A"/>
    <w:multiLevelType w:val="multilevel"/>
    <w:tmpl w:val="23A77F1A"/>
    <w:lvl w:ilvl="0" w:tentative="0">
      <w:start w:val="1"/>
      <w:numFmt w:val="decimal"/>
      <w:lvlText w:val="%1)"/>
      <w:lvlJc w:val="left"/>
      <w:pPr>
        <w:tabs>
          <w:tab w:val="left" w:pos="1140"/>
        </w:tabs>
        <w:ind w:left="1140" w:hanging="420"/>
      </w:pPr>
      <w:rPr>
        <w:rFonts w:hint="eastAsia" w:cs="Times New Roman"/>
        <w:b/>
      </w:rPr>
    </w:lvl>
    <w:lvl w:ilvl="1" w:tentative="0">
      <w:start w:val="1"/>
      <w:numFmt w:val="lowerLetter"/>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6">
    <w:nsid w:val="3FA85A6C"/>
    <w:multiLevelType w:val="multilevel"/>
    <w:tmpl w:val="3FA85A6C"/>
    <w:lvl w:ilvl="0" w:tentative="0">
      <w:start w:val="1"/>
      <w:numFmt w:val="decimal"/>
      <w:pStyle w:val="231"/>
      <w:lvlText w:val="（%1）"/>
      <w:lvlJc w:val="left"/>
      <w:pPr>
        <w:ind w:left="1200" w:hanging="720"/>
      </w:pPr>
      <w:rPr>
        <w:rFonts w:hint="default" w:ascii="Calibri" w:hAnsi="Calibri" w:cs="宋体"/>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7">
    <w:nsid w:val="3FBB35D9"/>
    <w:multiLevelType w:val="multilevel"/>
    <w:tmpl w:val="3FBB35D9"/>
    <w:lvl w:ilvl="0" w:tentative="0">
      <w:start w:val="1"/>
      <w:numFmt w:val="decimal"/>
      <w:pStyle w:val="235"/>
      <w:lvlText w:val="（%1）"/>
      <w:lvlJc w:val="left"/>
      <w:pPr>
        <w:ind w:left="1200" w:hanging="720"/>
      </w:pPr>
      <w:rPr>
        <w:rFonts w:hint="default" w:ascii="Calibri" w:hAnsi="Calibri" w:cs="宋体"/>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8">
    <w:nsid w:val="423C354E"/>
    <w:multiLevelType w:val="multilevel"/>
    <w:tmpl w:val="423C354E"/>
    <w:lvl w:ilvl="0" w:tentative="0">
      <w:start w:val="1"/>
      <w:numFmt w:val="decimal"/>
      <w:pStyle w:val="14"/>
      <w:lvlText w:val="%1."/>
      <w:lvlJc w:val="left"/>
      <w:pPr>
        <w:tabs>
          <w:tab w:val="left" w:pos="420"/>
        </w:tabs>
        <w:ind w:left="420" w:hanging="420"/>
      </w:pPr>
      <w:rPr>
        <w:rFonts w:cs="Times New Roman"/>
      </w:rPr>
    </w:lvl>
    <w:lvl w:ilvl="1" w:tentative="0">
      <w:start w:val="1"/>
      <w:numFmt w:val="bullet"/>
      <w:pStyle w:val="16"/>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4A1D0B86"/>
    <w:multiLevelType w:val="multilevel"/>
    <w:tmpl w:val="4A1D0B86"/>
    <w:lvl w:ilvl="0" w:tentative="0">
      <w:start w:val="1"/>
      <w:numFmt w:val="decimal"/>
      <w:lvlText w:val="%1."/>
      <w:lvlJc w:val="left"/>
      <w:pPr>
        <w:tabs>
          <w:tab w:val="left" w:pos="560"/>
        </w:tabs>
        <w:ind w:left="900" w:hanging="340"/>
      </w:pPr>
      <w:rPr>
        <w:rFonts w:hint="eastAsia" w:cs="Times New Roman"/>
      </w:rPr>
    </w:lvl>
    <w:lvl w:ilvl="1" w:tentative="0">
      <w:start w:val="1"/>
      <w:numFmt w:val="decimal"/>
      <w:lvlText w:val="%2."/>
      <w:lvlJc w:val="left"/>
      <w:pPr>
        <w:tabs>
          <w:tab w:val="left" w:pos="420"/>
        </w:tabs>
        <w:ind w:left="760" w:hanging="34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4AF31D51"/>
    <w:multiLevelType w:val="multilevel"/>
    <w:tmpl w:val="4AF31D51"/>
    <w:lvl w:ilvl="0" w:tentative="0">
      <w:start w:val="1"/>
      <w:numFmt w:val="bullet"/>
      <w:pStyle w:val="150"/>
      <w:lvlText w:val=""/>
      <w:lvlJc w:val="left"/>
      <w:pPr>
        <w:tabs>
          <w:tab w:val="left" w:pos="1500"/>
        </w:tabs>
        <w:ind w:left="1500" w:hanging="420"/>
      </w:pPr>
      <w:rPr>
        <w:rFonts w:hint="default" w:ascii="Wingdings" w:hAnsi="Wingdings"/>
      </w:rPr>
    </w:lvl>
    <w:lvl w:ilvl="1" w:tentative="0">
      <w:start w:val="1"/>
      <w:numFmt w:val="decimal"/>
      <w:lvlText w:val="%2."/>
      <w:lvlJc w:val="left"/>
      <w:pPr>
        <w:tabs>
          <w:tab w:val="left" w:pos="1407"/>
        </w:tabs>
        <w:ind w:left="1407" w:hanging="420"/>
      </w:pPr>
      <w:rPr>
        <w:rFonts w:hint="default" w:cs="Times New Roman"/>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1">
    <w:nsid w:val="4C5F2D84"/>
    <w:multiLevelType w:val="multilevel"/>
    <w:tmpl w:val="4C5F2D84"/>
    <w:lvl w:ilvl="0" w:tentative="0">
      <w:start w:val="1"/>
      <w:numFmt w:val="decimal"/>
      <w:lvlText w:val="%1."/>
      <w:lvlJc w:val="left"/>
      <w:pPr>
        <w:tabs>
          <w:tab w:val="left" w:pos="840"/>
        </w:tabs>
        <w:ind w:left="1180" w:hanging="340"/>
      </w:pPr>
      <w:rPr>
        <w:rFonts w:hint="eastAsia" w:cs="Times New Roman"/>
      </w:rPr>
    </w:lvl>
    <w:lvl w:ilvl="1" w:tentative="0">
      <w:start w:val="1"/>
      <w:numFmt w:val="decimal"/>
      <w:lvlText w:val="%2)"/>
      <w:lvlJc w:val="left"/>
      <w:pPr>
        <w:tabs>
          <w:tab w:val="left" w:pos="1680"/>
        </w:tabs>
        <w:ind w:left="1680" w:hanging="420"/>
      </w:pPr>
      <w:rPr>
        <w:rFonts w:hint="eastAsia" w:cs="Times New Roman"/>
      </w:rPr>
    </w:lvl>
    <w:lvl w:ilvl="2" w:tentative="0">
      <w:start w:val="1"/>
      <w:numFmt w:val="decimal"/>
      <w:lvlText w:val="%3）"/>
      <w:lvlJc w:val="left"/>
      <w:pPr>
        <w:tabs>
          <w:tab w:val="left" w:pos="2520"/>
        </w:tabs>
        <w:ind w:left="2520" w:hanging="840"/>
      </w:pPr>
      <w:rPr>
        <w:rFonts w:hint="default" w:cs="Times New Roman"/>
      </w:rPr>
    </w:lvl>
    <w:lvl w:ilvl="3" w:tentative="0">
      <w:start w:val="1"/>
      <w:numFmt w:val="decimal"/>
      <w:lvlText w:val="%4."/>
      <w:lvlJc w:val="left"/>
      <w:pPr>
        <w:tabs>
          <w:tab w:val="left" w:pos="2520"/>
        </w:tabs>
        <w:ind w:left="2520" w:hanging="420"/>
      </w:pPr>
      <w:rPr>
        <w:rFonts w:cs="Times New Roman"/>
      </w:rPr>
    </w:lvl>
    <w:lvl w:ilvl="4" w:tentative="0">
      <w:start w:val="1"/>
      <w:numFmt w:val="lowerLetter"/>
      <w:lvlText w:val="%5)"/>
      <w:lvlJc w:val="left"/>
      <w:pPr>
        <w:tabs>
          <w:tab w:val="left" w:pos="2940"/>
        </w:tabs>
        <w:ind w:left="2940" w:hanging="420"/>
      </w:pPr>
      <w:rPr>
        <w:rFonts w:cs="Times New Roman"/>
      </w:rPr>
    </w:lvl>
    <w:lvl w:ilvl="5" w:tentative="0">
      <w:start w:val="1"/>
      <w:numFmt w:val="lowerRoman"/>
      <w:lvlText w:val="%6."/>
      <w:lvlJc w:val="right"/>
      <w:pPr>
        <w:tabs>
          <w:tab w:val="left" w:pos="3360"/>
        </w:tabs>
        <w:ind w:left="3360" w:hanging="420"/>
      </w:pPr>
      <w:rPr>
        <w:rFonts w:cs="Times New Roman"/>
      </w:rPr>
    </w:lvl>
    <w:lvl w:ilvl="6" w:tentative="0">
      <w:start w:val="1"/>
      <w:numFmt w:val="decimal"/>
      <w:lvlText w:val="%7."/>
      <w:lvlJc w:val="left"/>
      <w:pPr>
        <w:tabs>
          <w:tab w:val="left" w:pos="3780"/>
        </w:tabs>
        <w:ind w:left="3780" w:hanging="420"/>
      </w:pPr>
      <w:rPr>
        <w:rFonts w:cs="Times New Roman"/>
      </w:rPr>
    </w:lvl>
    <w:lvl w:ilvl="7" w:tentative="0">
      <w:start w:val="1"/>
      <w:numFmt w:val="lowerLetter"/>
      <w:lvlText w:val="%8)"/>
      <w:lvlJc w:val="left"/>
      <w:pPr>
        <w:tabs>
          <w:tab w:val="left" w:pos="4200"/>
        </w:tabs>
        <w:ind w:left="4200" w:hanging="420"/>
      </w:pPr>
      <w:rPr>
        <w:rFonts w:cs="Times New Roman"/>
      </w:rPr>
    </w:lvl>
    <w:lvl w:ilvl="8" w:tentative="0">
      <w:start w:val="1"/>
      <w:numFmt w:val="lowerRoman"/>
      <w:lvlText w:val="%9."/>
      <w:lvlJc w:val="right"/>
      <w:pPr>
        <w:tabs>
          <w:tab w:val="left" w:pos="4620"/>
        </w:tabs>
        <w:ind w:left="4620" w:hanging="420"/>
      </w:pPr>
      <w:rPr>
        <w:rFonts w:cs="Times New Roman"/>
      </w:rPr>
    </w:lvl>
  </w:abstractNum>
  <w:abstractNum w:abstractNumId="12">
    <w:nsid w:val="5DB53A89"/>
    <w:multiLevelType w:val="multilevel"/>
    <w:tmpl w:val="5DB53A89"/>
    <w:lvl w:ilvl="0" w:tentative="0">
      <w:start w:val="2"/>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663B4382"/>
    <w:multiLevelType w:val="multilevel"/>
    <w:tmpl w:val="663B4382"/>
    <w:lvl w:ilvl="0" w:tentative="0">
      <w:start w:val="1"/>
      <w:numFmt w:val="decimal"/>
      <w:lvlText w:val="%1."/>
      <w:lvlJc w:val="left"/>
      <w:pPr>
        <w:tabs>
          <w:tab w:val="left" w:pos="360"/>
        </w:tabs>
        <w:ind w:left="360" w:hanging="360"/>
      </w:pPr>
      <w:rPr>
        <w:rFonts w:hint="default" w:cs="Times New Roman"/>
      </w:rPr>
    </w:lvl>
    <w:lvl w:ilvl="1" w:tentative="0">
      <w:start w:val="1"/>
      <w:numFmt w:val="decimal"/>
      <w:lvlText w:val="%2)"/>
      <w:lvlJc w:val="left"/>
      <w:pPr>
        <w:tabs>
          <w:tab w:val="left" w:pos="840"/>
        </w:tabs>
        <w:ind w:left="840" w:hanging="420"/>
      </w:pPr>
      <w:rPr>
        <w:rFonts w:hint="default" w:cs="Times New Roman"/>
      </w:rPr>
    </w:lvl>
    <w:lvl w:ilvl="2" w:tentative="0">
      <w:start w:val="1"/>
      <w:numFmt w:val="decimal"/>
      <w:lvlText w:val="3.%3"/>
      <w:lvlJc w:val="left"/>
      <w:pPr>
        <w:tabs>
          <w:tab w:val="left" w:pos="0"/>
        </w:tabs>
        <w:ind w:left="454" w:hanging="454"/>
      </w:pPr>
      <w:rPr>
        <w:rFonts w:hint="eastAsia" w:cs="Times New Roman"/>
      </w:rPr>
    </w:lvl>
    <w:lvl w:ilvl="3" w:tentative="0">
      <w:start w:val="1"/>
      <w:numFmt w:val="decimal"/>
      <w:pStyle w:val="237"/>
      <w:lvlText w:val="%4)"/>
      <w:lvlJc w:val="left"/>
      <w:pPr>
        <w:tabs>
          <w:tab w:val="left" w:pos="1680"/>
        </w:tabs>
        <w:ind w:left="1680" w:hanging="420"/>
      </w:pPr>
      <w:rPr>
        <w:rFonts w:hint="eastAsia" w:cs="Times New Roman"/>
      </w:rPr>
    </w:lvl>
    <w:lvl w:ilvl="4" w:tentative="0">
      <w:start w:val="1"/>
      <w:numFmt w:val="decimal"/>
      <w:lvlText w:val="%5）"/>
      <w:lvlJc w:val="left"/>
      <w:pPr>
        <w:tabs>
          <w:tab w:val="left" w:pos="2400"/>
        </w:tabs>
        <w:ind w:left="2400" w:hanging="720"/>
      </w:pPr>
      <w:rPr>
        <w:rFonts w:hint="default"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6F54455B"/>
    <w:multiLevelType w:val="multilevel"/>
    <w:tmpl w:val="6F54455B"/>
    <w:lvl w:ilvl="0" w:tentative="0">
      <w:start w:val="17"/>
      <w:numFmt w:val="decimal"/>
      <w:lvlText w:val="%1"/>
      <w:lvlJc w:val="left"/>
      <w:pPr>
        <w:ind w:left="480" w:hanging="480"/>
      </w:pPr>
      <w:rPr>
        <w:rFonts w:hint="default" w:cs="Times New Roman"/>
      </w:rPr>
    </w:lvl>
    <w:lvl w:ilvl="1" w:tentative="0">
      <w:start w:val="6"/>
      <w:numFmt w:val="decimal"/>
      <w:lvlText w:val="%1.%2"/>
      <w:lvlJc w:val="left"/>
      <w:pPr>
        <w:ind w:left="960" w:hanging="480"/>
      </w:pPr>
      <w:rPr>
        <w:rFonts w:hint="default" w:cs="Times New Roman"/>
      </w:rPr>
    </w:lvl>
    <w:lvl w:ilvl="2" w:tentative="0">
      <w:start w:val="1"/>
      <w:numFmt w:val="decimal"/>
      <w:lvlText w:val="%1.%2.%3"/>
      <w:lvlJc w:val="left"/>
      <w:pPr>
        <w:ind w:left="1680" w:hanging="720"/>
      </w:pPr>
      <w:rPr>
        <w:rFonts w:hint="default" w:cs="Times New Roman"/>
      </w:rPr>
    </w:lvl>
    <w:lvl w:ilvl="3" w:tentative="0">
      <w:start w:val="1"/>
      <w:numFmt w:val="decimal"/>
      <w:lvlText w:val="%1.%2.%3.%4"/>
      <w:lvlJc w:val="left"/>
      <w:pPr>
        <w:ind w:left="2520" w:hanging="1080"/>
      </w:pPr>
      <w:rPr>
        <w:rFonts w:hint="default" w:cs="Times New Roman"/>
      </w:rPr>
    </w:lvl>
    <w:lvl w:ilvl="4" w:tentative="0">
      <w:start w:val="1"/>
      <w:numFmt w:val="decimal"/>
      <w:lvlText w:val="%1.%2.%3.%4.%5"/>
      <w:lvlJc w:val="left"/>
      <w:pPr>
        <w:ind w:left="3000" w:hanging="1080"/>
      </w:pPr>
      <w:rPr>
        <w:rFonts w:hint="default" w:cs="Times New Roman"/>
      </w:rPr>
    </w:lvl>
    <w:lvl w:ilvl="5" w:tentative="0">
      <w:start w:val="1"/>
      <w:numFmt w:val="decimal"/>
      <w:lvlText w:val="%1.%2.%3.%4.%5.%6"/>
      <w:lvlJc w:val="left"/>
      <w:pPr>
        <w:ind w:left="3840" w:hanging="1440"/>
      </w:pPr>
      <w:rPr>
        <w:rFonts w:hint="default" w:cs="Times New Roman"/>
      </w:rPr>
    </w:lvl>
    <w:lvl w:ilvl="6" w:tentative="0">
      <w:start w:val="1"/>
      <w:numFmt w:val="decimal"/>
      <w:lvlText w:val="%1.%2.%3.%4.%5.%6.%7"/>
      <w:lvlJc w:val="left"/>
      <w:pPr>
        <w:ind w:left="4680" w:hanging="1800"/>
      </w:pPr>
      <w:rPr>
        <w:rFonts w:hint="default" w:cs="Times New Roman"/>
      </w:rPr>
    </w:lvl>
    <w:lvl w:ilvl="7" w:tentative="0">
      <w:start w:val="1"/>
      <w:numFmt w:val="decimal"/>
      <w:lvlText w:val="%1.%2.%3.%4.%5.%6.%7.%8"/>
      <w:lvlJc w:val="left"/>
      <w:pPr>
        <w:ind w:left="5160" w:hanging="1800"/>
      </w:pPr>
      <w:rPr>
        <w:rFonts w:hint="default" w:cs="Times New Roman"/>
      </w:rPr>
    </w:lvl>
    <w:lvl w:ilvl="8" w:tentative="0">
      <w:start w:val="1"/>
      <w:numFmt w:val="decimal"/>
      <w:lvlText w:val="%1.%2.%3.%4.%5.%6.%7.%8.%9"/>
      <w:lvlJc w:val="left"/>
      <w:pPr>
        <w:ind w:left="6000" w:hanging="2160"/>
      </w:pPr>
      <w:rPr>
        <w:rFonts w:hint="default" w:cs="Times New Roman"/>
      </w:rPr>
    </w:lvl>
  </w:abstractNum>
  <w:num w:numId="1">
    <w:abstractNumId w:val="8"/>
  </w:num>
  <w:num w:numId="2">
    <w:abstractNumId w:val="0"/>
  </w:num>
  <w:num w:numId="3">
    <w:abstractNumId w:val="10"/>
  </w:num>
  <w:num w:numId="4">
    <w:abstractNumId w:val="6"/>
  </w:num>
  <w:num w:numId="5">
    <w:abstractNumId w:val="7"/>
  </w:num>
  <w:num w:numId="6">
    <w:abstractNumId w:val="13"/>
  </w:num>
  <w:num w:numId="7">
    <w:abstractNumId w:val="3"/>
  </w:num>
  <w:num w:numId="8">
    <w:abstractNumId w:val="4"/>
  </w:num>
  <w:num w:numId="9">
    <w:abstractNumId w:val="2"/>
  </w:num>
  <w:num w:numId="10">
    <w:abstractNumId w:val="14"/>
  </w:num>
  <w:num w:numId="11">
    <w:abstractNumId w:val="5"/>
  </w:num>
  <w:num w:numId="12">
    <w:abstractNumId w:val="1"/>
  </w:num>
  <w:num w:numId="13">
    <w:abstractNumId w:val="1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NmU5MjEyYmU0ZWIyNjM5YTYwNDkyZTU1MDVlMDMifQ=="/>
  </w:docVars>
  <w:rsids>
    <w:rsidRoot w:val="00064755"/>
    <w:rsid w:val="0000036B"/>
    <w:rsid w:val="00000F9D"/>
    <w:rsid w:val="00001749"/>
    <w:rsid w:val="0000229A"/>
    <w:rsid w:val="000025A7"/>
    <w:rsid w:val="00002916"/>
    <w:rsid w:val="00002B02"/>
    <w:rsid w:val="00003093"/>
    <w:rsid w:val="0000388F"/>
    <w:rsid w:val="00004038"/>
    <w:rsid w:val="0000462E"/>
    <w:rsid w:val="00004984"/>
    <w:rsid w:val="0000630B"/>
    <w:rsid w:val="00007F5F"/>
    <w:rsid w:val="00007FA8"/>
    <w:rsid w:val="00010580"/>
    <w:rsid w:val="00010F0A"/>
    <w:rsid w:val="00011A63"/>
    <w:rsid w:val="00011D72"/>
    <w:rsid w:val="00012625"/>
    <w:rsid w:val="00012640"/>
    <w:rsid w:val="000127B7"/>
    <w:rsid w:val="00014B79"/>
    <w:rsid w:val="00014EE7"/>
    <w:rsid w:val="000153AC"/>
    <w:rsid w:val="0001555F"/>
    <w:rsid w:val="000157A5"/>
    <w:rsid w:val="00015D99"/>
    <w:rsid w:val="0001785D"/>
    <w:rsid w:val="00017B44"/>
    <w:rsid w:val="00020477"/>
    <w:rsid w:val="000221EF"/>
    <w:rsid w:val="00022767"/>
    <w:rsid w:val="00023661"/>
    <w:rsid w:val="00023BF4"/>
    <w:rsid w:val="000246D1"/>
    <w:rsid w:val="0002628D"/>
    <w:rsid w:val="000267F3"/>
    <w:rsid w:val="00026990"/>
    <w:rsid w:val="0003098C"/>
    <w:rsid w:val="00030A21"/>
    <w:rsid w:val="00030C24"/>
    <w:rsid w:val="00030D6D"/>
    <w:rsid w:val="00031366"/>
    <w:rsid w:val="00033DA2"/>
    <w:rsid w:val="00035062"/>
    <w:rsid w:val="00036452"/>
    <w:rsid w:val="000400FD"/>
    <w:rsid w:val="00040B5C"/>
    <w:rsid w:val="00040BF6"/>
    <w:rsid w:val="00041460"/>
    <w:rsid w:val="000420A8"/>
    <w:rsid w:val="00042779"/>
    <w:rsid w:val="00043411"/>
    <w:rsid w:val="00043643"/>
    <w:rsid w:val="00045904"/>
    <w:rsid w:val="00046008"/>
    <w:rsid w:val="00046806"/>
    <w:rsid w:val="0004718D"/>
    <w:rsid w:val="00047CCA"/>
    <w:rsid w:val="0005001E"/>
    <w:rsid w:val="00050D49"/>
    <w:rsid w:val="0005143E"/>
    <w:rsid w:val="00051738"/>
    <w:rsid w:val="000517A4"/>
    <w:rsid w:val="000517AC"/>
    <w:rsid w:val="000518A9"/>
    <w:rsid w:val="00051C7D"/>
    <w:rsid w:val="00051D70"/>
    <w:rsid w:val="00052536"/>
    <w:rsid w:val="00053ECD"/>
    <w:rsid w:val="00054067"/>
    <w:rsid w:val="000557FD"/>
    <w:rsid w:val="0005580C"/>
    <w:rsid w:val="0005623A"/>
    <w:rsid w:val="000567F1"/>
    <w:rsid w:val="0005742C"/>
    <w:rsid w:val="00060438"/>
    <w:rsid w:val="000604E0"/>
    <w:rsid w:val="0006175B"/>
    <w:rsid w:val="000631D1"/>
    <w:rsid w:val="00063E84"/>
    <w:rsid w:val="00064755"/>
    <w:rsid w:val="0006591A"/>
    <w:rsid w:val="00066220"/>
    <w:rsid w:val="00066D3B"/>
    <w:rsid w:val="00067049"/>
    <w:rsid w:val="00067615"/>
    <w:rsid w:val="00067950"/>
    <w:rsid w:val="000707C6"/>
    <w:rsid w:val="00071096"/>
    <w:rsid w:val="00071F8E"/>
    <w:rsid w:val="000736E3"/>
    <w:rsid w:val="0007403F"/>
    <w:rsid w:val="00074DC5"/>
    <w:rsid w:val="00075C58"/>
    <w:rsid w:val="000760AD"/>
    <w:rsid w:val="000765B1"/>
    <w:rsid w:val="00076648"/>
    <w:rsid w:val="000775E1"/>
    <w:rsid w:val="0008159A"/>
    <w:rsid w:val="00081EFB"/>
    <w:rsid w:val="000835AA"/>
    <w:rsid w:val="00084193"/>
    <w:rsid w:val="00084872"/>
    <w:rsid w:val="00085E2A"/>
    <w:rsid w:val="00086A75"/>
    <w:rsid w:val="0008799A"/>
    <w:rsid w:val="00087B35"/>
    <w:rsid w:val="00087CC2"/>
    <w:rsid w:val="0009165E"/>
    <w:rsid w:val="0009173F"/>
    <w:rsid w:val="000924AA"/>
    <w:rsid w:val="00092B21"/>
    <w:rsid w:val="0009314A"/>
    <w:rsid w:val="00093716"/>
    <w:rsid w:val="000952B8"/>
    <w:rsid w:val="00095CC4"/>
    <w:rsid w:val="000965CF"/>
    <w:rsid w:val="00096766"/>
    <w:rsid w:val="0009703C"/>
    <w:rsid w:val="000A0B91"/>
    <w:rsid w:val="000A1D75"/>
    <w:rsid w:val="000A22F0"/>
    <w:rsid w:val="000A2ACA"/>
    <w:rsid w:val="000A34BD"/>
    <w:rsid w:val="000A410E"/>
    <w:rsid w:val="000A49F8"/>
    <w:rsid w:val="000A4DB7"/>
    <w:rsid w:val="000A4E2D"/>
    <w:rsid w:val="000A5C49"/>
    <w:rsid w:val="000A66C9"/>
    <w:rsid w:val="000A67CD"/>
    <w:rsid w:val="000A6870"/>
    <w:rsid w:val="000B0B34"/>
    <w:rsid w:val="000B0DDA"/>
    <w:rsid w:val="000B116D"/>
    <w:rsid w:val="000B20B7"/>
    <w:rsid w:val="000B20EB"/>
    <w:rsid w:val="000B2FE5"/>
    <w:rsid w:val="000B4E08"/>
    <w:rsid w:val="000B5CA7"/>
    <w:rsid w:val="000B72F1"/>
    <w:rsid w:val="000B77AE"/>
    <w:rsid w:val="000B7EAE"/>
    <w:rsid w:val="000C0E75"/>
    <w:rsid w:val="000C2A5B"/>
    <w:rsid w:val="000C3052"/>
    <w:rsid w:val="000C3EE7"/>
    <w:rsid w:val="000C42F6"/>
    <w:rsid w:val="000C5678"/>
    <w:rsid w:val="000C7035"/>
    <w:rsid w:val="000C74C4"/>
    <w:rsid w:val="000C7787"/>
    <w:rsid w:val="000C7795"/>
    <w:rsid w:val="000C7A05"/>
    <w:rsid w:val="000C7AAF"/>
    <w:rsid w:val="000C7AEA"/>
    <w:rsid w:val="000C7C91"/>
    <w:rsid w:val="000C7E20"/>
    <w:rsid w:val="000D051A"/>
    <w:rsid w:val="000D060E"/>
    <w:rsid w:val="000D147E"/>
    <w:rsid w:val="000D1CB9"/>
    <w:rsid w:val="000D2582"/>
    <w:rsid w:val="000D2762"/>
    <w:rsid w:val="000D27D6"/>
    <w:rsid w:val="000D2A0A"/>
    <w:rsid w:val="000D31D7"/>
    <w:rsid w:val="000D32E3"/>
    <w:rsid w:val="000D3676"/>
    <w:rsid w:val="000D39FC"/>
    <w:rsid w:val="000D5410"/>
    <w:rsid w:val="000D6086"/>
    <w:rsid w:val="000D6212"/>
    <w:rsid w:val="000D658E"/>
    <w:rsid w:val="000D65B1"/>
    <w:rsid w:val="000E0198"/>
    <w:rsid w:val="000E2123"/>
    <w:rsid w:val="000E2C34"/>
    <w:rsid w:val="000E3037"/>
    <w:rsid w:val="000E3790"/>
    <w:rsid w:val="000E392D"/>
    <w:rsid w:val="000E492B"/>
    <w:rsid w:val="000E5615"/>
    <w:rsid w:val="000E77B1"/>
    <w:rsid w:val="000F099A"/>
    <w:rsid w:val="000F0C1A"/>
    <w:rsid w:val="000F1B6B"/>
    <w:rsid w:val="000F1CD4"/>
    <w:rsid w:val="000F2B09"/>
    <w:rsid w:val="000F2D05"/>
    <w:rsid w:val="000F3FD2"/>
    <w:rsid w:val="000F4088"/>
    <w:rsid w:val="000F4324"/>
    <w:rsid w:val="000F45DB"/>
    <w:rsid w:val="000F5BF6"/>
    <w:rsid w:val="000F5D6E"/>
    <w:rsid w:val="000F6252"/>
    <w:rsid w:val="000F7155"/>
    <w:rsid w:val="000F717F"/>
    <w:rsid w:val="000F71C6"/>
    <w:rsid w:val="000F77FB"/>
    <w:rsid w:val="000F7D53"/>
    <w:rsid w:val="00100B45"/>
    <w:rsid w:val="00100CB8"/>
    <w:rsid w:val="001018DC"/>
    <w:rsid w:val="00101BD1"/>
    <w:rsid w:val="00102B61"/>
    <w:rsid w:val="00104913"/>
    <w:rsid w:val="00104B69"/>
    <w:rsid w:val="00105123"/>
    <w:rsid w:val="001053B3"/>
    <w:rsid w:val="00106FEC"/>
    <w:rsid w:val="00107903"/>
    <w:rsid w:val="001136B8"/>
    <w:rsid w:val="001138F8"/>
    <w:rsid w:val="00116339"/>
    <w:rsid w:val="0011678D"/>
    <w:rsid w:val="001178B3"/>
    <w:rsid w:val="00117E2F"/>
    <w:rsid w:val="00117EA4"/>
    <w:rsid w:val="001217F8"/>
    <w:rsid w:val="001228E5"/>
    <w:rsid w:val="00122C22"/>
    <w:rsid w:val="0012373B"/>
    <w:rsid w:val="001242AD"/>
    <w:rsid w:val="00124AD4"/>
    <w:rsid w:val="00126B84"/>
    <w:rsid w:val="001272B3"/>
    <w:rsid w:val="001276AE"/>
    <w:rsid w:val="00127E99"/>
    <w:rsid w:val="001307DD"/>
    <w:rsid w:val="001308FA"/>
    <w:rsid w:val="0013168C"/>
    <w:rsid w:val="00132DA6"/>
    <w:rsid w:val="001346C8"/>
    <w:rsid w:val="00134B91"/>
    <w:rsid w:val="00134EF1"/>
    <w:rsid w:val="0013500F"/>
    <w:rsid w:val="00135A97"/>
    <w:rsid w:val="00135D56"/>
    <w:rsid w:val="00136109"/>
    <w:rsid w:val="00136441"/>
    <w:rsid w:val="00136489"/>
    <w:rsid w:val="0013699F"/>
    <w:rsid w:val="00136F75"/>
    <w:rsid w:val="00140482"/>
    <w:rsid w:val="00140D99"/>
    <w:rsid w:val="00143B70"/>
    <w:rsid w:val="00146705"/>
    <w:rsid w:val="0014704D"/>
    <w:rsid w:val="0014771D"/>
    <w:rsid w:val="00150F07"/>
    <w:rsid w:val="00155142"/>
    <w:rsid w:val="0015531B"/>
    <w:rsid w:val="001553D2"/>
    <w:rsid w:val="00155B14"/>
    <w:rsid w:val="00156047"/>
    <w:rsid w:val="00156128"/>
    <w:rsid w:val="00156484"/>
    <w:rsid w:val="00156C04"/>
    <w:rsid w:val="00156F5E"/>
    <w:rsid w:val="001570AA"/>
    <w:rsid w:val="00160452"/>
    <w:rsid w:val="001604C9"/>
    <w:rsid w:val="00160BA0"/>
    <w:rsid w:val="00160DBB"/>
    <w:rsid w:val="00161728"/>
    <w:rsid w:val="00161804"/>
    <w:rsid w:val="00162851"/>
    <w:rsid w:val="00162A64"/>
    <w:rsid w:val="00163155"/>
    <w:rsid w:val="001631F4"/>
    <w:rsid w:val="001632DC"/>
    <w:rsid w:val="00163749"/>
    <w:rsid w:val="00163EAE"/>
    <w:rsid w:val="00164D06"/>
    <w:rsid w:val="00164F6C"/>
    <w:rsid w:val="00165357"/>
    <w:rsid w:val="001659C6"/>
    <w:rsid w:val="001665F0"/>
    <w:rsid w:val="00167483"/>
    <w:rsid w:val="00167CA3"/>
    <w:rsid w:val="00170701"/>
    <w:rsid w:val="00170D94"/>
    <w:rsid w:val="00171077"/>
    <w:rsid w:val="001714FE"/>
    <w:rsid w:val="00172593"/>
    <w:rsid w:val="00172D14"/>
    <w:rsid w:val="00173093"/>
    <w:rsid w:val="001732B7"/>
    <w:rsid w:val="0017425F"/>
    <w:rsid w:val="00174CF8"/>
    <w:rsid w:val="0017577C"/>
    <w:rsid w:val="00175D86"/>
    <w:rsid w:val="0017684C"/>
    <w:rsid w:val="001777AF"/>
    <w:rsid w:val="00180E4D"/>
    <w:rsid w:val="00181082"/>
    <w:rsid w:val="00182526"/>
    <w:rsid w:val="00182896"/>
    <w:rsid w:val="001830E1"/>
    <w:rsid w:val="001834B3"/>
    <w:rsid w:val="0018365B"/>
    <w:rsid w:val="00183684"/>
    <w:rsid w:val="00183BB3"/>
    <w:rsid w:val="00184170"/>
    <w:rsid w:val="001848F1"/>
    <w:rsid w:val="001859C3"/>
    <w:rsid w:val="00185B35"/>
    <w:rsid w:val="00185B8E"/>
    <w:rsid w:val="00186A27"/>
    <w:rsid w:val="001874B5"/>
    <w:rsid w:val="001918F5"/>
    <w:rsid w:val="00191B6E"/>
    <w:rsid w:val="00192BF1"/>
    <w:rsid w:val="001932CF"/>
    <w:rsid w:val="00193AA2"/>
    <w:rsid w:val="00194B7E"/>
    <w:rsid w:val="00194C89"/>
    <w:rsid w:val="00195E49"/>
    <w:rsid w:val="00196240"/>
    <w:rsid w:val="0019651F"/>
    <w:rsid w:val="00196E27"/>
    <w:rsid w:val="001976FE"/>
    <w:rsid w:val="001A15A5"/>
    <w:rsid w:val="001A1B92"/>
    <w:rsid w:val="001A208D"/>
    <w:rsid w:val="001A2248"/>
    <w:rsid w:val="001A330E"/>
    <w:rsid w:val="001A33E0"/>
    <w:rsid w:val="001A48D6"/>
    <w:rsid w:val="001A4C39"/>
    <w:rsid w:val="001A4D0B"/>
    <w:rsid w:val="001A5098"/>
    <w:rsid w:val="001A5502"/>
    <w:rsid w:val="001A5B1E"/>
    <w:rsid w:val="001A7233"/>
    <w:rsid w:val="001A7C62"/>
    <w:rsid w:val="001B0142"/>
    <w:rsid w:val="001B0CA3"/>
    <w:rsid w:val="001B0E45"/>
    <w:rsid w:val="001B0F9A"/>
    <w:rsid w:val="001B3AC6"/>
    <w:rsid w:val="001B3EF4"/>
    <w:rsid w:val="001B41E5"/>
    <w:rsid w:val="001B42A7"/>
    <w:rsid w:val="001B4747"/>
    <w:rsid w:val="001B4F02"/>
    <w:rsid w:val="001B5839"/>
    <w:rsid w:val="001B69BD"/>
    <w:rsid w:val="001B6E8D"/>
    <w:rsid w:val="001B7BD2"/>
    <w:rsid w:val="001C1CAB"/>
    <w:rsid w:val="001C25CA"/>
    <w:rsid w:val="001C2650"/>
    <w:rsid w:val="001C272E"/>
    <w:rsid w:val="001C4412"/>
    <w:rsid w:val="001C466A"/>
    <w:rsid w:val="001C526E"/>
    <w:rsid w:val="001C5412"/>
    <w:rsid w:val="001D03E5"/>
    <w:rsid w:val="001D060A"/>
    <w:rsid w:val="001D1952"/>
    <w:rsid w:val="001D23AE"/>
    <w:rsid w:val="001D2536"/>
    <w:rsid w:val="001D3E02"/>
    <w:rsid w:val="001D418F"/>
    <w:rsid w:val="001D5374"/>
    <w:rsid w:val="001D5997"/>
    <w:rsid w:val="001D5ACC"/>
    <w:rsid w:val="001D6194"/>
    <w:rsid w:val="001E0C56"/>
    <w:rsid w:val="001E1A8C"/>
    <w:rsid w:val="001E236E"/>
    <w:rsid w:val="001E2C78"/>
    <w:rsid w:val="001E2F31"/>
    <w:rsid w:val="001E3519"/>
    <w:rsid w:val="001E3727"/>
    <w:rsid w:val="001E39B4"/>
    <w:rsid w:val="001E3EF1"/>
    <w:rsid w:val="001E5961"/>
    <w:rsid w:val="001E62E4"/>
    <w:rsid w:val="001E67F5"/>
    <w:rsid w:val="001E694C"/>
    <w:rsid w:val="001E6A17"/>
    <w:rsid w:val="001E6D93"/>
    <w:rsid w:val="001E7F55"/>
    <w:rsid w:val="001F0025"/>
    <w:rsid w:val="001F127D"/>
    <w:rsid w:val="001F24DC"/>
    <w:rsid w:val="001F2CD4"/>
    <w:rsid w:val="001F3DCF"/>
    <w:rsid w:val="001F409B"/>
    <w:rsid w:val="001F48E0"/>
    <w:rsid w:val="001F4FC3"/>
    <w:rsid w:val="001F55ED"/>
    <w:rsid w:val="001F5F8D"/>
    <w:rsid w:val="001F6224"/>
    <w:rsid w:val="001F7393"/>
    <w:rsid w:val="001F78F5"/>
    <w:rsid w:val="00201181"/>
    <w:rsid w:val="00201397"/>
    <w:rsid w:val="0020159F"/>
    <w:rsid w:val="00203763"/>
    <w:rsid w:val="00203B6C"/>
    <w:rsid w:val="00204152"/>
    <w:rsid w:val="0020509B"/>
    <w:rsid w:val="002052B1"/>
    <w:rsid w:val="0020559D"/>
    <w:rsid w:val="00205DDE"/>
    <w:rsid w:val="00206F7D"/>
    <w:rsid w:val="00207AEE"/>
    <w:rsid w:val="00207D34"/>
    <w:rsid w:val="00207EE2"/>
    <w:rsid w:val="00211239"/>
    <w:rsid w:val="00211B48"/>
    <w:rsid w:val="00212E88"/>
    <w:rsid w:val="00213548"/>
    <w:rsid w:val="00214155"/>
    <w:rsid w:val="00216B1F"/>
    <w:rsid w:val="00216F2E"/>
    <w:rsid w:val="00217EDF"/>
    <w:rsid w:val="0022008D"/>
    <w:rsid w:val="00220109"/>
    <w:rsid w:val="00220370"/>
    <w:rsid w:val="00220498"/>
    <w:rsid w:val="00220CCE"/>
    <w:rsid w:val="002214F0"/>
    <w:rsid w:val="00222570"/>
    <w:rsid w:val="00223C71"/>
    <w:rsid w:val="002241AC"/>
    <w:rsid w:val="0022443F"/>
    <w:rsid w:val="002246FD"/>
    <w:rsid w:val="00224E79"/>
    <w:rsid w:val="00225407"/>
    <w:rsid w:val="00225E8D"/>
    <w:rsid w:val="00226FAB"/>
    <w:rsid w:val="00227EC0"/>
    <w:rsid w:val="00230346"/>
    <w:rsid w:val="00230721"/>
    <w:rsid w:val="002308A0"/>
    <w:rsid w:val="00231029"/>
    <w:rsid w:val="00231E61"/>
    <w:rsid w:val="0023227F"/>
    <w:rsid w:val="00232696"/>
    <w:rsid w:val="002327AC"/>
    <w:rsid w:val="00232CE0"/>
    <w:rsid w:val="00233039"/>
    <w:rsid w:val="00233203"/>
    <w:rsid w:val="00234770"/>
    <w:rsid w:val="00234884"/>
    <w:rsid w:val="00234C10"/>
    <w:rsid w:val="00234CCF"/>
    <w:rsid w:val="002364E9"/>
    <w:rsid w:val="00236786"/>
    <w:rsid w:val="00237308"/>
    <w:rsid w:val="002407DC"/>
    <w:rsid w:val="002408CB"/>
    <w:rsid w:val="00240A5B"/>
    <w:rsid w:val="00240AC7"/>
    <w:rsid w:val="002417E7"/>
    <w:rsid w:val="00241807"/>
    <w:rsid w:val="00241D71"/>
    <w:rsid w:val="00242A9D"/>
    <w:rsid w:val="00243C35"/>
    <w:rsid w:val="00244679"/>
    <w:rsid w:val="00244B81"/>
    <w:rsid w:val="00246A7F"/>
    <w:rsid w:val="00247D17"/>
    <w:rsid w:val="002510AE"/>
    <w:rsid w:val="00252A9F"/>
    <w:rsid w:val="00252BFE"/>
    <w:rsid w:val="0025377F"/>
    <w:rsid w:val="00254C30"/>
    <w:rsid w:val="00254CC3"/>
    <w:rsid w:val="0025537B"/>
    <w:rsid w:val="00255E20"/>
    <w:rsid w:val="0025619B"/>
    <w:rsid w:val="002563B1"/>
    <w:rsid w:val="002564AD"/>
    <w:rsid w:val="002570AF"/>
    <w:rsid w:val="00257678"/>
    <w:rsid w:val="00257AE6"/>
    <w:rsid w:val="00257DAC"/>
    <w:rsid w:val="002603BA"/>
    <w:rsid w:val="00260C01"/>
    <w:rsid w:val="002615AC"/>
    <w:rsid w:val="00262C2F"/>
    <w:rsid w:val="0026330C"/>
    <w:rsid w:val="00263417"/>
    <w:rsid w:val="00264F98"/>
    <w:rsid w:val="00265788"/>
    <w:rsid w:val="00265A87"/>
    <w:rsid w:val="0026630F"/>
    <w:rsid w:val="00266D94"/>
    <w:rsid w:val="00267C1B"/>
    <w:rsid w:val="00270F32"/>
    <w:rsid w:val="00271BC8"/>
    <w:rsid w:val="00271FFE"/>
    <w:rsid w:val="002724DC"/>
    <w:rsid w:val="0027440A"/>
    <w:rsid w:val="0027617F"/>
    <w:rsid w:val="0027634D"/>
    <w:rsid w:val="002779E9"/>
    <w:rsid w:val="0028060E"/>
    <w:rsid w:val="00281402"/>
    <w:rsid w:val="00281C3C"/>
    <w:rsid w:val="00282E93"/>
    <w:rsid w:val="00282ECB"/>
    <w:rsid w:val="00284589"/>
    <w:rsid w:val="00284CB4"/>
    <w:rsid w:val="002866EE"/>
    <w:rsid w:val="00291DD7"/>
    <w:rsid w:val="00291FE7"/>
    <w:rsid w:val="00292465"/>
    <w:rsid w:val="00292B27"/>
    <w:rsid w:val="002942EE"/>
    <w:rsid w:val="002953B1"/>
    <w:rsid w:val="002A0ABB"/>
    <w:rsid w:val="002A0D4A"/>
    <w:rsid w:val="002A0EE7"/>
    <w:rsid w:val="002A100B"/>
    <w:rsid w:val="002A171D"/>
    <w:rsid w:val="002A2A14"/>
    <w:rsid w:val="002A43C1"/>
    <w:rsid w:val="002A610A"/>
    <w:rsid w:val="002A61EC"/>
    <w:rsid w:val="002A6D50"/>
    <w:rsid w:val="002A74C7"/>
    <w:rsid w:val="002A7513"/>
    <w:rsid w:val="002A76A5"/>
    <w:rsid w:val="002A773B"/>
    <w:rsid w:val="002B12F4"/>
    <w:rsid w:val="002B1844"/>
    <w:rsid w:val="002B1EDC"/>
    <w:rsid w:val="002B20A3"/>
    <w:rsid w:val="002B20A5"/>
    <w:rsid w:val="002B31A8"/>
    <w:rsid w:val="002B36F6"/>
    <w:rsid w:val="002B38BE"/>
    <w:rsid w:val="002B5077"/>
    <w:rsid w:val="002B50A6"/>
    <w:rsid w:val="002B7235"/>
    <w:rsid w:val="002B750F"/>
    <w:rsid w:val="002C0B8B"/>
    <w:rsid w:val="002C1CA4"/>
    <w:rsid w:val="002C2D7B"/>
    <w:rsid w:val="002C2F96"/>
    <w:rsid w:val="002C3849"/>
    <w:rsid w:val="002C3B7E"/>
    <w:rsid w:val="002C4AAE"/>
    <w:rsid w:val="002C51CE"/>
    <w:rsid w:val="002C72C7"/>
    <w:rsid w:val="002C7DD0"/>
    <w:rsid w:val="002D0860"/>
    <w:rsid w:val="002D18CA"/>
    <w:rsid w:val="002D2DEE"/>
    <w:rsid w:val="002D34F1"/>
    <w:rsid w:val="002D3CA4"/>
    <w:rsid w:val="002D4394"/>
    <w:rsid w:val="002D4669"/>
    <w:rsid w:val="002D4D80"/>
    <w:rsid w:val="002D55DB"/>
    <w:rsid w:val="002D5C30"/>
    <w:rsid w:val="002D5FCC"/>
    <w:rsid w:val="002D6365"/>
    <w:rsid w:val="002D69FF"/>
    <w:rsid w:val="002E017F"/>
    <w:rsid w:val="002E0570"/>
    <w:rsid w:val="002E1491"/>
    <w:rsid w:val="002E14D8"/>
    <w:rsid w:val="002E1825"/>
    <w:rsid w:val="002E22FC"/>
    <w:rsid w:val="002E3211"/>
    <w:rsid w:val="002E3E93"/>
    <w:rsid w:val="002E4049"/>
    <w:rsid w:val="002E4E33"/>
    <w:rsid w:val="002E5056"/>
    <w:rsid w:val="002E50BC"/>
    <w:rsid w:val="002E62A5"/>
    <w:rsid w:val="002E6313"/>
    <w:rsid w:val="002E6B6B"/>
    <w:rsid w:val="002E6D60"/>
    <w:rsid w:val="002F034A"/>
    <w:rsid w:val="002F07AA"/>
    <w:rsid w:val="002F08F0"/>
    <w:rsid w:val="002F0ADC"/>
    <w:rsid w:val="002F0D45"/>
    <w:rsid w:val="002F192E"/>
    <w:rsid w:val="002F2F06"/>
    <w:rsid w:val="002F3585"/>
    <w:rsid w:val="002F3C8B"/>
    <w:rsid w:val="002F3F0F"/>
    <w:rsid w:val="002F46C2"/>
    <w:rsid w:val="002F652F"/>
    <w:rsid w:val="002F6F81"/>
    <w:rsid w:val="00300561"/>
    <w:rsid w:val="003009F0"/>
    <w:rsid w:val="00301393"/>
    <w:rsid w:val="00301F93"/>
    <w:rsid w:val="003020D1"/>
    <w:rsid w:val="003031A7"/>
    <w:rsid w:val="00303211"/>
    <w:rsid w:val="00303444"/>
    <w:rsid w:val="003051E6"/>
    <w:rsid w:val="00305FCF"/>
    <w:rsid w:val="003070DE"/>
    <w:rsid w:val="00307A01"/>
    <w:rsid w:val="003100B2"/>
    <w:rsid w:val="00311071"/>
    <w:rsid w:val="00311551"/>
    <w:rsid w:val="003116ED"/>
    <w:rsid w:val="0031185D"/>
    <w:rsid w:val="00311B59"/>
    <w:rsid w:val="00312399"/>
    <w:rsid w:val="003128BD"/>
    <w:rsid w:val="003145B2"/>
    <w:rsid w:val="00315457"/>
    <w:rsid w:val="003156F6"/>
    <w:rsid w:val="00317018"/>
    <w:rsid w:val="00317A31"/>
    <w:rsid w:val="00320076"/>
    <w:rsid w:val="00320E5E"/>
    <w:rsid w:val="00320F3C"/>
    <w:rsid w:val="0032115A"/>
    <w:rsid w:val="003216D5"/>
    <w:rsid w:val="00321FD3"/>
    <w:rsid w:val="00322A96"/>
    <w:rsid w:val="003242E4"/>
    <w:rsid w:val="003243D5"/>
    <w:rsid w:val="003249A7"/>
    <w:rsid w:val="00324A8F"/>
    <w:rsid w:val="00324DCE"/>
    <w:rsid w:val="00324FA2"/>
    <w:rsid w:val="003253BF"/>
    <w:rsid w:val="00325BC7"/>
    <w:rsid w:val="003260AC"/>
    <w:rsid w:val="003264ED"/>
    <w:rsid w:val="0033013B"/>
    <w:rsid w:val="00331486"/>
    <w:rsid w:val="00331738"/>
    <w:rsid w:val="00334370"/>
    <w:rsid w:val="00334A6D"/>
    <w:rsid w:val="00334CD9"/>
    <w:rsid w:val="00334CFA"/>
    <w:rsid w:val="00335469"/>
    <w:rsid w:val="003377AE"/>
    <w:rsid w:val="00337B0C"/>
    <w:rsid w:val="00340531"/>
    <w:rsid w:val="00341AC1"/>
    <w:rsid w:val="003422C3"/>
    <w:rsid w:val="003424D6"/>
    <w:rsid w:val="003427FC"/>
    <w:rsid w:val="00344B4A"/>
    <w:rsid w:val="0034506A"/>
    <w:rsid w:val="00345E5B"/>
    <w:rsid w:val="00346597"/>
    <w:rsid w:val="0035275E"/>
    <w:rsid w:val="0035287E"/>
    <w:rsid w:val="00354C8F"/>
    <w:rsid w:val="00354E59"/>
    <w:rsid w:val="00354EB0"/>
    <w:rsid w:val="00355C4B"/>
    <w:rsid w:val="00356B84"/>
    <w:rsid w:val="00362399"/>
    <w:rsid w:val="00362645"/>
    <w:rsid w:val="00363BD9"/>
    <w:rsid w:val="00363E63"/>
    <w:rsid w:val="00363F9B"/>
    <w:rsid w:val="00365AD4"/>
    <w:rsid w:val="00365CC1"/>
    <w:rsid w:val="00365D78"/>
    <w:rsid w:val="00366666"/>
    <w:rsid w:val="00366EA6"/>
    <w:rsid w:val="00367F31"/>
    <w:rsid w:val="0037061E"/>
    <w:rsid w:val="00370918"/>
    <w:rsid w:val="00371B14"/>
    <w:rsid w:val="00371C6C"/>
    <w:rsid w:val="00372A36"/>
    <w:rsid w:val="00373176"/>
    <w:rsid w:val="00374233"/>
    <w:rsid w:val="0037522B"/>
    <w:rsid w:val="003752A2"/>
    <w:rsid w:val="00375682"/>
    <w:rsid w:val="00375980"/>
    <w:rsid w:val="003816F3"/>
    <w:rsid w:val="00381733"/>
    <w:rsid w:val="00381CD1"/>
    <w:rsid w:val="00381E7B"/>
    <w:rsid w:val="003823ED"/>
    <w:rsid w:val="00382548"/>
    <w:rsid w:val="00382C2D"/>
    <w:rsid w:val="003832DD"/>
    <w:rsid w:val="00383CCE"/>
    <w:rsid w:val="0038405D"/>
    <w:rsid w:val="003841ED"/>
    <w:rsid w:val="00384D26"/>
    <w:rsid w:val="0038531F"/>
    <w:rsid w:val="00386655"/>
    <w:rsid w:val="00387308"/>
    <w:rsid w:val="00390CC4"/>
    <w:rsid w:val="003926EF"/>
    <w:rsid w:val="003928F3"/>
    <w:rsid w:val="00392BEC"/>
    <w:rsid w:val="00393E1B"/>
    <w:rsid w:val="00393FDC"/>
    <w:rsid w:val="0039404A"/>
    <w:rsid w:val="003940A7"/>
    <w:rsid w:val="00394FCA"/>
    <w:rsid w:val="0039597A"/>
    <w:rsid w:val="00395E15"/>
    <w:rsid w:val="003962DB"/>
    <w:rsid w:val="00396ED3"/>
    <w:rsid w:val="00397858"/>
    <w:rsid w:val="0039792F"/>
    <w:rsid w:val="00397BE8"/>
    <w:rsid w:val="003A000E"/>
    <w:rsid w:val="003A0204"/>
    <w:rsid w:val="003A0B3D"/>
    <w:rsid w:val="003A13AC"/>
    <w:rsid w:val="003A30FE"/>
    <w:rsid w:val="003A3CD8"/>
    <w:rsid w:val="003A47C8"/>
    <w:rsid w:val="003A4A3E"/>
    <w:rsid w:val="003A4E52"/>
    <w:rsid w:val="003A62FD"/>
    <w:rsid w:val="003A7002"/>
    <w:rsid w:val="003A7D18"/>
    <w:rsid w:val="003A7EA9"/>
    <w:rsid w:val="003B088F"/>
    <w:rsid w:val="003B0DF7"/>
    <w:rsid w:val="003B1D4E"/>
    <w:rsid w:val="003B21FF"/>
    <w:rsid w:val="003B30CA"/>
    <w:rsid w:val="003B45C7"/>
    <w:rsid w:val="003B582F"/>
    <w:rsid w:val="003B5AB3"/>
    <w:rsid w:val="003B633A"/>
    <w:rsid w:val="003B79FB"/>
    <w:rsid w:val="003C05AA"/>
    <w:rsid w:val="003C0ADC"/>
    <w:rsid w:val="003C2EEC"/>
    <w:rsid w:val="003C34A6"/>
    <w:rsid w:val="003C426F"/>
    <w:rsid w:val="003C4322"/>
    <w:rsid w:val="003C46E7"/>
    <w:rsid w:val="003C50E4"/>
    <w:rsid w:val="003C5E69"/>
    <w:rsid w:val="003C613E"/>
    <w:rsid w:val="003C68C1"/>
    <w:rsid w:val="003C68CD"/>
    <w:rsid w:val="003C78EF"/>
    <w:rsid w:val="003C7D23"/>
    <w:rsid w:val="003D04A1"/>
    <w:rsid w:val="003D0CB6"/>
    <w:rsid w:val="003D10EF"/>
    <w:rsid w:val="003D140C"/>
    <w:rsid w:val="003D1C13"/>
    <w:rsid w:val="003D23B5"/>
    <w:rsid w:val="003D27A4"/>
    <w:rsid w:val="003D3448"/>
    <w:rsid w:val="003D3467"/>
    <w:rsid w:val="003D39A3"/>
    <w:rsid w:val="003D4A14"/>
    <w:rsid w:val="003D4D5F"/>
    <w:rsid w:val="003D649A"/>
    <w:rsid w:val="003D7E36"/>
    <w:rsid w:val="003E182C"/>
    <w:rsid w:val="003E1A8A"/>
    <w:rsid w:val="003E1F59"/>
    <w:rsid w:val="003E2E1A"/>
    <w:rsid w:val="003E33FC"/>
    <w:rsid w:val="003E3A12"/>
    <w:rsid w:val="003E59C4"/>
    <w:rsid w:val="003E5F72"/>
    <w:rsid w:val="003E6A10"/>
    <w:rsid w:val="003F02BA"/>
    <w:rsid w:val="003F04CD"/>
    <w:rsid w:val="003F192C"/>
    <w:rsid w:val="003F2A79"/>
    <w:rsid w:val="003F3FC0"/>
    <w:rsid w:val="003F4275"/>
    <w:rsid w:val="003F482C"/>
    <w:rsid w:val="003F4918"/>
    <w:rsid w:val="003F58BE"/>
    <w:rsid w:val="003F5C37"/>
    <w:rsid w:val="003F73CD"/>
    <w:rsid w:val="00400C60"/>
    <w:rsid w:val="0040118D"/>
    <w:rsid w:val="004012D4"/>
    <w:rsid w:val="00402283"/>
    <w:rsid w:val="00402952"/>
    <w:rsid w:val="00402A9F"/>
    <w:rsid w:val="00403F65"/>
    <w:rsid w:val="00407B1C"/>
    <w:rsid w:val="00407D2E"/>
    <w:rsid w:val="00410744"/>
    <w:rsid w:val="00411150"/>
    <w:rsid w:val="0041167A"/>
    <w:rsid w:val="004129AA"/>
    <w:rsid w:val="00412EEF"/>
    <w:rsid w:val="00414D90"/>
    <w:rsid w:val="00415B79"/>
    <w:rsid w:val="00415C86"/>
    <w:rsid w:val="00415D0F"/>
    <w:rsid w:val="004201FA"/>
    <w:rsid w:val="004211ED"/>
    <w:rsid w:val="00422207"/>
    <w:rsid w:val="004227AB"/>
    <w:rsid w:val="00423E9B"/>
    <w:rsid w:val="004248EA"/>
    <w:rsid w:val="00424E5D"/>
    <w:rsid w:val="004254BA"/>
    <w:rsid w:val="0042604E"/>
    <w:rsid w:val="00426B5C"/>
    <w:rsid w:val="00427063"/>
    <w:rsid w:val="00427791"/>
    <w:rsid w:val="00427BE0"/>
    <w:rsid w:val="004302DD"/>
    <w:rsid w:val="004307FA"/>
    <w:rsid w:val="00431E5B"/>
    <w:rsid w:val="004328EC"/>
    <w:rsid w:val="00432CFF"/>
    <w:rsid w:val="0043312E"/>
    <w:rsid w:val="004331C6"/>
    <w:rsid w:val="0043323F"/>
    <w:rsid w:val="004335FF"/>
    <w:rsid w:val="00433CBF"/>
    <w:rsid w:val="00434344"/>
    <w:rsid w:val="00434524"/>
    <w:rsid w:val="00434F5C"/>
    <w:rsid w:val="0043575D"/>
    <w:rsid w:val="004359F8"/>
    <w:rsid w:val="0043705A"/>
    <w:rsid w:val="00437A5A"/>
    <w:rsid w:val="00437E23"/>
    <w:rsid w:val="00442116"/>
    <w:rsid w:val="004422EC"/>
    <w:rsid w:val="004426CF"/>
    <w:rsid w:val="0044383D"/>
    <w:rsid w:val="00444D88"/>
    <w:rsid w:val="00445106"/>
    <w:rsid w:val="0044557F"/>
    <w:rsid w:val="00445BB3"/>
    <w:rsid w:val="00446F16"/>
    <w:rsid w:val="00447B59"/>
    <w:rsid w:val="00450172"/>
    <w:rsid w:val="0045080C"/>
    <w:rsid w:val="004523A1"/>
    <w:rsid w:val="00452734"/>
    <w:rsid w:val="00452FA3"/>
    <w:rsid w:val="00453148"/>
    <w:rsid w:val="004545C2"/>
    <w:rsid w:val="0045486C"/>
    <w:rsid w:val="00455813"/>
    <w:rsid w:val="00455B98"/>
    <w:rsid w:val="00456875"/>
    <w:rsid w:val="004569AE"/>
    <w:rsid w:val="00456BC6"/>
    <w:rsid w:val="0045719B"/>
    <w:rsid w:val="0045762D"/>
    <w:rsid w:val="00460BD4"/>
    <w:rsid w:val="00460E14"/>
    <w:rsid w:val="00461200"/>
    <w:rsid w:val="00461242"/>
    <w:rsid w:val="004612C8"/>
    <w:rsid w:val="00461DD2"/>
    <w:rsid w:val="00463247"/>
    <w:rsid w:val="00466BFC"/>
    <w:rsid w:val="00467009"/>
    <w:rsid w:val="00467FD9"/>
    <w:rsid w:val="0047057C"/>
    <w:rsid w:val="00470E3A"/>
    <w:rsid w:val="004714FE"/>
    <w:rsid w:val="0047276A"/>
    <w:rsid w:val="00472FDA"/>
    <w:rsid w:val="004736C9"/>
    <w:rsid w:val="00473B7F"/>
    <w:rsid w:val="0047445C"/>
    <w:rsid w:val="004748C8"/>
    <w:rsid w:val="004757B6"/>
    <w:rsid w:val="00475DB3"/>
    <w:rsid w:val="004760BC"/>
    <w:rsid w:val="0047707A"/>
    <w:rsid w:val="0047769A"/>
    <w:rsid w:val="00480B88"/>
    <w:rsid w:val="00481889"/>
    <w:rsid w:val="004827EF"/>
    <w:rsid w:val="00482A3A"/>
    <w:rsid w:val="00482F7D"/>
    <w:rsid w:val="004844EC"/>
    <w:rsid w:val="00485B39"/>
    <w:rsid w:val="0048657C"/>
    <w:rsid w:val="00486F37"/>
    <w:rsid w:val="0048717E"/>
    <w:rsid w:val="004900DC"/>
    <w:rsid w:val="004901EE"/>
    <w:rsid w:val="004902A0"/>
    <w:rsid w:val="00490444"/>
    <w:rsid w:val="00490F30"/>
    <w:rsid w:val="00491842"/>
    <w:rsid w:val="004919F3"/>
    <w:rsid w:val="00491B20"/>
    <w:rsid w:val="00492258"/>
    <w:rsid w:val="004928A0"/>
    <w:rsid w:val="00493AAE"/>
    <w:rsid w:val="00494169"/>
    <w:rsid w:val="00494620"/>
    <w:rsid w:val="00496480"/>
    <w:rsid w:val="0049654F"/>
    <w:rsid w:val="00496DC6"/>
    <w:rsid w:val="004979EE"/>
    <w:rsid w:val="004A013B"/>
    <w:rsid w:val="004A0A05"/>
    <w:rsid w:val="004A2D26"/>
    <w:rsid w:val="004A3118"/>
    <w:rsid w:val="004A3440"/>
    <w:rsid w:val="004A3D8E"/>
    <w:rsid w:val="004A5EBF"/>
    <w:rsid w:val="004A5ED9"/>
    <w:rsid w:val="004A64F6"/>
    <w:rsid w:val="004A69F4"/>
    <w:rsid w:val="004B0707"/>
    <w:rsid w:val="004B11C2"/>
    <w:rsid w:val="004B1D9B"/>
    <w:rsid w:val="004B2042"/>
    <w:rsid w:val="004B29B2"/>
    <w:rsid w:val="004B4945"/>
    <w:rsid w:val="004B4DDD"/>
    <w:rsid w:val="004B4E62"/>
    <w:rsid w:val="004B589F"/>
    <w:rsid w:val="004B6062"/>
    <w:rsid w:val="004B606F"/>
    <w:rsid w:val="004B6785"/>
    <w:rsid w:val="004B720D"/>
    <w:rsid w:val="004C0855"/>
    <w:rsid w:val="004C135A"/>
    <w:rsid w:val="004C1C81"/>
    <w:rsid w:val="004C225C"/>
    <w:rsid w:val="004C2E40"/>
    <w:rsid w:val="004C385D"/>
    <w:rsid w:val="004C4577"/>
    <w:rsid w:val="004C45CC"/>
    <w:rsid w:val="004C5420"/>
    <w:rsid w:val="004C62B4"/>
    <w:rsid w:val="004C6326"/>
    <w:rsid w:val="004C6728"/>
    <w:rsid w:val="004C6CF7"/>
    <w:rsid w:val="004D02B5"/>
    <w:rsid w:val="004D0BD7"/>
    <w:rsid w:val="004D0E1C"/>
    <w:rsid w:val="004D1B67"/>
    <w:rsid w:val="004D1C19"/>
    <w:rsid w:val="004D228E"/>
    <w:rsid w:val="004D319E"/>
    <w:rsid w:val="004D3336"/>
    <w:rsid w:val="004D360C"/>
    <w:rsid w:val="004D36BF"/>
    <w:rsid w:val="004D395F"/>
    <w:rsid w:val="004D3CAD"/>
    <w:rsid w:val="004D4BAD"/>
    <w:rsid w:val="004D5476"/>
    <w:rsid w:val="004D5A69"/>
    <w:rsid w:val="004D5D79"/>
    <w:rsid w:val="004D5E94"/>
    <w:rsid w:val="004D6127"/>
    <w:rsid w:val="004D7C00"/>
    <w:rsid w:val="004E018B"/>
    <w:rsid w:val="004E0FF3"/>
    <w:rsid w:val="004E24A2"/>
    <w:rsid w:val="004E27F5"/>
    <w:rsid w:val="004E2E93"/>
    <w:rsid w:val="004E38C4"/>
    <w:rsid w:val="004E3934"/>
    <w:rsid w:val="004E3FE0"/>
    <w:rsid w:val="004E4EA5"/>
    <w:rsid w:val="004E5251"/>
    <w:rsid w:val="004E6175"/>
    <w:rsid w:val="004E61FB"/>
    <w:rsid w:val="004E67C2"/>
    <w:rsid w:val="004E76F4"/>
    <w:rsid w:val="004F0C27"/>
    <w:rsid w:val="004F14E0"/>
    <w:rsid w:val="004F1CEE"/>
    <w:rsid w:val="004F2963"/>
    <w:rsid w:val="004F3228"/>
    <w:rsid w:val="004F482C"/>
    <w:rsid w:val="004F4D04"/>
    <w:rsid w:val="004F5FBA"/>
    <w:rsid w:val="004F6B3E"/>
    <w:rsid w:val="004F7178"/>
    <w:rsid w:val="004F77C8"/>
    <w:rsid w:val="004F7E96"/>
    <w:rsid w:val="0050003C"/>
    <w:rsid w:val="00500E2D"/>
    <w:rsid w:val="00501B29"/>
    <w:rsid w:val="0050333C"/>
    <w:rsid w:val="0050456C"/>
    <w:rsid w:val="005045C6"/>
    <w:rsid w:val="00504F2E"/>
    <w:rsid w:val="00505C78"/>
    <w:rsid w:val="005061AF"/>
    <w:rsid w:val="0050693E"/>
    <w:rsid w:val="00506E16"/>
    <w:rsid w:val="005072F9"/>
    <w:rsid w:val="00511D90"/>
    <w:rsid w:val="00512382"/>
    <w:rsid w:val="00512E54"/>
    <w:rsid w:val="00513729"/>
    <w:rsid w:val="00515074"/>
    <w:rsid w:val="0051511F"/>
    <w:rsid w:val="00515C18"/>
    <w:rsid w:val="00516C1C"/>
    <w:rsid w:val="00517683"/>
    <w:rsid w:val="00517B8E"/>
    <w:rsid w:val="005200F8"/>
    <w:rsid w:val="0052050E"/>
    <w:rsid w:val="00520FCE"/>
    <w:rsid w:val="0052147B"/>
    <w:rsid w:val="00521531"/>
    <w:rsid w:val="00521C05"/>
    <w:rsid w:val="00521F8E"/>
    <w:rsid w:val="005239B6"/>
    <w:rsid w:val="005240E6"/>
    <w:rsid w:val="0052454B"/>
    <w:rsid w:val="00525AAC"/>
    <w:rsid w:val="00525F6A"/>
    <w:rsid w:val="005266F3"/>
    <w:rsid w:val="00526E95"/>
    <w:rsid w:val="00527332"/>
    <w:rsid w:val="0053057F"/>
    <w:rsid w:val="00530A11"/>
    <w:rsid w:val="00530F7C"/>
    <w:rsid w:val="0053122E"/>
    <w:rsid w:val="00531F9E"/>
    <w:rsid w:val="005324C6"/>
    <w:rsid w:val="0053263D"/>
    <w:rsid w:val="00532AA3"/>
    <w:rsid w:val="00533683"/>
    <w:rsid w:val="005339E5"/>
    <w:rsid w:val="00533CC8"/>
    <w:rsid w:val="005340F1"/>
    <w:rsid w:val="0053481F"/>
    <w:rsid w:val="005371E1"/>
    <w:rsid w:val="00541044"/>
    <w:rsid w:val="0054172F"/>
    <w:rsid w:val="00541C0F"/>
    <w:rsid w:val="00541D48"/>
    <w:rsid w:val="00542058"/>
    <w:rsid w:val="00542154"/>
    <w:rsid w:val="00542FB0"/>
    <w:rsid w:val="005430A7"/>
    <w:rsid w:val="0054320C"/>
    <w:rsid w:val="0054345B"/>
    <w:rsid w:val="00543AE8"/>
    <w:rsid w:val="005441A0"/>
    <w:rsid w:val="005441FA"/>
    <w:rsid w:val="005449FA"/>
    <w:rsid w:val="00544D0C"/>
    <w:rsid w:val="00545379"/>
    <w:rsid w:val="005457B2"/>
    <w:rsid w:val="0054653C"/>
    <w:rsid w:val="005475F3"/>
    <w:rsid w:val="00547BD3"/>
    <w:rsid w:val="00551057"/>
    <w:rsid w:val="005511B9"/>
    <w:rsid w:val="00551213"/>
    <w:rsid w:val="005515E1"/>
    <w:rsid w:val="00551C68"/>
    <w:rsid w:val="005522A7"/>
    <w:rsid w:val="005522EA"/>
    <w:rsid w:val="005523B6"/>
    <w:rsid w:val="00552552"/>
    <w:rsid w:val="005546DE"/>
    <w:rsid w:val="00554F63"/>
    <w:rsid w:val="0055523B"/>
    <w:rsid w:val="005566F7"/>
    <w:rsid w:val="005600B5"/>
    <w:rsid w:val="005600B8"/>
    <w:rsid w:val="00560BFE"/>
    <w:rsid w:val="005610CE"/>
    <w:rsid w:val="00561650"/>
    <w:rsid w:val="0056175D"/>
    <w:rsid w:val="00562852"/>
    <w:rsid w:val="00562B50"/>
    <w:rsid w:val="00563024"/>
    <w:rsid w:val="005630A3"/>
    <w:rsid w:val="00563191"/>
    <w:rsid w:val="005638D7"/>
    <w:rsid w:val="00563B7D"/>
    <w:rsid w:val="005641FC"/>
    <w:rsid w:val="00564822"/>
    <w:rsid w:val="00564FB1"/>
    <w:rsid w:val="00564FE9"/>
    <w:rsid w:val="00565251"/>
    <w:rsid w:val="00566BDE"/>
    <w:rsid w:val="00570DAB"/>
    <w:rsid w:val="00571C8E"/>
    <w:rsid w:val="00571D5E"/>
    <w:rsid w:val="00571E46"/>
    <w:rsid w:val="00571ECA"/>
    <w:rsid w:val="0057216D"/>
    <w:rsid w:val="0057263B"/>
    <w:rsid w:val="0057281E"/>
    <w:rsid w:val="00572EC9"/>
    <w:rsid w:val="00573050"/>
    <w:rsid w:val="00573689"/>
    <w:rsid w:val="005737AD"/>
    <w:rsid w:val="00573F8B"/>
    <w:rsid w:val="00574576"/>
    <w:rsid w:val="00574E8C"/>
    <w:rsid w:val="0057510E"/>
    <w:rsid w:val="00575697"/>
    <w:rsid w:val="00576551"/>
    <w:rsid w:val="00576E8B"/>
    <w:rsid w:val="0057729B"/>
    <w:rsid w:val="00577A36"/>
    <w:rsid w:val="00577CA1"/>
    <w:rsid w:val="00580BC4"/>
    <w:rsid w:val="00582465"/>
    <w:rsid w:val="00583532"/>
    <w:rsid w:val="00583F9E"/>
    <w:rsid w:val="00584077"/>
    <w:rsid w:val="00584E84"/>
    <w:rsid w:val="0058640B"/>
    <w:rsid w:val="0058678C"/>
    <w:rsid w:val="005876AA"/>
    <w:rsid w:val="005876FE"/>
    <w:rsid w:val="005877C9"/>
    <w:rsid w:val="005878ED"/>
    <w:rsid w:val="00590191"/>
    <w:rsid w:val="005905C9"/>
    <w:rsid w:val="00590809"/>
    <w:rsid w:val="00591639"/>
    <w:rsid w:val="00591B79"/>
    <w:rsid w:val="00591E2F"/>
    <w:rsid w:val="0059610F"/>
    <w:rsid w:val="00596686"/>
    <w:rsid w:val="00596AE0"/>
    <w:rsid w:val="00597572"/>
    <w:rsid w:val="00597641"/>
    <w:rsid w:val="005A08C1"/>
    <w:rsid w:val="005A2A9A"/>
    <w:rsid w:val="005A3FDF"/>
    <w:rsid w:val="005A4EEF"/>
    <w:rsid w:val="005A568A"/>
    <w:rsid w:val="005A58FB"/>
    <w:rsid w:val="005A5B71"/>
    <w:rsid w:val="005A6621"/>
    <w:rsid w:val="005A69BD"/>
    <w:rsid w:val="005A776F"/>
    <w:rsid w:val="005B1285"/>
    <w:rsid w:val="005B1465"/>
    <w:rsid w:val="005B1D4C"/>
    <w:rsid w:val="005B1FEB"/>
    <w:rsid w:val="005B20E7"/>
    <w:rsid w:val="005B26D6"/>
    <w:rsid w:val="005B2A2E"/>
    <w:rsid w:val="005B37AB"/>
    <w:rsid w:val="005B3D4B"/>
    <w:rsid w:val="005B3E97"/>
    <w:rsid w:val="005B4D20"/>
    <w:rsid w:val="005B5AE6"/>
    <w:rsid w:val="005B6310"/>
    <w:rsid w:val="005B6886"/>
    <w:rsid w:val="005B6FA5"/>
    <w:rsid w:val="005C00E4"/>
    <w:rsid w:val="005C024B"/>
    <w:rsid w:val="005C092D"/>
    <w:rsid w:val="005C0C73"/>
    <w:rsid w:val="005C1F71"/>
    <w:rsid w:val="005C1F75"/>
    <w:rsid w:val="005C2022"/>
    <w:rsid w:val="005C2FAE"/>
    <w:rsid w:val="005C3686"/>
    <w:rsid w:val="005C3B27"/>
    <w:rsid w:val="005C6B97"/>
    <w:rsid w:val="005C6DB9"/>
    <w:rsid w:val="005C72FC"/>
    <w:rsid w:val="005C7320"/>
    <w:rsid w:val="005C77CE"/>
    <w:rsid w:val="005D06F1"/>
    <w:rsid w:val="005D0FBB"/>
    <w:rsid w:val="005D2390"/>
    <w:rsid w:val="005D369C"/>
    <w:rsid w:val="005D4603"/>
    <w:rsid w:val="005D51E8"/>
    <w:rsid w:val="005D55B2"/>
    <w:rsid w:val="005D5AC1"/>
    <w:rsid w:val="005D748E"/>
    <w:rsid w:val="005E0441"/>
    <w:rsid w:val="005E0481"/>
    <w:rsid w:val="005E12DB"/>
    <w:rsid w:val="005E1F81"/>
    <w:rsid w:val="005E2162"/>
    <w:rsid w:val="005E28C2"/>
    <w:rsid w:val="005E2EFA"/>
    <w:rsid w:val="005E33E4"/>
    <w:rsid w:val="005E3FE4"/>
    <w:rsid w:val="005E5B01"/>
    <w:rsid w:val="005E6166"/>
    <w:rsid w:val="005E76C1"/>
    <w:rsid w:val="005F097E"/>
    <w:rsid w:val="005F0E7F"/>
    <w:rsid w:val="005F1126"/>
    <w:rsid w:val="005F133F"/>
    <w:rsid w:val="005F144B"/>
    <w:rsid w:val="005F1EFB"/>
    <w:rsid w:val="005F281E"/>
    <w:rsid w:val="005F2AA0"/>
    <w:rsid w:val="005F2E09"/>
    <w:rsid w:val="005F335F"/>
    <w:rsid w:val="005F3A4A"/>
    <w:rsid w:val="005F3BE2"/>
    <w:rsid w:val="005F3C79"/>
    <w:rsid w:val="005F5021"/>
    <w:rsid w:val="005F5612"/>
    <w:rsid w:val="005F58AD"/>
    <w:rsid w:val="005F6422"/>
    <w:rsid w:val="005F7310"/>
    <w:rsid w:val="005F78E1"/>
    <w:rsid w:val="005F7B0A"/>
    <w:rsid w:val="00600EA6"/>
    <w:rsid w:val="00602201"/>
    <w:rsid w:val="00602B9B"/>
    <w:rsid w:val="00602F8D"/>
    <w:rsid w:val="006030A2"/>
    <w:rsid w:val="00603544"/>
    <w:rsid w:val="00603C3A"/>
    <w:rsid w:val="00603F92"/>
    <w:rsid w:val="006050AE"/>
    <w:rsid w:val="0060523D"/>
    <w:rsid w:val="00605AEF"/>
    <w:rsid w:val="00605EFC"/>
    <w:rsid w:val="006076E0"/>
    <w:rsid w:val="0060782F"/>
    <w:rsid w:val="00607BE8"/>
    <w:rsid w:val="00607FDE"/>
    <w:rsid w:val="00611202"/>
    <w:rsid w:val="00611DD0"/>
    <w:rsid w:val="0061436F"/>
    <w:rsid w:val="00616305"/>
    <w:rsid w:val="00617CCE"/>
    <w:rsid w:val="006206C9"/>
    <w:rsid w:val="00620CD1"/>
    <w:rsid w:val="0062179F"/>
    <w:rsid w:val="00621863"/>
    <w:rsid w:val="00621887"/>
    <w:rsid w:val="00622BA8"/>
    <w:rsid w:val="00623699"/>
    <w:rsid w:val="006249A7"/>
    <w:rsid w:val="00625C97"/>
    <w:rsid w:val="00627283"/>
    <w:rsid w:val="006300AC"/>
    <w:rsid w:val="00630E6D"/>
    <w:rsid w:val="006311DD"/>
    <w:rsid w:val="0063267F"/>
    <w:rsid w:val="00633B95"/>
    <w:rsid w:val="00633C5E"/>
    <w:rsid w:val="00633EEA"/>
    <w:rsid w:val="00635BFA"/>
    <w:rsid w:val="0063769A"/>
    <w:rsid w:val="00637FF2"/>
    <w:rsid w:val="00640130"/>
    <w:rsid w:val="00640F96"/>
    <w:rsid w:val="00641CF3"/>
    <w:rsid w:val="006426AC"/>
    <w:rsid w:val="00642D83"/>
    <w:rsid w:val="00643047"/>
    <w:rsid w:val="006430D1"/>
    <w:rsid w:val="006431D3"/>
    <w:rsid w:val="006434B9"/>
    <w:rsid w:val="00643637"/>
    <w:rsid w:val="00643F64"/>
    <w:rsid w:val="006443E1"/>
    <w:rsid w:val="00644496"/>
    <w:rsid w:val="0064469F"/>
    <w:rsid w:val="0064485A"/>
    <w:rsid w:val="006455B3"/>
    <w:rsid w:val="006466CE"/>
    <w:rsid w:val="00651209"/>
    <w:rsid w:val="0065160E"/>
    <w:rsid w:val="006537F0"/>
    <w:rsid w:val="00653BCD"/>
    <w:rsid w:val="006546CA"/>
    <w:rsid w:val="006558B4"/>
    <w:rsid w:val="00655AE1"/>
    <w:rsid w:val="006561D1"/>
    <w:rsid w:val="006569FC"/>
    <w:rsid w:val="00656C0A"/>
    <w:rsid w:val="00656EAD"/>
    <w:rsid w:val="006574B3"/>
    <w:rsid w:val="006608CE"/>
    <w:rsid w:val="00660B2F"/>
    <w:rsid w:val="00660D4C"/>
    <w:rsid w:val="00661CF4"/>
    <w:rsid w:val="00661D4E"/>
    <w:rsid w:val="00661E2D"/>
    <w:rsid w:val="006621D2"/>
    <w:rsid w:val="00662336"/>
    <w:rsid w:val="00662881"/>
    <w:rsid w:val="00662C76"/>
    <w:rsid w:val="00662DFB"/>
    <w:rsid w:val="00663092"/>
    <w:rsid w:val="00664EB2"/>
    <w:rsid w:val="0066679D"/>
    <w:rsid w:val="006667CB"/>
    <w:rsid w:val="00667578"/>
    <w:rsid w:val="00670124"/>
    <w:rsid w:val="00671894"/>
    <w:rsid w:val="00672197"/>
    <w:rsid w:val="00672295"/>
    <w:rsid w:val="0067314D"/>
    <w:rsid w:val="00674425"/>
    <w:rsid w:val="0067472E"/>
    <w:rsid w:val="00674ECF"/>
    <w:rsid w:val="00675397"/>
    <w:rsid w:val="00676C10"/>
    <w:rsid w:val="006776F5"/>
    <w:rsid w:val="00677E45"/>
    <w:rsid w:val="0068150B"/>
    <w:rsid w:val="006815BA"/>
    <w:rsid w:val="006821D9"/>
    <w:rsid w:val="006825DC"/>
    <w:rsid w:val="0068393C"/>
    <w:rsid w:val="0068394F"/>
    <w:rsid w:val="0068488E"/>
    <w:rsid w:val="00684DF9"/>
    <w:rsid w:val="00684EC1"/>
    <w:rsid w:val="0068569D"/>
    <w:rsid w:val="00685F0F"/>
    <w:rsid w:val="00687CCC"/>
    <w:rsid w:val="00690296"/>
    <w:rsid w:val="00691BB8"/>
    <w:rsid w:val="006920A0"/>
    <w:rsid w:val="0069215E"/>
    <w:rsid w:val="00692AB9"/>
    <w:rsid w:val="00693896"/>
    <w:rsid w:val="00693DF3"/>
    <w:rsid w:val="00696331"/>
    <w:rsid w:val="006966E7"/>
    <w:rsid w:val="00696B97"/>
    <w:rsid w:val="00696EAE"/>
    <w:rsid w:val="006970C0"/>
    <w:rsid w:val="00697307"/>
    <w:rsid w:val="00697335"/>
    <w:rsid w:val="00697E16"/>
    <w:rsid w:val="006A0424"/>
    <w:rsid w:val="006A1346"/>
    <w:rsid w:val="006A1A01"/>
    <w:rsid w:val="006A33FF"/>
    <w:rsid w:val="006A34CA"/>
    <w:rsid w:val="006A39A9"/>
    <w:rsid w:val="006A3D31"/>
    <w:rsid w:val="006A5205"/>
    <w:rsid w:val="006A6159"/>
    <w:rsid w:val="006A6288"/>
    <w:rsid w:val="006A6713"/>
    <w:rsid w:val="006A774D"/>
    <w:rsid w:val="006A78E8"/>
    <w:rsid w:val="006B0261"/>
    <w:rsid w:val="006B0FBC"/>
    <w:rsid w:val="006B32DA"/>
    <w:rsid w:val="006B3833"/>
    <w:rsid w:val="006B3FE3"/>
    <w:rsid w:val="006B4513"/>
    <w:rsid w:val="006B4F98"/>
    <w:rsid w:val="006B52BD"/>
    <w:rsid w:val="006B5494"/>
    <w:rsid w:val="006B6368"/>
    <w:rsid w:val="006B7892"/>
    <w:rsid w:val="006B7A5C"/>
    <w:rsid w:val="006C058C"/>
    <w:rsid w:val="006C10DC"/>
    <w:rsid w:val="006C1D5D"/>
    <w:rsid w:val="006C45AD"/>
    <w:rsid w:val="006C487D"/>
    <w:rsid w:val="006C4F11"/>
    <w:rsid w:val="006C5C5D"/>
    <w:rsid w:val="006C5F5A"/>
    <w:rsid w:val="006C602E"/>
    <w:rsid w:val="006C689C"/>
    <w:rsid w:val="006C7448"/>
    <w:rsid w:val="006C77B5"/>
    <w:rsid w:val="006C77C7"/>
    <w:rsid w:val="006C7902"/>
    <w:rsid w:val="006C7BF5"/>
    <w:rsid w:val="006D043B"/>
    <w:rsid w:val="006D089F"/>
    <w:rsid w:val="006D0CE0"/>
    <w:rsid w:val="006D16E6"/>
    <w:rsid w:val="006D1DF2"/>
    <w:rsid w:val="006D266F"/>
    <w:rsid w:val="006D2AFA"/>
    <w:rsid w:val="006D36DC"/>
    <w:rsid w:val="006D3832"/>
    <w:rsid w:val="006D3C51"/>
    <w:rsid w:val="006D4028"/>
    <w:rsid w:val="006D47AB"/>
    <w:rsid w:val="006D4B46"/>
    <w:rsid w:val="006D5837"/>
    <w:rsid w:val="006D5B22"/>
    <w:rsid w:val="006E09C0"/>
    <w:rsid w:val="006E193A"/>
    <w:rsid w:val="006E2092"/>
    <w:rsid w:val="006E2458"/>
    <w:rsid w:val="006E2A8B"/>
    <w:rsid w:val="006E33BB"/>
    <w:rsid w:val="006E3557"/>
    <w:rsid w:val="006E3BBE"/>
    <w:rsid w:val="006E3E18"/>
    <w:rsid w:val="006E4292"/>
    <w:rsid w:val="006E4684"/>
    <w:rsid w:val="006E4916"/>
    <w:rsid w:val="006E4C82"/>
    <w:rsid w:val="006E60F9"/>
    <w:rsid w:val="006E67B6"/>
    <w:rsid w:val="006E71F7"/>
    <w:rsid w:val="006E7363"/>
    <w:rsid w:val="006E75E6"/>
    <w:rsid w:val="006E7868"/>
    <w:rsid w:val="006F1EA0"/>
    <w:rsid w:val="006F2428"/>
    <w:rsid w:val="006F3446"/>
    <w:rsid w:val="006F4224"/>
    <w:rsid w:val="006F422C"/>
    <w:rsid w:val="006F53A9"/>
    <w:rsid w:val="006F69F7"/>
    <w:rsid w:val="006F73BE"/>
    <w:rsid w:val="006F7DB0"/>
    <w:rsid w:val="007000D2"/>
    <w:rsid w:val="0070113C"/>
    <w:rsid w:val="007020E4"/>
    <w:rsid w:val="00702637"/>
    <w:rsid w:val="00702C80"/>
    <w:rsid w:val="00703317"/>
    <w:rsid w:val="00703C91"/>
    <w:rsid w:val="007049F1"/>
    <w:rsid w:val="00705329"/>
    <w:rsid w:val="00705DB2"/>
    <w:rsid w:val="007061A2"/>
    <w:rsid w:val="0070700E"/>
    <w:rsid w:val="007070DA"/>
    <w:rsid w:val="00710803"/>
    <w:rsid w:val="00710CE0"/>
    <w:rsid w:val="007112C7"/>
    <w:rsid w:val="00711C90"/>
    <w:rsid w:val="00712039"/>
    <w:rsid w:val="0071205D"/>
    <w:rsid w:val="00712504"/>
    <w:rsid w:val="007126FF"/>
    <w:rsid w:val="0071371F"/>
    <w:rsid w:val="007138E0"/>
    <w:rsid w:val="00714397"/>
    <w:rsid w:val="00714EA1"/>
    <w:rsid w:val="00715FE5"/>
    <w:rsid w:val="00716BC6"/>
    <w:rsid w:val="00717777"/>
    <w:rsid w:val="00720399"/>
    <w:rsid w:val="00720C52"/>
    <w:rsid w:val="00722506"/>
    <w:rsid w:val="007241B2"/>
    <w:rsid w:val="00724834"/>
    <w:rsid w:val="00725350"/>
    <w:rsid w:val="007260F1"/>
    <w:rsid w:val="00726E81"/>
    <w:rsid w:val="0073038B"/>
    <w:rsid w:val="007317C0"/>
    <w:rsid w:val="0073292D"/>
    <w:rsid w:val="00732E59"/>
    <w:rsid w:val="00733093"/>
    <w:rsid w:val="007334B7"/>
    <w:rsid w:val="007345F4"/>
    <w:rsid w:val="00735234"/>
    <w:rsid w:val="007363A5"/>
    <w:rsid w:val="00736A7A"/>
    <w:rsid w:val="00737719"/>
    <w:rsid w:val="00740791"/>
    <w:rsid w:val="00740A1C"/>
    <w:rsid w:val="00741293"/>
    <w:rsid w:val="00741788"/>
    <w:rsid w:val="00741FA3"/>
    <w:rsid w:val="00741FB7"/>
    <w:rsid w:val="00742571"/>
    <w:rsid w:val="00742A29"/>
    <w:rsid w:val="007431D3"/>
    <w:rsid w:val="007433E1"/>
    <w:rsid w:val="00745573"/>
    <w:rsid w:val="0074608C"/>
    <w:rsid w:val="00747455"/>
    <w:rsid w:val="00747D0A"/>
    <w:rsid w:val="00750517"/>
    <w:rsid w:val="007518AD"/>
    <w:rsid w:val="00751E46"/>
    <w:rsid w:val="007529FC"/>
    <w:rsid w:val="00752DAF"/>
    <w:rsid w:val="00753C96"/>
    <w:rsid w:val="00754432"/>
    <w:rsid w:val="00755009"/>
    <w:rsid w:val="00755E22"/>
    <w:rsid w:val="0075762A"/>
    <w:rsid w:val="00757965"/>
    <w:rsid w:val="00757CF9"/>
    <w:rsid w:val="00760773"/>
    <w:rsid w:val="0076270D"/>
    <w:rsid w:val="0076272D"/>
    <w:rsid w:val="00762D02"/>
    <w:rsid w:val="0076337C"/>
    <w:rsid w:val="00763458"/>
    <w:rsid w:val="00764228"/>
    <w:rsid w:val="007649B8"/>
    <w:rsid w:val="0076501B"/>
    <w:rsid w:val="00765CEC"/>
    <w:rsid w:val="007662E3"/>
    <w:rsid w:val="00766C4F"/>
    <w:rsid w:val="00767453"/>
    <w:rsid w:val="00767A78"/>
    <w:rsid w:val="00770F55"/>
    <w:rsid w:val="00772149"/>
    <w:rsid w:val="00772EC9"/>
    <w:rsid w:val="0077427A"/>
    <w:rsid w:val="00775312"/>
    <w:rsid w:val="0077543E"/>
    <w:rsid w:val="00776539"/>
    <w:rsid w:val="00776616"/>
    <w:rsid w:val="00777B27"/>
    <w:rsid w:val="00777B7D"/>
    <w:rsid w:val="00781640"/>
    <w:rsid w:val="00781747"/>
    <w:rsid w:val="00781876"/>
    <w:rsid w:val="00781D1F"/>
    <w:rsid w:val="0078200F"/>
    <w:rsid w:val="00782309"/>
    <w:rsid w:val="00782F8B"/>
    <w:rsid w:val="007841BE"/>
    <w:rsid w:val="007850DE"/>
    <w:rsid w:val="007867D4"/>
    <w:rsid w:val="00786B90"/>
    <w:rsid w:val="00787173"/>
    <w:rsid w:val="00790CF5"/>
    <w:rsid w:val="007914D3"/>
    <w:rsid w:val="00792B6C"/>
    <w:rsid w:val="00792D44"/>
    <w:rsid w:val="00793064"/>
    <w:rsid w:val="00793D45"/>
    <w:rsid w:val="00794486"/>
    <w:rsid w:val="0079547D"/>
    <w:rsid w:val="0079566D"/>
    <w:rsid w:val="007957C3"/>
    <w:rsid w:val="00795E59"/>
    <w:rsid w:val="00796615"/>
    <w:rsid w:val="0079716F"/>
    <w:rsid w:val="007A0112"/>
    <w:rsid w:val="007A0BED"/>
    <w:rsid w:val="007A1C2F"/>
    <w:rsid w:val="007A245C"/>
    <w:rsid w:val="007A338B"/>
    <w:rsid w:val="007A33BF"/>
    <w:rsid w:val="007A3422"/>
    <w:rsid w:val="007A3457"/>
    <w:rsid w:val="007A3DC4"/>
    <w:rsid w:val="007A55B6"/>
    <w:rsid w:val="007A56A0"/>
    <w:rsid w:val="007A6238"/>
    <w:rsid w:val="007A68DC"/>
    <w:rsid w:val="007A749B"/>
    <w:rsid w:val="007A7E4B"/>
    <w:rsid w:val="007B0F14"/>
    <w:rsid w:val="007B13EC"/>
    <w:rsid w:val="007B22F9"/>
    <w:rsid w:val="007B2A74"/>
    <w:rsid w:val="007B3A17"/>
    <w:rsid w:val="007B4C5F"/>
    <w:rsid w:val="007B5A3B"/>
    <w:rsid w:val="007B5B0C"/>
    <w:rsid w:val="007B6D66"/>
    <w:rsid w:val="007B72E4"/>
    <w:rsid w:val="007C065A"/>
    <w:rsid w:val="007C13B1"/>
    <w:rsid w:val="007C14E9"/>
    <w:rsid w:val="007C15F8"/>
    <w:rsid w:val="007C3033"/>
    <w:rsid w:val="007C4973"/>
    <w:rsid w:val="007C4A97"/>
    <w:rsid w:val="007C6974"/>
    <w:rsid w:val="007C6BDD"/>
    <w:rsid w:val="007C7185"/>
    <w:rsid w:val="007C71CF"/>
    <w:rsid w:val="007C7209"/>
    <w:rsid w:val="007D016C"/>
    <w:rsid w:val="007D0612"/>
    <w:rsid w:val="007D10D3"/>
    <w:rsid w:val="007D28C8"/>
    <w:rsid w:val="007D3A1B"/>
    <w:rsid w:val="007D3FE7"/>
    <w:rsid w:val="007D4255"/>
    <w:rsid w:val="007D5A4B"/>
    <w:rsid w:val="007D5A80"/>
    <w:rsid w:val="007D69F8"/>
    <w:rsid w:val="007D6C6A"/>
    <w:rsid w:val="007D74D9"/>
    <w:rsid w:val="007E087C"/>
    <w:rsid w:val="007E11C2"/>
    <w:rsid w:val="007E1AF9"/>
    <w:rsid w:val="007E2720"/>
    <w:rsid w:val="007E27CB"/>
    <w:rsid w:val="007E2B71"/>
    <w:rsid w:val="007E3234"/>
    <w:rsid w:val="007E3ACE"/>
    <w:rsid w:val="007E4064"/>
    <w:rsid w:val="007E48E5"/>
    <w:rsid w:val="007E4A03"/>
    <w:rsid w:val="007E56D3"/>
    <w:rsid w:val="007E6E53"/>
    <w:rsid w:val="007E737D"/>
    <w:rsid w:val="007F0E67"/>
    <w:rsid w:val="007F0EF4"/>
    <w:rsid w:val="007F18E7"/>
    <w:rsid w:val="007F20AD"/>
    <w:rsid w:val="007F221D"/>
    <w:rsid w:val="007F2FE9"/>
    <w:rsid w:val="007F3130"/>
    <w:rsid w:val="007F425D"/>
    <w:rsid w:val="007F492E"/>
    <w:rsid w:val="007F4BA5"/>
    <w:rsid w:val="007F5340"/>
    <w:rsid w:val="007F5785"/>
    <w:rsid w:val="007F5AF0"/>
    <w:rsid w:val="007F5F13"/>
    <w:rsid w:val="007F6B32"/>
    <w:rsid w:val="007F6B59"/>
    <w:rsid w:val="007F6D4E"/>
    <w:rsid w:val="007F74DA"/>
    <w:rsid w:val="007F7A91"/>
    <w:rsid w:val="0080045C"/>
    <w:rsid w:val="00802B80"/>
    <w:rsid w:val="00803521"/>
    <w:rsid w:val="00805553"/>
    <w:rsid w:val="0080556E"/>
    <w:rsid w:val="00805947"/>
    <w:rsid w:val="00805C34"/>
    <w:rsid w:val="008062E1"/>
    <w:rsid w:val="00806324"/>
    <w:rsid w:val="00806746"/>
    <w:rsid w:val="00807B65"/>
    <w:rsid w:val="00807C96"/>
    <w:rsid w:val="00810B79"/>
    <w:rsid w:val="008115E3"/>
    <w:rsid w:val="0081181C"/>
    <w:rsid w:val="00812975"/>
    <w:rsid w:val="00812B08"/>
    <w:rsid w:val="00813C57"/>
    <w:rsid w:val="008147C5"/>
    <w:rsid w:val="008149EE"/>
    <w:rsid w:val="00815FA1"/>
    <w:rsid w:val="008174B6"/>
    <w:rsid w:val="00817A24"/>
    <w:rsid w:val="00817F01"/>
    <w:rsid w:val="008202D9"/>
    <w:rsid w:val="00820E34"/>
    <w:rsid w:val="00822234"/>
    <w:rsid w:val="00822307"/>
    <w:rsid w:val="00822BF9"/>
    <w:rsid w:val="00825AAC"/>
    <w:rsid w:val="00825AFE"/>
    <w:rsid w:val="00826E7A"/>
    <w:rsid w:val="00827817"/>
    <w:rsid w:val="0082793C"/>
    <w:rsid w:val="00827D7C"/>
    <w:rsid w:val="00830463"/>
    <w:rsid w:val="0083092E"/>
    <w:rsid w:val="00831A33"/>
    <w:rsid w:val="00831A63"/>
    <w:rsid w:val="00832296"/>
    <w:rsid w:val="00832990"/>
    <w:rsid w:val="0083316D"/>
    <w:rsid w:val="00834C98"/>
    <w:rsid w:val="00835736"/>
    <w:rsid w:val="00835AEE"/>
    <w:rsid w:val="00836C20"/>
    <w:rsid w:val="00836DC7"/>
    <w:rsid w:val="00837477"/>
    <w:rsid w:val="008408D9"/>
    <w:rsid w:val="008424E9"/>
    <w:rsid w:val="00843863"/>
    <w:rsid w:val="008441B5"/>
    <w:rsid w:val="00844610"/>
    <w:rsid w:val="0084646B"/>
    <w:rsid w:val="00846A96"/>
    <w:rsid w:val="00846B32"/>
    <w:rsid w:val="0084728A"/>
    <w:rsid w:val="0084782E"/>
    <w:rsid w:val="00847983"/>
    <w:rsid w:val="008479CC"/>
    <w:rsid w:val="00847D81"/>
    <w:rsid w:val="00850090"/>
    <w:rsid w:val="00850495"/>
    <w:rsid w:val="008511DB"/>
    <w:rsid w:val="008520BF"/>
    <w:rsid w:val="008530FC"/>
    <w:rsid w:val="00853761"/>
    <w:rsid w:val="008537C0"/>
    <w:rsid w:val="0085516E"/>
    <w:rsid w:val="00856669"/>
    <w:rsid w:val="008579AF"/>
    <w:rsid w:val="00860060"/>
    <w:rsid w:val="008607AB"/>
    <w:rsid w:val="00860A85"/>
    <w:rsid w:val="00860EDD"/>
    <w:rsid w:val="0086135B"/>
    <w:rsid w:val="00861878"/>
    <w:rsid w:val="00862857"/>
    <w:rsid w:val="008628BF"/>
    <w:rsid w:val="0086345C"/>
    <w:rsid w:val="00863C93"/>
    <w:rsid w:val="00864732"/>
    <w:rsid w:val="00864AA3"/>
    <w:rsid w:val="00864B42"/>
    <w:rsid w:val="00865480"/>
    <w:rsid w:val="008665D4"/>
    <w:rsid w:val="00866EEC"/>
    <w:rsid w:val="008672E1"/>
    <w:rsid w:val="008701BD"/>
    <w:rsid w:val="008706DB"/>
    <w:rsid w:val="0087167F"/>
    <w:rsid w:val="008725B4"/>
    <w:rsid w:val="00872A40"/>
    <w:rsid w:val="00872CBE"/>
    <w:rsid w:val="00873756"/>
    <w:rsid w:val="00873EB5"/>
    <w:rsid w:val="00874275"/>
    <w:rsid w:val="00874634"/>
    <w:rsid w:val="00875314"/>
    <w:rsid w:val="00875A12"/>
    <w:rsid w:val="00877029"/>
    <w:rsid w:val="00880119"/>
    <w:rsid w:val="00881067"/>
    <w:rsid w:val="0088114D"/>
    <w:rsid w:val="0088150E"/>
    <w:rsid w:val="00882B62"/>
    <w:rsid w:val="00883392"/>
    <w:rsid w:val="008845D1"/>
    <w:rsid w:val="008846EA"/>
    <w:rsid w:val="008853A7"/>
    <w:rsid w:val="0088550E"/>
    <w:rsid w:val="00886013"/>
    <w:rsid w:val="00887C68"/>
    <w:rsid w:val="00887EB7"/>
    <w:rsid w:val="008900A9"/>
    <w:rsid w:val="0089046E"/>
    <w:rsid w:val="00891643"/>
    <w:rsid w:val="00891664"/>
    <w:rsid w:val="00892563"/>
    <w:rsid w:val="008929DB"/>
    <w:rsid w:val="0089438C"/>
    <w:rsid w:val="00895558"/>
    <w:rsid w:val="0089583E"/>
    <w:rsid w:val="00897439"/>
    <w:rsid w:val="008975A9"/>
    <w:rsid w:val="00897687"/>
    <w:rsid w:val="008A068F"/>
    <w:rsid w:val="008A06C3"/>
    <w:rsid w:val="008A1C7A"/>
    <w:rsid w:val="008A2E4A"/>
    <w:rsid w:val="008A3628"/>
    <w:rsid w:val="008A3743"/>
    <w:rsid w:val="008A40B2"/>
    <w:rsid w:val="008A42CA"/>
    <w:rsid w:val="008A7188"/>
    <w:rsid w:val="008A71F5"/>
    <w:rsid w:val="008A72DC"/>
    <w:rsid w:val="008A763F"/>
    <w:rsid w:val="008A7D55"/>
    <w:rsid w:val="008B06A7"/>
    <w:rsid w:val="008B1EA5"/>
    <w:rsid w:val="008B26E0"/>
    <w:rsid w:val="008B2E9C"/>
    <w:rsid w:val="008B3145"/>
    <w:rsid w:val="008B39D8"/>
    <w:rsid w:val="008B3B6C"/>
    <w:rsid w:val="008B60AD"/>
    <w:rsid w:val="008B61FC"/>
    <w:rsid w:val="008B71D2"/>
    <w:rsid w:val="008B7D62"/>
    <w:rsid w:val="008C0462"/>
    <w:rsid w:val="008C0DD3"/>
    <w:rsid w:val="008C19F5"/>
    <w:rsid w:val="008C1AB8"/>
    <w:rsid w:val="008C26A2"/>
    <w:rsid w:val="008C298B"/>
    <w:rsid w:val="008C2F42"/>
    <w:rsid w:val="008C3088"/>
    <w:rsid w:val="008C3182"/>
    <w:rsid w:val="008C336A"/>
    <w:rsid w:val="008C33F2"/>
    <w:rsid w:val="008C3B9D"/>
    <w:rsid w:val="008C50D7"/>
    <w:rsid w:val="008C51E0"/>
    <w:rsid w:val="008C5CBE"/>
    <w:rsid w:val="008C624D"/>
    <w:rsid w:val="008C6574"/>
    <w:rsid w:val="008C6A4E"/>
    <w:rsid w:val="008C79AC"/>
    <w:rsid w:val="008C7C25"/>
    <w:rsid w:val="008D1571"/>
    <w:rsid w:val="008D20BD"/>
    <w:rsid w:val="008D49B8"/>
    <w:rsid w:val="008D60B9"/>
    <w:rsid w:val="008D6229"/>
    <w:rsid w:val="008D6438"/>
    <w:rsid w:val="008D6BB6"/>
    <w:rsid w:val="008D7682"/>
    <w:rsid w:val="008D7B03"/>
    <w:rsid w:val="008D7F9D"/>
    <w:rsid w:val="008E0571"/>
    <w:rsid w:val="008E1A65"/>
    <w:rsid w:val="008E1C50"/>
    <w:rsid w:val="008E1F3C"/>
    <w:rsid w:val="008E2DD1"/>
    <w:rsid w:val="008E37C0"/>
    <w:rsid w:val="008E3B5A"/>
    <w:rsid w:val="008E3BC6"/>
    <w:rsid w:val="008E4552"/>
    <w:rsid w:val="008E4592"/>
    <w:rsid w:val="008E77BF"/>
    <w:rsid w:val="008E7B48"/>
    <w:rsid w:val="008F0087"/>
    <w:rsid w:val="008F0372"/>
    <w:rsid w:val="008F0A0F"/>
    <w:rsid w:val="008F0B48"/>
    <w:rsid w:val="008F1DBB"/>
    <w:rsid w:val="008F2DE4"/>
    <w:rsid w:val="008F3283"/>
    <w:rsid w:val="008F3337"/>
    <w:rsid w:val="008F3691"/>
    <w:rsid w:val="008F3D17"/>
    <w:rsid w:val="008F5D9E"/>
    <w:rsid w:val="008F626A"/>
    <w:rsid w:val="008F6346"/>
    <w:rsid w:val="008F66A1"/>
    <w:rsid w:val="008F74AA"/>
    <w:rsid w:val="008F7660"/>
    <w:rsid w:val="0090002B"/>
    <w:rsid w:val="009008ED"/>
    <w:rsid w:val="00900BB2"/>
    <w:rsid w:val="00900CD8"/>
    <w:rsid w:val="00900DF2"/>
    <w:rsid w:val="00900E5E"/>
    <w:rsid w:val="009014D3"/>
    <w:rsid w:val="009028D8"/>
    <w:rsid w:val="009033C9"/>
    <w:rsid w:val="009034F0"/>
    <w:rsid w:val="0090399F"/>
    <w:rsid w:val="00903E67"/>
    <w:rsid w:val="009051FA"/>
    <w:rsid w:val="009066D7"/>
    <w:rsid w:val="00906E50"/>
    <w:rsid w:val="009078CB"/>
    <w:rsid w:val="009105C2"/>
    <w:rsid w:val="00910713"/>
    <w:rsid w:val="00911AE6"/>
    <w:rsid w:val="009129E3"/>
    <w:rsid w:val="009133EC"/>
    <w:rsid w:val="00913CC1"/>
    <w:rsid w:val="00913ED5"/>
    <w:rsid w:val="00914308"/>
    <w:rsid w:val="0091631D"/>
    <w:rsid w:val="00916544"/>
    <w:rsid w:val="00916ABA"/>
    <w:rsid w:val="00917677"/>
    <w:rsid w:val="00917E68"/>
    <w:rsid w:val="00920314"/>
    <w:rsid w:val="00920546"/>
    <w:rsid w:val="00922081"/>
    <w:rsid w:val="009225CF"/>
    <w:rsid w:val="0092283D"/>
    <w:rsid w:val="0092361B"/>
    <w:rsid w:val="00923734"/>
    <w:rsid w:val="00923994"/>
    <w:rsid w:val="009244BC"/>
    <w:rsid w:val="0092515F"/>
    <w:rsid w:val="009257A0"/>
    <w:rsid w:val="00925B1C"/>
    <w:rsid w:val="00925B94"/>
    <w:rsid w:val="00926998"/>
    <w:rsid w:val="009276A8"/>
    <w:rsid w:val="00927FEB"/>
    <w:rsid w:val="009309CA"/>
    <w:rsid w:val="00930B43"/>
    <w:rsid w:val="00930F45"/>
    <w:rsid w:val="00931AD2"/>
    <w:rsid w:val="0093221C"/>
    <w:rsid w:val="00932394"/>
    <w:rsid w:val="00932C43"/>
    <w:rsid w:val="00932FD2"/>
    <w:rsid w:val="00934CC1"/>
    <w:rsid w:val="00934EB5"/>
    <w:rsid w:val="0093593A"/>
    <w:rsid w:val="00940180"/>
    <w:rsid w:val="009401E2"/>
    <w:rsid w:val="009409B8"/>
    <w:rsid w:val="00940C1C"/>
    <w:rsid w:val="00940CD4"/>
    <w:rsid w:val="00940DE1"/>
    <w:rsid w:val="00942BF3"/>
    <w:rsid w:val="00942E3B"/>
    <w:rsid w:val="00943B51"/>
    <w:rsid w:val="00944776"/>
    <w:rsid w:val="00944878"/>
    <w:rsid w:val="0094492D"/>
    <w:rsid w:val="009451DE"/>
    <w:rsid w:val="009454F1"/>
    <w:rsid w:val="00945D6E"/>
    <w:rsid w:val="0094605C"/>
    <w:rsid w:val="00946758"/>
    <w:rsid w:val="0094682E"/>
    <w:rsid w:val="009475A5"/>
    <w:rsid w:val="00947A10"/>
    <w:rsid w:val="00947A2F"/>
    <w:rsid w:val="00947C23"/>
    <w:rsid w:val="00947DCF"/>
    <w:rsid w:val="00950A44"/>
    <w:rsid w:val="00951AB5"/>
    <w:rsid w:val="0095220B"/>
    <w:rsid w:val="00953F35"/>
    <w:rsid w:val="0095490A"/>
    <w:rsid w:val="00954960"/>
    <w:rsid w:val="009557E7"/>
    <w:rsid w:val="00955A99"/>
    <w:rsid w:val="00956E3F"/>
    <w:rsid w:val="0095759A"/>
    <w:rsid w:val="009579D6"/>
    <w:rsid w:val="00957E99"/>
    <w:rsid w:val="00960266"/>
    <w:rsid w:val="00960353"/>
    <w:rsid w:val="00960DE9"/>
    <w:rsid w:val="00961146"/>
    <w:rsid w:val="009611F9"/>
    <w:rsid w:val="0096148B"/>
    <w:rsid w:val="009637FE"/>
    <w:rsid w:val="00963BFE"/>
    <w:rsid w:val="0096503F"/>
    <w:rsid w:val="009656C7"/>
    <w:rsid w:val="00965D1C"/>
    <w:rsid w:val="00966179"/>
    <w:rsid w:val="00967676"/>
    <w:rsid w:val="00970475"/>
    <w:rsid w:val="00971401"/>
    <w:rsid w:val="009730D9"/>
    <w:rsid w:val="009737E9"/>
    <w:rsid w:val="00973D2A"/>
    <w:rsid w:val="009740FE"/>
    <w:rsid w:val="00975706"/>
    <w:rsid w:val="00975749"/>
    <w:rsid w:val="00975861"/>
    <w:rsid w:val="00975AC6"/>
    <w:rsid w:val="00975D2B"/>
    <w:rsid w:val="00976613"/>
    <w:rsid w:val="00977C4C"/>
    <w:rsid w:val="00977E89"/>
    <w:rsid w:val="0098116D"/>
    <w:rsid w:val="009824CD"/>
    <w:rsid w:val="00982924"/>
    <w:rsid w:val="00983B6F"/>
    <w:rsid w:val="0098450D"/>
    <w:rsid w:val="0098596B"/>
    <w:rsid w:val="009867AA"/>
    <w:rsid w:val="009869D1"/>
    <w:rsid w:val="00990C3A"/>
    <w:rsid w:val="00991091"/>
    <w:rsid w:val="00991107"/>
    <w:rsid w:val="00993D52"/>
    <w:rsid w:val="009957C3"/>
    <w:rsid w:val="00995AB0"/>
    <w:rsid w:val="00995CB0"/>
    <w:rsid w:val="00995ED0"/>
    <w:rsid w:val="009964FD"/>
    <w:rsid w:val="0099682C"/>
    <w:rsid w:val="00997F47"/>
    <w:rsid w:val="009A0451"/>
    <w:rsid w:val="009A0B1A"/>
    <w:rsid w:val="009A1EF8"/>
    <w:rsid w:val="009A23B0"/>
    <w:rsid w:val="009A2A1E"/>
    <w:rsid w:val="009A2B7D"/>
    <w:rsid w:val="009A2BF3"/>
    <w:rsid w:val="009A3263"/>
    <w:rsid w:val="009A3DC8"/>
    <w:rsid w:val="009A4257"/>
    <w:rsid w:val="009A63AA"/>
    <w:rsid w:val="009A6721"/>
    <w:rsid w:val="009A710F"/>
    <w:rsid w:val="009A7C2F"/>
    <w:rsid w:val="009B09FF"/>
    <w:rsid w:val="009B0DC6"/>
    <w:rsid w:val="009B1395"/>
    <w:rsid w:val="009B2908"/>
    <w:rsid w:val="009B2977"/>
    <w:rsid w:val="009B2B8A"/>
    <w:rsid w:val="009B33AF"/>
    <w:rsid w:val="009B387C"/>
    <w:rsid w:val="009B3D57"/>
    <w:rsid w:val="009B4CDE"/>
    <w:rsid w:val="009B5832"/>
    <w:rsid w:val="009B697D"/>
    <w:rsid w:val="009B78F3"/>
    <w:rsid w:val="009C121E"/>
    <w:rsid w:val="009C12BA"/>
    <w:rsid w:val="009C2064"/>
    <w:rsid w:val="009C49AD"/>
    <w:rsid w:val="009C5629"/>
    <w:rsid w:val="009C63BA"/>
    <w:rsid w:val="009C6C5B"/>
    <w:rsid w:val="009C6FD6"/>
    <w:rsid w:val="009C7C9A"/>
    <w:rsid w:val="009C7DE0"/>
    <w:rsid w:val="009D0732"/>
    <w:rsid w:val="009D143A"/>
    <w:rsid w:val="009D1B60"/>
    <w:rsid w:val="009D290D"/>
    <w:rsid w:val="009D2D90"/>
    <w:rsid w:val="009D2E51"/>
    <w:rsid w:val="009D39B3"/>
    <w:rsid w:val="009D4CE9"/>
    <w:rsid w:val="009D53D3"/>
    <w:rsid w:val="009D588A"/>
    <w:rsid w:val="009D60EA"/>
    <w:rsid w:val="009D7449"/>
    <w:rsid w:val="009E200A"/>
    <w:rsid w:val="009E24A0"/>
    <w:rsid w:val="009E3062"/>
    <w:rsid w:val="009E38A4"/>
    <w:rsid w:val="009E3AC0"/>
    <w:rsid w:val="009E3FEB"/>
    <w:rsid w:val="009E4797"/>
    <w:rsid w:val="009F043B"/>
    <w:rsid w:val="009F04B8"/>
    <w:rsid w:val="009F0EA5"/>
    <w:rsid w:val="009F1502"/>
    <w:rsid w:val="009F1627"/>
    <w:rsid w:val="009F1747"/>
    <w:rsid w:val="009F1A8D"/>
    <w:rsid w:val="009F21DA"/>
    <w:rsid w:val="009F3216"/>
    <w:rsid w:val="009F3835"/>
    <w:rsid w:val="009F3862"/>
    <w:rsid w:val="009F4179"/>
    <w:rsid w:val="009F475E"/>
    <w:rsid w:val="009F47D7"/>
    <w:rsid w:val="009F4CD6"/>
    <w:rsid w:val="009F4F47"/>
    <w:rsid w:val="009F5725"/>
    <w:rsid w:val="009F5768"/>
    <w:rsid w:val="009F57FF"/>
    <w:rsid w:val="009F5BEF"/>
    <w:rsid w:val="009F71FF"/>
    <w:rsid w:val="009F7C94"/>
    <w:rsid w:val="00A0130D"/>
    <w:rsid w:val="00A019A6"/>
    <w:rsid w:val="00A0261F"/>
    <w:rsid w:val="00A040BA"/>
    <w:rsid w:val="00A05F67"/>
    <w:rsid w:val="00A0620D"/>
    <w:rsid w:val="00A07C00"/>
    <w:rsid w:val="00A10003"/>
    <w:rsid w:val="00A1006F"/>
    <w:rsid w:val="00A10B88"/>
    <w:rsid w:val="00A10F91"/>
    <w:rsid w:val="00A11235"/>
    <w:rsid w:val="00A11389"/>
    <w:rsid w:val="00A11F00"/>
    <w:rsid w:val="00A1269B"/>
    <w:rsid w:val="00A1296F"/>
    <w:rsid w:val="00A12E25"/>
    <w:rsid w:val="00A134FD"/>
    <w:rsid w:val="00A14CD2"/>
    <w:rsid w:val="00A16844"/>
    <w:rsid w:val="00A175CF"/>
    <w:rsid w:val="00A176E2"/>
    <w:rsid w:val="00A17D3E"/>
    <w:rsid w:val="00A205B1"/>
    <w:rsid w:val="00A209D9"/>
    <w:rsid w:val="00A20C1F"/>
    <w:rsid w:val="00A2162A"/>
    <w:rsid w:val="00A217ED"/>
    <w:rsid w:val="00A21CFC"/>
    <w:rsid w:val="00A21F56"/>
    <w:rsid w:val="00A22F79"/>
    <w:rsid w:val="00A232C9"/>
    <w:rsid w:val="00A237EE"/>
    <w:rsid w:val="00A23BDC"/>
    <w:rsid w:val="00A2404D"/>
    <w:rsid w:val="00A24E1E"/>
    <w:rsid w:val="00A25610"/>
    <w:rsid w:val="00A256A2"/>
    <w:rsid w:val="00A27828"/>
    <w:rsid w:val="00A27867"/>
    <w:rsid w:val="00A30D10"/>
    <w:rsid w:val="00A30EF1"/>
    <w:rsid w:val="00A32BC2"/>
    <w:rsid w:val="00A3323F"/>
    <w:rsid w:val="00A34CDE"/>
    <w:rsid w:val="00A34F62"/>
    <w:rsid w:val="00A36692"/>
    <w:rsid w:val="00A369FE"/>
    <w:rsid w:val="00A36D92"/>
    <w:rsid w:val="00A4027D"/>
    <w:rsid w:val="00A40289"/>
    <w:rsid w:val="00A40B14"/>
    <w:rsid w:val="00A41BE5"/>
    <w:rsid w:val="00A41D0B"/>
    <w:rsid w:val="00A42475"/>
    <w:rsid w:val="00A43286"/>
    <w:rsid w:val="00A436A0"/>
    <w:rsid w:val="00A4393E"/>
    <w:rsid w:val="00A44798"/>
    <w:rsid w:val="00A45B6A"/>
    <w:rsid w:val="00A46F7B"/>
    <w:rsid w:val="00A47672"/>
    <w:rsid w:val="00A50F42"/>
    <w:rsid w:val="00A518C7"/>
    <w:rsid w:val="00A51919"/>
    <w:rsid w:val="00A524CF"/>
    <w:rsid w:val="00A530C8"/>
    <w:rsid w:val="00A530E5"/>
    <w:rsid w:val="00A533ED"/>
    <w:rsid w:val="00A534DE"/>
    <w:rsid w:val="00A538AD"/>
    <w:rsid w:val="00A53C99"/>
    <w:rsid w:val="00A5469A"/>
    <w:rsid w:val="00A5658C"/>
    <w:rsid w:val="00A572C6"/>
    <w:rsid w:val="00A60935"/>
    <w:rsid w:val="00A6155C"/>
    <w:rsid w:val="00A61737"/>
    <w:rsid w:val="00A61FBE"/>
    <w:rsid w:val="00A62450"/>
    <w:rsid w:val="00A627AC"/>
    <w:rsid w:val="00A62A7B"/>
    <w:rsid w:val="00A62C63"/>
    <w:rsid w:val="00A63429"/>
    <w:rsid w:val="00A6370F"/>
    <w:rsid w:val="00A63BEC"/>
    <w:rsid w:val="00A63D3E"/>
    <w:rsid w:val="00A64059"/>
    <w:rsid w:val="00A64206"/>
    <w:rsid w:val="00A64DB5"/>
    <w:rsid w:val="00A65606"/>
    <w:rsid w:val="00A66D25"/>
    <w:rsid w:val="00A670BA"/>
    <w:rsid w:val="00A67F55"/>
    <w:rsid w:val="00A73C3C"/>
    <w:rsid w:val="00A74A68"/>
    <w:rsid w:val="00A7636E"/>
    <w:rsid w:val="00A76BA5"/>
    <w:rsid w:val="00A7773A"/>
    <w:rsid w:val="00A7785B"/>
    <w:rsid w:val="00A8148B"/>
    <w:rsid w:val="00A8218F"/>
    <w:rsid w:val="00A82396"/>
    <w:rsid w:val="00A8283E"/>
    <w:rsid w:val="00A828E8"/>
    <w:rsid w:val="00A82DBA"/>
    <w:rsid w:val="00A835A0"/>
    <w:rsid w:val="00A83785"/>
    <w:rsid w:val="00A8567A"/>
    <w:rsid w:val="00A86CC3"/>
    <w:rsid w:val="00A871EF"/>
    <w:rsid w:val="00A87212"/>
    <w:rsid w:val="00A900EF"/>
    <w:rsid w:val="00A912E4"/>
    <w:rsid w:val="00A91BBB"/>
    <w:rsid w:val="00A91E95"/>
    <w:rsid w:val="00A92B39"/>
    <w:rsid w:val="00A92FA0"/>
    <w:rsid w:val="00A93CCB"/>
    <w:rsid w:val="00A9453F"/>
    <w:rsid w:val="00A94975"/>
    <w:rsid w:val="00A94FC9"/>
    <w:rsid w:val="00A95A65"/>
    <w:rsid w:val="00A96A47"/>
    <w:rsid w:val="00A97173"/>
    <w:rsid w:val="00A97524"/>
    <w:rsid w:val="00AA0381"/>
    <w:rsid w:val="00AA188D"/>
    <w:rsid w:val="00AA1F0C"/>
    <w:rsid w:val="00AA2171"/>
    <w:rsid w:val="00AA2259"/>
    <w:rsid w:val="00AA4E42"/>
    <w:rsid w:val="00AA6367"/>
    <w:rsid w:val="00AA6F57"/>
    <w:rsid w:val="00AA71F1"/>
    <w:rsid w:val="00AA7666"/>
    <w:rsid w:val="00AA79F6"/>
    <w:rsid w:val="00AB03C1"/>
    <w:rsid w:val="00AB06F9"/>
    <w:rsid w:val="00AB073E"/>
    <w:rsid w:val="00AB0891"/>
    <w:rsid w:val="00AB1CB9"/>
    <w:rsid w:val="00AB239A"/>
    <w:rsid w:val="00AB2E67"/>
    <w:rsid w:val="00AB2E88"/>
    <w:rsid w:val="00AB396E"/>
    <w:rsid w:val="00AB65CC"/>
    <w:rsid w:val="00AB72E1"/>
    <w:rsid w:val="00AB74BC"/>
    <w:rsid w:val="00AC1053"/>
    <w:rsid w:val="00AC13BF"/>
    <w:rsid w:val="00AC1862"/>
    <w:rsid w:val="00AC24FF"/>
    <w:rsid w:val="00AC4658"/>
    <w:rsid w:val="00AC4A1E"/>
    <w:rsid w:val="00AC4C46"/>
    <w:rsid w:val="00AC58B4"/>
    <w:rsid w:val="00AC66ED"/>
    <w:rsid w:val="00AC7518"/>
    <w:rsid w:val="00AD059A"/>
    <w:rsid w:val="00AD08FD"/>
    <w:rsid w:val="00AD0CE8"/>
    <w:rsid w:val="00AD0DA1"/>
    <w:rsid w:val="00AD384D"/>
    <w:rsid w:val="00AD3CDF"/>
    <w:rsid w:val="00AD4309"/>
    <w:rsid w:val="00AD46B7"/>
    <w:rsid w:val="00AD4C4D"/>
    <w:rsid w:val="00AD4C6B"/>
    <w:rsid w:val="00AD66CD"/>
    <w:rsid w:val="00AD6BCB"/>
    <w:rsid w:val="00AD76B9"/>
    <w:rsid w:val="00AD7F7A"/>
    <w:rsid w:val="00AE05CC"/>
    <w:rsid w:val="00AE1415"/>
    <w:rsid w:val="00AE14E2"/>
    <w:rsid w:val="00AE2ACC"/>
    <w:rsid w:val="00AE30A9"/>
    <w:rsid w:val="00AE39D1"/>
    <w:rsid w:val="00AE54E7"/>
    <w:rsid w:val="00AF1EF4"/>
    <w:rsid w:val="00AF204F"/>
    <w:rsid w:val="00AF4141"/>
    <w:rsid w:val="00AF4403"/>
    <w:rsid w:val="00AF44CE"/>
    <w:rsid w:val="00AF45F8"/>
    <w:rsid w:val="00AF4B6A"/>
    <w:rsid w:val="00AF5AC0"/>
    <w:rsid w:val="00AF6414"/>
    <w:rsid w:val="00AF6BA7"/>
    <w:rsid w:val="00AF6F04"/>
    <w:rsid w:val="00AF7F2B"/>
    <w:rsid w:val="00B000E0"/>
    <w:rsid w:val="00B02999"/>
    <w:rsid w:val="00B032CB"/>
    <w:rsid w:val="00B034E8"/>
    <w:rsid w:val="00B0610F"/>
    <w:rsid w:val="00B062F3"/>
    <w:rsid w:val="00B06BEC"/>
    <w:rsid w:val="00B1068A"/>
    <w:rsid w:val="00B11136"/>
    <w:rsid w:val="00B11748"/>
    <w:rsid w:val="00B12888"/>
    <w:rsid w:val="00B12939"/>
    <w:rsid w:val="00B1324C"/>
    <w:rsid w:val="00B1390B"/>
    <w:rsid w:val="00B13A81"/>
    <w:rsid w:val="00B13EEE"/>
    <w:rsid w:val="00B1416A"/>
    <w:rsid w:val="00B14A88"/>
    <w:rsid w:val="00B14F42"/>
    <w:rsid w:val="00B154B2"/>
    <w:rsid w:val="00B155E0"/>
    <w:rsid w:val="00B1581D"/>
    <w:rsid w:val="00B1647D"/>
    <w:rsid w:val="00B165D6"/>
    <w:rsid w:val="00B17952"/>
    <w:rsid w:val="00B2076D"/>
    <w:rsid w:val="00B20CD9"/>
    <w:rsid w:val="00B21321"/>
    <w:rsid w:val="00B216D1"/>
    <w:rsid w:val="00B2479E"/>
    <w:rsid w:val="00B247E9"/>
    <w:rsid w:val="00B25464"/>
    <w:rsid w:val="00B26281"/>
    <w:rsid w:val="00B27635"/>
    <w:rsid w:val="00B27D35"/>
    <w:rsid w:val="00B31014"/>
    <w:rsid w:val="00B31A1D"/>
    <w:rsid w:val="00B328F0"/>
    <w:rsid w:val="00B34FFB"/>
    <w:rsid w:val="00B36C7A"/>
    <w:rsid w:val="00B37219"/>
    <w:rsid w:val="00B410EA"/>
    <w:rsid w:val="00B4195C"/>
    <w:rsid w:val="00B41EE1"/>
    <w:rsid w:val="00B42FAB"/>
    <w:rsid w:val="00B431CC"/>
    <w:rsid w:val="00B435B5"/>
    <w:rsid w:val="00B4392E"/>
    <w:rsid w:val="00B4486F"/>
    <w:rsid w:val="00B44981"/>
    <w:rsid w:val="00B44CCF"/>
    <w:rsid w:val="00B44F5C"/>
    <w:rsid w:val="00B46458"/>
    <w:rsid w:val="00B46735"/>
    <w:rsid w:val="00B477FB"/>
    <w:rsid w:val="00B50715"/>
    <w:rsid w:val="00B50C9A"/>
    <w:rsid w:val="00B51CF6"/>
    <w:rsid w:val="00B522AA"/>
    <w:rsid w:val="00B52309"/>
    <w:rsid w:val="00B531CD"/>
    <w:rsid w:val="00B547C8"/>
    <w:rsid w:val="00B5505D"/>
    <w:rsid w:val="00B555B1"/>
    <w:rsid w:val="00B5661C"/>
    <w:rsid w:val="00B567FB"/>
    <w:rsid w:val="00B6199B"/>
    <w:rsid w:val="00B620BC"/>
    <w:rsid w:val="00B6226B"/>
    <w:rsid w:val="00B64B35"/>
    <w:rsid w:val="00B655CB"/>
    <w:rsid w:val="00B668E9"/>
    <w:rsid w:val="00B66E76"/>
    <w:rsid w:val="00B66E78"/>
    <w:rsid w:val="00B67336"/>
    <w:rsid w:val="00B67B38"/>
    <w:rsid w:val="00B70FAD"/>
    <w:rsid w:val="00B72063"/>
    <w:rsid w:val="00B721EF"/>
    <w:rsid w:val="00B72ADB"/>
    <w:rsid w:val="00B72F0F"/>
    <w:rsid w:val="00B74912"/>
    <w:rsid w:val="00B756B6"/>
    <w:rsid w:val="00B75E97"/>
    <w:rsid w:val="00B7742A"/>
    <w:rsid w:val="00B77CAB"/>
    <w:rsid w:val="00B81EA0"/>
    <w:rsid w:val="00B8290E"/>
    <w:rsid w:val="00B8351C"/>
    <w:rsid w:val="00B849E9"/>
    <w:rsid w:val="00B84A96"/>
    <w:rsid w:val="00B863A7"/>
    <w:rsid w:val="00B876F5"/>
    <w:rsid w:val="00B8793D"/>
    <w:rsid w:val="00B909F3"/>
    <w:rsid w:val="00B90F11"/>
    <w:rsid w:val="00B9107D"/>
    <w:rsid w:val="00B91899"/>
    <w:rsid w:val="00B91B93"/>
    <w:rsid w:val="00B92EB7"/>
    <w:rsid w:val="00B9484A"/>
    <w:rsid w:val="00B96824"/>
    <w:rsid w:val="00B96ADA"/>
    <w:rsid w:val="00B96D16"/>
    <w:rsid w:val="00BA1BDA"/>
    <w:rsid w:val="00BA3382"/>
    <w:rsid w:val="00BA3A0B"/>
    <w:rsid w:val="00BA4644"/>
    <w:rsid w:val="00BA52AF"/>
    <w:rsid w:val="00BA5998"/>
    <w:rsid w:val="00BA5D24"/>
    <w:rsid w:val="00BA5FC7"/>
    <w:rsid w:val="00BA63A0"/>
    <w:rsid w:val="00BA68F6"/>
    <w:rsid w:val="00BA6D0B"/>
    <w:rsid w:val="00BA7C2C"/>
    <w:rsid w:val="00BB0074"/>
    <w:rsid w:val="00BB01B5"/>
    <w:rsid w:val="00BB19C4"/>
    <w:rsid w:val="00BB1A15"/>
    <w:rsid w:val="00BB1A23"/>
    <w:rsid w:val="00BB1CD4"/>
    <w:rsid w:val="00BB1E3B"/>
    <w:rsid w:val="00BB2194"/>
    <w:rsid w:val="00BB2552"/>
    <w:rsid w:val="00BB257F"/>
    <w:rsid w:val="00BB43EF"/>
    <w:rsid w:val="00BB49E3"/>
    <w:rsid w:val="00BB4B9D"/>
    <w:rsid w:val="00BB4D8D"/>
    <w:rsid w:val="00BB5021"/>
    <w:rsid w:val="00BB570E"/>
    <w:rsid w:val="00BB5DC4"/>
    <w:rsid w:val="00BB717A"/>
    <w:rsid w:val="00BB7FE6"/>
    <w:rsid w:val="00BC022F"/>
    <w:rsid w:val="00BC051A"/>
    <w:rsid w:val="00BC0769"/>
    <w:rsid w:val="00BC09AA"/>
    <w:rsid w:val="00BC18AF"/>
    <w:rsid w:val="00BC29FA"/>
    <w:rsid w:val="00BC2A44"/>
    <w:rsid w:val="00BC300D"/>
    <w:rsid w:val="00BC396A"/>
    <w:rsid w:val="00BC3C65"/>
    <w:rsid w:val="00BC3DBF"/>
    <w:rsid w:val="00BC55E0"/>
    <w:rsid w:val="00BC73B3"/>
    <w:rsid w:val="00BC7912"/>
    <w:rsid w:val="00BC7D89"/>
    <w:rsid w:val="00BD08EF"/>
    <w:rsid w:val="00BD0CB6"/>
    <w:rsid w:val="00BD2056"/>
    <w:rsid w:val="00BD230C"/>
    <w:rsid w:val="00BD252C"/>
    <w:rsid w:val="00BD3332"/>
    <w:rsid w:val="00BD3AD3"/>
    <w:rsid w:val="00BD47CB"/>
    <w:rsid w:val="00BD4962"/>
    <w:rsid w:val="00BD5501"/>
    <w:rsid w:val="00BD6EB3"/>
    <w:rsid w:val="00BD72D9"/>
    <w:rsid w:val="00BE060B"/>
    <w:rsid w:val="00BE155A"/>
    <w:rsid w:val="00BE1DF0"/>
    <w:rsid w:val="00BE43E1"/>
    <w:rsid w:val="00BE7044"/>
    <w:rsid w:val="00BE7085"/>
    <w:rsid w:val="00BF01FA"/>
    <w:rsid w:val="00BF2784"/>
    <w:rsid w:val="00BF30E1"/>
    <w:rsid w:val="00BF44E3"/>
    <w:rsid w:val="00BF5389"/>
    <w:rsid w:val="00BF54D2"/>
    <w:rsid w:val="00BF5EC6"/>
    <w:rsid w:val="00BF6220"/>
    <w:rsid w:val="00BF62A0"/>
    <w:rsid w:val="00BF6359"/>
    <w:rsid w:val="00BF64BD"/>
    <w:rsid w:val="00BF6DCE"/>
    <w:rsid w:val="00BF77D9"/>
    <w:rsid w:val="00BF7D15"/>
    <w:rsid w:val="00C021F7"/>
    <w:rsid w:val="00C022EF"/>
    <w:rsid w:val="00C02732"/>
    <w:rsid w:val="00C02BBB"/>
    <w:rsid w:val="00C03696"/>
    <w:rsid w:val="00C0379A"/>
    <w:rsid w:val="00C0392F"/>
    <w:rsid w:val="00C039E9"/>
    <w:rsid w:val="00C04529"/>
    <w:rsid w:val="00C0491C"/>
    <w:rsid w:val="00C0575F"/>
    <w:rsid w:val="00C05843"/>
    <w:rsid w:val="00C06C17"/>
    <w:rsid w:val="00C06E16"/>
    <w:rsid w:val="00C07216"/>
    <w:rsid w:val="00C07360"/>
    <w:rsid w:val="00C1048F"/>
    <w:rsid w:val="00C10EE9"/>
    <w:rsid w:val="00C123BD"/>
    <w:rsid w:val="00C123DB"/>
    <w:rsid w:val="00C124F1"/>
    <w:rsid w:val="00C1278A"/>
    <w:rsid w:val="00C13745"/>
    <w:rsid w:val="00C13A76"/>
    <w:rsid w:val="00C13C46"/>
    <w:rsid w:val="00C14888"/>
    <w:rsid w:val="00C14963"/>
    <w:rsid w:val="00C1500A"/>
    <w:rsid w:val="00C16209"/>
    <w:rsid w:val="00C165D9"/>
    <w:rsid w:val="00C171FD"/>
    <w:rsid w:val="00C1758C"/>
    <w:rsid w:val="00C17C5A"/>
    <w:rsid w:val="00C2091B"/>
    <w:rsid w:val="00C20BE4"/>
    <w:rsid w:val="00C20C56"/>
    <w:rsid w:val="00C21356"/>
    <w:rsid w:val="00C2160C"/>
    <w:rsid w:val="00C2177D"/>
    <w:rsid w:val="00C22DDB"/>
    <w:rsid w:val="00C22E49"/>
    <w:rsid w:val="00C22E50"/>
    <w:rsid w:val="00C26EB1"/>
    <w:rsid w:val="00C277F1"/>
    <w:rsid w:val="00C3038C"/>
    <w:rsid w:val="00C3101A"/>
    <w:rsid w:val="00C31978"/>
    <w:rsid w:val="00C319B0"/>
    <w:rsid w:val="00C32CD1"/>
    <w:rsid w:val="00C34FED"/>
    <w:rsid w:val="00C35389"/>
    <w:rsid w:val="00C35C7B"/>
    <w:rsid w:val="00C366A4"/>
    <w:rsid w:val="00C378B7"/>
    <w:rsid w:val="00C409DE"/>
    <w:rsid w:val="00C40BAD"/>
    <w:rsid w:val="00C42B37"/>
    <w:rsid w:val="00C4373D"/>
    <w:rsid w:val="00C43819"/>
    <w:rsid w:val="00C4381B"/>
    <w:rsid w:val="00C44B71"/>
    <w:rsid w:val="00C453F3"/>
    <w:rsid w:val="00C464B6"/>
    <w:rsid w:val="00C46817"/>
    <w:rsid w:val="00C4695F"/>
    <w:rsid w:val="00C46A11"/>
    <w:rsid w:val="00C475B4"/>
    <w:rsid w:val="00C47EEE"/>
    <w:rsid w:val="00C51730"/>
    <w:rsid w:val="00C51D93"/>
    <w:rsid w:val="00C51DB7"/>
    <w:rsid w:val="00C521E3"/>
    <w:rsid w:val="00C52C9F"/>
    <w:rsid w:val="00C53617"/>
    <w:rsid w:val="00C53AB1"/>
    <w:rsid w:val="00C53DB2"/>
    <w:rsid w:val="00C53F5F"/>
    <w:rsid w:val="00C56080"/>
    <w:rsid w:val="00C562BA"/>
    <w:rsid w:val="00C562DE"/>
    <w:rsid w:val="00C5633C"/>
    <w:rsid w:val="00C56747"/>
    <w:rsid w:val="00C56CE5"/>
    <w:rsid w:val="00C575CF"/>
    <w:rsid w:val="00C57BE7"/>
    <w:rsid w:val="00C60387"/>
    <w:rsid w:val="00C61030"/>
    <w:rsid w:val="00C6137F"/>
    <w:rsid w:val="00C61B51"/>
    <w:rsid w:val="00C64792"/>
    <w:rsid w:val="00C66018"/>
    <w:rsid w:val="00C6652F"/>
    <w:rsid w:val="00C666B0"/>
    <w:rsid w:val="00C702C5"/>
    <w:rsid w:val="00C70434"/>
    <w:rsid w:val="00C708DD"/>
    <w:rsid w:val="00C71C4F"/>
    <w:rsid w:val="00C71CB9"/>
    <w:rsid w:val="00C72310"/>
    <w:rsid w:val="00C72B6A"/>
    <w:rsid w:val="00C7518B"/>
    <w:rsid w:val="00C7613C"/>
    <w:rsid w:val="00C767EB"/>
    <w:rsid w:val="00C769A3"/>
    <w:rsid w:val="00C772B1"/>
    <w:rsid w:val="00C77BCF"/>
    <w:rsid w:val="00C77D53"/>
    <w:rsid w:val="00C81A37"/>
    <w:rsid w:val="00C82559"/>
    <w:rsid w:val="00C82675"/>
    <w:rsid w:val="00C8286B"/>
    <w:rsid w:val="00C83B85"/>
    <w:rsid w:val="00C83DCE"/>
    <w:rsid w:val="00C84056"/>
    <w:rsid w:val="00C84B64"/>
    <w:rsid w:val="00C84E27"/>
    <w:rsid w:val="00C8556B"/>
    <w:rsid w:val="00C855F8"/>
    <w:rsid w:val="00C85638"/>
    <w:rsid w:val="00C85AFA"/>
    <w:rsid w:val="00C85D61"/>
    <w:rsid w:val="00C864B1"/>
    <w:rsid w:val="00C866B4"/>
    <w:rsid w:val="00C86CEE"/>
    <w:rsid w:val="00C86E6F"/>
    <w:rsid w:val="00C87427"/>
    <w:rsid w:val="00C876DF"/>
    <w:rsid w:val="00C877B6"/>
    <w:rsid w:val="00C90956"/>
    <w:rsid w:val="00C92002"/>
    <w:rsid w:val="00C92D13"/>
    <w:rsid w:val="00C93071"/>
    <w:rsid w:val="00C94699"/>
    <w:rsid w:val="00C9551B"/>
    <w:rsid w:val="00C95D2A"/>
    <w:rsid w:val="00C95E05"/>
    <w:rsid w:val="00C961C7"/>
    <w:rsid w:val="00C977A6"/>
    <w:rsid w:val="00C97ACB"/>
    <w:rsid w:val="00C97F57"/>
    <w:rsid w:val="00CA114F"/>
    <w:rsid w:val="00CA505F"/>
    <w:rsid w:val="00CA5953"/>
    <w:rsid w:val="00CA6296"/>
    <w:rsid w:val="00CA63EA"/>
    <w:rsid w:val="00CA6CD0"/>
    <w:rsid w:val="00CB0133"/>
    <w:rsid w:val="00CB05A1"/>
    <w:rsid w:val="00CB0ED7"/>
    <w:rsid w:val="00CB24A7"/>
    <w:rsid w:val="00CB38C8"/>
    <w:rsid w:val="00CB394F"/>
    <w:rsid w:val="00CB39F5"/>
    <w:rsid w:val="00CB3AF9"/>
    <w:rsid w:val="00CB3B9F"/>
    <w:rsid w:val="00CB4607"/>
    <w:rsid w:val="00CB461A"/>
    <w:rsid w:val="00CB4C2C"/>
    <w:rsid w:val="00CB5A2A"/>
    <w:rsid w:val="00CB659A"/>
    <w:rsid w:val="00CB7100"/>
    <w:rsid w:val="00CB7478"/>
    <w:rsid w:val="00CB74F9"/>
    <w:rsid w:val="00CC2BD6"/>
    <w:rsid w:val="00CC2E4C"/>
    <w:rsid w:val="00CC3903"/>
    <w:rsid w:val="00CC4EB3"/>
    <w:rsid w:val="00CC5144"/>
    <w:rsid w:val="00CC6748"/>
    <w:rsid w:val="00CC72C7"/>
    <w:rsid w:val="00CC760D"/>
    <w:rsid w:val="00CD0864"/>
    <w:rsid w:val="00CD0BB5"/>
    <w:rsid w:val="00CD1788"/>
    <w:rsid w:val="00CD2A8F"/>
    <w:rsid w:val="00CD2EDA"/>
    <w:rsid w:val="00CD54BD"/>
    <w:rsid w:val="00CD5511"/>
    <w:rsid w:val="00CD55D6"/>
    <w:rsid w:val="00CD5A9E"/>
    <w:rsid w:val="00CD7459"/>
    <w:rsid w:val="00CD75A8"/>
    <w:rsid w:val="00CD7AE3"/>
    <w:rsid w:val="00CD7C4E"/>
    <w:rsid w:val="00CE003E"/>
    <w:rsid w:val="00CE0D0A"/>
    <w:rsid w:val="00CE0D1F"/>
    <w:rsid w:val="00CE2907"/>
    <w:rsid w:val="00CE5074"/>
    <w:rsid w:val="00CE644B"/>
    <w:rsid w:val="00CF0173"/>
    <w:rsid w:val="00CF0A15"/>
    <w:rsid w:val="00CF0EE0"/>
    <w:rsid w:val="00CF1C6E"/>
    <w:rsid w:val="00CF2215"/>
    <w:rsid w:val="00CF337D"/>
    <w:rsid w:val="00CF4690"/>
    <w:rsid w:val="00CF5C78"/>
    <w:rsid w:val="00CF6B17"/>
    <w:rsid w:val="00CF70B4"/>
    <w:rsid w:val="00CF71E9"/>
    <w:rsid w:val="00D00E03"/>
    <w:rsid w:val="00D011B3"/>
    <w:rsid w:val="00D02BA9"/>
    <w:rsid w:val="00D03D7D"/>
    <w:rsid w:val="00D03F44"/>
    <w:rsid w:val="00D040E0"/>
    <w:rsid w:val="00D04DC3"/>
    <w:rsid w:val="00D054F9"/>
    <w:rsid w:val="00D06BE9"/>
    <w:rsid w:val="00D07249"/>
    <w:rsid w:val="00D07D8E"/>
    <w:rsid w:val="00D101C6"/>
    <w:rsid w:val="00D107B3"/>
    <w:rsid w:val="00D10CA9"/>
    <w:rsid w:val="00D10EEB"/>
    <w:rsid w:val="00D11D7E"/>
    <w:rsid w:val="00D1318D"/>
    <w:rsid w:val="00D13EC4"/>
    <w:rsid w:val="00D13F67"/>
    <w:rsid w:val="00D14037"/>
    <w:rsid w:val="00D152F1"/>
    <w:rsid w:val="00D174BB"/>
    <w:rsid w:val="00D2081E"/>
    <w:rsid w:val="00D20AC5"/>
    <w:rsid w:val="00D23751"/>
    <w:rsid w:val="00D23AAE"/>
    <w:rsid w:val="00D2525A"/>
    <w:rsid w:val="00D257D3"/>
    <w:rsid w:val="00D25D56"/>
    <w:rsid w:val="00D26008"/>
    <w:rsid w:val="00D26847"/>
    <w:rsid w:val="00D304F1"/>
    <w:rsid w:val="00D31A06"/>
    <w:rsid w:val="00D31B9C"/>
    <w:rsid w:val="00D31EC3"/>
    <w:rsid w:val="00D33861"/>
    <w:rsid w:val="00D33B6B"/>
    <w:rsid w:val="00D33CA6"/>
    <w:rsid w:val="00D3462C"/>
    <w:rsid w:val="00D3477C"/>
    <w:rsid w:val="00D34B28"/>
    <w:rsid w:val="00D3547A"/>
    <w:rsid w:val="00D41058"/>
    <w:rsid w:val="00D436F5"/>
    <w:rsid w:val="00D442B9"/>
    <w:rsid w:val="00D45373"/>
    <w:rsid w:val="00D46836"/>
    <w:rsid w:val="00D47091"/>
    <w:rsid w:val="00D47924"/>
    <w:rsid w:val="00D500C1"/>
    <w:rsid w:val="00D501F0"/>
    <w:rsid w:val="00D5035A"/>
    <w:rsid w:val="00D50746"/>
    <w:rsid w:val="00D5084F"/>
    <w:rsid w:val="00D5118B"/>
    <w:rsid w:val="00D524AB"/>
    <w:rsid w:val="00D525BA"/>
    <w:rsid w:val="00D528FA"/>
    <w:rsid w:val="00D52E05"/>
    <w:rsid w:val="00D52FE5"/>
    <w:rsid w:val="00D531CD"/>
    <w:rsid w:val="00D553A4"/>
    <w:rsid w:val="00D55824"/>
    <w:rsid w:val="00D561EE"/>
    <w:rsid w:val="00D56CE3"/>
    <w:rsid w:val="00D575B9"/>
    <w:rsid w:val="00D60A9B"/>
    <w:rsid w:val="00D60C3A"/>
    <w:rsid w:val="00D6260D"/>
    <w:rsid w:val="00D62AA9"/>
    <w:rsid w:val="00D6347A"/>
    <w:rsid w:val="00D636C1"/>
    <w:rsid w:val="00D64156"/>
    <w:rsid w:val="00D6421A"/>
    <w:rsid w:val="00D65E7A"/>
    <w:rsid w:val="00D6662B"/>
    <w:rsid w:val="00D67E8A"/>
    <w:rsid w:val="00D7062A"/>
    <w:rsid w:val="00D7080D"/>
    <w:rsid w:val="00D717D5"/>
    <w:rsid w:val="00D72D36"/>
    <w:rsid w:val="00D73C26"/>
    <w:rsid w:val="00D73D98"/>
    <w:rsid w:val="00D74A82"/>
    <w:rsid w:val="00D74E61"/>
    <w:rsid w:val="00D76279"/>
    <w:rsid w:val="00D76F66"/>
    <w:rsid w:val="00D77434"/>
    <w:rsid w:val="00D77641"/>
    <w:rsid w:val="00D80615"/>
    <w:rsid w:val="00D810F5"/>
    <w:rsid w:val="00D81163"/>
    <w:rsid w:val="00D815A2"/>
    <w:rsid w:val="00D81609"/>
    <w:rsid w:val="00D81DA3"/>
    <w:rsid w:val="00D8226A"/>
    <w:rsid w:val="00D830C2"/>
    <w:rsid w:val="00D86726"/>
    <w:rsid w:val="00D87EEA"/>
    <w:rsid w:val="00D9029B"/>
    <w:rsid w:val="00D90FDF"/>
    <w:rsid w:val="00D91426"/>
    <w:rsid w:val="00D9181B"/>
    <w:rsid w:val="00D92EC2"/>
    <w:rsid w:val="00D93C31"/>
    <w:rsid w:val="00D93CAC"/>
    <w:rsid w:val="00D950C7"/>
    <w:rsid w:val="00D95740"/>
    <w:rsid w:val="00D96DEA"/>
    <w:rsid w:val="00DA07D7"/>
    <w:rsid w:val="00DA1510"/>
    <w:rsid w:val="00DA1873"/>
    <w:rsid w:val="00DA1C1F"/>
    <w:rsid w:val="00DA34C9"/>
    <w:rsid w:val="00DA3B72"/>
    <w:rsid w:val="00DA4DE3"/>
    <w:rsid w:val="00DA4FFE"/>
    <w:rsid w:val="00DA5059"/>
    <w:rsid w:val="00DA555C"/>
    <w:rsid w:val="00DA5E00"/>
    <w:rsid w:val="00DA61B1"/>
    <w:rsid w:val="00DA6377"/>
    <w:rsid w:val="00DA751C"/>
    <w:rsid w:val="00DA77A7"/>
    <w:rsid w:val="00DA7D1A"/>
    <w:rsid w:val="00DA7FF1"/>
    <w:rsid w:val="00DB03C7"/>
    <w:rsid w:val="00DB06F2"/>
    <w:rsid w:val="00DB24B4"/>
    <w:rsid w:val="00DB3BB4"/>
    <w:rsid w:val="00DB3DEF"/>
    <w:rsid w:val="00DB465C"/>
    <w:rsid w:val="00DB4C42"/>
    <w:rsid w:val="00DB4DD4"/>
    <w:rsid w:val="00DB5A3E"/>
    <w:rsid w:val="00DB5BED"/>
    <w:rsid w:val="00DB5CB8"/>
    <w:rsid w:val="00DB6B3B"/>
    <w:rsid w:val="00DB6C46"/>
    <w:rsid w:val="00DB7741"/>
    <w:rsid w:val="00DC031C"/>
    <w:rsid w:val="00DC1AF4"/>
    <w:rsid w:val="00DC242D"/>
    <w:rsid w:val="00DC2B77"/>
    <w:rsid w:val="00DC3253"/>
    <w:rsid w:val="00DC4457"/>
    <w:rsid w:val="00DC46AE"/>
    <w:rsid w:val="00DC498D"/>
    <w:rsid w:val="00DC5233"/>
    <w:rsid w:val="00DC5541"/>
    <w:rsid w:val="00DC5F92"/>
    <w:rsid w:val="00DC64CA"/>
    <w:rsid w:val="00DC682C"/>
    <w:rsid w:val="00DC7633"/>
    <w:rsid w:val="00DC7B11"/>
    <w:rsid w:val="00DC7DF3"/>
    <w:rsid w:val="00DC7E0F"/>
    <w:rsid w:val="00DD02C4"/>
    <w:rsid w:val="00DD06BD"/>
    <w:rsid w:val="00DD0A94"/>
    <w:rsid w:val="00DD1204"/>
    <w:rsid w:val="00DD1DAB"/>
    <w:rsid w:val="00DD3924"/>
    <w:rsid w:val="00DD4B9E"/>
    <w:rsid w:val="00DD51BC"/>
    <w:rsid w:val="00DD5FFC"/>
    <w:rsid w:val="00DD6044"/>
    <w:rsid w:val="00DD61B8"/>
    <w:rsid w:val="00DD74A8"/>
    <w:rsid w:val="00DE004A"/>
    <w:rsid w:val="00DE0742"/>
    <w:rsid w:val="00DE44FC"/>
    <w:rsid w:val="00DE4C75"/>
    <w:rsid w:val="00DE69E9"/>
    <w:rsid w:val="00DE769D"/>
    <w:rsid w:val="00DE7A2A"/>
    <w:rsid w:val="00DE7DA0"/>
    <w:rsid w:val="00DF0114"/>
    <w:rsid w:val="00DF0C27"/>
    <w:rsid w:val="00DF0D60"/>
    <w:rsid w:val="00DF190B"/>
    <w:rsid w:val="00DF190C"/>
    <w:rsid w:val="00DF288A"/>
    <w:rsid w:val="00DF2EFD"/>
    <w:rsid w:val="00DF44A2"/>
    <w:rsid w:val="00DF44D7"/>
    <w:rsid w:val="00DF47F1"/>
    <w:rsid w:val="00DF49BF"/>
    <w:rsid w:val="00DF5695"/>
    <w:rsid w:val="00DF5E21"/>
    <w:rsid w:val="00E030A9"/>
    <w:rsid w:val="00E03384"/>
    <w:rsid w:val="00E03AC3"/>
    <w:rsid w:val="00E0421C"/>
    <w:rsid w:val="00E0426B"/>
    <w:rsid w:val="00E044B8"/>
    <w:rsid w:val="00E065A5"/>
    <w:rsid w:val="00E06C1F"/>
    <w:rsid w:val="00E06EED"/>
    <w:rsid w:val="00E0766A"/>
    <w:rsid w:val="00E115DF"/>
    <w:rsid w:val="00E1268D"/>
    <w:rsid w:val="00E12A68"/>
    <w:rsid w:val="00E12B51"/>
    <w:rsid w:val="00E12E61"/>
    <w:rsid w:val="00E12F45"/>
    <w:rsid w:val="00E132A3"/>
    <w:rsid w:val="00E135A6"/>
    <w:rsid w:val="00E1371E"/>
    <w:rsid w:val="00E14184"/>
    <w:rsid w:val="00E16A8F"/>
    <w:rsid w:val="00E173D2"/>
    <w:rsid w:val="00E20B20"/>
    <w:rsid w:val="00E20E49"/>
    <w:rsid w:val="00E2112C"/>
    <w:rsid w:val="00E21EBE"/>
    <w:rsid w:val="00E22238"/>
    <w:rsid w:val="00E23929"/>
    <w:rsid w:val="00E23F0F"/>
    <w:rsid w:val="00E2455C"/>
    <w:rsid w:val="00E24DDC"/>
    <w:rsid w:val="00E25DD0"/>
    <w:rsid w:val="00E26380"/>
    <w:rsid w:val="00E26495"/>
    <w:rsid w:val="00E27E0B"/>
    <w:rsid w:val="00E27EB4"/>
    <w:rsid w:val="00E30055"/>
    <w:rsid w:val="00E314C7"/>
    <w:rsid w:val="00E31B6C"/>
    <w:rsid w:val="00E31DE5"/>
    <w:rsid w:val="00E3234E"/>
    <w:rsid w:val="00E3282C"/>
    <w:rsid w:val="00E32A4A"/>
    <w:rsid w:val="00E335FF"/>
    <w:rsid w:val="00E33868"/>
    <w:rsid w:val="00E3429A"/>
    <w:rsid w:val="00E34FDB"/>
    <w:rsid w:val="00E355B9"/>
    <w:rsid w:val="00E3604F"/>
    <w:rsid w:val="00E4055E"/>
    <w:rsid w:val="00E4121B"/>
    <w:rsid w:val="00E420E4"/>
    <w:rsid w:val="00E420F2"/>
    <w:rsid w:val="00E428EB"/>
    <w:rsid w:val="00E42C45"/>
    <w:rsid w:val="00E430D4"/>
    <w:rsid w:val="00E445EF"/>
    <w:rsid w:val="00E46B36"/>
    <w:rsid w:val="00E50865"/>
    <w:rsid w:val="00E50C73"/>
    <w:rsid w:val="00E50DC1"/>
    <w:rsid w:val="00E51115"/>
    <w:rsid w:val="00E5125F"/>
    <w:rsid w:val="00E512BF"/>
    <w:rsid w:val="00E51543"/>
    <w:rsid w:val="00E522A7"/>
    <w:rsid w:val="00E543CF"/>
    <w:rsid w:val="00E5537F"/>
    <w:rsid w:val="00E55B06"/>
    <w:rsid w:val="00E56AD1"/>
    <w:rsid w:val="00E57EAA"/>
    <w:rsid w:val="00E6028A"/>
    <w:rsid w:val="00E60DD7"/>
    <w:rsid w:val="00E6105F"/>
    <w:rsid w:val="00E612C6"/>
    <w:rsid w:val="00E620CA"/>
    <w:rsid w:val="00E63926"/>
    <w:rsid w:val="00E645E9"/>
    <w:rsid w:val="00E65E18"/>
    <w:rsid w:val="00E66FF6"/>
    <w:rsid w:val="00E706D6"/>
    <w:rsid w:val="00E707BC"/>
    <w:rsid w:val="00E707DC"/>
    <w:rsid w:val="00E70B44"/>
    <w:rsid w:val="00E712EE"/>
    <w:rsid w:val="00E71318"/>
    <w:rsid w:val="00E71449"/>
    <w:rsid w:val="00E718C4"/>
    <w:rsid w:val="00E71F6A"/>
    <w:rsid w:val="00E73310"/>
    <w:rsid w:val="00E73621"/>
    <w:rsid w:val="00E7416C"/>
    <w:rsid w:val="00E74179"/>
    <w:rsid w:val="00E75229"/>
    <w:rsid w:val="00E75E68"/>
    <w:rsid w:val="00E779B9"/>
    <w:rsid w:val="00E77C62"/>
    <w:rsid w:val="00E807AE"/>
    <w:rsid w:val="00E81C69"/>
    <w:rsid w:val="00E82070"/>
    <w:rsid w:val="00E826F4"/>
    <w:rsid w:val="00E82B1C"/>
    <w:rsid w:val="00E838F4"/>
    <w:rsid w:val="00E83952"/>
    <w:rsid w:val="00E83C2B"/>
    <w:rsid w:val="00E84872"/>
    <w:rsid w:val="00E84A97"/>
    <w:rsid w:val="00E84D1B"/>
    <w:rsid w:val="00E85102"/>
    <w:rsid w:val="00E85572"/>
    <w:rsid w:val="00E865BF"/>
    <w:rsid w:val="00E86B21"/>
    <w:rsid w:val="00E8705E"/>
    <w:rsid w:val="00E8766B"/>
    <w:rsid w:val="00E90A99"/>
    <w:rsid w:val="00E912C1"/>
    <w:rsid w:val="00E92376"/>
    <w:rsid w:val="00E9271A"/>
    <w:rsid w:val="00E93B67"/>
    <w:rsid w:val="00E94D82"/>
    <w:rsid w:val="00E95C7D"/>
    <w:rsid w:val="00E964B3"/>
    <w:rsid w:val="00EA068B"/>
    <w:rsid w:val="00EA0C46"/>
    <w:rsid w:val="00EA1BC7"/>
    <w:rsid w:val="00EA2396"/>
    <w:rsid w:val="00EA240E"/>
    <w:rsid w:val="00EA30D4"/>
    <w:rsid w:val="00EA361B"/>
    <w:rsid w:val="00EA3915"/>
    <w:rsid w:val="00EA3E56"/>
    <w:rsid w:val="00EA3E76"/>
    <w:rsid w:val="00EA6BCA"/>
    <w:rsid w:val="00EB0031"/>
    <w:rsid w:val="00EB0641"/>
    <w:rsid w:val="00EB0AF9"/>
    <w:rsid w:val="00EB152B"/>
    <w:rsid w:val="00EB1AA7"/>
    <w:rsid w:val="00EB3022"/>
    <w:rsid w:val="00EB351C"/>
    <w:rsid w:val="00EB487E"/>
    <w:rsid w:val="00EB5C26"/>
    <w:rsid w:val="00EB6264"/>
    <w:rsid w:val="00EB7C25"/>
    <w:rsid w:val="00EC06C8"/>
    <w:rsid w:val="00EC0B9F"/>
    <w:rsid w:val="00EC0CF4"/>
    <w:rsid w:val="00EC11BE"/>
    <w:rsid w:val="00EC1426"/>
    <w:rsid w:val="00EC23F0"/>
    <w:rsid w:val="00EC48A8"/>
    <w:rsid w:val="00EC533A"/>
    <w:rsid w:val="00EC5D6B"/>
    <w:rsid w:val="00EC6835"/>
    <w:rsid w:val="00EC6EF8"/>
    <w:rsid w:val="00EC7576"/>
    <w:rsid w:val="00EC7CDA"/>
    <w:rsid w:val="00ED0076"/>
    <w:rsid w:val="00ED0E7B"/>
    <w:rsid w:val="00ED12F1"/>
    <w:rsid w:val="00ED14C4"/>
    <w:rsid w:val="00ED15DE"/>
    <w:rsid w:val="00ED1942"/>
    <w:rsid w:val="00ED2C83"/>
    <w:rsid w:val="00ED37DE"/>
    <w:rsid w:val="00ED398E"/>
    <w:rsid w:val="00ED3B18"/>
    <w:rsid w:val="00ED3B3C"/>
    <w:rsid w:val="00ED3E39"/>
    <w:rsid w:val="00ED4771"/>
    <w:rsid w:val="00ED4844"/>
    <w:rsid w:val="00ED5753"/>
    <w:rsid w:val="00ED6757"/>
    <w:rsid w:val="00ED7B63"/>
    <w:rsid w:val="00ED7F56"/>
    <w:rsid w:val="00EE0F03"/>
    <w:rsid w:val="00EE11F5"/>
    <w:rsid w:val="00EE1603"/>
    <w:rsid w:val="00EE32E1"/>
    <w:rsid w:val="00EE34CA"/>
    <w:rsid w:val="00EE43EE"/>
    <w:rsid w:val="00EE4B62"/>
    <w:rsid w:val="00EE5798"/>
    <w:rsid w:val="00EE59D1"/>
    <w:rsid w:val="00EE5C7B"/>
    <w:rsid w:val="00EE6CC9"/>
    <w:rsid w:val="00EE7370"/>
    <w:rsid w:val="00EF0AFD"/>
    <w:rsid w:val="00EF1206"/>
    <w:rsid w:val="00EF1670"/>
    <w:rsid w:val="00EF19B0"/>
    <w:rsid w:val="00EF19F8"/>
    <w:rsid w:val="00EF3254"/>
    <w:rsid w:val="00EF36CD"/>
    <w:rsid w:val="00EF4421"/>
    <w:rsid w:val="00EF5748"/>
    <w:rsid w:val="00EF601C"/>
    <w:rsid w:val="00EF6717"/>
    <w:rsid w:val="00F02882"/>
    <w:rsid w:val="00F032CB"/>
    <w:rsid w:val="00F066F2"/>
    <w:rsid w:val="00F07B93"/>
    <w:rsid w:val="00F113F2"/>
    <w:rsid w:val="00F119E4"/>
    <w:rsid w:val="00F121D9"/>
    <w:rsid w:val="00F12C33"/>
    <w:rsid w:val="00F12D8D"/>
    <w:rsid w:val="00F12ED8"/>
    <w:rsid w:val="00F14C1F"/>
    <w:rsid w:val="00F15844"/>
    <w:rsid w:val="00F15D3C"/>
    <w:rsid w:val="00F17607"/>
    <w:rsid w:val="00F20D46"/>
    <w:rsid w:val="00F21C9D"/>
    <w:rsid w:val="00F2255F"/>
    <w:rsid w:val="00F22725"/>
    <w:rsid w:val="00F22EF1"/>
    <w:rsid w:val="00F23421"/>
    <w:rsid w:val="00F2380C"/>
    <w:rsid w:val="00F23C66"/>
    <w:rsid w:val="00F23F9B"/>
    <w:rsid w:val="00F24A0F"/>
    <w:rsid w:val="00F24E50"/>
    <w:rsid w:val="00F25D51"/>
    <w:rsid w:val="00F25F1A"/>
    <w:rsid w:val="00F26121"/>
    <w:rsid w:val="00F2697D"/>
    <w:rsid w:val="00F27D31"/>
    <w:rsid w:val="00F309EA"/>
    <w:rsid w:val="00F30EAA"/>
    <w:rsid w:val="00F31350"/>
    <w:rsid w:val="00F32539"/>
    <w:rsid w:val="00F325BB"/>
    <w:rsid w:val="00F3273E"/>
    <w:rsid w:val="00F32A73"/>
    <w:rsid w:val="00F34463"/>
    <w:rsid w:val="00F345D2"/>
    <w:rsid w:val="00F34A60"/>
    <w:rsid w:val="00F3591A"/>
    <w:rsid w:val="00F35D8A"/>
    <w:rsid w:val="00F36240"/>
    <w:rsid w:val="00F40364"/>
    <w:rsid w:val="00F412D8"/>
    <w:rsid w:val="00F4202F"/>
    <w:rsid w:val="00F4220F"/>
    <w:rsid w:val="00F42C0D"/>
    <w:rsid w:val="00F43250"/>
    <w:rsid w:val="00F434C4"/>
    <w:rsid w:val="00F438B0"/>
    <w:rsid w:val="00F4475D"/>
    <w:rsid w:val="00F44C0C"/>
    <w:rsid w:val="00F458BD"/>
    <w:rsid w:val="00F463EB"/>
    <w:rsid w:val="00F464C5"/>
    <w:rsid w:val="00F5000F"/>
    <w:rsid w:val="00F50884"/>
    <w:rsid w:val="00F50D21"/>
    <w:rsid w:val="00F523CA"/>
    <w:rsid w:val="00F52615"/>
    <w:rsid w:val="00F5300C"/>
    <w:rsid w:val="00F536CB"/>
    <w:rsid w:val="00F540A8"/>
    <w:rsid w:val="00F54E66"/>
    <w:rsid w:val="00F55F0B"/>
    <w:rsid w:val="00F60533"/>
    <w:rsid w:val="00F60F72"/>
    <w:rsid w:val="00F610F9"/>
    <w:rsid w:val="00F61D17"/>
    <w:rsid w:val="00F632CD"/>
    <w:rsid w:val="00F63ABB"/>
    <w:rsid w:val="00F64D8F"/>
    <w:rsid w:val="00F652E3"/>
    <w:rsid w:val="00F65F9B"/>
    <w:rsid w:val="00F66258"/>
    <w:rsid w:val="00F678F1"/>
    <w:rsid w:val="00F67928"/>
    <w:rsid w:val="00F67DE3"/>
    <w:rsid w:val="00F703D7"/>
    <w:rsid w:val="00F71092"/>
    <w:rsid w:val="00F729F9"/>
    <w:rsid w:val="00F7302E"/>
    <w:rsid w:val="00F73194"/>
    <w:rsid w:val="00F74149"/>
    <w:rsid w:val="00F741B7"/>
    <w:rsid w:val="00F74671"/>
    <w:rsid w:val="00F76B1C"/>
    <w:rsid w:val="00F77362"/>
    <w:rsid w:val="00F80B9B"/>
    <w:rsid w:val="00F80CA5"/>
    <w:rsid w:val="00F81227"/>
    <w:rsid w:val="00F81BC3"/>
    <w:rsid w:val="00F83092"/>
    <w:rsid w:val="00F83412"/>
    <w:rsid w:val="00F839A4"/>
    <w:rsid w:val="00F83C8F"/>
    <w:rsid w:val="00F842DE"/>
    <w:rsid w:val="00F84457"/>
    <w:rsid w:val="00F85C7B"/>
    <w:rsid w:val="00F86790"/>
    <w:rsid w:val="00F86D86"/>
    <w:rsid w:val="00F870FF"/>
    <w:rsid w:val="00F877E7"/>
    <w:rsid w:val="00F87C14"/>
    <w:rsid w:val="00F913DC"/>
    <w:rsid w:val="00F91908"/>
    <w:rsid w:val="00F91EEE"/>
    <w:rsid w:val="00F91FE8"/>
    <w:rsid w:val="00F93077"/>
    <w:rsid w:val="00F9309F"/>
    <w:rsid w:val="00F93B06"/>
    <w:rsid w:val="00F93FE8"/>
    <w:rsid w:val="00F94081"/>
    <w:rsid w:val="00F94450"/>
    <w:rsid w:val="00F94598"/>
    <w:rsid w:val="00F95974"/>
    <w:rsid w:val="00F960B6"/>
    <w:rsid w:val="00F96BC7"/>
    <w:rsid w:val="00F9750A"/>
    <w:rsid w:val="00F97CBE"/>
    <w:rsid w:val="00F97D6A"/>
    <w:rsid w:val="00FA0037"/>
    <w:rsid w:val="00FA15B8"/>
    <w:rsid w:val="00FA20DA"/>
    <w:rsid w:val="00FA2329"/>
    <w:rsid w:val="00FA287A"/>
    <w:rsid w:val="00FA2AE7"/>
    <w:rsid w:val="00FA388E"/>
    <w:rsid w:val="00FA4626"/>
    <w:rsid w:val="00FA564A"/>
    <w:rsid w:val="00FA5FAF"/>
    <w:rsid w:val="00FA65B7"/>
    <w:rsid w:val="00FA68C0"/>
    <w:rsid w:val="00FA7CB7"/>
    <w:rsid w:val="00FB0192"/>
    <w:rsid w:val="00FB0ABD"/>
    <w:rsid w:val="00FB109A"/>
    <w:rsid w:val="00FB20B5"/>
    <w:rsid w:val="00FB3366"/>
    <w:rsid w:val="00FB3EC6"/>
    <w:rsid w:val="00FB44C6"/>
    <w:rsid w:val="00FB461D"/>
    <w:rsid w:val="00FB5792"/>
    <w:rsid w:val="00FB6FE4"/>
    <w:rsid w:val="00FB7197"/>
    <w:rsid w:val="00FB729E"/>
    <w:rsid w:val="00FC03A6"/>
    <w:rsid w:val="00FC04AC"/>
    <w:rsid w:val="00FC0E4C"/>
    <w:rsid w:val="00FC30DE"/>
    <w:rsid w:val="00FC3A84"/>
    <w:rsid w:val="00FC427F"/>
    <w:rsid w:val="00FC4DD5"/>
    <w:rsid w:val="00FC550A"/>
    <w:rsid w:val="00FC5780"/>
    <w:rsid w:val="00FC57D6"/>
    <w:rsid w:val="00FC5F20"/>
    <w:rsid w:val="00FC7A36"/>
    <w:rsid w:val="00FD042B"/>
    <w:rsid w:val="00FD209C"/>
    <w:rsid w:val="00FD2221"/>
    <w:rsid w:val="00FD3180"/>
    <w:rsid w:val="00FD3AF0"/>
    <w:rsid w:val="00FD3B57"/>
    <w:rsid w:val="00FD54E6"/>
    <w:rsid w:val="00FD58E8"/>
    <w:rsid w:val="00FD59D5"/>
    <w:rsid w:val="00FD5CA7"/>
    <w:rsid w:val="00FD5D05"/>
    <w:rsid w:val="00FD5E2C"/>
    <w:rsid w:val="00FD624C"/>
    <w:rsid w:val="00FD65BA"/>
    <w:rsid w:val="00FD6745"/>
    <w:rsid w:val="00FD6E39"/>
    <w:rsid w:val="00FD7089"/>
    <w:rsid w:val="00FD7258"/>
    <w:rsid w:val="00FD76EE"/>
    <w:rsid w:val="00FD7B11"/>
    <w:rsid w:val="00FD7C80"/>
    <w:rsid w:val="00FE0CC6"/>
    <w:rsid w:val="00FE19D7"/>
    <w:rsid w:val="00FE2313"/>
    <w:rsid w:val="00FE26A9"/>
    <w:rsid w:val="00FE46F0"/>
    <w:rsid w:val="00FE472B"/>
    <w:rsid w:val="00FE5D20"/>
    <w:rsid w:val="00FE6E39"/>
    <w:rsid w:val="00FF086A"/>
    <w:rsid w:val="00FF0E20"/>
    <w:rsid w:val="00FF0F42"/>
    <w:rsid w:val="00FF1BC6"/>
    <w:rsid w:val="00FF26BB"/>
    <w:rsid w:val="00FF29EA"/>
    <w:rsid w:val="00FF3604"/>
    <w:rsid w:val="00FF5F9A"/>
    <w:rsid w:val="00FF647D"/>
    <w:rsid w:val="00FF70A3"/>
    <w:rsid w:val="00FF7AEF"/>
    <w:rsid w:val="014150EC"/>
    <w:rsid w:val="01620901"/>
    <w:rsid w:val="01A64956"/>
    <w:rsid w:val="01B953DE"/>
    <w:rsid w:val="01DA366C"/>
    <w:rsid w:val="028D2B9A"/>
    <w:rsid w:val="02DB4857"/>
    <w:rsid w:val="03A10246"/>
    <w:rsid w:val="03C23741"/>
    <w:rsid w:val="03DB0A08"/>
    <w:rsid w:val="04163446"/>
    <w:rsid w:val="04A54909"/>
    <w:rsid w:val="05416969"/>
    <w:rsid w:val="05BB24F7"/>
    <w:rsid w:val="05F075BE"/>
    <w:rsid w:val="05F11835"/>
    <w:rsid w:val="0641482C"/>
    <w:rsid w:val="06BB55AB"/>
    <w:rsid w:val="06BC556F"/>
    <w:rsid w:val="06C90471"/>
    <w:rsid w:val="06CD000C"/>
    <w:rsid w:val="06D3183B"/>
    <w:rsid w:val="079746BB"/>
    <w:rsid w:val="07AA2E63"/>
    <w:rsid w:val="07F21C72"/>
    <w:rsid w:val="080720F7"/>
    <w:rsid w:val="084361B5"/>
    <w:rsid w:val="08457A55"/>
    <w:rsid w:val="08791123"/>
    <w:rsid w:val="08A017B8"/>
    <w:rsid w:val="08F6648F"/>
    <w:rsid w:val="094C2A73"/>
    <w:rsid w:val="099D3423"/>
    <w:rsid w:val="09BE25B6"/>
    <w:rsid w:val="0A477FF4"/>
    <w:rsid w:val="0AA33311"/>
    <w:rsid w:val="0B600C6F"/>
    <w:rsid w:val="0C7E4AA6"/>
    <w:rsid w:val="0CC95C35"/>
    <w:rsid w:val="0D6B65B1"/>
    <w:rsid w:val="0D94218E"/>
    <w:rsid w:val="0E1C78AB"/>
    <w:rsid w:val="0E384926"/>
    <w:rsid w:val="0E5B092E"/>
    <w:rsid w:val="0E5E18FB"/>
    <w:rsid w:val="0EB24B66"/>
    <w:rsid w:val="0ECA5A9C"/>
    <w:rsid w:val="0F604037"/>
    <w:rsid w:val="0F755016"/>
    <w:rsid w:val="0F902059"/>
    <w:rsid w:val="0FAA27D5"/>
    <w:rsid w:val="0FAC57C4"/>
    <w:rsid w:val="0FFE0200"/>
    <w:rsid w:val="100106D5"/>
    <w:rsid w:val="105B3E4D"/>
    <w:rsid w:val="11843743"/>
    <w:rsid w:val="119C28BD"/>
    <w:rsid w:val="11A45C86"/>
    <w:rsid w:val="11AA2CD7"/>
    <w:rsid w:val="11CF5AA0"/>
    <w:rsid w:val="120F3227"/>
    <w:rsid w:val="122277F5"/>
    <w:rsid w:val="12D055CC"/>
    <w:rsid w:val="12D9707E"/>
    <w:rsid w:val="130F7E33"/>
    <w:rsid w:val="1333312B"/>
    <w:rsid w:val="136A730B"/>
    <w:rsid w:val="13DB69C9"/>
    <w:rsid w:val="148E0B68"/>
    <w:rsid w:val="148E5ED8"/>
    <w:rsid w:val="14A37E3E"/>
    <w:rsid w:val="14BB7C7F"/>
    <w:rsid w:val="14E725C9"/>
    <w:rsid w:val="14F63C6C"/>
    <w:rsid w:val="15223BD0"/>
    <w:rsid w:val="154F298D"/>
    <w:rsid w:val="157319DE"/>
    <w:rsid w:val="15B41D32"/>
    <w:rsid w:val="15CE459E"/>
    <w:rsid w:val="15DD0268"/>
    <w:rsid w:val="179D67C3"/>
    <w:rsid w:val="17E14287"/>
    <w:rsid w:val="17E525AD"/>
    <w:rsid w:val="186C7E5E"/>
    <w:rsid w:val="18A264A4"/>
    <w:rsid w:val="192F467F"/>
    <w:rsid w:val="19737523"/>
    <w:rsid w:val="19C62294"/>
    <w:rsid w:val="19ED7773"/>
    <w:rsid w:val="1A381AE4"/>
    <w:rsid w:val="1A3A7A37"/>
    <w:rsid w:val="1A6858B8"/>
    <w:rsid w:val="1AF20311"/>
    <w:rsid w:val="1B4723CD"/>
    <w:rsid w:val="1B524A22"/>
    <w:rsid w:val="1B5C2DF2"/>
    <w:rsid w:val="1B7A03B1"/>
    <w:rsid w:val="1B8A7732"/>
    <w:rsid w:val="1B9143D0"/>
    <w:rsid w:val="1BA333BA"/>
    <w:rsid w:val="1BF00BC1"/>
    <w:rsid w:val="1BF553AD"/>
    <w:rsid w:val="1C5730EB"/>
    <w:rsid w:val="1C8C7369"/>
    <w:rsid w:val="1C9D1087"/>
    <w:rsid w:val="1CAD0CD7"/>
    <w:rsid w:val="1D2111E0"/>
    <w:rsid w:val="1D454033"/>
    <w:rsid w:val="1D495351"/>
    <w:rsid w:val="1D800546"/>
    <w:rsid w:val="1DC22E11"/>
    <w:rsid w:val="1DCC60E2"/>
    <w:rsid w:val="1E0F11DA"/>
    <w:rsid w:val="1E3866E4"/>
    <w:rsid w:val="1E3B5B2B"/>
    <w:rsid w:val="1E405B08"/>
    <w:rsid w:val="1E917D12"/>
    <w:rsid w:val="1ED007F0"/>
    <w:rsid w:val="1F126404"/>
    <w:rsid w:val="1F1E78CF"/>
    <w:rsid w:val="1F4C00D9"/>
    <w:rsid w:val="1F91161F"/>
    <w:rsid w:val="1FCC5792"/>
    <w:rsid w:val="2008099C"/>
    <w:rsid w:val="20241E45"/>
    <w:rsid w:val="205E3D53"/>
    <w:rsid w:val="20983C9F"/>
    <w:rsid w:val="20D34930"/>
    <w:rsid w:val="21004E9C"/>
    <w:rsid w:val="210743CD"/>
    <w:rsid w:val="212F12B7"/>
    <w:rsid w:val="21DF0EC4"/>
    <w:rsid w:val="21EC402B"/>
    <w:rsid w:val="22211D2B"/>
    <w:rsid w:val="22F3479D"/>
    <w:rsid w:val="230C3692"/>
    <w:rsid w:val="233957E9"/>
    <w:rsid w:val="23504D9A"/>
    <w:rsid w:val="235350DD"/>
    <w:rsid w:val="23A130E8"/>
    <w:rsid w:val="23B72322"/>
    <w:rsid w:val="2410130E"/>
    <w:rsid w:val="24682699"/>
    <w:rsid w:val="24A922E7"/>
    <w:rsid w:val="24F51069"/>
    <w:rsid w:val="24FB3A0D"/>
    <w:rsid w:val="25982E24"/>
    <w:rsid w:val="25A35F8B"/>
    <w:rsid w:val="25C45A9B"/>
    <w:rsid w:val="26055255"/>
    <w:rsid w:val="26C94C07"/>
    <w:rsid w:val="270F7B55"/>
    <w:rsid w:val="27136455"/>
    <w:rsid w:val="27313F6F"/>
    <w:rsid w:val="27392A2B"/>
    <w:rsid w:val="27445CAF"/>
    <w:rsid w:val="27BD41B0"/>
    <w:rsid w:val="27DF3D1D"/>
    <w:rsid w:val="27EB3977"/>
    <w:rsid w:val="27FF5E1C"/>
    <w:rsid w:val="28033B1E"/>
    <w:rsid w:val="28845944"/>
    <w:rsid w:val="28BB1716"/>
    <w:rsid w:val="28EE73E7"/>
    <w:rsid w:val="2962747B"/>
    <w:rsid w:val="299F1540"/>
    <w:rsid w:val="29C1739D"/>
    <w:rsid w:val="29F82C9B"/>
    <w:rsid w:val="2A275CC6"/>
    <w:rsid w:val="2AA35D41"/>
    <w:rsid w:val="2AC60E73"/>
    <w:rsid w:val="2B553D51"/>
    <w:rsid w:val="2B5D536C"/>
    <w:rsid w:val="2BDB68F0"/>
    <w:rsid w:val="2C385A8A"/>
    <w:rsid w:val="2C6C216F"/>
    <w:rsid w:val="2C904653"/>
    <w:rsid w:val="2C9F6D93"/>
    <w:rsid w:val="2CA6293E"/>
    <w:rsid w:val="2CA70CBA"/>
    <w:rsid w:val="2CB30937"/>
    <w:rsid w:val="2CC50203"/>
    <w:rsid w:val="2D832F3B"/>
    <w:rsid w:val="2D8D2F06"/>
    <w:rsid w:val="2D8F7C42"/>
    <w:rsid w:val="2E1C28D1"/>
    <w:rsid w:val="2E2B2EDC"/>
    <w:rsid w:val="2E646914"/>
    <w:rsid w:val="2E8865CC"/>
    <w:rsid w:val="2EB711FE"/>
    <w:rsid w:val="2EC1761D"/>
    <w:rsid w:val="2ECE4481"/>
    <w:rsid w:val="2F107762"/>
    <w:rsid w:val="2F372ABC"/>
    <w:rsid w:val="2F5D14DA"/>
    <w:rsid w:val="300C229B"/>
    <w:rsid w:val="3036407A"/>
    <w:rsid w:val="307F7A7C"/>
    <w:rsid w:val="309E339F"/>
    <w:rsid w:val="30C83D8E"/>
    <w:rsid w:val="30F2186C"/>
    <w:rsid w:val="313B06D9"/>
    <w:rsid w:val="315F195A"/>
    <w:rsid w:val="31FF3D16"/>
    <w:rsid w:val="32002EBC"/>
    <w:rsid w:val="321F6FB8"/>
    <w:rsid w:val="322F384B"/>
    <w:rsid w:val="32603FEA"/>
    <w:rsid w:val="32723893"/>
    <w:rsid w:val="32A83CA0"/>
    <w:rsid w:val="32EB3B6C"/>
    <w:rsid w:val="32FF7F57"/>
    <w:rsid w:val="33334A79"/>
    <w:rsid w:val="335334BF"/>
    <w:rsid w:val="33C97B6D"/>
    <w:rsid w:val="34300D63"/>
    <w:rsid w:val="34F943E0"/>
    <w:rsid w:val="35674600"/>
    <w:rsid w:val="35CD32E4"/>
    <w:rsid w:val="362D44F2"/>
    <w:rsid w:val="362D6B76"/>
    <w:rsid w:val="36770097"/>
    <w:rsid w:val="3684409B"/>
    <w:rsid w:val="36EF5490"/>
    <w:rsid w:val="3705164D"/>
    <w:rsid w:val="371F1D47"/>
    <w:rsid w:val="37296A11"/>
    <w:rsid w:val="37316742"/>
    <w:rsid w:val="37364C27"/>
    <w:rsid w:val="37564AF7"/>
    <w:rsid w:val="37955999"/>
    <w:rsid w:val="379C6CAB"/>
    <w:rsid w:val="38054525"/>
    <w:rsid w:val="385043B8"/>
    <w:rsid w:val="389D6BFC"/>
    <w:rsid w:val="394C4EC3"/>
    <w:rsid w:val="39D6277A"/>
    <w:rsid w:val="3A6170D3"/>
    <w:rsid w:val="3A6F4087"/>
    <w:rsid w:val="3B483EE1"/>
    <w:rsid w:val="3B5D7C12"/>
    <w:rsid w:val="3B9330CB"/>
    <w:rsid w:val="3BA51165"/>
    <w:rsid w:val="3BCC7276"/>
    <w:rsid w:val="3BCE402B"/>
    <w:rsid w:val="3C4465A4"/>
    <w:rsid w:val="3C5B7244"/>
    <w:rsid w:val="3C784591"/>
    <w:rsid w:val="3C9F7897"/>
    <w:rsid w:val="3CDB69FF"/>
    <w:rsid w:val="3D2C725B"/>
    <w:rsid w:val="3D803A0D"/>
    <w:rsid w:val="3DB44244"/>
    <w:rsid w:val="3E723F45"/>
    <w:rsid w:val="3E850E06"/>
    <w:rsid w:val="3E87558E"/>
    <w:rsid w:val="3ECC2AA4"/>
    <w:rsid w:val="3EE15558"/>
    <w:rsid w:val="3EE93DB9"/>
    <w:rsid w:val="3F9E3173"/>
    <w:rsid w:val="3FA17652"/>
    <w:rsid w:val="3FC506DD"/>
    <w:rsid w:val="3FD6727B"/>
    <w:rsid w:val="3FDD65EB"/>
    <w:rsid w:val="3FEB378B"/>
    <w:rsid w:val="40283E93"/>
    <w:rsid w:val="40343666"/>
    <w:rsid w:val="403F1053"/>
    <w:rsid w:val="40674E0E"/>
    <w:rsid w:val="410F15EE"/>
    <w:rsid w:val="417F2CD0"/>
    <w:rsid w:val="41A75102"/>
    <w:rsid w:val="41AC1E55"/>
    <w:rsid w:val="41BF3F3D"/>
    <w:rsid w:val="4273599D"/>
    <w:rsid w:val="429B0D77"/>
    <w:rsid w:val="42F05AF8"/>
    <w:rsid w:val="4300593B"/>
    <w:rsid w:val="436E5946"/>
    <w:rsid w:val="43974D1C"/>
    <w:rsid w:val="43BC551C"/>
    <w:rsid w:val="43DA63F6"/>
    <w:rsid w:val="448D351B"/>
    <w:rsid w:val="44A8255D"/>
    <w:rsid w:val="44FA663F"/>
    <w:rsid w:val="451A4E08"/>
    <w:rsid w:val="45224EC2"/>
    <w:rsid w:val="45471EAF"/>
    <w:rsid w:val="45950583"/>
    <w:rsid w:val="45EF2B44"/>
    <w:rsid w:val="460E3773"/>
    <w:rsid w:val="46146893"/>
    <w:rsid w:val="465E3DEC"/>
    <w:rsid w:val="466F5D1F"/>
    <w:rsid w:val="46765C61"/>
    <w:rsid w:val="46BE55BB"/>
    <w:rsid w:val="46BE7CAA"/>
    <w:rsid w:val="46C66DCA"/>
    <w:rsid w:val="474E6B75"/>
    <w:rsid w:val="476632D8"/>
    <w:rsid w:val="47B01353"/>
    <w:rsid w:val="482D304E"/>
    <w:rsid w:val="48601B55"/>
    <w:rsid w:val="487C41EC"/>
    <w:rsid w:val="48CD208A"/>
    <w:rsid w:val="48EB621C"/>
    <w:rsid w:val="48F06C8D"/>
    <w:rsid w:val="495E139C"/>
    <w:rsid w:val="49675177"/>
    <w:rsid w:val="4976065D"/>
    <w:rsid w:val="49B303BC"/>
    <w:rsid w:val="49B567AB"/>
    <w:rsid w:val="49C900F1"/>
    <w:rsid w:val="49F7386B"/>
    <w:rsid w:val="4A53553E"/>
    <w:rsid w:val="4A93645E"/>
    <w:rsid w:val="4AB20FBB"/>
    <w:rsid w:val="4AEA5B51"/>
    <w:rsid w:val="4B09156D"/>
    <w:rsid w:val="4B2A5B9E"/>
    <w:rsid w:val="4B4A0C11"/>
    <w:rsid w:val="4B682742"/>
    <w:rsid w:val="4BC32B39"/>
    <w:rsid w:val="4BE400C1"/>
    <w:rsid w:val="4BE74853"/>
    <w:rsid w:val="4BFB6950"/>
    <w:rsid w:val="4C01483C"/>
    <w:rsid w:val="4C723A45"/>
    <w:rsid w:val="4D1B4BF6"/>
    <w:rsid w:val="4D297AA2"/>
    <w:rsid w:val="4D451FE7"/>
    <w:rsid w:val="4D73058E"/>
    <w:rsid w:val="4D7757D0"/>
    <w:rsid w:val="4DB246A9"/>
    <w:rsid w:val="4E2A77E0"/>
    <w:rsid w:val="4E9A4768"/>
    <w:rsid w:val="4EC458E5"/>
    <w:rsid w:val="4ED82C27"/>
    <w:rsid w:val="4ED95E96"/>
    <w:rsid w:val="4F161B19"/>
    <w:rsid w:val="4F1C09C2"/>
    <w:rsid w:val="4F6039AF"/>
    <w:rsid w:val="4F6A4C4B"/>
    <w:rsid w:val="4FC819B8"/>
    <w:rsid w:val="4FDA66A3"/>
    <w:rsid w:val="50835169"/>
    <w:rsid w:val="50A32247"/>
    <w:rsid w:val="50A42427"/>
    <w:rsid w:val="510E6D2D"/>
    <w:rsid w:val="518D5725"/>
    <w:rsid w:val="51BB6FB8"/>
    <w:rsid w:val="51D4507F"/>
    <w:rsid w:val="524370EE"/>
    <w:rsid w:val="52E45649"/>
    <w:rsid w:val="52EE62DD"/>
    <w:rsid w:val="53394FF5"/>
    <w:rsid w:val="534A724C"/>
    <w:rsid w:val="53787A0D"/>
    <w:rsid w:val="537D32FD"/>
    <w:rsid w:val="53C3497A"/>
    <w:rsid w:val="53D32540"/>
    <w:rsid w:val="54D473A8"/>
    <w:rsid w:val="54E621EE"/>
    <w:rsid w:val="550E4D86"/>
    <w:rsid w:val="55694E25"/>
    <w:rsid w:val="55B97C03"/>
    <w:rsid w:val="55F65ECA"/>
    <w:rsid w:val="563479CD"/>
    <w:rsid w:val="563B6FA5"/>
    <w:rsid w:val="567B6B94"/>
    <w:rsid w:val="568D326E"/>
    <w:rsid w:val="568F11B7"/>
    <w:rsid w:val="56DE3570"/>
    <w:rsid w:val="572165EE"/>
    <w:rsid w:val="578F7158"/>
    <w:rsid w:val="57BB299A"/>
    <w:rsid w:val="58BE0CF0"/>
    <w:rsid w:val="59570D64"/>
    <w:rsid w:val="597E42AD"/>
    <w:rsid w:val="598E0C21"/>
    <w:rsid w:val="59B10409"/>
    <w:rsid w:val="5A782122"/>
    <w:rsid w:val="5AC835F9"/>
    <w:rsid w:val="5AD214D4"/>
    <w:rsid w:val="5AD563E4"/>
    <w:rsid w:val="5AE326E8"/>
    <w:rsid w:val="5AF214D7"/>
    <w:rsid w:val="5B0A4E70"/>
    <w:rsid w:val="5B56026D"/>
    <w:rsid w:val="5B922351"/>
    <w:rsid w:val="5BCC45D6"/>
    <w:rsid w:val="5BCE27A6"/>
    <w:rsid w:val="5BDC0F7B"/>
    <w:rsid w:val="5C347E52"/>
    <w:rsid w:val="5C493178"/>
    <w:rsid w:val="5C7F0CFE"/>
    <w:rsid w:val="5D2E2F1D"/>
    <w:rsid w:val="5D5978B1"/>
    <w:rsid w:val="5D676832"/>
    <w:rsid w:val="5D73466D"/>
    <w:rsid w:val="5D897264"/>
    <w:rsid w:val="5DA852D2"/>
    <w:rsid w:val="5DDC4E8B"/>
    <w:rsid w:val="5E246319"/>
    <w:rsid w:val="5E9B7945"/>
    <w:rsid w:val="5EAC56AE"/>
    <w:rsid w:val="5ECF1B47"/>
    <w:rsid w:val="5ED36A31"/>
    <w:rsid w:val="5EE12FF6"/>
    <w:rsid w:val="5F437532"/>
    <w:rsid w:val="5F912BDB"/>
    <w:rsid w:val="5FD46F39"/>
    <w:rsid w:val="60401F66"/>
    <w:rsid w:val="607C7302"/>
    <w:rsid w:val="60A85C13"/>
    <w:rsid w:val="60C82F3C"/>
    <w:rsid w:val="612F46A4"/>
    <w:rsid w:val="61780285"/>
    <w:rsid w:val="61ED061F"/>
    <w:rsid w:val="620E4AB0"/>
    <w:rsid w:val="624C5211"/>
    <w:rsid w:val="629342FA"/>
    <w:rsid w:val="62B639F5"/>
    <w:rsid w:val="62EB1355"/>
    <w:rsid w:val="632F0F5F"/>
    <w:rsid w:val="63B2791F"/>
    <w:rsid w:val="63B40E6B"/>
    <w:rsid w:val="63EA16E9"/>
    <w:rsid w:val="63F168D8"/>
    <w:rsid w:val="63F527C5"/>
    <w:rsid w:val="64770155"/>
    <w:rsid w:val="647C7678"/>
    <w:rsid w:val="64E11EB3"/>
    <w:rsid w:val="64EE1F08"/>
    <w:rsid w:val="65071890"/>
    <w:rsid w:val="652D25B4"/>
    <w:rsid w:val="654F3736"/>
    <w:rsid w:val="65566374"/>
    <w:rsid w:val="65CE15B1"/>
    <w:rsid w:val="65E0208C"/>
    <w:rsid w:val="662D28B6"/>
    <w:rsid w:val="666C6F7B"/>
    <w:rsid w:val="66DB625C"/>
    <w:rsid w:val="66EA1828"/>
    <w:rsid w:val="678306B0"/>
    <w:rsid w:val="678D769B"/>
    <w:rsid w:val="68D90020"/>
    <w:rsid w:val="69341B87"/>
    <w:rsid w:val="697D1671"/>
    <w:rsid w:val="69A5703B"/>
    <w:rsid w:val="69AD52E1"/>
    <w:rsid w:val="69C73CE4"/>
    <w:rsid w:val="69D900ED"/>
    <w:rsid w:val="6A282597"/>
    <w:rsid w:val="6A503CD9"/>
    <w:rsid w:val="6A566BE2"/>
    <w:rsid w:val="6A80545F"/>
    <w:rsid w:val="6B150D27"/>
    <w:rsid w:val="6B476E8A"/>
    <w:rsid w:val="6BA86956"/>
    <w:rsid w:val="6BD73859"/>
    <w:rsid w:val="6BF92A4A"/>
    <w:rsid w:val="6C0B7AF4"/>
    <w:rsid w:val="6C352DD4"/>
    <w:rsid w:val="6C7F3FB5"/>
    <w:rsid w:val="6C910738"/>
    <w:rsid w:val="6CB23765"/>
    <w:rsid w:val="6CC8344F"/>
    <w:rsid w:val="6D3618D2"/>
    <w:rsid w:val="6D3B0212"/>
    <w:rsid w:val="6D594C53"/>
    <w:rsid w:val="6E013804"/>
    <w:rsid w:val="6E2241C6"/>
    <w:rsid w:val="6E8B2FEF"/>
    <w:rsid w:val="6F1928EC"/>
    <w:rsid w:val="6F4C31BA"/>
    <w:rsid w:val="6FC535DB"/>
    <w:rsid w:val="6FEE7EF1"/>
    <w:rsid w:val="70037034"/>
    <w:rsid w:val="700510C2"/>
    <w:rsid w:val="703B5596"/>
    <w:rsid w:val="713E0DC1"/>
    <w:rsid w:val="71406C47"/>
    <w:rsid w:val="71B05F7D"/>
    <w:rsid w:val="72645F5A"/>
    <w:rsid w:val="727711B5"/>
    <w:rsid w:val="727E5AC1"/>
    <w:rsid w:val="72810960"/>
    <w:rsid w:val="728F38B6"/>
    <w:rsid w:val="7297251B"/>
    <w:rsid w:val="72C21A73"/>
    <w:rsid w:val="73115E7C"/>
    <w:rsid w:val="73C96B2F"/>
    <w:rsid w:val="745167AA"/>
    <w:rsid w:val="745C25CC"/>
    <w:rsid w:val="74C96E61"/>
    <w:rsid w:val="75564E94"/>
    <w:rsid w:val="757C0B36"/>
    <w:rsid w:val="759D2552"/>
    <w:rsid w:val="75E9597A"/>
    <w:rsid w:val="75EB5E61"/>
    <w:rsid w:val="76366479"/>
    <w:rsid w:val="76726933"/>
    <w:rsid w:val="76894F7E"/>
    <w:rsid w:val="76C51888"/>
    <w:rsid w:val="76EA0738"/>
    <w:rsid w:val="775F7292"/>
    <w:rsid w:val="77656071"/>
    <w:rsid w:val="778A1A3D"/>
    <w:rsid w:val="77F6089B"/>
    <w:rsid w:val="78026295"/>
    <w:rsid w:val="781E4D92"/>
    <w:rsid w:val="7828345B"/>
    <w:rsid w:val="78A562A6"/>
    <w:rsid w:val="78EF2C59"/>
    <w:rsid w:val="78F30DF4"/>
    <w:rsid w:val="791353A7"/>
    <w:rsid w:val="79440EAD"/>
    <w:rsid w:val="79681277"/>
    <w:rsid w:val="7A011C46"/>
    <w:rsid w:val="7A097B9C"/>
    <w:rsid w:val="7A653177"/>
    <w:rsid w:val="7A6F6088"/>
    <w:rsid w:val="7A8A68A8"/>
    <w:rsid w:val="7ACE0F3C"/>
    <w:rsid w:val="7AE150F8"/>
    <w:rsid w:val="7B197A1F"/>
    <w:rsid w:val="7B3412B3"/>
    <w:rsid w:val="7B584DE6"/>
    <w:rsid w:val="7B913079"/>
    <w:rsid w:val="7BA365AD"/>
    <w:rsid w:val="7BBF3C2E"/>
    <w:rsid w:val="7BBF53F4"/>
    <w:rsid w:val="7C1C3F97"/>
    <w:rsid w:val="7C397321"/>
    <w:rsid w:val="7C3B04A6"/>
    <w:rsid w:val="7C5E0B6B"/>
    <w:rsid w:val="7CAF663E"/>
    <w:rsid w:val="7D2D3DD9"/>
    <w:rsid w:val="7D992B22"/>
    <w:rsid w:val="7DB61C4E"/>
    <w:rsid w:val="7DDE5E6C"/>
    <w:rsid w:val="7DF32EA2"/>
    <w:rsid w:val="7DF94956"/>
    <w:rsid w:val="7E050C3A"/>
    <w:rsid w:val="7EF1027D"/>
    <w:rsid w:val="7F9345EA"/>
    <w:rsid w:val="7FA123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qFormat="1" w:unhideWhenUsed="0" w:uiPriority="99" w:semiHidden="0" w:name="List Bullet 4"/>
    <w:lsdException w:uiPriority="99" w:name="List Bullet 5" w:locked="1"/>
    <w:lsdException w:uiPriority="99" w:name="List Number 2" w:locked="1"/>
    <w:lsdException w:uiPriority="99" w:name="List Number 3" w:locked="1"/>
    <w:lsdException w:uiPriority="99" w:name="List Number 4" w:locked="1"/>
    <w:lsdException w:qFormat="1"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ocked="1"/>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8"/>
    <w:autoRedefine/>
    <w:qFormat/>
    <w:uiPriority w:val="99"/>
    <w:pPr>
      <w:keepNext/>
      <w:keepLines/>
      <w:spacing w:before="340" w:after="330" w:line="578" w:lineRule="auto"/>
      <w:outlineLvl w:val="0"/>
    </w:pPr>
    <w:rPr>
      <w:rFonts w:ascii="Calibri" w:hAnsi="Calibri" w:cs="Arial"/>
      <w:b/>
      <w:bCs/>
      <w:kern w:val="44"/>
      <w:sz w:val="44"/>
      <w:szCs w:val="44"/>
    </w:rPr>
  </w:style>
  <w:style w:type="paragraph" w:styleId="4">
    <w:name w:val="heading 2"/>
    <w:basedOn w:val="1"/>
    <w:next w:val="5"/>
    <w:link w:val="59"/>
    <w:autoRedefine/>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0"/>
    <w:autoRedefine/>
    <w:qFormat/>
    <w:uiPriority w:val="99"/>
    <w:pPr>
      <w:keepNext/>
      <w:keepLines/>
      <w:spacing w:before="120" w:after="120"/>
      <w:outlineLvl w:val="2"/>
    </w:pPr>
    <w:rPr>
      <w:rFonts w:ascii="Calibri" w:hAnsi="Calibri"/>
      <w:b/>
      <w:bCs/>
      <w:szCs w:val="32"/>
    </w:rPr>
  </w:style>
  <w:style w:type="paragraph" w:styleId="7">
    <w:name w:val="heading 4"/>
    <w:basedOn w:val="1"/>
    <w:next w:val="1"/>
    <w:link w:val="61"/>
    <w:autoRedefine/>
    <w:qFormat/>
    <w:uiPriority w:val="99"/>
    <w:pPr>
      <w:keepNext/>
      <w:widowControl/>
      <w:spacing w:before="240" w:after="60"/>
      <w:jc w:val="left"/>
      <w:outlineLvl w:val="3"/>
    </w:pPr>
    <w:rPr>
      <w:rFonts w:ascii="Calibri" w:hAnsi="Calibri" w:cs="Arial"/>
      <w:b/>
      <w:bCs/>
      <w:kern w:val="0"/>
      <w:sz w:val="28"/>
      <w:szCs w:val="28"/>
      <w:lang w:eastAsia="en-US"/>
    </w:rPr>
  </w:style>
  <w:style w:type="paragraph" w:styleId="8">
    <w:name w:val="heading 5"/>
    <w:basedOn w:val="1"/>
    <w:next w:val="1"/>
    <w:link w:val="62"/>
    <w:autoRedefine/>
    <w:qFormat/>
    <w:uiPriority w:val="99"/>
    <w:pPr>
      <w:widowControl/>
      <w:spacing w:before="240" w:after="60"/>
      <w:jc w:val="left"/>
      <w:outlineLvl w:val="4"/>
    </w:pPr>
    <w:rPr>
      <w:rFonts w:ascii="Calibri" w:hAnsi="Calibri" w:cs="Arial"/>
      <w:b/>
      <w:bCs/>
      <w:i/>
      <w:iCs/>
      <w:kern w:val="0"/>
      <w:sz w:val="26"/>
      <w:szCs w:val="26"/>
      <w:lang w:eastAsia="en-US"/>
    </w:rPr>
  </w:style>
  <w:style w:type="paragraph" w:styleId="9">
    <w:name w:val="heading 6"/>
    <w:basedOn w:val="1"/>
    <w:next w:val="1"/>
    <w:link w:val="63"/>
    <w:autoRedefine/>
    <w:qFormat/>
    <w:uiPriority w:val="99"/>
    <w:pPr>
      <w:widowControl/>
      <w:spacing w:before="240" w:after="60"/>
      <w:jc w:val="left"/>
      <w:outlineLvl w:val="5"/>
    </w:pPr>
    <w:rPr>
      <w:rFonts w:ascii="Calibri" w:hAnsi="Calibri" w:cs="Arial"/>
      <w:b/>
      <w:bCs/>
      <w:kern w:val="0"/>
      <w:sz w:val="22"/>
      <w:szCs w:val="22"/>
      <w:lang w:eastAsia="en-US"/>
    </w:rPr>
  </w:style>
  <w:style w:type="paragraph" w:styleId="10">
    <w:name w:val="heading 7"/>
    <w:basedOn w:val="1"/>
    <w:next w:val="1"/>
    <w:link w:val="64"/>
    <w:autoRedefine/>
    <w:qFormat/>
    <w:uiPriority w:val="99"/>
    <w:pPr>
      <w:widowControl/>
      <w:spacing w:before="240" w:after="60"/>
      <w:jc w:val="left"/>
      <w:outlineLvl w:val="6"/>
    </w:pPr>
    <w:rPr>
      <w:rFonts w:ascii="Calibri" w:hAnsi="Calibri" w:cs="Arial"/>
      <w:kern w:val="0"/>
      <w:sz w:val="24"/>
      <w:szCs w:val="24"/>
      <w:lang w:eastAsia="en-US"/>
    </w:rPr>
  </w:style>
  <w:style w:type="paragraph" w:styleId="11">
    <w:name w:val="heading 8"/>
    <w:basedOn w:val="1"/>
    <w:next w:val="1"/>
    <w:link w:val="65"/>
    <w:autoRedefine/>
    <w:qFormat/>
    <w:uiPriority w:val="99"/>
    <w:pPr>
      <w:widowControl/>
      <w:spacing w:before="240" w:after="60"/>
      <w:jc w:val="left"/>
      <w:outlineLvl w:val="7"/>
    </w:pPr>
    <w:rPr>
      <w:rFonts w:ascii="Calibri" w:hAnsi="Calibri" w:cs="Arial"/>
      <w:i/>
      <w:iCs/>
      <w:kern w:val="0"/>
      <w:sz w:val="24"/>
      <w:szCs w:val="24"/>
      <w:lang w:eastAsia="en-US"/>
    </w:rPr>
  </w:style>
  <w:style w:type="paragraph" w:styleId="12">
    <w:name w:val="heading 9"/>
    <w:basedOn w:val="1"/>
    <w:next w:val="1"/>
    <w:link w:val="66"/>
    <w:autoRedefine/>
    <w:qFormat/>
    <w:uiPriority w:val="99"/>
    <w:pPr>
      <w:widowControl/>
      <w:spacing w:before="240" w:after="60"/>
      <w:jc w:val="left"/>
      <w:outlineLvl w:val="8"/>
    </w:pPr>
    <w:rPr>
      <w:rFonts w:ascii="Cambria" w:hAnsi="Cambria" w:cs="Arial"/>
      <w:kern w:val="0"/>
      <w:sz w:val="22"/>
      <w:szCs w:val="22"/>
      <w:lang w:eastAsia="en-US"/>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spacing w:before="120" w:after="120"/>
      <w:jc w:val="left"/>
    </w:pPr>
    <w:rPr>
      <w:rFonts w:ascii="Calibri" w:hAnsi="Calibri" w:cs="Calibri"/>
      <w:b/>
      <w:bCs/>
      <w:caps/>
      <w:sz w:val="20"/>
    </w:rPr>
  </w:style>
  <w:style w:type="paragraph" w:styleId="5">
    <w:name w:val="Normal Indent"/>
    <w:basedOn w:val="1"/>
    <w:next w:val="1"/>
    <w:link w:val="84"/>
    <w:autoRedefine/>
    <w:qFormat/>
    <w:uiPriority w:val="99"/>
    <w:pPr>
      <w:ind w:firstLine="420"/>
    </w:pPr>
    <w:rPr>
      <w:rFonts w:ascii="Calibri" w:hAnsi="Calibri"/>
    </w:rPr>
  </w:style>
  <w:style w:type="paragraph" w:styleId="13">
    <w:name w:val="toc 7"/>
    <w:basedOn w:val="1"/>
    <w:next w:val="1"/>
    <w:autoRedefine/>
    <w:qFormat/>
    <w:uiPriority w:val="99"/>
    <w:pPr>
      <w:ind w:left="1260"/>
      <w:jc w:val="left"/>
    </w:pPr>
    <w:rPr>
      <w:rFonts w:ascii="Calibri" w:hAnsi="Calibri" w:cs="Calibri"/>
      <w:sz w:val="18"/>
      <w:szCs w:val="18"/>
    </w:rPr>
  </w:style>
  <w:style w:type="paragraph" w:styleId="14">
    <w:name w:val="List Bullet 4"/>
    <w:basedOn w:val="1"/>
    <w:autoRedefine/>
    <w:qFormat/>
    <w:uiPriority w:val="99"/>
    <w:pPr>
      <w:widowControl/>
      <w:numPr>
        <w:ilvl w:val="0"/>
        <w:numId w:val="1"/>
      </w:numPr>
      <w:topLinePunct/>
      <w:adjustRightInd w:val="0"/>
      <w:snapToGrid w:val="0"/>
      <w:spacing w:before="160" w:after="160" w:line="240" w:lineRule="atLeast"/>
      <w:jc w:val="left"/>
    </w:pPr>
    <w:rPr>
      <w:rFonts w:cs="Arial"/>
      <w:szCs w:val="21"/>
    </w:rPr>
  </w:style>
  <w:style w:type="paragraph" w:styleId="15">
    <w:name w:val="caption"/>
    <w:basedOn w:val="1"/>
    <w:next w:val="1"/>
    <w:autoRedefine/>
    <w:qFormat/>
    <w:uiPriority w:val="99"/>
    <w:rPr>
      <w:rFonts w:ascii="Arial" w:hAnsi="Arial" w:eastAsia="黑体"/>
      <w:sz w:val="20"/>
    </w:rPr>
  </w:style>
  <w:style w:type="paragraph" w:styleId="16">
    <w:name w:val="List Bullet"/>
    <w:basedOn w:val="17"/>
    <w:autoRedefine/>
    <w:qFormat/>
    <w:uiPriority w:val="99"/>
    <w:pPr>
      <w:widowControl/>
      <w:numPr>
        <w:ilvl w:val="1"/>
        <w:numId w:val="1"/>
      </w:numPr>
      <w:spacing w:line="300" w:lineRule="auto"/>
      <w:ind w:firstLine="0" w:firstLineChars="0"/>
    </w:pPr>
    <w:rPr>
      <w:rFonts w:eastAsia="幼圆"/>
      <w:spacing w:val="-5"/>
      <w:kern w:val="0"/>
      <w:sz w:val="24"/>
      <w:szCs w:val="24"/>
      <w:lang w:val="zh-CN"/>
    </w:rPr>
  </w:style>
  <w:style w:type="paragraph" w:styleId="17">
    <w:name w:val="List"/>
    <w:basedOn w:val="1"/>
    <w:autoRedefine/>
    <w:qFormat/>
    <w:uiPriority w:val="99"/>
    <w:pPr>
      <w:ind w:left="200" w:hanging="200" w:hangingChars="200"/>
    </w:pPr>
  </w:style>
  <w:style w:type="paragraph" w:styleId="18">
    <w:name w:val="Document Map"/>
    <w:basedOn w:val="1"/>
    <w:link w:val="68"/>
    <w:autoRedefine/>
    <w:qFormat/>
    <w:uiPriority w:val="99"/>
    <w:pPr>
      <w:shd w:val="clear" w:color="auto" w:fill="000080"/>
    </w:pPr>
    <w:rPr>
      <w:rFonts w:ascii="Calibri" w:hAnsi="Calibri"/>
    </w:rPr>
  </w:style>
  <w:style w:type="paragraph" w:styleId="19">
    <w:name w:val="annotation text"/>
    <w:basedOn w:val="1"/>
    <w:link w:val="69"/>
    <w:autoRedefine/>
    <w:qFormat/>
    <w:uiPriority w:val="99"/>
    <w:pPr>
      <w:jc w:val="left"/>
    </w:pPr>
    <w:rPr>
      <w:rFonts w:ascii="Calibri" w:hAnsi="Calibri" w:cs="Arial"/>
    </w:rPr>
  </w:style>
  <w:style w:type="paragraph" w:styleId="20">
    <w:name w:val="Body Text 3"/>
    <w:basedOn w:val="1"/>
    <w:link w:val="70"/>
    <w:autoRedefine/>
    <w:qFormat/>
    <w:uiPriority w:val="99"/>
    <w:pPr>
      <w:spacing w:after="120"/>
    </w:pPr>
    <w:rPr>
      <w:sz w:val="16"/>
      <w:szCs w:val="16"/>
    </w:rPr>
  </w:style>
  <w:style w:type="paragraph" w:styleId="21">
    <w:name w:val="Body Text"/>
    <w:basedOn w:val="1"/>
    <w:next w:val="1"/>
    <w:link w:val="67"/>
    <w:autoRedefine/>
    <w:qFormat/>
    <w:uiPriority w:val="99"/>
    <w:pPr>
      <w:spacing w:line="360" w:lineRule="auto"/>
    </w:pPr>
    <w:rPr>
      <w:rFonts w:ascii="Calibri" w:hAnsi="Calibri"/>
      <w:sz w:val="24"/>
    </w:rPr>
  </w:style>
  <w:style w:type="paragraph" w:styleId="22">
    <w:name w:val="Body Text Indent"/>
    <w:basedOn w:val="1"/>
    <w:link w:val="71"/>
    <w:autoRedefine/>
    <w:qFormat/>
    <w:uiPriority w:val="99"/>
    <w:pPr>
      <w:snapToGrid w:val="0"/>
      <w:spacing w:line="400" w:lineRule="exact"/>
      <w:ind w:firstLine="540" w:firstLineChars="225"/>
    </w:pPr>
    <w:rPr>
      <w:rFonts w:ascii="Calibri" w:hAnsi="Calibri" w:eastAsia="仿宋_GB2312"/>
      <w:sz w:val="24"/>
      <w:szCs w:val="24"/>
    </w:rPr>
  </w:style>
  <w:style w:type="paragraph" w:styleId="23">
    <w:name w:val="toc 5"/>
    <w:basedOn w:val="1"/>
    <w:next w:val="1"/>
    <w:autoRedefine/>
    <w:qFormat/>
    <w:uiPriority w:val="99"/>
    <w:pPr>
      <w:ind w:left="840"/>
      <w:jc w:val="left"/>
    </w:pPr>
    <w:rPr>
      <w:rFonts w:ascii="Calibri" w:hAnsi="Calibri" w:cs="Calibri"/>
      <w:sz w:val="18"/>
      <w:szCs w:val="18"/>
    </w:rPr>
  </w:style>
  <w:style w:type="paragraph" w:styleId="24">
    <w:name w:val="toc 3"/>
    <w:basedOn w:val="1"/>
    <w:next w:val="1"/>
    <w:autoRedefine/>
    <w:qFormat/>
    <w:uiPriority w:val="39"/>
    <w:pPr>
      <w:ind w:left="420"/>
      <w:jc w:val="left"/>
    </w:pPr>
    <w:rPr>
      <w:rFonts w:ascii="Calibri" w:hAnsi="Calibri" w:cs="Calibri"/>
      <w:i/>
      <w:iCs/>
      <w:sz w:val="20"/>
    </w:rPr>
  </w:style>
  <w:style w:type="paragraph" w:styleId="25">
    <w:name w:val="Plain Text"/>
    <w:basedOn w:val="1"/>
    <w:link w:val="72"/>
    <w:autoRedefine/>
    <w:qFormat/>
    <w:uiPriority w:val="0"/>
    <w:rPr>
      <w:rFonts w:ascii="宋体" w:hAnsi="Courier New" w:cs="Arial"/>
    </w:rPr>
  </w:style>
  <w:style w:type="paragraph" w:styleId="26">
    <w:name w:val="toc 8"/>
    <w:basedOn w:val="1"/>
    <w:next w:val="1"/>
    <w:autoRedefine/>
    <w:qFormat/>
    <w:uiPriority w:val="99"/>
    <w:pPr>
      <w:ind w:left="1470"/>
      <w:jc w:val="left"/>
    </w:pPr>
    <w:rPr>
      <w:rFonts w:ascii="Calibri" w:hAnsi="Calibri" w:cs="Calibri"/>
      <w:sz w:val="18"/>
      <w:szCs w:val="18"/>
    </w:rPr>
  </w:style>
  <w:style w:type="paragraph" w:styleId="27">
    <w:name w:val="Date"/>
    <w:basedOn w:val="1"/>
    <w:next w:val="1"/>
    <w:link w:val="73"/>
    <w:autoRedefine/>
    <w:qFormat/>
    <w:uiPriority w:val="99"/>
    <w:rPr>
      <w:rFonts w:ascii="Calibri" w:hAnsi="Calibri"/>
    </w:rPr>
  </w:style>
  <w:style w:type="paragraph" w:styleId="28">
    <w:name w:val="Body Text Indent 2"/>
    <w:basedOn w:val="1"/>
    <w:link w:val="74"/>
    <w:autoRedefine/>
    <w:qFormat/>
    <w:uiPriority w:val="99"/>
    <w:pPr>
      <w:spacing w:after="120" w:line="480" w:lineRule="auto"/>
      <w:ind w:left="420" w:leftChars="200"/>
    </w:pPr>
    <w:rPr>
      <w:rFonts w:ascii="Calibri" w:hAnsi="Calibri"/>
    </w:rPr>
  </w:style>
  <w:style w:type="paragraph" w:styleId="29">
    <w:name w:val="Balloon Text"/>
    <w:basedOn w:val="1"/>
    <w:link w:val="75"/>
    <w:autoRedefine/>
    <w:qFormat/>
    <w:uiPriority w:val="99"/>
    <w:rPr>
      <w:rFonts w:ascii="Calibri" w:hAnsi="Calibri"/>
      <w:sz w:val="18"/>
      <w:szCs w:val="18"/>
    </w:rPr>
  </w:style>
  <w:style w:type="paragraph" w:styleId="30">
    <w:name w:val="footer"/>
    <w:basedOn w:val="1"/>
    <w:link w:val="76"/>
    <w:autoRedefine/>
    <w:qFormat/>
    <w:uiPriority w:val="99"/>
    <w:pPr>
      <w:tabs>
        <w:tab w:val="center" w:pos="4153"/>
        <w:tab w:val="right" w:pos="8306"/>
      </w:tabs>
      <w:snapToGrid w:val="0"/>
      <w:jc w:val="left"/>
    </w:pPr>
    <w:rPr>
      <w:rFonts w:ascii="Calibri" w:hAnsi="Calibri"/>
      <w:sz w:val="18"/>
    </w:rPr>
  </w:style>
  <w:style w:type="paragraph" w:styleId="31">
    <w:name w:val="header"/>
    <w:basedOn w:val="1"/>
    <w:link w:val="77"/>
    <w:autoRedefine/>
    <w:qFormat/>
    <w:uiPriority w:val="99"/>
    <w:pPr>
      <w:pBdr>
        <w:bottom w:val="single" w:color="auto" w:sz="6" w:space="1"/>
      </w:pBdr>
      <w:tabs>
        <w:tab w:val="center" w:pos="4153"/>
        <w:tab w:val="right" w:pos="8306"/>
      </w:tabs>
      <w:snapToGrid w:val="0"/>
      <w:jc w:val="center"/>
    </w:pPr>
    <w:rPr>
      <w:rFonts w:ascii="Calibri" w:hAnsi="Calibri"/>
      <w:sz w:val="18"/>
    </w:rPr>
  </w:style>
  <w:style w:type="paragraph" w:styleId="32">
    <w:name w:val="toc 4"/>
    <w:basedOn w:val="1"/>
    <w:next w:val="1"/>
    <w:autoRedefine/>
    <w:qFormat/>
    <w:uiPriority w:val="39"/>
    <w:pPr>
      <w:ind w:left="630"/>
      <w:jc w:val="left"/>
    </w:pPr>
    <w:rPr>
      <w:rFonts w:ascii="Calibri" w:hAnsi="Calibri" w:cs="Calibri"/>
      <w:sz w:val="18"/>
      <w:szCs w:val="18"/>
    </w:rPr>
  </w:style>
  <w:style w:type="paragraph" w:styleId="33">
    <w:name w:val="Subtitle"/>
    <w:basedOn w:val="1"/>
    <w:next w:val="1"/>
    <w:link w:val="78"/>
    <w:autoRedefine/>
    <w:qFormat/>
    <w:uiPriority w:val="99"/>
    <w:pPr>
      <w:widowControl/>
      <w:spacing w:after="60"/>
      <w:jc w:val="center"/>
      <w:outlineLvl w:val="1"/>
    </w:pPr>
    <w:rPr>
      <w:rFonts w:ascii="Cambria" w:hAnsi="Cambria" w:cs="Arial"/>
      <w:kern w:val="0"/>
      <w:sz w:val="24"/>
      <w:szCs w:val="24"/>
      <w:lang w:eastAsia="en-US"/>
    </w:rPr>
  </w:style>
  <w:style w:type="paragraph" w:styleId="34">
    <w:name w:val="List Number 5"/>
    <w:basedOn w:val="1"/>
    <w:autoRedefine/>
    <w:semiHidden/>
    <w:unhideWhenUsed/>
    <w:qFormat/>
    <w:locked/>
    <w:uiPriority w:val="99"/>
    <w:pPr>
      <w:numPr>
        <w:ilvl w:val="0"/>
        <w:numId w:val="2"/>
      </w:numPr>
    </w:pPr>
  </w:style>
  <w:style w:type="paragraph" w:styleId="35">
    <w:name w:val="toc 6"/>
    <w:basedOn w:val="1"/>
    <w:next w:val="1"/>
    <w:autoRedefine/>
    <w:qFormat/>
    <w:uiPriority w:val="99"/>
    <w:pPr>
      <w:ind w:left="1050"/>
      <w:jc w:val="left"/>
    </w:pPr>
    <w:rPr>
      <w:rFonts w:ascii="Calibri" w:hAnsi="Calibri" w:cs="Calibri"/>
      <w:sz w:val="18"/>
      <w:szCs w:val="18"/>
    </w:rPr>
  </w:style>
  <w:style w:type="paragraph" w:styleId="36">
    <w:name w:val="Body Text Indent 3"/>
    <w:basedOn w:val="1"/>
    <w:link w:val="79"/>
    <w:autoRedefine/>
    <w:qFormat/>
    <w:uiPriority w:val="99"/>
    <w:pPr>
      <w:spacing w:after="120"/>
      <w:ind w:left="420" w:leftChars="200"/>
    </w:pPr>
    <w:rPr>
      <w:rFonts w:ascii="Calibri" w:hAnsi="Calibri"/>
      <w:sz w:val="16"/>
      <w:szCs w:val="16"/>
    </w:rPr>
  </w:style>
  <w:style w:type="paragraph" w:styleId="37">
    <w:name w:val="toc 2"/>
    <w:basedOn w:val="1"/>
    <w:next w:val="1"/>
    <w:autoRedefine/>
    <w:qFormat/>
    <w:uiPriority w:val="39"/>
    <w:pPr>
      <w:ind w:left="210"/>
      <w:jc w:val="left"/>
    </w:pPr>
    <w:rPr>
      <w:rFonts w:ascii="Calibri" w:hAnsi="Calibri" w:cs="Calibri"/>
      <w:smallCaps/>
      <w:sz w:val="20"/>
    </w:rPr>
  </w:style>
  <w:style w:type="paragraph" w:styleId="38">
    <w:name w:val="toc 9"/>
    <w:basedOn w:val="1"/>
    <w:next w:val="1"/>
    <w:autoRedefine/>
    <w:qFormat/>
    <w:uiPriority w:val="99"/>
    <w:pPr>
      <w:ind w:left="1680"/>
      <w:jc w:val="left"/>
    </w:pPr>
    <w:rPr>
      <w:rFonts w:ascii="Calibri" w:hAnsi="Calibri" w:cs="Calibri"/>
      <w:sz w:val="18"/>
      <w:szCs w:val="18"/>
    </w:rPr>
  </w:style>
  <w:style w:type="paragraph" w:styleId="39">
    <w:name w:val="Body Text 2"/>
    <w:basedOn w:val="1"/>
    <w:link w:val="80"/>
    <w:autoRedefine/>
    <w:qFormat/>
    <w:uiPriority w:val="99"/>
    <w:pPr>
      <w:spacing w:after="120" w:line="480" w:lineRule="auto"/>
    </w:pPr>
    <w:rPr>
      <w:rFonts w:ascii="Calibri" w:hAnsi="Calibri"/>
      <w:szCs w:val="21"/>
    </w:rPr>
  </w:style>
  <w:style w:type="paragraph" w:styleId="40">
    <w:name w:val="HTML Preformatted"/>
    <w:basedOn w:val="1"/>
    <w:link w:val="8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42">
    <w:name w:val="index 1"/>
    <w:basedOn w:val="1"/>
    <w:next w:val="1"/>
    <w:autoRedefine/>
    <w:semiHidden/>
    <w:qFormat/>
    <w:uiPriority w:val="99"/>
  </w:style>
  <w:style w:type="paragraph" w:styleId="43">
    <w:name w:val="Title"/>
    <w:basedOn w:val="1"/>
    <w:link w:val="82"/>
    <w:autoRedefine/>
    <w:qFormat/>
    <w:uiPriority w:val="99"/>
    <w:pPr>
      <w:spacing w:before="240" w:after="60"/>
      <w:jc w:val="center"/>
      <w:outlineLvl w:val="0"/>
    </w:pPr>
    <w:rPr>
      <w:rFonts w:ascii="Arial" w:hAnsi="Arial"/>
      <w:b/>
      <w:bCs/>
      <w:sz w:val="32"/>
      <w:szCs w:val="32"/>
    </w:rPr>
  </w:style>
  <w:style w:type="paragraph" w:styleId="44">
    <w:name w:val="annotation subject"/>
    <w:basedOn w:val="19"/>
    <w:next w:val="19"/>
    <w:link w:val="83"/>
    <w:autoRedefine/>
    <w:qFormat/>
    <w:uiPriority w:val="99"/>
    <w:rPr>
      <w:b/>
      <w:bCs/>
    </w:rPr>
  </w:style>
  <w:style w:type="paragraph" w:styleId="45">
    <w:name w:val="Body Text First Indent"/>
    <w:basedOn w:val="21"/>
    <w:autoRedefine/>
    <w:qFormat/>
    <w:uiPriority w:val="0"/>
    <w:pPr>
      <w:spacing w:after="120"/>
      <w:ind w:firstLine="420" w:firstLineChars="100"/>
      <w:jc w:val="both"/>
    </w:pPr>
    <w:rPr>
      <w:sz w:val="21"/>
    </w:rPr>
  </w:style>
  <w:style w:type="paragraph" w:styleId="46">
    <w:name w:val="Body Text First Indent 2"/>
    <w:basedOn w:val="22"/>
    <w:autoRedefine/>
    <w:qFormat/>
    <w:locked/>
    <w:uiPriority w:val="0"/>
    <w:pPr>
      <w:widowControl/>
      <w:spacing w:after="120" w:line="240" w:lineRule="auto"/>
      <w:ind w:left="420" w:firstLine="210"/>
      <w:jc w:val="left"/>
    </w:pPr>
    <w:rPr>
      <w:rFonts w:ascii="Times New Roman"/>
      <w:kern w:val="0"/>
      <w:sz w:val="20"/>
    </w:rPr>
  </w:style>
  <w:style w:type="table" w:styleId="48">
    <w:name w:val="Table Grid"/>
    <w:basedOn w:val="4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autoRedefine/>
    <w:qFormat/>
    <w:uiPriority w:val="22"/>
    <w:rPr>
      <w:rFonts w:cs="Times New Roman"/>
      <w:b/>
      <w:bCs/>
    </w:rPr>
  </w:style>
  <w:style w:type="character" w:styleId="51">
    <w:name w:val="page number"/>
    <w:basedOn w:val="49"/>
    <w:autoRedefine/>
    <w:qFormat/>
    <w:uiPriority w:val="99"/>
    <w:rPr>
      <w:rFonts w:cs="Times New Roman"/>
    </w:rPr>
  </w:style>
  <w:style w:type="character" w:styleId="52">
    <w:name w:val="FollowedHyperlink"/>
    <w:basedOn w:val="49"/>
    <w:autoRedefine/>
    <w:qFormat/>
    <w:uiPriority w:val="99"/>
    <w:rPr>
      <w:rFonts w:cs="Times New Roman"/>
      <w:color w:val="800080"/>
      <w:u w:val="single"/>
    </w:rPr>
  </w:style>
  <w:style w:type="character" w:styleId="53">
    <w:name w:val="line number"/>
    <w:basedOn w:val="49"/>
    <w:autoRedefine/>
    <w:qFormat/>
    <w:uiPriority w:val="99"/>
    <w:rPr>
      <w:rFonts w:cs="Times New Roman"/>
    </w:rPr>
  </w:style>
  <w:style w:type="character" w:styleId="54">
    <w:name w:val="Hyperlink"/>
    <w:basedOn w:val="49"/>
    <w:autoRedefine/>
    <w:qFormat/>
    <w:uiPriority w:val="99"/>
    <w:rPr>
      <w:rFonts w:cs="Times New Roman"/>
      <w:color w:val="0000FF"/>
      <w:u w:val="single"/>
    </w:rPr>
  </w:style>
  <w:style w:type="character" w:styleId="55">
    <w:name w:val="annotation reference"/>
    <w:basedOn w:val="49"/>
    <w:autoRedefine/>
    <w:qFormat/>
    <w:uiPriority w:val="99"/>
    <w:rPr>
      <w:rFonts w:cs="Times New Roman"/>
      <w:sz w:val="21"/>
    </w:rPr>
  </w:style>
  <w:style w:type="character" w:styleId="56">
    <w:name w:val="HTML Sample"/>
    <w:basedOn w:val="49"/>
    <w:autoRedefine/>
    <w:semiHidden/>
    <w:unhideWhenUsed/>
    <w:qFormat/>
    <w:locked/>
    <w:uiPriority w:val="99"/>
    <w:rPr>
      <w:rFonts w:ascii="宋体" w:hAnsi="宋体" w:eastAsia="宋体" w:cs="宋体"/>
    </w:rPr>
  </w:style>
  <w:style w:type="paragraph" w:customStyle="1" w:styleId="57">
    <w:name w:val="NormalIndent"/>
    <w:basedOn w:val="1"/>
    <w:autoRedefine/>
    <w:qFormat/>
    <w:uiPriority w:val="0"/>
    <w:pPr>
      <w:ind w:firstLine="420"/>
      <w:jc w:val="left"/>
    </w:pPr>
    <w:rPr>
      <w:rFonts w:ascii="宋体" w:hAnsi="Calibri"/>
      <w:kern w:val="0"/>
      <w:sz w:val="24"/>
      <w:szCs w:val="20"/>
    </w:rPr>
  </w:style>
  <w:style w:type="character" w:customStyle="1" w:styleId="58">
    <w:name w:val="标题 1 字符"/>
    <w:basedOn w:val="49"/>
    <w:link w:val="3"/>
    <w:autoRedefine/>
    <w:qFormat/>
    <w:locked/>
    <w:uiPriority w:val="99"/>
    <w:rPr>
      <w:rFonts w:eastAsia="宋体"/>
      <w:b/>
      <w:kern w:val="44"/>
      <w:sz w:val="44"/>
      <w:lang w:val="en-US" w:eastAsia="zh-CN"/>
    </w:rPr>
  </w:style>
  <w:style w:type="character" w:customStyle="1" w:styleId="59">
    <w:name w:val="标题 2 字符"/>
    <w:basedOn w:val="49"/>
    <w:link w:val="4"/>
    <w:autoRedefine/>
    <w:qFormat/>
    <w:locked/>
    <w:uiPriority w:val="99"/>
    <w:rPr>
      <w:rFonts w:ascii="Arial" w:hAnsi="Arial" w:eastAsia="黑体"/>
      <w:b/>
      <w:kern w:val="2"/>
      <w:sz w:val="32"/>
    </w:rPr>
  </w:style>
  <w:style w:type="character" w:customStyle="1" w:styleId="60">
    <w:name w:val="标题 3 字符"/>
    <w:basedOn w:val="49"/>
    <w:link w:val="6"/>
    <w:autoRedefine/>
    <w:qFormat/>
    <w:locked/>
    <w:uiPriority w:val="99"/>
    <w:rPr>
      <w:b/>
      <w:kern w:val="2"/>
      <w:sz w:val="32"/>
    </w:rPr>
  </w:style>
  <w:style w:type="character" w:customStyle="1" w:styleId="61">
    <w:name w:val="标题 4 字符"/>
    <w:basedOn w:val="49"/>
    <w:link w:val="7"/>
    <w:autoRedefine/>
    <w:qFormat/>
    <w:locked/>
    <w:uiPriority w:val="99"/>
    <w:rPr>
      <w:rFonts w:ascii="Calibri" w:hAnsi="Calibri"/>
      <w:b/>
      <w:sz w:val="28"/>
      <w:lang w:eastAsia="en-US"/>
    </w:rPr>
  </w:style>
  <w:style w:type="character" w:customStyle="1" w:styleId="62">
    <w:name w:val="标题 5 字符"/>
    <w:basedOn w:val="49"/>
    <w:link w:val="8"/>
    <w:autoRedefine/>
    <w:qFormat/>
    <w:locked/>
    <w:uiPriority w:val="99"/>
    <w:rPr>
      <w:rFonts w:ascii="Calibri" w:hAnsi="Calibri"/>
      <w:b/>
      <w:i/>
      <w:sz w:val="26"/>
      <w:lang w:eastAsia="en-US"/>
    </w:rPr>
  </w:style>
  <w:style w:type="character" w:customStyle="1" w:styleId="63">
    <w:name w:val="标题 6 字符"/>
    <w:basedOn w:val="49"/>
    <w:link w:val="9"/>
    <w:autoRedefine/>
    <w:qFormat/>
    <w:locked/>
    <w:uiPriority w:val="99"/>
    <w:rPr>
      <w:rFonts w:ascii="Calibri" w:hAnsi="Calibri"/>
      <w:b/>
      <w:sz w:val="22"/>
      <w:lang w:eastAsia="en-US"/>
    </w:rPr>
  </w:style>
  <w:style w:type="character" w:customStyle="1" w:styleId="64">
    <w:name w:val="标题 7 字符"/>
    <w:basedOn w:val="49"/>
    <w:link w:val="10"/>
    <w:autoRedefine/>
    <w:qFormat/>
    <w:locked/>
    <w:uiPriority w:val="99"/>
    <w:rPr>
      <w:rFonts w:ascii="Calibri" w:hAnsi="Calibri"/>
      <w:sz w:val="24"/>
      <w:lang w:eastAsia="en-US"/>
    </w:rPr>
  </w:style>
  <w:style w:type="character" w:customStyle="1" w:styleId="65">
    <w:name w:val="标题 8 字符"/>
    <w:basedOn w:val="49"/>
    <w:link w:val="11"/>
    <w:autoRedefine/>
    <w:qFormat/>
    <w:locked/>
    <w:uiPriority w:val="99"/>
    <w:rPr>
      <w:rFonts w:ascii="Calibri" w:hAnsi="Calibri"/>
      <w:i/>
      <w:sz w:val="24"/>
      <w:lang w:eastAsia="en-US"/>
    </w:rPr>
  </w:style>
  <w:style w:type="character" w:customStyle="1" w:styleId="66">
    <w:name w:val="标题 9 字符"/>
    <w:basedOn w:val="49"/>
    <w:link w:val="12"/>
    <w:autoRedefine/>
    <w:qFormat/>
    <w:locked/>
    <w:uiPriority w:val="99"/>
    <w:rPr>
      <w:rFonts w:ascii="Cambria" w:hAnsi="Cambria"/>
      <w:sz w:val="22"/>
      <w:lang w:eastAsia="en-US"/>
    </w:rPr>
  </w:style>
  <w:style w:type="character" w:customStyle="1" w:styleId="67">
    <w:name w:val="正文文本 字符"/>
    <w:basedOn w:val="49"/>
    <w:link w:val="21"/>
    <w:autoRedefine/>
    <w:qFormat/>
    <w:locked/>
    <w:uiPriority w:val="99"/>
    <w:rPr>
      <w:kern w:val="2"/>
      <w:sz w:val="24"/>
    </w:rPr>
  </w:style>
  <w:style w:type="character" w:customStyle="1" w:styleId="68">
    <w:name w:val="文档结构图 字符"/>
    <w:basedOn w:val="49"/>
    <w:link w:val="18"/>
    <w:autoRedefine/>
    <w:qFormat/>
    <w:locked/>
    <w:uiPriority w:val="99"/>
    <w:rPr>
      <w:kern w:val="2"/>
      <w:sz w:val="21"/>
      <w:shd w:val="clear" w:color="auto" w:fill="000080"/>
    </w:rPr>
  </w:style>
  <w:style w:type="character" w:customStyle="1" w:styleId="69">
    <w:name w:val="批注文字 字符"/>
    <w:basedOn w:val="49"/>
    <w:link w:val="19"/>
    <w:autoRedefine/>
    <w:qFormat/>
    <w:locked/>
    <w:uiPriority w:val="99"/>
    <w:rPr>
      <w:rFonts w:eastAsia="宋体"/>
      <w:kern w:val="2"/>
      <w:sz w:val="21"/>
      <w:lang w:val="en-US" w:eastAsia="zh-CN"/>
    </w:rPr>
  </w:style>
  <w:style w:type="character" w:customStyle="1" w:styleId="70">
    <w:name w:val="正文文本 3 字符"/>
    <w:basedOn w:val="49"/>
    <w:link w:val="20"/>
    <w:autoRedefine/>
    <w:semiHidden/>
    <w:qFormat/>
    <w:uiPriority w:val="99"/>
    <w:rPr>
      <w:rFonts w:ascii="Times New Roman" w:hAnsi="Times New Roman" w:cs="Times New Roman"/>
      <w:sz w:val="16"/>
      <w:szCs w:val="16"/>
    </w:rPr>
  </w:style>
  <w:style w:type="character" w:customStyle="1" w:styleId="71">
    <w:name w:val="正文文本缩进 字符"/>
    <w:basedOn w:val="49"/>
    <w:link w:val="22"/>
    <w:autoRedefine/>
    <w:qFormat/>
    <w:locked/>
    <w:uiPriority w:val="99"/>
    <w:rPr>
      <w:rFonts w:eastAsia="仿宋_GB2312"/>
      <w:kern w:val="2"/>
      <w:sz w:val="24"/>
    </w:rPr>
  </w:style>
  <w:style w:type="character" w:customStyle="1" w:styleId="72">
    <w:name w:val="纯文本 字符"/>
    <w:basedOn w:val="49"/>
    <w:link w:val="25"/>
    <w:autoRedefine/>
    <w:qFormat/>
    <w:locked/>
    <w:uiPriority w:val="0"/>
    <w:rPr>
      <w:rFonts w:ascii="宋体" w:hAnsi="Courier New" w:eastAsia="宋体"/>
      <w:kern w:val="2"/>
      <w:sz w:val="21"/>
      <w:lang w:val="en-US" w:eastAsia="zh-CN"/>
    </w:rPr>
  </w:style>
  <w:style w:type="character" w:customStyle="1" w:styleId="73">
    <w:name w:val="日期 字符"/>
    <w:basedOn w:val="49"/>
    <w:link w:val="27"/>
    <w:autoRedefine/>
    <w:qFormat/>
    <w:locked/>
    <w:uiPriority w:val="99"/>
    <w:rPr>
      <w:kern w:val="2"/>
      <w:sz w:val="21"/>
    </w:rPr>
  </w:style>
  <w:style w:type="character" w:customStyle="1" w:styleId="74">
    <w:name w:val="正文文本缩进 2 字符"/>
    <w:basedOn w:val="49"/>
    <w:link w:val="28"/>
    <w:autoRedefine/>
    <w:qFormat/>
    <w:locked/>
    <w:uiPriority w:val="99"/>
    <w:rPr>
      <w:kern w:val="2"/>
      <w:sz w:val="21"/>
    </w:rPr>
  </w:style>
  <w:style w:type="character" w:customStyle="1" w:styleId="75">
    <w:name w:val="批注框文本 字符"/>
    <w:basedOn w:val="49"/>
    <w:link w:val="29"/>
    <w:autoRedefine/>
    <w:qFormat/>
    <w:locked/>
    <w:uiPriority w:val="99"/>
    <w:rPr>
      <w:kern w:val="2"/>
      <w:sz w:val="18"/>
    </w:rPr>
  </w:style>
  <w:style w:type="character" w:customStyle="1" w:styleId="76">
    <w:name w:val="页脚 字符1"/>
    <w:basedOn w:val="49"/>
    <w:link w:val="30"/>
    <w:autoRedefine/>
    <w:qFormat/>
    <w:locked/>
    <w:uiPriority w:val="99"/>
    <w:rPr>
      <w:kern w:val="2"/>
      <w:sz w:val="18"/>
    </w:rPr>
  </w:style>
  <w:style w:type="character" w:customStyle="1" w:styleId="77">
    <w:name w:val="页眉 字符1"/>
    <w:basedOn w:val="49"/>
    <w:link w:val="31"/>
    <w:autoRedefine/>
    <w:qFormat/>
    <w:locked/>
    <w:uiPriority w:val="99"/>
    <w:rPr>
      <w:kern w:val="2"/>
      <w:sz w:val="18"/>
    </w:rPr>
  </w:style>
  <w:style w:type="character" w:customStyle="1" w:styleId="78">
    <w:name w:val="副标题 字符"/>
    <w:basedOn w:val="49"/>
    <w:link w:val="33"/>
    <w:autoRedefine/>
    <w:qFormat/>
    <w:locked/>
    <w:uiPriority w:val="99"/>
    <w:rPr>
      <w:rFonts w:ascii="Cambria" w:hAnsi="Cambria"/>
      <w:sz w:val="24"/>
      <w:lang w:eastAsia="en-US"/>
    </w:rPr>
  </w:style>
  <w:style w:type="character" w:customStyle="1" w:styleId="79">
    <w:name w:val="正文文本缩进 3 字符"/>
    <w:basedOn w:val="49"/>
    <w:link w:val="36"/>
    <w:autoRedefine/>
    <w:qFormat/>
    <w:locked/>
    <w:uiPriority w:val="99"/>
    <w:rPr>
      <w:kern w:val="2"/>
      <w:sz w:val="16"/>
    </w:rPr>
  </w:style>
  <w:style w:type="character" w:customStyle="1" w:styleId="80">
    <w:name w:val="正文文本 2 字符"/>
    <w:basedOn w:val="49"/>
    <w:link w:val="39"/>
    <w:autoRedefine/>
    <w:qFormat/>
    <w:locked/>
    <w:uiPriority w:val="99"/>
    <w:rPr>
      <w:kern w:val="2"/>
      <w:sz w:val="21"/>
    </w:rPr>
  </w:style>
  <w:style w:type="character" w:customStyle="1" w:styleId="81">
    <w:name w:val="HTML 预设格式 字符"/>
    <w:basedOn w:val="49"/>
    <w:link w:val="40"/>
    <w:autoRedefine/>
    <w:semiHidden/>
    <w:qFormat/>
    <w:uiPriority w:val="99"/>
    <w:rPr>
      <w:rFonts w:ascii="Courier New" w:hAnsi="Courier New" w:cs="Courier New"/>
      <w:sz w:val="20"/>
      <w:szCs w:val="20"/>
    </w:rPr>
  </w:style>
  <w:style w:type="character" w:customStyle="1" w:styleId="82">
    <w:name w:val="标题 字符"/>
    <w:basedOn w:val="49"/>
    <w:link w:val="43"/>
    <w:autoRedefine/>
    <w:qFormat/>
    <w:locked/>
    <w:uiPriority w:val="99"/>
    <w:rPr>
      <w:rFonts w:ascii="Arial" w:hAnsi="Arial"/>
      <w:b/>
      <w:kern w:val="2"/>
      <w:sz w:val="32"/>
    </w:rPr>
  </w:style>
  <w:style w:type="character" w:customStyle="1" w:styleId="83">
    <w:name w:val="批注主题 字符"/>
    <w:basedOn w:val="69"/>
    <w:link w:val="44"/>
    <w:autoRedefine/>
    <w:qFormat/>
    <w:locked/>
    <w:uiPriority w:val="99"/>
    <w:rPr>
      <w:rFonts w:eastAsia="宋体"/>
      <w:b/>
      <w:kern w:val="2"/>
      <w:sz w:val="21"/>
      <w:lang w:val="en-US" w:eastAsia="zh-CN"/>
    </w:rPr>
  </w:style>
  <w:style w:type="character" w:customStyle="1" w:styleId="84">
    <w:name w:val="正文缩进 字符"/>
    <w:link w:val="5"/>
    <w:autoRedefine/>
    <w:qFormat/>
    <w:locked/>
    <w:uiPriority w:val="99"/>
    <w:rPr>
      <w:kern w:val="2"/>
      <w:sz w:val="21"/>
    </w:rPr>
  </w:style>
  <w:style w:type="paragraph" w:customStyle="1" w:styleId="85">
    <w:name w:val="标题1"/>
    <w:basedOn w:val="43"/>
    <w:autoRedefine/>
    <w:qFormat/>
    <w:uiPriority w:val="99"/>
    <w:pPr>
      <w:spacing w:after="240"/>
    </w:pPr>
    <w:rPr>
      <w:spacing w:val="2"/>
      <w:sz w:val="44"/>
      <w:szCs w:val="44"/>
    </w:rPr>
  </w:style>
  <w:style w:type="paragraph" w:customStyle="1" w:styleId="86">
    <w:name w:val="font8"/>
    <w:basedOn w:val="1"/>
    <w:autoRedefine/>
    <w:qFormat/>
    <w:uiPriority w:val="99"/>
    <w:pPr>
      <w:widowControl/>
      <w:spacing w:before="100" w:beforeAutospacing="1" w:after="100" w:afterAutospacing="1"/>
      <w:jc w:val="left"/>
    </w:pPr>
    <w:rPr>
      <w:rFonts w:ascii="宋体" w:hAnsi="宋体"/>
      <w:kern w:val="0"/>
      <w:sz w:val="22"/>
      <w:szCs w:val="22"/>
    </w:rPr>
  </w:style>
  <w:style w:type="paragraph" w:customStyle="1" w:styleId="87">
    <w:name w:val="Char Char Char Char Char Char1 Char Char Char Char Char Char1 Char Char Char Char Char Char Char"/>
    <w:basedOn w:val="1"/>
    <w:autoRedefine/>
    <w:qFormat/>
    <w:uiPriority w:val="99"/>
    <w:rPr>
      <w:rFonts w:ascii="Tahoma" w:hAnsi="Tahoma"/>
      <w:sz w:val="24"/>
    </w:rPr>
  </w:style>
  <w:style w:type="paragraph" w:customStyle="1" w:styleId="88">
    <w:name w:val="xl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89">
    <w:name w:val="xl8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90">
    <w:name w:val="xl68"/>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91">
    <w:name w:val="font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xl3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93">
    <w:name w:val="font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Char"/>
    <w:basedOn w:val="1"/>
    <w:autoRedefine/>
    <w:qFormat/>
    <w:uiPriority w:val="99"/>
    <w:rPr>
      <w:szCs w:val="24"/>
    </w:rPr>
  </w:style>
  <w:style w:type="paragraph" w:customStyle="1" w:styleId="95">
    <w:name w:val="xl32"/>
    <w:basedOn w:val="1"/>
    <w:autoRedefine/>
    <w:qFormat/>
    <w:uiPriority w:val="99"/>
    <w:pPr>
      <w:widowControl/>
      <w:spacing w:before="100" w:beforeAutospacing="1" w:after="100" w:afterAutospacing="1"/>
      <w:jc w:val="left"/>
    </w:pPr>
    <w:rPr>
      <w:rFonts w:ascii="宋体" w:hAnsi="宋体"/>
      <w:kern w:val="0"/>
      <w:sz w:val="22"/>
      <w:szCs w:val="22"/>
    </w:rPr>
  </w:style>
  <w:style w:type="paragraph" w:customStyle="1" w:styleId="96">
    <w:name w:val="font10"/>
    <w:basedOn w:val="1"/>
    <w:autoRedefine/>
    <w:qFormat/>
    <w:uiPriority w:val="99"/>
    <w:pPr>
      <w:widowControl/>
      <w:spacing w:before="100" w:beforeAutospacing="1" w:after="100" w:afterAutospacing="1"/>
      <w:jc w:val="left"/>
    </w:pPr>
    <w:rPr>
      <w:rFonts w:ascii="Arial" w:hAnsi="Arial" w:cs="Arial"/>
      <w:color w:val="000000"/>
      <w:kern w:val="0"/>
      <w:sz w:val="20"/>
    </w:rPr>
  </w:style>
  <w:style w:type="paragraph" w:customStyle="1" w:styleId="97">
    <w:name w:val="Char3 Char Char Char"/>
    <w:basedOn w:val="1"/>
    <w:autoRedefine/>
    <w:qFormat/>
    <w:uiPriority w:val="99"/>
    <w:rPr>
      <w:rFonts w:ascii="Tahoma" w:hAnsi="Tahoma"/>
      <w:sz w:val="24"/>
    </w:rPr>
  </w:style>
  <w:style w:type="paragraph" w:customStyle="1" w:styleId="98">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99">
    <w:name w:val="xl28"/>
    <w:basedOn w:val="1"/>
    <w:autoRedefine/>
    <w:qFormat/>
    <w:uiPriority w:val="99"/>
    <w:pPr>
      <w:widowControl/>
      <w:spacing w:before="100" w:beforeAutospacing="1" w:after="100" w:afterAutospacing="1"/>
      <w:textAlignment w:val="top"/>
    </w:pPr>
    <w:rPr>
      <w:rFonts w:ascii="宋体" w:hAnsi="宋体"/>
      <w:kern w:val="0"/>
      <w:sz w:val="22"/>
      <w:szCs w:val="22"/>
    </w:rPr>
  </w:style>
  <w:style w:type="paragraph" w:customStyle="1" w:styleId="100">
    <w:name w:val="正文加重首行缩进2字"/>
    <w:basedOn w:val="101"/>
    <w:link w:val="103"/>
    <w:autoRedefine/>
    <w:qFormat/>
    <w:uiPriority w:val="99"/>
    <w:rPr>
      <w:b/>
      <w:bCs/>
    </w:rPr>
  </w:style>
  <w:style w:type="paragraph" w:customStyle="1" w:styleId="101">
    <w:name w:val="正文首行缩进2字"/>
    <w:basedOn w:val="1"/>
    <w:link w:val="102"/>
    <w:autoRedefine/>
    <w:qFormat/>
    <w:uiPriority w:val="99"/>
    <w:pPr>
      <w:ind w:firstLine="560" w:firstLineChars="200"/>
    </w:pPr>
    <w:rPr>
      <w:rFonts w:ascii="Calibri" w:hAnsi="Calibri" w:eastAsia="楷体_GB2312" w:cs="Arial"/>
      <w:kern w:val="0"/>
      <w:sz w:val="28"/>
      <w:szCs w:val="24"/>
    </w:rPr>
  </w:style>
  <w:style w:type="character" w:customStyle="1" w:styleId="102">
    <w:name w:val="正文首行缩进2字 Char"/>
    <w:link w:val="101"/>
    <w:autoRedefine/>
    <w:qFormat/>
    <w:locked/>
    <w:uiPriority w:val="99"/>
    <w:rPr>
      <w:rFonts w:eastAsia="楷体_GB2312"/>
      <w:sz w:val="24"/>
      <w:lang w:val="en-US" w:eastAsia="zh-CN"/>
    </w:rPr>
  </w:style>
  <w:style w:type="character" w:customStyle="1" w:styleId="103">
    <w:name w:val="正文加重首行缩进2字 Char"/>
    <w:link w:val="100"/>
    <w:autoRedefine/>
    <w:qFormat/>
    <w:locked/>
    <w:uiPriority w:val="99"/>
    <w:rPr>
      <w:rFonts w:eastAsia="楷体_GB2312"/>
      <w:b/>
      <w:sz w:val="24"/>
      <w:lang w:val="en-US" w:eastAsia="zh-CN"/>
    </w:rPr>
  </w:style>
  <w:style w:type="paragraph" w:customStyle="1" w:styleId="104">
    <w:name w:val="xl314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05">
    <w:name w:val="xl36"/>
    <w:basedOn w:val="1"/>
    <w:autoRedefine/>
    <w:qFormat/>
    <w:uiPriority w:val="99"/>
    <w:pPr>
      <w:widowControl/>
      <w:spacing w:before="100" w:beforeAutospacing="1" w:after="100" w:afterAutospacing="1"/>
      <w:jc w:val="left"/>
    </w:pPr>
    <w:rPr>
      <w:rFonts w:ascii="宋体" w:hAnsi="宋体"/>
      <w:kern w:val="0"/>
      <w:sz w:val="22"/>
      <w:szCs w:val="22"/>
    </w:rPr>
  </w:style>
  <w:style w:type="paragraph" w:customStyle="1" w:styleId="106">
    <w:name w:val="Char Char Char1 Char Char Char Char Char Char Char Char Char Char"/>
    <w:basedOn w:val="1"/>
    <w:autoRedefine/>
    <w:qFormat/>
    <w:uiPriority w:val="99"/>
    <w:rPr>
      <w:rFonts w:ascii="Tahoma" w:hAnsi="Tahoma"/>
      <w:sz w:val="24"/>
    </w:rPr>
  </w:style>
  <w:style w:type="paragraph" w:customStyle="1" w:styleId="107">
    <w:name w:val="xl314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08">
    <w:name w:val="xl81"/>
    <w:basedOn w:val="1"/>
    <w:autoRedefine/>
    <w:qFormat/>
    <w:uiPriority w:val="99"/>
    <w:pPr>
      <w:widowControl/>
      <w:shd w:val="clear" w:color="000000" w:fill="FFFF00"/>
      <w:spacing w:before="100" w:beforeAutospacing="1" w:after="100" w:afterAutospacing="1"/>
      <w:jc w:val="center"/>
    </w:pPr>
    <w:rPr>
      <w:rFonts w:ascii="宋体" w:hAnsi="宋体" w:cs="宋体"/>
      <w:kern w:val="0"/>
      <w:sz w:val="24"/>
      <w:szCs w:val="24"/>
    </w:rPr>
  </w:style>
  <w:style w:type="paragraph" w:customStyle="1" w:styleId="109">
    <w:name w:val="Char Char Char Char Char Char1 Char Char Char Char Char Char1 Char Char Char Char"/>
    <w:basedOn w:val="1"/>
    <w:autoRedefine/>
    <w:qFormat/>
    <w:uiPriority w:val="99"/>
    <w:rPr>
      <w:rFonts w:ascii="Tahoma" w:hAnsi="Tahoma"/>
      <w:sz w:val="24"/>
    </w:rPr>
  </w:style>
  <w:style w:type="paragraph" w:customStyle="1" w:styleId="110">
    <w:name w:val="Char Char Char Char Char Char Char Char Char Char Char Char Char"/>
    <w:basedOn w:val="1"/>
    <w:autoRedefine/>
    <w:qFormat/>
    <w:uiPriority w:val="99"/>
    <w:pPr>
      <w:tabs>
        <w:tab w:val="left" w:pos="360"/>
      </w:tabs>
      <w:ind w:firstLine="420" w:firstLineChars="150"/>
    </w:pPr>
    <w:rPr>
      <w:rFonts w:ascii="Arial" w:hAnsi="Arial" w:cs="Arial"/>
      <w:sz w:val="20"/>
    </w:rPr>
  </w:style>
  <w:style w:type="paragraph" w:customStyle="1" w:styleId="111">
    <w:name w:val="Char Char Char"/>
    <w:basedOn w:val="1"/>
    <w:autoRedefine/>
    <w:qFormat/>
    <w:uiPriority w:val="99"/>
    <w:rPr>
      <w:rFonts w:ascii="Tahoma" w:hAnsi="Tahoma"/>
      <w:sz w:val="24"/>
    </w:rPr>
  </w:style>
  <w:style w:type="paragraph" w:styleId="112">
    <w:name w:val="List Paragraph"/>
    <w:basedOn w:val="1"/>
    <w:link w:val="113"/>
    <w:autoRedefine/>
    <w:qFormat/>
    <w:uiPriority w:val="99"/>
    <w:pPr>
      <w:ind w:firstLine="420" w:firstLineChars="200"/>
    </w:pPr>
    <w:rPr>
      <w:rFonts w:ascii="Calibri" w:hAnsi="Calibri"/>
    </w:rPr>
  </w:style>
  <w:style w:type="character" w:customStyle="1" w:styleId="113">
    <w:name w:val="列表段落 字符"/>
    <w:link w:val="112"/>
    <w:autoRedefine/>
    <w:qFormat/>
    <w:locked/>
    <w:uiPriority w:val="99"/>
    <w:rPr>
      <w:kern w:val="2"/>
      <w:sz w:val="21"/>
    </w:rPr>
  </w:style>
  <w:style w:type="paragraph" w:customStyle="1" w:styleId="114">
    <w:name w:val="xl315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宋体" w:hAnsi="宋体" w:cs="宋体"/>
      <w:kern w:val="0"/>
      <w:sz w:val="24"/>
      <w:szCs w:val="24"/>
    </w:rPr>
  </w:style>
  <w:style w:type="paragraph" w:customStyle="1" w:styleId="115">
    <w:name w:val="xl29"/>
    <w:basedOn w:val="1"/>
    <w:autoRedefine/>
    <w:qFormat/>
    <w:uiPriority w:val="99"/>
    <w:pPr>
      <w:widowControl/>
      <w:spacing w:before="100" w:beforeAutospacing="1" w:after="100" w:afterAutospacing="1"/>
      <w:textAlignment w:val="top"/>
    </w:pPr>
    <w:rPr>
      <w:rFonts w:ascii="宋体" w:hAnsi="宋体"/>
      <w:b/>
      <w:bCs/>
      <w:kern w:val="0"/>
      <w:sz w:val="22"/>
      <w:szCs w:val="22"/>
    </w:rPr>
  </w:style>
  <w:style w:type="paragraph" w:customStyle="1" w:styleId="116">
    <w:name w:val="节2"/>
    <w:basedOn w:val="1"/>
    <w:autoRedefine/>
    <w:qFormat/>
    <w:uiPriority w:val="99"/>
    <w:rPr>
      <w:rFonts w:eastAsia="黑体"/>
      <w:bCs/>
      <w:sz w:val="28"/>
      <w:szCs w:val="24"/>
    </w:rPr>
  </w:style>
  <w:style w:type="paragraph" w:customStyle="1" w:styleId="117">
    <w:name w:val="xl7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rPr>
  </w:style>
  <w:style w:type="paragraph" w:customStyle="1" w:styleId="118">
    <w:name w:val="font7"/>
    <w:basedOn w:val="1"/>
    <w:autoRedefine/>
    <w:qFormat/>
    <w:uiPriority w:val="99"/>
    <w:pPr>
      <w:widowControl/>
      <w:spacing w:before="100" w:beforeAutospacing="1" w:after="100" w:afterAutospacing="1"/>
      <w:jc w:val="left"/>
    </w:pPr>
    <w:rPr>
      <w:rFonts w:ascii="宋体" w:hAnsi="宋体"/>
      <w:kern w:val="0"/>
      <w:sz w:val="22"/>
      <w:szCs w:val="22"/>
    </w:rPr>
  </w:style>
  <w:style w:type="paragraph" w:customStyle="1" w:styleId="119">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20">
    <w:name w:val="xl3140"/>
    <w:basedOn w:val="1"/>
    <w:autoRedefine/>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21">
    <w:name w:val="正文样式"/>
    <w:basedOn w:val="122"/>
    <w:autoRedefine/>
    <w:qFormat/>
    <w:uiPriority w:val="99"/>
    <w:pPr>
      <w:ind w:firstLine="420"/>
    </w:pPr>
  </w:style>
  <w:style w:type="paragraph" w:customStyle="1" w:styleId="122">
    <w:name w:val="文"/>
    <w:basedOn w:val="1"/>
    <w:autoRedefine/>
    <w:qFormat/>
    <w:uiPriority w:val="99"/>
    <w:pPr>
      <w:adjustRightInd w:val="0"/>
      <w:ind w:firstLine="200" w:firstLineChars="200"/>
      <w:jc w:val="left"/>
    </w:pPr>
    <w:rPr>
      <w:szCs w:val="21"/>
    </w:rPr>
  </w:style>
  <w:style w:type="paragraph" w:customStyle="1" w:styleId="123">
    <w:name w:val="xl3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000000"/>
      <w:kern w:val="0"/>
      <w:sz w:val="24"/>
      <w:szCs w:val="24"/>
    </w:rPr>
  </w:style>
  <w:style w:type="paragraph" w:customStyle="1" w:styleId="124">
    <w:name w:val="xl316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25">
    <w:name w:val="列出段落1"/>
    <w:basedOn w:val="1"/>
    <w:autoRedefine/>
    <w:qFormat/>
    <w:uiPriority w:val="99"/>
    <w:pPr>
      <w:spacing w:line="360" w:lineRule="auto"/>
      <w:ind w:firstLine="420" w:firstLineChars="200"/>
    </w:pPr>
    <w:rPr>
      <w:rFonts w:ascii="Calibri" w:hAnsi="Calibri"/>
    </w:rPr>
  </w:style>
  <w:style w:type="paragraph" w:customStyle="1" w:styleId="126">
    <w:name w:val="xl30"/>
    <w:basedOn w:val="1"/>
    <w:autoRedefine/>
    <w:qFormat/>
    <w:uiPriority w:val="99"/>
    <w:pPr>
      <w:widowControl/>
      <w:spacing w:before="100" w:beforeAutospacing="1" w:after="100" w:afterAutospacing="1"/>
      <w:jc w:val="left"/>
      <w:textAlignment w:val="top"/>
    </w:pPr>
    <w:rPr>
      <w:rFonts w:ascii="宋体" w:hAnsi="宋体"/>
      <w:kern w:val="0"/>
      <w:sz w:val="22"/>
      <w:szCs w:val="22"/>
    </w:rPr>
  </w:style>
  <w:style w:type="paragraph" w:customStyle="1" w:styleId="127">
    <w:name w:val="xl35"/>
    <w:basedOn w:val="1"/>
    <w:autoRedefine/>
    <w:qFormat/>
    <w:uiPriority w:val="99"/>
    <w:pPr>
      <w:widowControl/>
      <w:spacing w:before="100" w:beforeAutospacing="1" w:after="100" w:afterAutospacing="1"/>
      <w:jc w:val="left"/>
    </w:pPr>
    <w:rPr>
      <w:rFonts w:ascii="宋体" w:hAnsi="宋体"/>
      <w:b/>
      <w:bCs/>
      <w:kern w:val="0"/>
      <w:sz w:val="22"/>
      <w:szCs w:val="22"/>
    </w:rPr>
  </w:style>
  <w:style w:type="paragraph" w:customStyle="1" w:styleId="128">
    <w:name w:val="xl314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29">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130">
    <w:name w:val="Char Char Char Char"/>
    <w:basedOn w:val="1"/>
    <w:autoRedefine/>
    <w:qFormat/>
    <w:uiPriority w:val="0"/>
    <w:pPr>
      <w:widowControl/>
      <w:spacing w:after="160" w:line="240" w:lineRule="exact"/>
      <w:jc w:val="left"/>
    </w:pPr>
    <w:rPr>
      <w:rFonts w:ascii="Verdana" w:hAnsi="Verdana"/>
      <w:kern w:val="0"/>
      <w:lang w:eastAsia="en-US"/>
    </w:rPr>
  </w:style>
  <w:style w:type="paragraph" w:customStyle="1" w:styleId="131">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32">
    <w:name w:val="xl316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3">
    <w:name w:val="font12"/>
    <w:basedOn w:val="1"/>
    <w:autoRedefine/>
    <w:qFormat/>
    <w:uiPriority w:val="99"/>
    <w:pPr>
      <w:widowControl/>
      <w:spacing w:before="100" w:beforeAutospacing="1" w:after="100" w:afterAutospacing="1"/>
      <w:jc w:val="left"/>
    </w:pPr>
    <w:rPr>
      <w:rFonts w:ascii="Arial" w:hAnsi="Arial" w:cs="Arial"/>
      <w:kern w:val="0"/>
      <w:sz w:val="20"/>
    </w:rPr>
  </w:style>
  <w:style w:type="paragraph" w:customStyle="1" w:styleId="134">
    <w:name w:val="xl316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宋体" w:hAnsi="宋体" w:cs="宋体"/>
      <w:kern w:val="0"/>
      <w:sz w:val="24"/>
      <w:szCs w:val="24"/>
    </w:rPr>
  </w:style>
  <w:style w:type="paragraph" w:customStyle="1" w:styleId="135">
    <w:name w:val="xl33"/>
    <w:basedOn w:val="1"/>
    <w:autoRedefine/>
    <w:qFormat/>
    <w:uiPriority w:val="99"/>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136">
    <w:name w:val="xl3147"/>
    <w:basedOn w:val="1"/>
    <w:autoRedefine/>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137">
    <w:name w:val="Char Char1 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38">
    <w:name w:val="xl3165"/>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39">
    <w:name w:val="Balloon Text1"/>
    <w:basedOn w:val="1"/>
    <w:autoRedefine/>
    <w:qFormat/>
    <w:uiPriority w:val="99"/>
    <w:rPr>
      <w:sz w:val="18"/>
      <w:szCs w:val="18"/>
    </w:rPr>
  </w:style>
  <w:style w:type="paragraph" w:customStyle="1" w:styleId="140">
    <w:name w:val="xl314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141">
    <w:name w:val="引用1"/>
    <w:basedOn w:val="1"/>
    <w:next w:val="1"/>
    <w:link w:val="142"/>
    <w:autoRedefine/>
    <w:qFormat/>
    <w:uiPriority w:val="99"/>
    <w:pPr>
      <w:widowControl/>
      <w:jc w:val="left"/>
    </w:pPr>
    <w:rPr>
      <w:rFonts w:ascii="Calibri" w:hAnsi="Calibri" w:cs="Arial"/>
      <w:i/>
      <w:kern w:val="0"/>
      <w:sz w:val="24"/>
      <w:szCs w:val="24"/>
      <w:lang w:eastAsia="en-US"/>
    </w:rPr>
  </w:style>
  <w:style w:type="character" w:customStyle="1" w:styleId="142">
    <w:name w:val="引用 Char"/>
    <w:link w:val="141"/>
    <w:autoRedefine/>
    <w:qFormat/>
    <w:locked/>
    <w:uiPriority w:val="99"/>
    <w:rPr>
      <w:rFonts w:ascii="Calibri" w:hAnsi="Calibri"/>
      <w:i/>
      <w:sz w:val="24"/>
      <w:lang w:eastAsia="en-US"/>
    </w:rPr>
  </w:style>
  <w:style w:type="paragraph" w:customStyle="1" w:styleId="143">
    <w:name w:val="xl8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144">
    <w:name w:val="xl7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145">
    <w:name w:val="无间隔1"/>
    <w:basedOn w:val="1"/>
    <w:link w:val="146"/>
    <w:autoRedefine/>
    <w:qFormat/>
    <w:uiPriority w:val="99"/>
    <w:pPr>
      <w:widowControl/>
      <w:jc w:val="left"/>
    </w:pPr>
    <w:rPr>
      <w:rFonts w:ascii="Calibri" w:hAnsi="Calibri" w:cs="Arial"/>
      <w:kern w:val="0"/>
      <w:sz w:val="24"/>
      <w:szCs w:val="32"/>
      <w:lang w:eastAsia="en-US"/>
    </w:rPr>
  </w:style>
  <w:style w:type="character" w:customStyle="1" w:styleId="146">
    <w:name w:val="无间隔 Char"/>
    <w:link w:val="145"/>
    <w:autoRedefine/>
    <w:qFormat/>
    <w:locked/>
    <w:uiPriority w:val="99"/>
    <w:rPr>
      <w:rFonts w:ascii="Calibri" w:hAnsi="Calibri"/>
      <w:sz w:val="32"/>
      <w:lang w:eastAsia="en-US"/>
    </w:rPr>
  </w:style>
  <w:style w:type="paragraph" w:customStyle="1" w:styleId="147">
    <w:name w:val="Char Char Char Char Char Char Char Char Char Char Char Char Char1"/>
    <w:basedOn w:val="1"/>
    <w:autoRedefine/>
    <w:qFormat/>
    <w:uiPriority w:val="99"/>
    <w:pPr>
      <w:tabs>
        <w:tab w:val="left" w:pos="360"/>
      </w:tabs>
      <w:ind w:firstLine="420" w:firstLineChars="150"/>
    </w:pPr>
    <w:rPr>
      <w:rFonts w:ascii="Arial" w:hAnsi="Arial" w:cs="Arial"/>
      <w:sz w:val="20"/>
    </w:rPr>
  </w:style>
  <w:style w:type="paragraph" w:customStyle="1" w:styleId="148">
    <w:name w:val="1 Char Char Char Char"/>
    <w:basedOn w:val="1"/>
    <w:autoRedefine/>
    <w:qFormat/>
    <w:uiPriority w:val="99"/>
    <w:rPr>
      <w:rFonts w:ascii="Tahoma" w:hAnsi="Tahoma"/>
      <w:sz w:val="24"/>
    </w:rPr>
  </w:style>
  <w:style w:type="paragraph" w:customStyle="1" w:styleId="149">
    <w:name w:val="font11"/>
    <w:basedOn w:val="1"/>
    <w:autoRedefine/>
    <w:qFormat/>
    <w:uiPriority w:val="99"/>
    <w:pPr>
      <w:widowControl/>
      <w:spacing w:before="100" w:beforeAutospacing="1" w:after="100" w:afterAutospacing="1"/>
      <w:jc w:val="left"/>
    </w:pPr>
    <w:rPr>
      <w:rFonts w:ascii="华文细黑" w:hAnsi="华文细黑" w:eastAsia="华文细黑" w:cs="宋体"/>
      <w:color w:val="000000"/>
      <w:kern w:val="0"/>
      <w:sz w:val="20"/>
    </w:rPr>
  </w:style>
  <w:style w:type="paragraph" w:customStyle="1" w:styleId="150">
    <w:name w:val="正文符号1"/>
    <w:basedOn w:val="101"/>
    <w:link w:val="151"/>
    <w:autoRedefine/>
    <w:qFormat/>
    <w:uiPriority w:val="99"/>
    <w:pPr>
      <w:numPr>
        <w:ilvl w:val="0"/>
        <w:numId w:val="3"/>
      </w:numPr>
      <w:tabs>
        <w:tab w:val="left" w:pos="960"/>
        <w:tab w:val="left" w:pos="1080"/>
        <w:tab w:val="clear" w:pos="1500"/>
      </w:tabs>
      <w:ind w:left="960" w:firstLine="0" w:firstLineChars="0"/>
    </w:pPr>
  </w:style>
  <w:style w:type="character" w:customStyle="1" w:styleId="151">
    <w:name w:val="正文符号1 Char"/>
    <w:link w:val="150"/>
    <w:autoRedefine/>
    <w:qFormat/>
    <w:locked/>
    <w:uiPriority w:val="99"/>
    <w:rPr>
      <w:rFonts w:eastAsia="楷体_GB2312"/>
      <w:kern w:val="0"/>
      <w:sz w:val="28"/>
      <w:szCs w:val="24"/>
    </w:rPr>
  </w:style>
  <w:style w:type="paragraph" w:customStyle="1" w:styleId="152">
    <w:name w:val="xl7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153">
    <w:name w:val="xl7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154">
    <w:name w:val="正文 首行缩进:  2 字符"/>
    <w:basedOn w:val="1"/>
    <w:link w:val="155"/>
    <w:autoRedefine/>
    <w:qFormat/>
    <w:uiPriority w:val="99"/>
    <w:pPr>
      <w:ind w:firstLine="560" w:firstLineChars="200"/>
    </w:pPr>
    <w:rPr>
      <w:rFonts w:ascii="Arial" w:hAnsi="Arial" w:eastAsia="楷体_GB2312" w:cs="Arial"/>
      <w:sz w:val="28"/>
    </w:rPr>
  </w:style>
  <w:style w:type="character" w:customStyle="1" w:styleId="155">
    <w:name w:val="正文 首行缩进:  2 字符 Char1"/>
    <w:link w:val="154"/>
    <w:autoRedefine/>
    <w:qFormat/>
    <w:locked/>
    <w:uiPriority w:val="99"/>
    <w:rPr>
      <w:rFonts w:ascii="Arial" w:hAnsi="Arial" w:eastAsia="楷体_GB2312"/>
      <w:kern w:val="2"/>
      <w:sz w:val="28"/>
      <w:lang w:val="en-US" w:eastAsia="zh-CN"/>
    </w:rPr>
  </w:style>
  <w:style w:type="paragraph" w:customStyle="1" w:styleId="156">
    <w:name w:val="xl3167"/>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57">
    <w:name w:val="style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58">
    <w:name w:val="xl31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159">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rPr>
  </w:style>
  <w:style w:type="paragraph" w:customStyle="1" w:styleId="160">
    <w:name w:val="font6"/>
    <w:basedOn w:val="1"/>
    <w:autoRedefine/>
    <w:qFormat/>
    <w:uiPriority w:val="99"/>
    <w:pPr>
      <w:widowControl/>
      <w:spacing w:before="100" w:beforeAutospacing="1" w:after="100" w:afterAutospacing="1"/>
      <w:jc w:val="left"/>
    </w:pPr>
    <w:rPr>
      <w:rFonts w:ascii="宋体" w:hAnsi="宋体"/>
      <w:kern w:val="0"/>
      <w:sz w:val="22"/>
      <w:szCs w:val="22"/>
    </w:rPr>
  </w:style>
  <w:style w:type="paragraph" w:customStyle="1" w:styleId="161">
    <w:name w:val="xl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162">
    <w:name w:val="xl3155"/>
    <w:basedOn w:val="1"/>
    <w:autoRedefine/>
    <w:qFormat/>
    <w:uiPriority w:val="99"/>
    <w:pPr>
      <w:widowControl/>
      <w:pBdr>
        <w:top w:val="single" w:color="auto" w:sz="4" w:space="0"/>
        <w:left w:val="single" w:color="auto" w:sz="4" w:space="0"/>
        <w:right w:val="single" w:color="auto" w:sz="4" w:space="0"/>
      </w:pBdr>
      <w:shd w:val="clear" w:color="000000" w:fill="FFFF00"/>
      <w:spacing w:before="100" w:beforeAutospacing="1" w:after="100" w:afterAutospacing="1"/>
      <w:jc w:val="right"/>
      <w:textAlignment w:val="center"/>
    </w:pPr>
    <w:rPr>
      <w:rFonts w:ascii="宋体" w:hAnsi="宋体" w:cs="宋体"/>
      <w:color w:val="000000"/>
      <w:kern w:val="0"/>
      <w:sz w:val="24"/>
      <w:szCs w:val="24"/>
    </w:rPr>
  </w:style>
  <w:style w:type="paragraph" w:customStyle="1" w:styleId="163">
    <w:name w:val="contentlabel"/>
    <w:basedOn w:val="1"/>
    <w:autoRedefine/>
    <w:qFormat/>
    <w:uiPriority w:val="99"/>
    <w:pPr>
      <w:widowControl/>
      <w:spacing w:before="30" w:after="100" w:afterAutospacing="1"/>
      <w:ind w:left="90"/>
      <w:jc w:val="left"/>
    </w:pPr>
    <w:rPr>
      <w:rFonts w:ascii="Arial Unicode MS" w:hAnsi="Arial Unicode MS" w:cs="Arial Unicode MS"/>
      <w:color w:val="336666"/>
      <w:kern w:val="0"/>
      <w:sz w:val="18"/>
      <w:szCs w:val="18"/>
    </w:rPr>
  </w:style>
  <w:style w:type="paragraph" w:customStyle="1" w:styleId="164">
    <w:name w:val="xl25"/>
    <w:basedOn w:val="1"/>
    <w:autoRedefine/>
    <w:qFormat/>
    <w:uiPriority w:val="99"/>
    <w:pPr>
      <w:widowControl/>
      <w:spacing w:before="100" w:beforeAutospacing="1" w:after="100" w:afterAutospacing="1"/>
      <w:jc w:val="left"/>
      <w:textAlignment w:val="center"/>
    </w:pPr>
    <w:rPr>
      <w:rFonts w:ascii="宋体" w:hAnsi="宋体"/>
      <w:b/>
      <w:bCs/>
      <w:kern w:val="0"/>
      <w:sz w:val="22"/>
      <w:szCs w:val="22"/>
    </w:rPr>
  </w:style>
  <w:style w:type="paragraph" w:customStyle="1" w:styleId="165">
    <w:name w:val="p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66">
    <w:name w:val="xl3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4"/>
      <w:szCs w:val="24"/>
    </w:rPr>
  </w:style>
  <w:style w:type="paragraph" w:customStyle="1" w:styleId="167">
    <w:name w:val="xl314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68">
    <w:name w:val="Char1"/>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69">
    <w:name w:val="xl7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0">
    <w:name w:val="font9"/>
    <w:basedOn w:val="1"/>
    <w:autoRedefine/>
    <w:qFormat/>
    <w:uiPriority w:val="99"/>
    <w:pPr>
      <w:widowControl/>
      <w:spacing w:before="100" w:beforeAutospacing="1" w:after="100" w:afterAutospacing="1"/>
      <w:jc w:val="left"/>
    </w:pPr>
    <w:rPr>
      <w:kern w:val="0"/>
      <w:sz w:val="20"/>
    </w:rPr>
  </w:style>
  <w:style w:type="paragraph" w:customStyle="1" w:styleId="171">
    <w:name w:val="xl83"/>
    <w:basedOn w:val="1"/>
    <w:autoRedefine/>
    <w:qFormat/>
    <w:uiPriority w:val="99"/>
    <w:pPr>
      <w:widowControl/>
      <w:shd w:val="clear" w:color="000000" w:fill="FFFF00"/>
      <w:spacing w:before="100" w:beforeAutospacing="1" w:after="100" w:afterAutospacing="1"/>
      <w:jc w:val="center"/>
    </w:pPr>
    <w:rPr>
      <w:rFonts w:ascii="宋体" w:hAnsi="宋体" w:cs="宋体"/>
      <w:kern w:val="0"/>
      <w:sz w:val="24"/>
      <w:szCs w:val="24"/>
    </w:rPr>
  </w:style>
  <w:style w:type="paragraph" w:customStyle="1" w:styleId="172">
    <w:name w:val="xl31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173">
    <w:name w:val="_Style 132"/>
    <w:autoRedefine/>
    <w:semiHidden/>
    <w:qFormat/>
    <w:uiPriority w:val="99"/>
    <w:rPr>
      <w:rFonts w:ascii="Times New Roman" w:hAnsi="Times New Roman" w:eastAsia="宋体" w:cs="Times New Roman"/>
      <w:kern w:val="2"/>
      <w:sz w:val="21"/>
      <w:lang w:val="en-US" w:eastAsia="zh-CN" w:bidi="ar-SA"/>
    </w:rPr>
  </w:style>
  <w:style w:type="paragraph" w:customStyle="1" w:styleId="174">
    <w:name w:val="xl6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5">
    <w:name w:val="xl3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000000"/>
      <w:kern w:val="0"/>
      <w:sz w:val="24"/>
      <w:szCs w:val="24"/>
    </w:rPr>
  </w:style>
  <w:style w:type="paragraph" w:customStyle="1" w:styleId="176">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7">
    <w:name w:val="xl3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78">
    <w:name w:val="he"/>
    <w:basedOn w:val="1"/>
    <w:next w:val="5"/>
    <w:autoRedefine/>
    <w:qFormat/>
    <w:uiPriority w:val="99"/>
    <w:pPr>
      <w:keepNext/>
      <w:keepLines/>
      <w:autoSpaceDE w:val="0"/>
      <w:autoSpaceDN w:val="0"/>
      <w:adjustRightInd w:val="0"/>
      <w:spacing w:before="120" w:line="300" w:lineRule="auto"/>
      <w:jc w:val="center"/>
    </w:pPr>
    <w:rPr>
      <w:rFonts w:ascii="Arial" w:hAnsi="Arial" w:eastAsia="黑体"/>
      <w:b/>
      <w:bCs/>
      <w:kern w:val="0"/>
      <w:sz w:val="30"/>
      <w:szCs w:val="30"/>
    </w:rPr>
  </w:style>
  <w:style w:type="paragraph" w:customStyle="1" w:styleId="179">
    <w:name w:val="xl7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0">
    <w:name w:val="节"/>
    <w:basedOn w:val="1"/>
    <w:autoRedefine/>
    <w:qFormat/>
    <w:uiPriority w:val="99"/>
    <w:pPr>
      <w:adjustRightInd w:val="0"/>
      <w:spacing w:before="100" w:beforeAutospacing="1"/>
    </w:pPr>
    <w:rPr>
      <w:rFonts w:eastAsia="仿宋_GB2312"/>
      <w:b/>
      <w:sz w:val="32"/>
      <w:szCs w:val="32"/>
    </w:rPr>
  </w:style>
  <w:style w:type="paragraph" w:customStyle="1" w:styleId="181">
    <w:name w:val="xl24"/>
    <w:basedOn w:val="1"/>
    <w:autoRedefine/>
    <w:qFormat/>
    <w:uiPriority w:val="99"/>
    <w:pPr>
      <w:widowControl/>
      <w:spacing w:before="100" w:beforeAutospacing="1" w:after="100" w:afterAutospacing="1"/>
      <w:jc w:val="left"/>
      <w:textAlignment w:val="top"/>
    </w:pPr>
    <w:rPr>
      <w:rFonts w:ascii="宋体" w:hAnsi="宋体"/>
      <w:kern w:val="0"/>
      <w:sz w:val="22"/>
      <w:szCs w:val="22"/>
    </w:rPr>
  </w:style>
  <w:style w:type="paragraph" w:customStyle="1" w:styleId="182">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83">
    <w:name w:val="正文 A"/>
    <w:next w:val="184"/>
    <w:autoRedefine/>
    <w:qFormat/>
    <w:uiPriority w:val="99"/>
    <w:pPr>
      <w:widowControl w:val="0"/>
      <w:jc w:val="both"/>
    </w:pPr>
    <w:rPr>
      <w:rFonts w:ascii="Arial Unicode MS" w:hAnsi="Arial Unicode MS" w:eastAsia="宋体" w:cs="Arial Unicode MS"/>
      <w:color w:val="000000"/>
      <w:kern w:val="2"/>
      <w:sz w:val="21"/>
      <w:szCs w:val="21"/>
      <w:u w:color="000000"/>
      <w:lang w:val="en-US" w:eastAsia="zh-CN" w:bidi="ar-SA"/>
    </w:rPr>
  </w:style>
  <w:style w:type="paragraph" w:customStyle="1" w:styleId="184">
    <w:name w:val="段"/>
    <w:next w:val="183"/>
    <w:autoRedefine/>
    <w:qFormat/>
    <w:uiPriority w:val="99"/>
    <w:pPr>
      <w:widowControl w:val="0"/>
      <w:ind w:firstLine="200"/>
      <w:jc w:val="both"/>
    </w:pPr>
    <w:rPr>
      <w:rFonts w:ascii="宋体" w:hAnsi="宋体" w:eastAsia="宋体" w:cs="宋体"/>
      <w:color w:val="000000"/>
      <w:sz w:val="21"/>
      <w:szCs w:val="21"/>
      <w:lang w:val="en-US" w:eastAsia="zh-CN" w:bidi="ar-SA"/>
    </w:rPr>
  </w:style>
  <w:style w:type="paragraph" w:customStyle="1" w:styleId="185">
    <w:name w:val="font13"/>
    <w:basedOn w:val="1"/>
    <w:autoRedefine/>
    <w:qFormat/>
    <w:uiPriority w:val="99"/>
    <w:pPr>
      <w:widowControl/>
      <w:spacing w:before="100" w:beforeAutospacing="1" w:after="100" w:afterAutospacing="1"/>
      <w:jc w:val="left"/>
    </w:pPr>
    <w:rPr>
      <w:rFonts w:ascii="华文细黑" w:hAnsi="华文细黑" w:eastAsia="华文细黑" w:cs="宋体"/>
      <w:kern w:val="0"/>
      <w:sz w:val="20"/>
    </w:rPr>
  </w:style>
  <w:style w:type="paragraph" w:customStyle="1" w:styleId="186">
    <w:name w:val="xl3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87">
    <w:name w:val="Char Char Char Char Char Char1 Char Char Char Char Char Char1 Char Char Char Char1"/>
    <w:basedOn w:val="1"/>
    <w:autoRedefine/>
    <w:qFormat/>
    <w:uiPriority w:val="99"/>
    <w:rPr>
      <w:rFonts w:ascii="Tahoma" w:hAnsi="Tahoma"/>
      <w:sz w:val="24"/>
    </w:rPr>
  </w:style>
  <w:style w:type="paragraph" w:customStyle="1" w:styleId="188">
    <w:name w:val="xl31"/>
    <w:basedOn w:val="1"/>
    <w:autoRedefine/>
    <w:qFormat/>
    <w:uiPriority w:val="99"/>
    <w:pPr>
      <w:widowControl/>
      <w:spacing w:before="100" w:beforeAutospacing="1" w:after="100" w:afterAutospacing="1"/>
      <w:jc w:val="left"/>
      <w:textAlignment w:val="top"/>
    </w:pPr>
    <w:rPr>
      <w:rFonts w:ascii="宋体" w:hAnsi="宋体"/>
      <w:b/>
      <w:bCs/>
      <w:kern w:val="0"/>
      <w:sz w:val="22"/>
      <w:szCs w:val="22"/>
    </w:rPr>
  </w:style>
  <w:style w:type="paragraph" w:customStyle="1" w:styleId="189">
    <w:name w:val="Char Char Char Char Char Char1 Char Char Char Char Char Char1 Char Char Char Char Char Char Char1"/>
    <w:basedOn w:val="1"/>
    <w:autoRedefine/>
    <w:qFormat/>
    <w:uiPriority w:val="99"/>
    <w:rPr>
      <w:rFonts w:ascii="Tahoma" w:hAnsi="Tahoma"/>
      <w:sz w:val="24"/>
    </w:rPr>
  </w:style>
  <w:style w:type="paragraph" w:customStyle="1" w:styleId="190">
    <w:name w:val="图中文字"/>
    <w:basedOn w:val="1"/>
    <w:autoRedefine/>
    <w:qFormat/>
    <w:uiPriority w:val="99"/>
    <w:pPr>
      <w:adjustRightInd w:val="0"/>
      <w:snapToGrid w:val="0"/>
      <w:spacing w:line="240" w:lineRule="atLeast"/>
      <w:jc w:val="center"/>
    </w:pPr>
    <w:rPr>
      <w:sz w:val="24"/>
      <w:szCs w:val="24"/>
    </w:rPr>
  </w:style>
  <w:style w:type="paragraph" w:customStyle="1" w:styleId="191">
    <w:name w:val="font14"/>
    <w:basedOn w:val="1"/>
    <w:autoRedefine/>
    <w:qFormat/>
    <w:uiPriority w:val="99"/>
    <w:pPr>
      <w:widowControl/>
      <w:spacing w:before="100" w:beforeAutospacing="1" w:after="100" w:afterAutospacing="1"/>
      <w:jc w:val="left"/>
    </w:pPr>
    <w:rPr>
      <w:rFonts w:ascii="Calibri" w:hAnsi="Calibri" w:cs="宋体"/>
      <w:kern w:val="0"/>
      <w:sz w:val="20"/>
    </w:rPr>
  </w:style>
  <w:style w:type="paragraph" w:customStyle="1" w:styleId="192">
    <w:name w:val="xl27"/>
    <w:basedOn w:val="1"/>
    <w:autoRedefine/>
    <w:qFormat/>
    <w:uiPriority w:val="99"/>
    <w:pPr>
      <w:widowControl/>
      <w:spacing w:before="100" w:beforeAutospacing="1" w:after="100" w:afterAutospacing="1"/>
      <w:jc w:val="left"/>
    </w:pPr>
    <w:rPr>
      <w:rFonts w:ascii="宋体" w:hAnsi="宋体"/>
      <w:b/>
      <w:bCs/>
      <w:kern w:val="0"/>
      <w:sz w:val="22"/>
      <w:szCs w:val="22"/>
    </w:rPr>
  </w:style>
  <w:style w:type="paragraph" w:customStyle="1" w:styleId="193">
    <w:name w:val="xl316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94">
    <w:name w:val="xl26"/>
    <w:basedOn w:val="1"/>
    <w:autoRedefine/>
    <w:qFormat/>
    <w:uiPriority w:val="99"/>
    <w:pPr>
      <w:widowControl/>
      <w:spacing w:before="100" w:beforeAutospacing="1" w:after="100" w:afterAutospacing="1"/>
      <w:jc w:val="left"/>
      <w:textAlignment w:val="top"/>
    </w:pPr>
    <w:rPr>
      <w:rFonts w:ascii="宋体" w:hAnsi="宋体"/>
      <w:kern w:val="0"/>
      <w:sz w:val="22"/>
      <w:szCs w:val="22"/>
    </w:rPr>
  </w:style>
  <w:style w:type="paragraph" w:customStyle="1" w:styleId="195">
    <w:name w:val="xl316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196">
    <w:name w:val="style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97">
    <w:name w:val="xl315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198">
    <w:name w:val="xl34"/>
    <w:basedOn w:val="1"/>
    <w:autoRedefine/>
    <w:qFormat/>
    <w:uiPriority w:val="99"/>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199">
    <w:name w:val="Char2"/>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200">
    <w:name w:val="明显引用1"/>
    <w:basedOn w:val="1"/>
    <w:next w:val="1"/>
    <w:link w:val="201"/>
    <w:autoRedefine/>
    <w:qFormat/>
    <w:uiPriority w:val="99"/>
    <w:pPr>
      <w:widowControl/>
      <w:ind w:left="720" w:right="720"/>
      <w:jc w:val="left"/>
    </w:pPr>
    <w:rPr>
      <w:rFonts w:ascii="Calibri" w:hAnsi="Calibri" w:cs="Arial"/>
      <w:b/>
      <w:i/>
      <w:kern w:val="0"/>
      <w:sz w:val="24"/>
      <w:szCs w:val="22"/>
      <w:lang w:eastAsia="en-US"/>
    </w:rPr>
  </w:style>
  <w:style w:type="character" w:customStyle="1" w:styleId="201">
    <w:name w:val="明显引用 Char"/>
    <w:link w:val="200"/>
    <w:autoRedefine/>
    <w:qFormat/>
    <w:locked/>
    <w:uiPriority w:val="99"/>
    <w:rPr>
      <w:rFonts w:ascii="Calibri" w:hAnsi="Calibri"/>
      <w:b/>
      <w:i/>
      <w:sz w:val="22"/>
      <w:lang w:eastAsia="en-US"/>
    </w:rPr>
  </w:style>
  <w:style w:type="paragraph" w:customStyle="1" w:styleId="202">
    <w:name w:val="style4"/>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315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4"/>
      <w:szCs w:val="24"/>
    </w:rPr>
  </w:style>
  <w:style w:type="paragraph" w:customStyle="1" w:styleId="204">
    <w:name w:val="xl3156"/>
    <w:basedOn w:val="1"/>
    <w:autoRedefine/>
    <w:qFormat/>
    <w:uiPriority w:val="99"/>
    <w:pPr>
      <w:widowControl/>
      <w:shd w:val="clear" w:color="000000" w:fill="FFFF00"/>
      <w:spacing w:before="100" w:beforeAutospacing="1" w:after="100" w:afterAutospacing="1"/>
      <w:jc w:val="left"/>
      <w:textAlignment w:val="center"/>
    </w:pPr>
    <w:rPr>
      <w:rFonts w:ascii="宋体" w:hAnsi="宋体" w:cs="宋体"/>
      <w:color w:val="000000"/>
      <w:kern w:val="0"/>
      <w:sz w:val="24"/>
      <w:szCs w:val="24"/>
    </w:rPr>
  </w:style>
  <w:style w:type="paragraph" w:customStyle="1" w:styleId="205">
    <w:name w:val="xl3141"/>
    <w:basedOn w:val="1"/>
    <w:autoRedefine/>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206">
    <w:name w:val="xl314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0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8">
    <w:name w:val="List Paragraph1"/>
    <w:basedOn w:val="1"/>
    <w:autoRedefine/>
    <w:qFormat/>
    <w:uiPriority w:val="99"/>
    <w:pPr>
      <w:ind w:firstLine="420" w:firstLineChars="200"/>
    </w:pPr>
    <w:rPr>
      <w:szCs w:val="24"/>
    </w:rPr>
  </w:style>
  <w:style w:type="paragraph" w:customStyle="1" w:styleId="209">
    <w:name w:val="*正文"/>
    <w:basedOn w:val="1"/>
    <w:autoRedefine/>
    <w:qFormat/>
    <w:uiPriority w:val="99"/>
    <w:pPr>
      <w:spacing w:line="360" w:lineRule="auto"/>
      <w:ind w:firstLine="480" w:firstLineChars="200"/>
    </w:pPr>
    <w:rPr>
      <w:rFonts w:ascii="宋体" w:hAnsi="宋体"/>
      <w:kern w:val="0"/>
      <w:sz w:val="24"/>
      <w:szCs w:val="24"/>
      <w:lang w:val="zh-CN"/>
    </w:rPr>
  </w:style>
  <w:style w:type="paragraph" w:customStyle="1" w:styleId="210">
    <w:name w:val="标准文本"/>
    <w:basedOn w:val="1"/>
    <w:link w:val="211"/>
    <w:autoRedefine/>
    <w:qFormat/>
    <w:uiPriority w:val="99"/>
    <w:pPr>
      <w:spacing w:line="360" w:lineRule="auto"/>
      <w:ind w:firstLine="480" w:firstLineChars="200"/>
    </w:pPr>
    <w:rPr>
      <w:rFonts w:ascii="Calibri" w:hAnsi="Calibri"/>
    </w:rPr>
  </w:style>
  <w:style w:type="character" w:customStyle="1" w:styleId="211">
    <w:name w:val="标准文本 Char"/>
    <w:link w:val="210"/>
    <w:autoRedefine/>
    <w:qFormat/>
    <w:locked/>
    <w:uiPriority w:val="99"/>
    <w:rPr>
      <w:kern w:val="2"/>
      <w:sz w:val="21"/>
    </w:rPr>
  </w:style>
  <w:style w:type="character" w:customStyle="1" w:styleId="212">
    <w:name w:val="locspan"/>
    <w:basedOn w:val="49"/>
    <w:autoRedefine/>
    <w:qFormat/>
    <w:uiPriority w:val="99"/>
    <w:rPr>
      <w:rFonts w:cs="Times New Roman"/>
    </w:rPr>
  </w:style>
  <w:style w:type="character" w:customStyle="1" w:styleId="213">
    <w:name w:val="font31"/>
    <w:autoRedefine/>
    <w:qFormat/>
    <w:uiPriority w:val="99"/>
    <w:rPr>
      <w:rFonts w:ascii="Arial" w:hAnsi="Arial"/>
      <w:color w:val="000000"/>
      <w:sz w:val="20"/>
      <w:u w:val="none"/>
    </w:rPr>
  </w:style>
  <w:style w:type="character" w:customStyle="1" w:styleId="214">
    <w:name w:val="apple-converted-space"/>
    <w:basedOn w:val="49"/>
    <w:autoRedefine/>
    <w:qFormat/>
    <w:uiPriority w:val="99"/>
    <w:rPr>
      <w:rFonts w:cs="Times New Roman"/>
    </w:rPr>
  </w:style>
  <w:style w:type="character" w:customStyle="1" w:styleId="215">
    <w:name w:val="style41"/>
    <w:autoRedefine/>
    <w:qFormat/>
    <w:uiPriority w:val="99"/>
    <w:rPr>
      <w:sz w:val="18"/>
    </w:rPr>
  </w:style>
  <w:style w:type="character" w:customStyle="1" w:styleId="216">
    <w:name w:val="标题 Char1"/>
    <w:autoRedefine/>
    <w:qFormat/>
    <w:uiPriority w:val="99"/>
    <w:rPr>
      <w:rFonts w:ascii="Cambria" w:hAnsi="Cambria"/>
      <w:b/>
      <w:kern w:val="2"/>
      <w:sz w:val="32"/>
    </w:rPr>
  </w:style>
  <w:style w:type="character" w:customStyle="1" w:styleId="217">
    <w:name w:val="text1"/>
    <w:autoRedefine/>
    <w:qFormat/>
    <w:uiPriority w:val="99"/>
    <w:rPr>
      <w:rFonts w:ascii="Arial" w:hAnsi="Arial"/>
      <w:color w:val="333333"/>
      <w:sz w:val="18"/>
    </w:rPr>
  </w:style>
  <w:style w:type="character" w:customStyle="1" w:styleId="218">
    <w:name w:val="Char Char2"/>
    <w:autoRedefine/>
    <w:qFormat/>
    <w:uiPriority w:val="99"/>
    <w:rPr>
      <w:kern w:val="2"/>
      <w:sz w:val="21"/>
    </w:rPr>
  </w:style>
  <w:style w:type="character" w:customStyle="1" w:styleId="219">
    <w:name w:val="副标题 Char1"/>
    <w:autoRedefine/>
    <w:qFormat/>
    <w:uiPriority w:val="99"/>
    <w:rPr>
      <w:rFonts w:ascii="Cambria" w:hAnsi="Cambria"/>
      <w:b/>
      <w:kern w:val="28"/>
      <w:sz w:val="32"/>
    </w:rPr>
  </w:style>
  <w:style w:type="character" w:customStyle="1" w:styleId="220">
    <w:name w:val="style11"/>
    <w:autoRedefine/>
    <w:qFormat/>
    <w:uiPriority w:val="99"/>
    <w:rPr>
      <w:color w:val="000000"/>
      <w:sz w:val="18"/>
    </w:rPr>
  </w:style>
  <w:style w:type="character" w:customStyle="1" w:styleId="221">
    <w:name w:val="Char Char1"/>
    <w:autoRedefine/>
    <w:qFormat/>
    <w:uiPriority w:val="99"/>
    <w:rPr>
      <w:kern w:val="2"/>
      <w:sz w:val="24"/>
    </w:rPr>
  </w:style>
  <w:style w:type="character" w:customStyle="1" w:styleId="222">
    <w:name w:val="powerlab_title_model1"/>
    <w:autoRedefine/>
    <w:qFormat/>
    <w:uiPriority w:val="99"/>
    <w:rPr>
      <w:b/>
      <w:sz w:val="21"/>
    </w:rPr>
  </w:style>
  <w:style w:type="character" w:customStyle="1" w:styleId="223">
    <w:name w:val="font71"/>
    <w:autoRedefine/>
    <w:qFormat/>
    <w:uiPriority w:val="99"/>
    <w:rPr>
      <w:rFonts w:ascii="宋体" w:hAnsi="宋体" w:eastAsia="宋体"/>
      <w:color w:val="000000"/>
      <w:sz w:val="20"/>
      <w:u w:val="none"/>
    </w:rPr>
  </w:style>
  <w:style w:type="character" w:customStyle="1" w:styleId="224">
    <w:name w:val="xdrichtextbox2"/>
    <w:autoRedefine/>
    <w:qFormat/>
    <w:uiPriority w:val="99"/>
    <w:rPr>
      <w:color w:val="0000FF"/>
      <w:sz w:val="18"/>
      <w:u w:val="none"/>
      <w:bdr w:val="single" w:color="DCDCDC" w:sz="8" w:space="0"/>
      <w:shd w:val="clear" w:color="auto" w:fill="9FFDDC"/>
    </w:rPr>
  </w:style>
  <w:style w:type="paragraph" w:customStyle="1" w:styleId="225">
    <w:name w:val="样式2"/>
    <w:basedOn w:val="1"/>
    <w:autoRedefine/>
    <w:qFormat/>
    <w:uiPriority w:val="99"/>
    <w:pPr>
      <w:spacing w:line="300" w:lineRule="auto"/>
      <w:jc w:val="center"/>
      <w:outlineLvl w:val="0"/>
    </w:pPr>
    <w:rPr>
      <w:rFonts w:ascii="宋体" w:hAnsi="宋体" w:cs="宋体"/>
      <w:b/>
      <w:bCs/>
      <w:sz w:val="24"/>
      <w:szCs w:val="24"/>
    </w:rPr>
  </w:style>
  <w:style w:type="character" w:customStyle="1" w:styleId="226">
    <w:name w:val="Table Text Char"/>
    <w:link w:val="227"/>
    <w:autoRedefine/>
    <w:qFormat/>
    <w:locked/>
    <w:uiPriority w:val="99"/>
    <w:rPr>
      <w:rFonts w:ascii="Arial" w:hAnsi="Arial" w:eastAsia="宋体"/>
      <w:sz w:val="18"/>
      <w:lang w:val="en-US" w:eastAsia="zh-CN"/>
    </w:rPr>
  </w:style>
  <w:style w:type="paragraph" w:customStyle="1" w:styleId="227">
    <w:name w:val="Table Text"/>
    <w:link w:val="226"/>
    <w:autoRedefine/>
    <w:qFormat/>
    <w:uiPriority w:val="99"/>
    <w:pPr>
      <w:snapToGrid w:val="0"/>
      <w:spacing w:before="80" w:after="80"/>
    </w:pPr>
    <w:rPr>
      <w:rFonts w:ascii="Arial" w:hAnsi="Arial" w:eastAsia="宋体" w:cs="Arial"/>
      <w:sz w:val="18"/>
      <w:szCs w:val="18"/>
      <w:lang w:val="en-US" w:eastAsia="zh-CN" w:bidi="ar-SA"/>
    </w:rPr>
  </w:style>
  <w:style w:type="character" w:customStyle="1" w:styleId="228">
    <w:name w:val="Table Heading Char"/>
    <w:link w:val="229"/>
    <w:autoRedefine/>
    <w:qFormat/>
    <w:locked/>
    <w:uiPriority w:val="99"/>
    <w:rPr>
      <w:rFonts w:ascii="Arial" w:hAnsi="Arial" w:eastAsia="黑体"/>
      <w:sz w:val="18"/>
      <w:lang w:val="en-US" w:eastAsia="zh-CN"/>
    </w:rPr>
  </w:style>
  <w:style w:type="paragraph" w:customStyle="1" w:styleId="229">
    <w:name w:val="Table Heading"/>
    <w:link w:val="228"/>
    <w:autoRedefine/>
    <w:qFormat/>
    <w:uiPriority w:val="99"/>
    <w:pPr>
      <w:keepNext/>
      <w:snapToGrid w:val="0"/>
      <w:spacing w:before="80" w:after="80"/>
      <w:jc w:val="center"/>
    </w:pPr>
    <w:rPr>
      <w:rFonts w:ascii="Arial" w:hAnsi="Arial" w:eastAsia="黑体" w:cs="Times New Roman"/>
      <w:sz w:val="18"/>
      <w:szCs w:val="18"/>
      <w:lang w:val="en-US" w:eastAsia="zh-CN" w:bidi="ar-SA"/>
    </w:rPr>
  </w:style>
  <w:style w:type="character" w:customStyle="1" w:styleId="230">
    <w:name w:val="Item List Char"/>
    <w:link w:val="231"/>
    <w:autoRedefine/>
    <w:qFormat/>
    <w:locked/>
    <w:uiPriority w:val="99"/>
    <w:rPr>
      <w:rFonts w:ascii="Arial" w:hAnsi="Arial" w:cs="Times New Roman"/>
      <w:kern w:val="0"/>
      <w:sz w:val="20"/>
      <w:szCs w:val="21"/>
    </w:rPr>
  </w:style>
  <w:style w:type="paragraph" w:customStyle="1" w:styleId="231">
    <w:name w:val="Item List"/>
    <w:link w:val="230"/>
    <w:autoRedefine/>
    <w:qFormat/>
    <w:uiPriority w:val="99"/>
    <w:pPr>
      <w:numPr>
        <w:ilvl w:val="0"/>
        <w:numId w:val="4"/>
      </w:numPr>
      <w:tabs>
        <w:tab w:val="left" w:pos="992"/>
      </w:tabs>
      <w:spacing w:line="300" w:lineRule="auto"/>
      <w:jc w:val="both"/>
    </w:pPr>
    <w:rPr>
      <w:rFonts w:ascii="Arial" w:hAnsi="Arial" w:eastAsia="宋体" w:cs="Times New Roman"/>
      <w:szCs w:val="21"/>
      <w:lang w:val="en-US" w:eastAsia="zh-CN" w:bidi="ar-SA"/>
    </w:rPr>
  </w:style>
  <w:style w:type="character" w:customStyle="1" w:styleId="232">
    <w:name w:val="表格文本 Char"/>
    <w:link w:val="233"/>
    <w:autoRedefine/>
    <w:qFormat/>
    <w:locked/>
    <w:uiPriority w:val="99"/>
    <w:rPr>
      <w:rFonts w:ascii="Arial" w:hAnsi="Arial" w:eastAsia="宋体"/>
      <w:sz w:val="21"/>
      <w:lang w:val="en-US" w:eastAsia="zh-CN"/>
    </w:rPr>
  </w:style>
  <w:style w:type="paragraph" w:customStyle="1" w:styleId="233">
    <w:name w:val="表格文本"/>
    <w:link w:val="232"/>
    <w:autoRedefine/>
    <w:qFormat/>
    <w:uiPriority w:val="99"/>
    <w:pPr>
      <w:tabs>
        <w:tab w:val="decimal" w:pos="0"/>
      </w:tabs>
    </w:pPr>
    <w:rPr>
      <w:rFonts w:ascii="Arial" w:hAnsi="Arial" w:eastAsia="宋体" w:cs="Times New Roman"/>
      <w:szCs w:val="21"/>
      <w:lang w:val="en-US" w:eastAsia="zh-CN" w:bidi="ar-SA"/>
    </w:rPr>
  </w:style>
  <w:style w:type="character" w:customStyle="1" w:styleId="234">
    <w:name w:val="Sub Item List Char"/>
    <w:link w:val="235"/>
    <w:autoRedefine/>
    <w:qFormat/>
    <w:locked/>
    <w:uiPriority w:val="99"/>
    <w:rPr>
      <w:rFonts w:ascii="Arial" w:hAnsi="Arial" w:cs="Times New Roman"/>
      <w:kern w:val="0"/>
      <w:sz w:val="20"/>
      <w:szCs w:val="21"/>
    </w:rPr>
  </w:style>
  <w:style w:type="paragraph" w:customStyle="1" w:styleId="235">
    <w:name w:val="Sub Item List"/>
    <w:basedOn w:val="1"/>
    <w:link w:val="234"/>
    <w:autoRedefine/>
    <w:qFormat/>
    <w:uiPriority w:val="99"/>
    <w:pPr>
      <w:widowControl/>
      <w:numPr>
        <w:ilvl w:val="0"/>
        <w:numId w:val="5"/>
      </w:numPr>
      <w:topLinePunct/>
      <w:adjustRightInd w:val="0"/>
      <w:snapToGrid w:val="0"/>
      <w:spacing w:before="80" w:after="80" w:line="240" w:lineRule="atLeast"/>
      <w:jc w:val="left"/>
    </w:pPr>
    <w:rPr>
      <w:rFonts w:ascii="Arial" w:hAnsi="Arial"/>
      <w:kern w:val="0"/>
      <w:sz w:val="20"/>
      <w:szCs w:val="21"/>
    </w:rPr>
  </w:style>
  <w:style w:type="paragraph" w:customStyle="1" w:styleId="236">
    <w:name w:val="Item List in Table"/>
    <w:basedOn w:val="1"/>
    <w:autoRedefine/>
    <w:qFormat/>
    <w:uiPriority w:val="99"/>
    <w:pPr>
      <w:widowControl/>
      <w:tabs>
        <w:tab w:val="left" w:pos="1500"/>
      </w:tabs>
      <w:topLinePunct/>
      <w:adjustRightInd w:val="0"/>
      <w:snapToGrid w:val="0"/>
      <w:spacing w:before="80" w:after="80" w:line="240" w:lineRule="atLeast"/>
      <w:ind w:left="1500" w:hanging="420"/>
      <w:jc w:val="left"/>
    </w:pPr>
    <w:rPr>
      <w:rFonts w:cs="Arial"/>
      <w:kern w:val="0"/>
      <w:szCs w:val="21"/>
    </w:rPr>
  </w:style>
  <w:style w:type="paragraph" w:customStyle="1" w:styleId="237">
    <w:name w:val="二级条标题"/>
    <w:basedOn w:val="1"/>
    <w:next w:val="1"/>
    <w:autoRedefine/>
    <w:qFormat/>
    <w:uiPriority w:val="99"/>
    <w:pPr>
      <w:widowControl/>
      <w:numPr>
        <w:ilvl w:val="3"/>
        <w:numId w:val="6"/>
      </w:numPr>
      <w:tabs>
        <w:tab w:val="left" w:pos="2100"/>
      </w:tabs>
      <w:outlineLvl w:val="3"/>
    </w:pPr>
    <w:rPr>
      <w:rFonts w:ascii="黑体" w:eastAsia="黑体"/>
      <w:kern w:val="0"/>
    </w:rPr>
  </w:style>
  <w:style w:type="paragraph" w:customStyle="1" w:styleId="238">
    <w:name w:val="样式3"/>
    <w:basedOn w:val="1"/>
    <w:autoRedefine/>
    <w:qFormat/>
    <w:uiPriority w:val="99"/>
    <w:pPr>
      <w:widowControl/>
      <w:spacing w:line="520" w:lineRule="exact"/>
      <w:ind w:firstLine="567"/>
      <w:jc w:val="left"/>
    </w:pPr>
    <w:rPr>
      <w:rFonts w:ascii="Calibri" w:hAnsi="Calibri" w:eastAsia="仿宋_GB2312"/>
      <w:kern w:val="0"/>
      <w:sz w:val="28"/>
      <w:szCs w:val="24"/>
      <w:lang w:eastAsia="en-US"/>
    </w:rPr>
  </w:style>
  <w:style w:type="paragraph" w:customStyle="1" w:styleId="239">
    <w:name w:val="表头文本"/>
    <w:autoRedefine/>
    <w:qFormat/>
    <w:uiPriority w:val="99"/>
    <w:pPr>
      <w:jc w:val="center"/>
    </w:pPr>
    <w:rPr>
      <w:rFonts w:ascii="Arial" w:hAnsi="Arial" w:eastAsia="宋体" w:cs="Times New Roman"/>
      <w:b/>
      <w:sz w:val="21"/>
      <w:szCs w:val="21"/>
      <w:lang w:val="en-US" w:eastAsia="zh-CN" w:bidi="ar-SA"/>
    </w:rPr>
  </w:style>
  <w:style w:type="character" w:customStyle="1" w:styleId="240">
    <w:name w:val="正文缩进 Char1"/>
    <w:autoRedefine/>
    <w:qFormat/>
    <w:uiPriority w:val="99"/>
    <w:rPr>
      <w:rFonts w:eastAsia="宋体"/>
      <w:kern w:val="2"/>
      <w:sz w:val="21"/>
      <w:lang w:val="en-US" w:eastAsia="zh-CN"/>
    </w:rPr>
  </w:style>
  <w:style w:type="paragraph" w:customStyle="1" w:styleId="241">
    <w:name w:val="TOC 标题1"/>
    <w:basedOn w:val="3"/>
    <w:next w:val="1"/>
    <w:autoRedefine/>
    <w:qFormat/>
    <w:uiPriority w:val="9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242">
    <w:name w:val="4"/>
    <w:basedOn w:val="1"/>
    <w:next w:val="1"/>
    <w:autoRedefine/>
    <w:qFormat/>
    <w:uiPriority w:val="99"/>
    <w:pPr>
      <w:ind w:left="420" w:leftChars="200"/>
    </w:pPr>
    <w:rPr>
      <w:rFonts w:ascii="Calibri" w:hAnsi="Calibri"/>
      <w:szCs w:val="22"/>
    </w:rPr>
  </w:style>
  <w:style w:type="character" w:customStyle="1" w:styleId="243">
    <w:name w:val="页眉 字符"/>
    <w:autoRedefine/>
    <w:qFormat/>
    <w:uiPriority w:val="99"/>
  </w:style>
  <w:style w:type="character" w:customStyle="1" w:styleId="244">
    <w:name w:val="页脚 字符"/>
    <w:autoRedefine/>
    <w:qFormat/>
    <w:uiPriority w:val="99"/>
  </w:style>
  <w:style w:type="paragraph" w:customStyle="1" w:styleId="245">
    <w:name w:val="倪芳"/>
    <w:basedOn w:val="1"/>
    <w:autoRedefine/>
    <w:qFormat/>
    <w:uiPriority w:val="99"/>
    <w:pPr>
      <w:spacing w:beforeLines="25" w:line="400" w:lineRule="exact"/>
    </w:pPr>
    <w:rPr>
      <w:rFonts w:ascii="宋体" w:hAnsi="Courier New" w:cs="Courier New"/>
      <w:szCs w:val="21"/>
    </w:rPr>
  </w:style>
  <w:style w:type="character" w:customStyle="1" w:styleId="246">
    <w:name w:val="正文文本缩进 2 Char1"/>
    <w:basedOn w:val="49"/>
    <w:autoRedefine/>
    <w:semiHidden/>
    <w:qFormat/>
    <w:uiPriority w:val="99"/>
    <w:rPr>
      <w:rFonts w:ascii="Calibri" w:hAnsi="Calibri" w:eastAsia="宋体" w:cs="Times New Roman"/>
      <w:sz w:val="24"/>
    </w:rPr>
  </w:style>
  <w:style w:type="paragraph" w:customStyle="1" w:styleId="247">
    <w:name w:val="TOC 标题2"/>
    <w:basedOn w:val="3"/>
    <w:next w:val="1"/>
    <w:autoRedefine/>
    <w:qFormat/>
    <w:uiPriority w:val="99"/>
    <w:pPr>
      <w:widowControl/>
      <w:spacing w:before="240" w:after="0" w:line="259" w:lineRule="auto"/>
      <w:jc w:val="left"/>
      <w:outlineLvl w:val="9"/>
    </w:pPr>
    <w:rPr>
      <w:rFonts w:ascii="Cambria" w:hAnsi="Cambria" w:cs="Times New Roman"/>
      <w:b w:val="0"/>
      <w:bCs w:val="0"/>
      <w:color w:val="365F91"/>
      <w:kern w:val="0"/>
      <w:sz w:val="32"/>
      <w:szCs w:val="32"/>
    </w:rPr>
  </w:style>
  <w:style w:type="character" w:customStyle="1" w:styleId="248">
    <w:name w:val="redfilefwwh"/>
    <w:basedOn w:val="49"/>
    <w:autoRedefine/>
    <w:qFormat/>
    <w:uiPriority w:val="99"/>
    <w:rPr>
      <w:rFonts w:cs="Times New Roman"/>
      <w:color w:val="BA2636"/>
      <w:sz w:val="18"/>
      <w:szCs w:val="18"/>
    </w:rPr>
  </w:style>
  <w:style w:type="character" w:customStyle="1" w:styleId="249">
    <w:name w:val="gjfg"/>
    <w:basedOn w:val="49"/>
    <w:autoRedefine/>
    <w:qFormat/>
    <w:uiPriority w:val="99"/>
    <w:rPr>
      <w:rFonts w:cs="Times New Roman"/>
    </w:rPr>
  </w:style>
  <w:style w:type="character" w:customStyle="1" w:styleId="250">
    <w:name w:val="displayarti"/>
    <w:basedOn w:val="49"/>
    <w:autoRedefine/>
    <w:qFormat/>
    <w:uiPriority w:val="99"/>
    <w:rPr>
      <w:rFonts w:cs="Times New Roman"/>
      <w:color w:val="FFFFFF"/>
      <w:shd w:val="clear" w:color="auto" w:fill="A00000"/>
    </w:rPr>
  </w:style>
  <w:style w:type="character" w:customStyle="1" w:styleId="251">
    <w:name w:val="qxdate"/>
    <w:basedOn w:val="49"/>
    <w:autoRedefine/>
    <w:qFormat/>
    <w:uiPriority w:val="99"/>
    <w:rPr>
      <w:rFonts w:cs="Times New Roman"/>
      <w:color w:val="333333"/>
      <w:sz w:val="18"/>
      <w:szCs w:val="18"/>
    </w:rPr>
  </w:style>
  <w:style w:type="character" w:customStyle="1" w:styleId="252">
    <w:name w:val="cfdate"/>
    <w:basedOn w:val="49"/>
    <w:autoRedefine/>
    <w:qFormat/>
    <w:uiPriority w:val="99"/>
    <w:rPr>
      <w:rFonts w:cs="Times New Roman"/>
      <w:color w:val="333333"/>
      <w:sz w:val="18"/>
      <w:szCs w:val="18"/>
    </w:rPr>
  </w:style>
  <w:style w:type="character" w:customStyle="1" w:styleId="253">
    <w:name w:val="redfilenumber"/>
    <w:basedOn w:val="49"/>
    <w:autoRedefine/>
    <w:qFormat/>
    <w:uiPriority w:val="99"/>
    <w:rPr>
      <w:rFonts w:cs="Times New Roman"/>
      <w:color w:val="BA2636"/>
      <w:sz w:val="18"/>
      <w:szCs w:val="18"/>
    </w:rPr>
  </w:style>
  <w:style w:type="paragraph" w:customStyle="1" w:styleId="254">
    <w:name w:val="TOC 标题3"/>
    <w:basedOn w:val="3"/>
    <w:next w:val="1"/>
    <w:autoRedefine/>
    <w:qFormat/>
    <w:uiPriority w:val="99"/>
    <w:pPr>
      <w:widowControl/>
      <w:spacing w:before="480" w:after="0" w:line="276" w:lineRule="auto"/>
      <w:jc w:val="left"/>
      <w:outlineLvl w:val="9"/>
    </w:pPr>
    <w:rPr>
      <w:rFonts w:ascii="Cambria" w:hAnsi="Cambria" w:cs="Times New Roman"/>
      <w:color w:val="365F91"/>
      <w:kern w:val="0"/>
      <w:sz w:val="28"/>
      <w:szCs w:val="28"/>
    </w:rPr>
  </w:style>
  <w:style w:type="paragraph" w:customStyle="1" w:styleId="255">
    <w:name w:val="1"/>
    <w:basedOn w:val="1"/>
    <w:next w:val="256"/>
    <w:autoRedefine/>
    <w:qFormat/>
    <w:uiPriority w:val="0"/>
    <w:pPr>
      <w:tabs>
        <w:tab w:val="left" w:pos="0"/>
      </w:tabs>
      <w:spacing w:line="360" w:lineRule="auto"/>
    </w:pPr>
    <w:rPr>
      <w:rFonts w:ascii="宋体" w:hAnsi="宋体"/>
      <w:bCs/>
      <w:sz w:val="24"/>
    </w:rPr>
  </w:style>
  <w:style w:type="paragraph" w:customStyle="1" w:styleId="256">
    <w:name w:val="1.1"/>
    <w:basedOn w:val="1"/>
    <w:autoRedefine/>
    <w:qFormat/>
    <w:uiPriority w:val="0"/>
    <w:pPr>
      <w:spacing w:line="360" w:lineRule="auto"/>
      <w:ind w:left="1" w:hanging="1"/>
    </w:pPr>
    <w:rPr>
      <w:rFonts w:ascii="宋体" w:hAnsi="宋体"/>
      <w:b/>
      <w:bCs/>
      <w:color w:val="000000"/>
      <w:sz w:val="24"/>
      <w:szCs w:val="24"/>
      <w:u w:color="FF0000"/>
    </w:rPr>
  </w:style>
  <w:style w:type="table" w:customStyle="1" w:styleId="257">
    <w:name w:val="网格型1"/>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8">
    <w:name w:val="方案正文"/>
    <w:basedOn w:val="1"/>
    <w:autoRedefine/>
    <w:qFormat/>
    <w:uiPriority w:val="0"/>
    <w:pPr>
      <w:adjustRightInd w:val="0"/>
      <w:spacing w:before="120" w:line="360" w:lineRule="auto"/>
      <w:ind w:firstLine="425" w:firstLineChars="177"/>
      <w:textAlignment w:val="baseline"/>
    </w:pPr>
    <w:rPr>
      <w:rFonts w:ascii="华文细黑" w:hAnsi="华文细黑" w:eastAsia="华文细黑"/>
      <w:kern w:val="0"/>
      <w:sz w:val="24"/>
    </w:rPr>
  </w:style>
  <w:style w:type="paragraph" w:customStyle="1" w:styleId="259">
    <w:name w:val="Paragraph2"/>
    <w:basedOn w:val="1"/>
    <w:autoRedefine/>
    <w:qFormat/>
    <w:uiPriority w:val="0"/>
    <w:pPr>
      <w:overflowPunct w:val="0"/>
      <w:autoSpaceDE w:val="0"/>
      <w:autoSpaceDN w:val="0"/>
      <w:spacing w:before="20" w:after="120"/>
    </w:pPr>
    <w:rPr>
      <w:rFonts w:ascii="Arial" w:hAnsi="Arial" w:eastAsia="楷体_GB2312"/>
      <w:kern w:val="0"/>
    </w:rPr>
  </w:style>
  <w:style w:type="character" w:customStyle="1" w:styleId="260">
    <w:name w:val="font41"/>
    <w:autoRedefine/>
    <w:qFormat/>
    <w:uiPriority w:val="0"/>
    <w:rPr>
      <w:rFonts w:hint="eastAsia" w:ascii="宋体" w:hAnsi="宋体" w:eastAsia="宋体" w:cs="宋体"/>
      <w:b/>
      <w:bCs/>
      <w:color w:val="000000"/>
      <w:sz w:val="21"/>
      <w:szCs w:val="21"/>
      <w:u w:val="none"/>
    </w:rPr>
  </w:style>
  <w:style w:type="paragraph" w:customStyle="1" w:styleId="261">
    <w:name w:val="首行缩进"/>
    <w:basedOn w:val="1"/>
    <w:autoRedefine/>
    <w:qFormat/>
    <w:uiPriority w:val="0"/>
    <w:pPr>
      <w:spacing w:after="156" w:afterLines="50" w:line="360" w:lineRule="auto"/>
      <w:ind w:firstLine="200" w:firstLineChars="200"/>
    </w:pPr>
    <w:rPr>
      <w:rFonts w:ascii="宋体" w:hAnsi="宋体"/>
      <w:sz w:val="24"/>
      <w:szCs w:val="24"/>
    </w:rPr>
  </w:style>
  <w:style w:type="paragraph" w:customStyle="1" w:styleId="262">
    <w:name w:val="Table Paragraph"/>
    <w:basedOn w:val="1"/>
    <w:autoRedefine/>
    <w:qFormat/>
    <w:uiPriority w:val="1"/>
    <w:pPr>
      <w:jc w:val="left"/>
    </w:pPr>
    <w:rPr>
      <w:rFonts w:ascii="宋体" w:hAnsi="宋体" w:cs="宋体"/>
      <w:kern w:val="0"/>
      <w:sz w:val="22"/>
      <w:szCs w:val="22"/>
      <w:lang w:eastAsia="en-US"/>
    </w:rPr>
  </w:style>
  <w:style w:type="character" w:customStyle="1" w:styleId="263">
    <w:name w:val="bookmark-item"/>
    <w:basedOn w:val="49"/>
    <w:autoRedefine/>
    <w:qFormat/>
    <w:uiPriority w:val="0"/>
  </w:style>
  <w:style w:type="paragraph" w:customStyle="1" w:styleId="264">
    <w:name w:val="su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5">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6">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rPr>
  </w:style>
  <w:style w:type="paragraph" w:customStyle="1" w:styleId="267">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CCC57-68C1-4B42-9284-2B68E611431D}">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84</Pages>
  <Words>35022</Words>
  <Characters>37116</Characters>
  <Lines>324</Lines>
  <Paragraphs>91</Paragraphs>
  <TotalTime>42</TotalTime>
  <ScaleCrop>false</ScaleCrop>
  <LinksUpToDate>false</LinksUpToDate>
  <CharactersWithSpaces>38349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2022-07-27T04:06:00Z</dcterms:created>
  <dc:creator>dufangyu</dc:creator>
  <cp:lastModifiedBy>借我</cp:lastModifiedBy>
  <cp:lastPrinted>2025-01-22T09:55:05Z</cp:lastPrinted>
  <dcterms:modified xsi:type="dcterms:W3CDTF">2025-01-22T10:43:47Z</dcterms:modified>
  <dc:title>招标文件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6257BBFC9ED643A18D2E999A22E7F323_13</vt:lpwstr>
  </property>
</Properties>
</file>