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A71320B">
      <w:pPr>
        <w:jc w:val="center"/>
        <w:rPr>
          <w:rFonts w:ascii="宋体" w:hAnsi="宋体" w:cs="宋体"/>
          <w:b/>
          <w:bCs/>
          <w:color w:val="auto"/>
          <w:kern w:val="0"/>
          <w:sz w:val="52"/>
          <w:szCs w:val="52"/>
          <w:highlight w:val="none"/>
        </w:rPr>
      </w:pPr>
      <w:bookmarkStart w:id="0" w:name="_Toc167460118"/>
      <w:r>
        <w:rPr>
          <w:rFonts w:hint="eastAsia" w:ascii="宋体" w:hAnsi="宋体" w:cs="宋体"/>
          <w:b/>
          <w:bCs/>
          <w:color w:val="auto"/>
          <w:kern w:val="0"/>
          <w:sz w:val="52"/>
          <w:szCs w:val="52"/>
          <w:highlight w:val="none"/>
        </w:rPr>
        <w:drawing>
          <wp:anchor distT="0" distB="0" distL="114300" distR="114300" simplePos="0" relativeHeight="251659264" behindDoc="1" locked="0" layoutInCell="1" allowOverlap="1">
            <wp:simplePos x="0" y="0"/>
            <wp:positionH relativeFrom="column">
              <wp:posOffset>-252095</wp:posOffset>
            </wp:positionH>
            <wp:positionV relativeFrom="paragraph">
              <wp:posOffset>-306070</wp:posOffset>
            </wp:positionV>
            <wp:extent cx="1276985" cy="927735"/>
            <wp:effectExtent l="19050" t="0" r="0" b="0"/>
            <wp:wrapTight wrapText="bothSides">
              <wp:wrapPolygon>
                <wp:start x="-322" y="0"/>
                <wp:lineTo x="-322" y="21290"/>
                <wp:lineTo x="21589" y="21290"/>
                <wp:lineTo x="21589" y="0"/>
                <wp:lineTo x="-322" y="0"/>
              </wp:wrapPolygon>
            </wp:wrapTight>
            <wp:docPr id="2" name="图片 1" descr="C:\Users\Administrator\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C:\Users\Administrator\Desktop\1.png"/>
                    <pic:cNvPicPr>
                      <a:picLocks noChangeAspect="1" noChangeArrowheads="1"/>
                    </pic:cNvPicPr>
                  </pic:nvPicPr>
                  <pic:blipFill>
                    <a:blip r:embed="rId13" cstate="print"/>
                    <a:srcRect/>
                    <a:stretch>
                      <a:fillRect/>
                    </a:stretch>
                  </pic:blipFill>
                  <pic:spPr>
                    <a:xfrm>
                      <a:off x="0" y="0"/>
                      <a:ext cx="1276985" cy="927735"/>
                    </a:xfrm>
                    <a:prstGeom prst="rect">
                      <a:avLst/>
                    </a:prstGeom>
                    <a:noFill/>
                    <a:ln w="9525">
                      <a:noFill/>
                      <a:miter lim="800000"/>
                      <a:headEnd/>
                      <a:tailEnd/>
                    </a:ln>
                  </pic:spPr>
                </pic:pic>
              </a:graphicData>
            </a:graphic>
          </wp:anchor>
        </w:drawing>
      </w:r>
    </w:p>
    <w:p w14:paraId="052D3741">
      <w:pPr>
        <w:spacing w:line="240" w:lineRule="auto"/>
        <w:jc w:val="both"/>
        <w:rPr>
          <w:rFonts w:hint="eastAsia" w:ascii="宋体" w:hAnsi="宋体"/>
          <w:b/>
          <w:color w:val="auto"/>
          <w:sz w:val="28"/>
          <w:szCs w:val="28"/>
          <w:highlight w:val="none"/>
        </w:rPr>
      </w:pPr>
    </w:p>
    <w:p w14:paraId="1F912F01">
      <w:pPr>
        <w:spacing w:line="240" w:lineRule="auto"/>
        <w:jc w:val="center"/>
        <w:rPr>
          <w:rFonts w:hint="eastAsia" w:ascii="宋体" w:hAnsi="宋体" w:eastAsia="宋体"/>
          <w:b/>
          <w:color w:val="auto"/>
          <w:sz w:val="44"/>
          <w:szCs w:val="44"/>
          <w:highlight w:val="none"/>
          <w:lang w:eastAsia="zh-CN"/>
        </w:rPr>
      </w:pPr>
      <w:r>
        <w:rPr>
          <w:rFonts w:hint="eastAsia" w:ascii="宋体" w:hAnsi="宋体"/>
          <w:b/>
          <w:color w:val="auto"/>
          <w:sz w:val="44"/>
          <w:szCs w:val="44"/>
          <w:highlight w:val="none"/>
          <w:lang w:eastAsia="zh-CN"/>
        </w:rPr>
        <w:t>米东区铁厂沟镇八家户村速冻食品生产车间建设项目-设备采购</w:t>
      </w:r>
    </w:p>
    <w:p w14:paraId="207B64CE">
      <w:pPr>
        <w:spacing w:line="240" w:lineRule="auto"/>
        <w:jc w:val="center"/>
        <w:rPr>
          <w:rFonts w:ascii="宋体" w:hAnsi="宋体"/>
          <w:b/>
          <w:color w:val="auto"/>
          <w:sz w:val="44"/>
          <w:szCs w:val="44"/>
          <w:highlight w:val="none"/>
          <w:u w:val="single"/>
        </w:rPr>
      </w:pPr>
      <w:r>
        <w:rPr>
          <w:rFonts w:ascii="宋体" w:hAnsi="宋体"/>
          <w:b/>
          <w:color w:val="auto"/>
          <w:sz w:val="28"/>
          <w:szCs w:val="28"/>
          <w:highlight w:val="none"/>
        </w:rPr>
        <w:t>（项目编号：</w:t>
      </w:r>
      <w:r>
        <w:rPr>
          <w:rFonts w:hint="eastAsia" w:ascii="宋体" w:hAnsi="宋体"/>
          <w:b/>
          <w:color w:val="auto"/>
          <w:sz w:val="28"/>
          <w:szCs w:val="28"/>
          <w:highlight w:val="none"/>
        </w:rPr>
        <w:t>TH2025-ZH0053</w:t>
      </w:r>
      <w:r>
        <w:rPr>
          <w:rFonts w:hint="eastAsia" w:ascii="宋体" w:hAnsi="宋体"/>
          <w:b/>
          <w:color w:val="auto"/>
          <w:sz w:val="28"/>
          <w:szCs w:val="28"/>
          <w:highlight w:val="none"/>
          <w:lang w:val="en-US" w:eastAsia="zh-CN"/>
        </w:rPr>
        <w:t xml:space="preserve"> </w:t>
      </w:r>
      <w:r>
        <w:rPr>
          <w:rFonts w:ascii="宋体" w:hAnsi="宋体"/>
          <w:b/>
          <w:color w:val="auto"/>
          <w:sz w:val="28"/>
          <w:szCs w:val="28"/>
          <w:highlight w:val="none"/>
        </w:rPr>
        <w:t>；项目</w:t>
      </w:r>
      <w:r>
        <w:rPr>
          <w:rFonts w:hint="eastAsia" w:ascii="宋体" w:hAnsi="宋体"/>
          <w:b/>
          <w:color w:val="auto"/>
          <w:sz w:val="28"/>
          <w:szCs w:val="28"/>
          <w:highlight w:val="none"/>
        </w:rPr>
        <w:t>属性</w:t>
      </w:r>
      <w:r>
        <w:rPr>
          <w:rFonts w:ascii="宋体" w:hAnsi="宋体"/>
          <w:b/>
          <w:color w:val="auto"/>
          <w:sz w:val="28"/>
          <w:szCs w:val="28"/>
          <w:highlight w:val="none"/>
        </w:rPr>
        <w:t>：</w:t>
      </w:r>
      <w:r>
        <w:rPr>
          <w:rFonts w:hint="eastAsia" w:ascii="宋体" w:hAnsi="宋体"/>
          <w:b/>
          <w:color w:val="auto"/>
          <w:sz w:val="28"/>
          <w:szCs w:val="28"/>
          <w:highlight w:val="none"/>
          <w:lang w:eastAsia="zh-CN"/>
        </w:rPr>
        <w:t>货物</w:t>
      </w:r>
      <w:r>
        <w:rPr>
          <w:rFonts w:ascii="宋体" w:hAnsi="宋体"/>
          <w:b/>
          <w:color w:val="auto"/>
          <w:sz w:val="28"/>
          <w:szCs w:val="28"/>
          <w:highlight w:val="none"/>
        </w:rPr>
        <w:t>）</w:t>
      </w:r>
    </w:p>
    <w:p w14:paraId="4576A400">
      <w:pPr>
        <w:spacing w:line="480" w:lineRule="auto"/>
        <w:jc w:val="center"/>
        <w:rPr>
          <w:rFonts w:ascii="宋体" w:hAnsi="宋体" w:cs="宋体"/>
          <w:b/>
          <w:bCs/>
          <w:color w:val="auto"/>
          <w:kern w:val="0"/>
          <w:sz w:val="32"/>
          <w:szCs w:val="32"/>
          <w:highlight w:val="none"/>
        </w:rPr>
      </w:pPr>
    </w:p>
    <w:p w14:paraId="56976DCE">
      <w:pPr>
        <w:spacing w:line="480" w:lineRule="auto"/>
        <w:rPr>
          <w:rFonts w:ascii="宋体" w:hAnsi="宋体" w:cs="宋体"/>
          <w:b/>
          <w:bCs/>
          <w:color w:val="auto"/>
          <w:kern w:val="0"/>
          <w:sz w:val="32"/>
          <w:szCs w:val="32"/>
          <w:highlight w:val="none"/>
        </w:rPr>
      </w:pPr>
    </w:p>
    <w:p w14:paraId="5BB4DDD1">
      <w:pPr>
        <w:pStyle w:val="12"/>
        <w:rPr>
          <w:color w:val="auto"/>
          <w:highlight w:val="none"/>
        </w:rPr>
      </w:pPr>
    </w:p>
    <w:p w14:paraId="6DAB2286">
      <w:pPr>
        <w:pStyle w:val="12"/>
        <w:ind w:left="0" w:leftChars="0" w:firstLine="0" w:firstLineChars="0"/>
        <w:rPr>
          <w:color w:val="auto"/>
          <w:highlight w:val="none"/>
        </w:rPr>
      </w:pPr>
    </w:p>
    <w:p w14:paraId="3BB9D75F">
      <w:pPr>
        <w:pStyle w:val="12"/>
        <w:rPr>
          <w:color w:val="auto"/>
          <w:highlight w:val="none"/>
        </w:rPr>
      </w:pPr>
    </w:p>
    <w:p w14:paraId="0E9611AA">
      <w:pPr>
        <w:pStyle w:val="12"/>
        <w:rPr>
          <w:rFonts w:ascii="宋体" w:hAnsi="宋体" w:eastAsia="宋体" w:cs="宋体"/>
          <w:color w:val="auto"/>
          <w:highlight w:val="none"/>
        </w:rPr>
      </w:pPr>
    </w:p>
    <w:p w14:paraId="29ADC1EB">
      <w:pPr>
        <w:spacing w:line="480" w:lineRule="auto"/>
        <w:jc w:val="center"/>
        <w:rPr>
          <w:rFonts w:ascii="宋体" w:hAnsi="宋体" w:cs="宋体"/>
          <w:b/>
          <w:color w:val="auto"/>
          <w:kern w:val="0"/>
          <w:sz w:val="84"/>
          <w:szCs w:val="84"/>
          <w:highlight w:val="none"/>
        </w:rPr>
      </w:pPr>
      <w:r>
        <w:rPr>
          <w:rFonts w:hint="eastAsia" w:ascii="宋体" w:hAnsi="宋体" w:cs="宋体"/>
          <w:b/>
          <w:color w:val="auto"/>
          <w:kern w:val="0"/>
          <w:sz w:val="84"/>
          <w:szCs w:val="84"/>
          <w:highlight w:val="none"/>
        </w:rPr>
        <w:t>招标文件</w:t>
      </w:r>
    </w:p>
    <w:p w14:paraId="45F49A8E">
      <w:pPr>
        <w:spacing w:line="480" w:lineRule="auto"/>
        <w:jc w:val="center"/>
        <w:rPr>
          <w:rFonts w:ascii="宋体" w:hAnsi="宋体" w:cs="宋体"/>
          <w:b/>
          <w:color w:val="auto"/>
          <w:kern w:val="0"/>
          <w:sz w:val="32"/>
          <w:szCs w:val="32"/>
          <w:highlight w:val="none"/>
        </w:rPr>
      </w:pPr>
    </w:p>
    <w:p w14:paraId="3D073E10">
      <w:pPr>
        <w:spacing w:line="480" w:lineRule="auto"/>
        <w:jc w:val="center"/>
        <w:rPr>
          <w:rFonts w:ascii="宋体" w:hAnsi="宋体" w:cs="宋体"/>
          <w:b/>
          <w:color w:val="auto"/>
          <w:kern w:val="0"/>
          <w:sz w:val="32"/>
          <w:szCs w:val="32"/>
          <w:highlight w:val="none"/>
        </w:rPr>
      </w:pPr>
    </w:p>
    <w:p w14:paraId="7A852055">
      <w:pPr>
        <w:spacing w:line="480" w:lineRule="auto"/>
        <w:jc w:val="center"/>
        <w:rPr>
          <w:rFonts w:ascii="宋体" w:hAnsi="宋体" w:cs="宋体"/>
          <w:b/>
          <w:color w:val="auto"/>
          <w:kern w:val="0"/>
          <w:sz w:val="32"/>
          <w:szCs w:val="32"/>
          <w:highlight w:val="none"/>
        </w:rPr>
      </w:pPr>
    </w:p>
    <w:p w14:paraId="52A0A6F6">
      <w:pPr>
        <w:spacing w:line="480" w:lineRule="auto"/>
        <w:jc w:val="center"/>
        <w:rPr>
          <w:rFonts w:ascii="宋体" w:hAnsi="宋体" w:cs="宋体"/>
          <w:b/>
          <w:color w:val="auto"/>
          <w:kern w:val="0"/>
          <w:sz w:val="32"/>
          <w:szCs w:val="32"/>
          <w:highlight w:val="none"/>
        </w:rPr>
      </w:pPr>
    </w:p>
    <w:p w14:paraId="2470E9E2">
      <w:pPr>
        <w:spacing w:line="480" w:lineRule="auto"/>
        <w:jc w:val="center"/>
        <w:rPr>
          <w:rFonts w:ascii="宋体" w:hAnsi="宋体" w:cs="宋体"/>
          <w:b/>
          <w:color w:val="auto"/>
          <w:kern w:val="0"/>
          <w:sz w:val="32"/>
          <w:szCs w:val="32"/>
          <w:highlight w:val="none"/>
        </w:rPr>
      </w:pPr>
    </w:p>
    <w:p w14:paraId="56E9C4F4">
      <w:pPr>
        <w:pStyle w:val="12"/>
        <w:rPr>
          <w:color w:val="auto"/>
          <w:highlight w:val="none"/>
        </w:rPr>
      </w:pPr>
    </w:p>
    <w:p w14:paraId="095097C1">
      <w:pPr>
        <w:spacing w:line="480" w:lineRule="auto"/>
        <w:jc w:val="center"/>
        <w:rPr>
          <w:rFonts w:ascii="宋体" w:hAnsi="宋体" w:cs="宋体"/>
          <w:b/>
          <w:color w:val="auto"/>
          <w:kern w:val="0"/>
          <w:sz w:val="32"/>
          <w:szCs w:val="32"/>
          <w:highlight w:val="none"/>
        </w:rPr>
      </w:pPr>
    </w:p>
    <w:p w14:paraId="3CF84005">
      <w:pPr>
        <w:spacing w:line="480" w:lineRule="auto"/>
        <w:jc w:val="left"/>
        <w:rPr>
          <w:rFonts w:ascii="宋体" w:hAnsi="宋体" w:cs="宋体"/>
          <w:b/>
          <w:color w:val="auto"/>
          <w:kern w:val="0"/>
          <w:sz w:val="32"/>
          <w:szCs w:val="36"/>
          <w:highlight w:val="none"/>
        </w:rPr>
      </w:pPr>
      <w:r>
        <w:rPr>
          <w:rFonts w:hint="eastAsia" w:ascii="宋体" w:hAnsi="宋体" w:cs="宋体"/>
          <w:b/>
          <w:color w:val="auto"/>
          <w:kern w:val="0"/>
          <w:sz w:val="32"/>
          <w:szCs w:val="36"/>
          <w:highlight w:val="none"/>
        </w:rPr>
        <w:t>编制单位：新疆天合新动力工程管理有限公司</w:t>
      </w:r>
    </w:p>
    <w:p w14:paraId="4BE80D41">
      <w:pPr>
        <w:spacing w:line="480" w:lineRule="auto"/>
        <w:jc w:val="left"/>
        <w:rPr>
          <w:rFonts w:hint="eastAsia" w:ascii="宋体" w:hAnsi="宋体" w:cs="宋体"/>
          <w:color w:val="auto"/>
          <w:highlight w:val="none"/>
        </w:rPr>
        <w:sectPr>
          <w:footerReference r:id="rId4" w:type="first"/>
          <w:headerReference r:id="rId3" w:type="default"/>
          <w:pgSz w:w="11907" w:h="16840"/>
          <w:pgMar w:top="1440" w:right="1800" w:bottom="1440" w:left="1800" w:header="851" w:footer="850" w:gutter="0"/>
          <w:pgNumType w:fmt="numberInDash" w:start="0"/>
          <w:cols w:space="720" w:num="1"/>
          <w:docGrid w:type="lines" w:linePitch="286" w:charSpace="0"/>
        </w:sectPr>
      </w:pPr>
      <w:r>
        <w:rPr>
          <w:rFonts w:hint="eastAsia" w:ascii="宋体" w:hAnsi="宋体" w:cs="宋体"/>
          <w:b/>
          <w:color w:val="auto"/>
          <w:kern w:val="0"/>
          <w:sz w:val="32"/>
          <w:szCs w:val="36"/>
          <w:highlight w:val="none"/>
        </w:rPr>
        <w:t>编制时间：二〇二</w:t>
      </w:r>
      <w:r>
        <w:rPr>
          <w:rFonts w:hint="eastAsia" w:ascii="宋体" w:hAnsi="宋体" w:cs="宋体"/>
          <w:b/>
          <w:color w:val="auto"/>
          <w:kern w:val="0"/>
          <w:sz w:val="32"/>
          <w:szCs w:val="36"/>
          <w:highlight w:val="none"/>
          <w:lang w:eastAsia="zh-CN"/>
        </w:rPr>
        <w:t>五</w:t>
      </w:r>
      <w:r>
        <w:rPr>
          <w:rFonts w:hint="eastAsia" w:ascii="宋体" w:hAnsi="宋体" w:cs="宋体"/>
          <w:b/>
          <w:color w:val="auto"/>
          <w:kern w:val="0"/>
          <w:sz w:val="32"/>
          <w:szCs w:val="36"/>
          <w:highlight w:val="none"/>
        </w:rPr>
        <w:t>年</w:t>
      </w:r>
      <w:r>
        <w:rPr>
          <w:rFonts w:hint="eastAsia" w:ascii="宋体" w:hAnsi="宋体" w:cs="宋体"/>
          <w:b/>
          <w:color w:val="auto"/>
          <w:kern w:val="0"/>
          <w:sz w:val="32"/>
          <w:szCs w:val="36"/>
          <w:highlight w:val="none"/>
          <w:lang w:eastAsia="zh-CN"/>
        </w:rPr>
        <w:t>四</w:t>
      </w:r>
      <w:r>
        <w:rPr>
          <w:rFonts w:hint="eastAsia" w:ascii="宋体" w:hAnsi="宋体" w:cs="宋体"/>
          <w:b/>
          <w:color w:val="auto"/>
          <w:kern w:val="0"/>
          <w:sz w:val="32"/>
          <w:szCs w:val="36"/>
          <w:highlight w:val="none"/>
        </w:rPr>
        <w:t>月</w:t>
      </w:r>
    </w:p>
    <w:p w14:paraId="23F6D33E">
      <w:pPr>
        <w:adjustRightInd w:val="0"/>
        <w:snapToGrid w:val="0"/>
        <w:jc w:val="center"/>
        <w:rPr>
          <w:rFonts w:ascii="宋体" w:hAnsi="宋体" w:cs="宋体"/>
          <w:color w:val="auto"/>
          <w:sz w:val="72"/>
          <w:szCs w:val="72"/>
          <w:highlight w:val="none"/>
        </w:rPr>
      </w:pPr>
      <w:r>
        <w:rPr>
          <w:rFonts w:hint="eastAsia" w:ascii="宋体" w:hAnsi="宋体" w:cs="宋体"/>
          <w:b/>
          <w:bCs/>
          <w:color w:val="auto"/>
          <w:sz w:val="72"/>
          <w:szCs w:val="72"/>
          <w:highlight w:val="none"/>
        </w:rPr>
        <w:t>招标文件</w:t>
      </w:r>
    </w:p>
    <w:p w14:paraId="38342FF1">
      <w:pPr>
        <w:pStyle w:val="12"/>
        <w:rPr>
          <w:rFonts w:ascii="宋体" w:hAnsi="宋体" w:eastAsia="宋体" w:cs="宋体"/>
          <w:color w:val="auto"/>
          <w:highlight w:val="none"/>
        </w:rPr>
      </w:pPr>
    </w:p>
    <w:p w14:paraId="05B3C0D5">
      <w:pPr>
        <w:spacing w:line="1040" w:lineRule="exact"/>
        <w:ind w:left="210" w:leftChars="100"/>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rPr>
        <w:t>项目名称：</w:t>
      </w:r>
      <w:r>
        <w:rPr>
          <w:rFonts w:hint="eastAsia" w:ascii="宋体" w:hAnsi="宋体" w:cs="宋体"/>
          <w:bCs/>
          <w:color w:val="auto"/>
          <w:sz w:val="28"/>
          <w:szCs w:val="28"/>
          <w:highlight w:val="none"/>
          <w:lang w:eastAsia="zh-CN"/>
        </w:rPr>
        <w:t>米东区铁厂沟镇八家户村速冻食品生产车间建设项目-设备采购</w:t>
      </w:r>
    </w:p>
    <w:p w14:paraId="67D41773">
      <w:pPr>
        <w:spacing w:line="1040" w:lineRule="exact"/>
        <w:ind w:left="210" w:leftChars="100"/>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rPr>
        <w:t>招标人：</w:t>
      </w:r>
      <w:r>
        <w:rPr>
          <w:rFonts w:hint="eastAsia" w:ascii="宋体" w:hAnsi="宋体" w:cs="宋体"/>
          <w:bCs/>
          <w:color w:val="auto"/>
          <w:sz w:val="28"/>
          <w:szCs w:val="28"/>
          <w:highlight w:val="none"/>
          <w:lang w:eastAsia="zh-CN"/>
        </w:rPr>
        <w:t>乌鲁木齐市米东区农业农村局(乡村振兴局、农业综合行政执法队）</w:t>
      </w:r>
    </w:p>
    <w:p w14:paraId="5DD8B221">
      <w:pPr>
        <w:spacing w:line="1040" w:lineRule="exact"/>
        <w:ind w:left="210" w:leftChars="100"/>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rPr>
        <w:t>联系人：</w:t>
      </w:r>
      <w:r>
        <w:rPr>
          <w:rFonts w:hint="eastAsia" w:ascii="宋体" w:hAnsi="宋体" w:cs="宋体"/>
          <w:bCs/>
          <w:color w:val="auto"/>
          <w:sz w:val="28"/>
          <w:szCs w:val="28"/>
          <w:highlight w:val="none"/>
          <w:lang w:eastAsia="zh-CN"/>
        </w:rPr>
        <w:t>单鹏</w:t>
      </w:r>
    </w:p>
    <w:p w14:paraId="3FA02F70">
      <w:pPr>
        <w:spacing w:line="1040" w:lineRule="exact"/>
        <w:ind w:left="210" w:leftChars="100"/>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rPr>
        <w:t>联系电话：</w:t>
      </w:r>
      <w:r>
        <w:rPr>
          <w:rFonts w:hint="eastAsia" w:ascii="宋体" w:hAnsi="宋体" w:cs="宋体"/>
          <w:bCs/>
          <w:color w:val="auto"/>
          <w:sz w:val="28"/>
          <w:szCs w:val="28"/>
          <w:highlight w:val="none"/>
          <w:lang w:eastAsia="zh-CN"/>
        </w:rPr>
        <w:t>189 9992 6988</w:t>
      </w:r>
    </w:p>
    <w:p w14:paraId="1283DEEE">
      <w:pPr>
        <w:spacing w:line="1040" w:lineRule="exact"/>
        <w:ind w:left="210" w:leftChars="100"/>
        <w:jc w:val="left"/>
        <w:rPr>
          <w:rFonts w:ascii="宋体" w:hAnsi="宋体" w:cs="宋体"/>
          <w:bCs/>
          <w:color w:val="auto"/>
          <w:sz w:val="28"/>
          <w:szCs w:val="28"/>
          <w:highlight w:val="none"/>
        </w:rPr>
      </w:pPr>
      <w:r>
        <w:rPr>
          <w:rFonts w:hint="eastAsia" w:ascii="宋体" w:hAnsi="宋体" w:cs="宋体"/>
          <w:bCs/>
          <w:color w:val="auto"/>
          <w:sz w:val="28"/>
          <w:szCs w:val="28"/>
          <w:highlight w:val="none"/>
        </w:rPr>
        <w:t>详细地址：</w:t>
      </w:r>
      <w:r>
        <w:rPr>
          <w:rFonts w:hint="eastAsia" w:ascii="宋体" w:hAnsi="宋体" w:cs="宋体"/>
          <w:bCs/>
          <w:color w:val="auto"/>
          <w:sz w:val="28"/>
          <w:szCs w:val="28"/>
          <w:highlight w:val="none"/>
          <w:lang w:eastAsia="zh-CN"/>
        </w:rPr>
        <w:t>米东区府前中路1400号</w:t>
      </w:r>
    </w:p>
    <w:p w14:paraId="09077144">
      <w:pPr>
        <w:spacing w:line="920" w:lineRule="exact"/>
        <w:jc w:val="left"/>
        <w:rPr>
          <w:rFonts w:ascii="宋体" w:hAnsi="宋体" w:cs="宋体"/>
          <w:bCs/>
          <w:color w:val="auto"/>
          <w:sz w:val="28"/>
          <w:szCs w:val="28"/>
          <w:highlight w:val="none"/>
        </w:rPr>
      </w:pPr>
      <w:r>
        <w:rPr>
          <w:color w:val="auto"/>
          <w:sz w:val="28"/>
          <w:highlight w:val="none"/>
        </w:rPr>
        <mc:AlternateContent>
          <mc:Choice Requires="wps">
            <w:drawing>
              <wp:anchor distT="0" distB="0" distL="114300" distR="114300" simplePos="0" relativeHeight="251662336" behindDoc="0" locked="0" layoutInCell="1" allowOverlap="1">
                <wp:simplePos x="0" y="0"/>
                <wp:positionH relativeFrom="column">
                  <wp:posOffset>177800</wp:posOffset>
                </wp:positionH>
                <wp:positionV relativeFrom="paragraph">
                  <wp:posOffset>110490</wp:posOffset>
                </wp:positionV>
                <wp:extent cx="5067300" cy="635"/>
                <wp:effectExtent l="0" t="0" r="0" b="0"/>
                <wp:wrapNone/>
                <wp:docPr id="6" name="直线 3"/>
                <wp:cNvGraphicFramePr/>
                <a:graphic xmlns:a="http://schemas.openxmlformats.org/drawingml/2006/main">
                  <a:graphicData uri="http://schemas.microsoft.com/office/word/2010/wordprocessingShape">
                    <wps:wsp>
                      <wps:cNvCnPr/>
                      <wps:spPr>
                        <a:xfrm>
                          <a:off x="1323340" y="5646420"/>
                          <a:ext cx="5067300" cy="635"/>
                        </a:xfrm>
                        <a:prstGeom prst="line">
                          <a:avLst/>
                        </a:prstGeom>
                        <a:ln w="15875" cap="flat" cmpd="sng">
                          <a:solidFill>
                            <a:srgbClr val="444444"/>
                          </a:solidFill>
                          <a:prstDash val="solid"/>
                          <a:headEnd type="none" w="med" len="med"/>
                          <a:tailEnd type="none" w="med" len="med"/>
                        </a:ln>
                        <a:effectLst/>
                      </wps:spPr>
                      <wps:bodyPr upright="1"/>
                    </wps:wsp>
                  </a:graphicData>
                </a:graphic>
              </wp:anchor>
            </w:drawing>
          </mc:Choice>
          <mc:Fallback>
            <w:pict>
              <v:line id="直线 3" o:spid="_x0000_s1026" o:spt="20" style="position:absolute;left:0pt;margin-left:14pt;margin-top:8.7pt;height:0.05pt;width:399pt;z-index:251662336;mso-width-relative:page;mso-height-relative:page;" filled="f" stroked="t" coordsize="21600,21600" o:gfxdata="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6Pu9O1wAAAAgBAAAPAAAAAAAAAAEAIAAAACIAAABkcnMvZG93bnJldi54&#10;bWxQSwECFAAUAAAACACHTuJAox3HBvsBAAD4AwAADgAAAAAAAAABACAAAAAmAQAAZHJzL2Uyb0Rv&#10;Yy54bWxQSwUGAAAAAAYABgBZAQAAkwUAAAAA&#10;">
                <v:fill on="f" focussize="0,0"/>
                <v:stroke weight="1.25pt" color="#444444" joinstyle="round"/>
                <v:imagedata o:title=""/>
                <o:lock v:ext="edit" aspectratio="f"/>
              </v:line>
            </w:pict>
          </mc:Fallback>
        </mc:AlternateContent>
      </w:r>
      <w:r>
        <w:rPr>
          <w:rFonts w:hint="eastAsia"/>
          <w:color w:val="auto"/>
          <w:sz w:val="28"/>
          <w:highlight w:val="none"/>
          <w:lang w:val="en-US" w:eastAsia="zh-CN"/>
        </w:rPr>
        <w:t xml:space="preserve"> </w:t>
      </w:r>
      <w:r>
        <w:rPr>
          <w:rFonts w:hint="eastAsia" w:ascii="宋体" w:hAnsi="宋体" w:cs="宋体"/>
          <w:bCs/>
          <w:color w:val="auto"/>
          <w:sz w:val="28"/>
          <w:szCs w:val="28"/>
          <w:highlight w:val="none"/>
        </w:rPr>
        <w:t>招标代理机构：新疆天合新动力工程管理有限公司</w:t>
      </w:r>
    </w:p>
    <w:p w14:paraId="3C05BAB1">
      <w:pPr>
        <w:spacing w:line="1040" w:lineRule="exact"/>
        <w:ind w:firstLine="280" w:firstLineChars="100"/>
        <w:jc w:val="left"/>
        <w:rPr>
          <w:rFonts w:hint="eastAsia" w:ascii="宋体" w:hAnsi="宋体" w:eastAsia="宋体" w:cs="宋体"/>
          <w:bCs/>
          <w:color w:val="auto"/>
          <w:sz w:val="28"/>
          <w:szCs w:val="28"/>
          <w:highlight w:val="none"/>
          <w:lang w:eastAsia="zh-CN"/>
        </w:rPr>
      </w:pPr>
      <w:r>
        <w:rPr>
          <w:rFonts w:hint="eastAsia" w:ascii="宋体" w:hAnsi="宋体" w:cs="宋体"/>
          <w:bCs/>
          <w:color w:val="auto"/>
          <w:sz w:val="28"/>
          <w:szCs w:val="28"/>
          <w:highlight w:val="none"/>
        </w:rPr>
        <w:t>联系人：</w:t>
      </w:r>
      <w:r>
        <w:rPr>
          <w:rFonts w:hint="eastAsia" w:ascii="宋体" w:hAnsi="宋体" w:cs="宋体"/>
          <w:bCs/>
          <w:color w:val="auto"/>
          <w:sz w:val="28"/>
          <w:szCs w:val="28"/>
          <w:highlight w:val="none"/>
          <w:lang w:eastAsia="zh-CN"/>
        </w:rPr>
        <w:t>马龙、金云花、朱春华、付梅、</w:t>
      </w:r>
    </w:p>
    <w:p w14:paraId="4A6219DB">
      <w:pPr>
        <w:spacing w:line="1040" w:lineRule="exact"/>
        <w:ind w:firstLine="280" w:firstLineChars="100"/>
        <w:jc w:val="left"/>
        <w:rPr>
          <w:rFonts w:hint="eastAsia" w:ascii="宋体" w:hAnsi="宋体" w:cs="宋体"/>
          <w:bCs/>
          <w:color w:val="auto"/>
          <w:sz w:val="28"/>
          <w:szCs w:val="28"/>
          <w:highlight w:val="none"/>
          <w:lang w:val="en-US" w:eastAsia="zh-CN"/>
        </w:rPr>
      </w:pPr>
      <w:r>
        <w:rPr>
          <w:rFonts w:hint="eastAsia" w:ascii="宋体" w:hAnsi="宋体" w:cs="宋体"/>
          <w:bCs/>
          <w:color w:val="auto"/>
          <w:sz w:val="28"/>
          <w:szCs w:val="28"/>
          <w:highlight w:val="none"/>
        </w:rPr>
        <w:t>联系电话：0991-3508696、0991-3508</w:t>
      </w:r>
      <w:r>
        <w:rPr>
          <w:rFonts w:hint="eastAsia" w:ascii="宋体" w:hAnsi="宋体" w:cs="宋体"/>
          <w:bCs/>
          <w:color w:val="auto"/>
          <w:sz w:val="28"/>
          <w:szCs w:val="28"/>
          <w:highlight w:val="none"/>
          <w:lang w:val="en-US" w:eastAsia="zh-CN"/>
        </w:rPr>
        <w:t>222</w:t>
      </w:r>
    </w:p>
    <w:p w14:paraId="04E5CE3D">
      <w:pPr>
        <w:spacing w:line="1040" w:lineRule="exact"/>
        <w:ind w:firstLine="280" w:firstLineChars="100"/>
        <w:jc w:val="left"/>
        <w:rPr>
          <w:rFonts w:ascii="宋体" w:hAnsi="宋体" w:cs="宋体"/>
          <w:bCs/>
          <w:color w:val="auto"/>
          <w:sz w:val="28"/>
          <w:szCs w:val="28"/>
          <w:highlight w:val="none"/>
        </w:rPr>
        <w:sectPr>
          <w:headerReference r:id="rId6" w:type="first"/>
          <w:headerReference r:id="rId5" w:type="default"/>
          <w:footerReference r:id="rId7" w:type="default"/>
          <w:pgSz w:w="11907" w:h="16840"/>
          <w:pgMar w:top="1440" w:right="1800" w:bottom="1440" w:left="1800" w:header="851" w:footer="964" w:gutter="0"/>
          <w:pgNumType w:fmt="numberInDash" w:start="1"/>
          <w:cols w:space="720" w:num="1"/>
          <w:docGrid w:type="lines" w:linePitch="286" w:charSpace="0"/>
        </w:sectPr>
      </w:pPr>
      <w:r>
        <w:rPr>
          <w:rFonts w:hint="eastAsia" w:ascii="宋体" w:hAnsi="宋体" w:cs="宋体"/>
          <w:bCs/>
          <w:color w:val="auto"/>
          <w:sz w:val="28"/>
          <w:szCs w:val="28"/>
          <w:highlight w:val="none"/>
        </w:rPr>
        <w:t>详细地址：乌鲁木齐市水磨沟区立井街198号9号楼11层</w:t>
      </w:r>
    </w:p>
    <w:p w14:paraId="3F7843BC">
      <w:pPr>
        <w:tabs>
          <w:tab w:val="left" w:pos="1557"/>
        </w:tabs>
        <w:spacing w:line="440" w:lineRule="exact"/>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目   录</w:t>
      </w:r>
    </w:p>
    <w:sdt>
      <w:sdtPr>
        <w:rPr>
          <w:rFonts w:hint="eastAsia" w:ascii="宋体" w:hAnsi="宋体" w:eastAsia="仿宋_GB2312" w:cs="宋体"/>
          <w:b/>
          <w:bCs/>
          <w:color w:val="auto"/>
          <w:kern w:val="0"/>
          <w:sz w:val="24"/>
          <w:highlight w:val="none"/>
        </w:rPr>
        <w:id w:val="147465006"/>
        <w:docPartObj>
          <w:docPartGallery w:val="Table of Contents"/>
          <w:docPartUnique/>
        </w:docPartObj>
      </w:sdtPr>
      <w:sdtEndPr>
        <w:rPr>
          <w:rFonts w:hint="eastAsia" w:ascii="宋体" w:hAnsi="宋体" w:eastAsia="仿宋_GB2312" w:cs="宋体"/>
          <w:b/>
          <w:bCs/>
          <w:color w:val="auto"/>
          <w:kern w:val="0"/>
          <w:sz w:val="24"/>
          <w:highlight w:val="none"/>
        </w:rPr>
      </w:sdtEndPr>
      <w:sdtContent>
        <w:p w14:paraId="729CCE15">
          <w:pPr>
            <w:jc w:val="center"/>
            <w:rPr>
              <w:rFonts w:ascii="宋体" w:hAnsi="宋体" w:cs="宋体"/>
              <w:color w:val="auto"/>
              <w:highlight w:val="none"/>
            </w:rPr>
          </w:pPr>
        </w:p>
        <w:p w14:paraId="6E08F6C6">
          <w:pPr>
            <w:pStyle w:val="29"/>
            <w:ind w:firstLine="360" w:firstLineChars="112"/>
            <w:rPr>
              <w:rFonts w:asciiTheme="minorHAnsi" w:hAnsiTheme="minorHAnsi" w:eastAsiaTheme="minorEastAsia" w:cstheme="minorBidi"/>
              <w:b w:val="0"/>
              <w:bCs w:val="0"/>
              <w:color w:val="auto"/>
              <w:kern w:val="2"/>
              <w:sz w:val="21"/>
              <w:szCs w:val="2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TOC \o "1-1" \h \u </w:instrText>
          </w:r>
          <w:r>
            <w:rPr>
              <w:rFonts w:hint="eastAsia" w:ascii="宋体" w:hAnsi="宋体" w:eastAsia="宋体" w:cs="宋体"/>
              <w:color w:val="auto"/>
              <w:sz w:val="32"/>
              <w:szCs w:val="32"/>
              <w:highlight w:val="none"/>
            </w:rPr>
            <w:fldChar w:fldCharType="separate"/>
          </w:r>
          <w:r>
            <w:rPr>
              <w:color w:val="auto"/>
              <w:highlight w:val="none"/>
            </w:rPr>
            <w:fldChar w:fldCharType="begin"/>
          </w:r>
          <w:r>
            <w:rPr>
              <w:color w:val="auto"/>
              <w:highlight w:val="none"/>
            </w:rPr>
            <w:instrText xml:space="preserve"> HYPERLINK \l "_Toc148084454" </w:instrText>
          </w:r>
          <w:r>
            <w:rPr>
              <w:color w:val="auto"/>
              <w:highlight w:val="none"/>
            </w:rPr>
            <w:fldChar w:fldCharType="separate"/>
          </w:r>
          <w:r>
            <w:rPr>
              <w:rStyle w:val="53"/>
              <w:rFonts w:hint="default" w:ascii="宋体" w:hAnsi="宋体" w:cs="宋体"/>
              <w:color w:val="auto"/>
              <w:kern w:val="44"/>
              <w:highlight w:val="none"/>
            </w:rPr>
            <w:t>第一章 招标公告</w:t>
          </w:r>
          <w:r>
            <w:rPr>
              <w:color w:val="auto"/>
              <w:highlight w:val="none"/>
            </w:rPr>
            <w:tab/>
          </w:r>
          <w:r>
            <w:rPr>
              <w:color w:val="auto"/>
              <w:highlight w:val="none"/>
            </w:rPr>
            <w:fldChar w:fldCharType="begin"/>
          </w:r>
          <w:r>
            <w:rPr>
              <w:color w:val="auto"/>
              <w:highlight w:val="none"/>
            </w:rPr>
            <w:instrText xml:space="preserve"> PAGEREF _Toc148084454 \h </w:instrText>
          </w:r>
          <w:r>
            <w:rPr>
              <w:color w:val="auto"/>
              <w:highlight w:val="none"/>
            </w:rPr>
            <w:fldChar w:fldCharType="separate"/>
          </w:r>
          <w:r>
            <w:rPr>
              <w:color w:val="auto"/>
              <w:highlight w:val="none"/>
            </w:rPr>
            <w:t>- 1 -</w:t>
          </w:r>
          <w:r>
            <w:rPr>
              <w:color w:val="auto"/>
              <w:highlight w:val="none"/>
            </w:rPr>
            <w:fldChar w:fldCharType="end"/>
          </w:r>
          <w:r>
            <w:rPr>
              <w:color w:val="auto"/>
              <w:highlight w:val="none"/>
            </w:rPr>
            <w:fldChar w:fldCharType="end"/>
          </w:r>
        </w:p>
        <w:p w14:paraId="654ED705">
          <w:pPr>
            <w:pStyle w:val="29"/>
            <w:ind w:firstLine="360"/>
            <w:rPr>
              <w:rFonts w:asciiTheme="minorHAnsi" w:hAnsiTheme="minorHAnsi" w:eastAsiaTheme="minorEastAsia" w:cstheme="minorBidi"/>
              <w:b w:val="0"/>
              <w:bCs w:val="0"/>
              <w:color w:val="auto"/>
              <w:kern w:val="2"/>
              <w:sz w:val="21"/>
              <w:szCs w:val="22"/>
              <w:highlight w:val="none"/>
            </w:rPr>
          </w:pPr>
          <w:r>
            <w:rPr>
              <w:color w:val="auto"/>
              <w:highlight w:val="none"/>
            </w:rPr>
            <w:fldChar w:fldCharType="begin"/>
          </w:r>
          <w:r>
            <w:rPr>
              <w:color w:val="auto"/>
              <w:highlight w:val="none"/>
            </w:rPr>
            <w:instrText xml:space="preserve"> HYPERLINK \l "_Toc148084455" </w:instrText>
          </w:r>
          <w:r>
            <w:rPr>
              <w:color w:val="auto"/>
              <w:highlight w:val="none"/>
            </w:rPr>
            <w:fldChar w:fldCharType="separate"/>
          </w:r>
          <w:r>
            <w:rPr>
              <w:rStyle w:val="53"/>
              <w:rFonts w:hint="default" w:ascii="宋体" w:hAnsi="宋体" w:cs="宋体"/>
              <w:color w:val="auto"/>
              <w:kern w:val="44"/>
              <w:highlight w:val="none"/>
            </w:rPr>
            <w:t>第二章 投标人须知前附表</w:t>
          </w:r>
          <w:r>
            <w:rPr>
              <w:color w:val="auto"/>
              <w:highlight w:val="none"/>
            </w:rPr>
            <w:tab/>
          </w:r>
          <w:r>
            <w:rPr>
              <w:color w:val="auto"/>
              <w:highlight w:val="none"/>
            </w:rPr>
            <w:fldChar w:fldCharType="begin"/>
          </w:r>
          <w:r>
            <w:rPr>
              <w:color w:val="auto"/>
              <w:highlight w:val="none"/>
            </w:rPr>
            <w:instrText xml:space="preserve"> PAGEREF _Toc148084455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14:paraId="53111BE3">
          <w:pPr>
            <w:pStyle w:val="29"/>
            <w:ind w:firstLine="360"/>
            <w:rPr>
              <w:rFonts w:asciiTheme="minorHAnsi" w:hAnsiTheme="minorHAnsi" w:eastAsiaTheme="minorEastAsia" w:cstheme="minorBidi"/>
              <w:b w:val="0"/>
              <w:bCs w:val="0"/>
              <w:color w:val="auto"/>
              <w:kern w:val="2"/>
              <w:sz w:val="21"/>
              <w:szCs w:val="22"/>
              <w:highlight w:val="none"/>
            </w:rPr>
          </w:pPr>
          <w:r>
            <w:rPr>
              <w:color w:val="auto"/>
              <w:highlight w:val="none"/>
            </w:rPr>
            <w:fldChar w:fldCharType="begin"/>
          </w:r>
          <w:r>
            <w:rPr>
              <w:color w:val="auto"/>
              <w:highlight w:val="none"/>
            </w:rPr>
            <w:instrText xml:space="preserve"> HYPERLINK \l "_Toc148084478" </w:instrText>
          </w:r>
          <w:r>
            <w:rPr>
              <w:color w:val="auto"/>
              <w:highlight w:val="none"/>
            </w:rPr>
            <w:fldChar w:fldCharType="separate"/>
          </w:r>
          <w:r>
            <w:rPr>
              <w:rStyle w:val="53"/>
              <w:rFonts w:hint="default" w:ascii="宋体" w:hAnsi="宋体" w:cs="宋体"/>
              <w:color w:val="auto"/>
              <w:kern w:val="44"/>
              <w:highlight w:val="none"/>
            </w:rPr>
            <w:t>第三章 资格审查</w:t>
          </w:r>
          <w:r>
            <w:rPr>
              <w:color w:val="auto"/>
              <w:highlight w:val="none"/>
            </w:rPr>
            <w:tab/>
          </w:r>
          <w:r>
            <w:rPr>
              <w:color w:val="auto"/>
              <w:highlight w:val="none"/>
            </w:rPr>
            <w:fldChar w:fldCharType="begin"/>
          </w:r>
          <w:r>
            <w:rPr>
              <w:color w:val="auto"/>
              <w:highlight w:val="none"/>
            </w:rPr>
            <w:instrText xml:space="preserve"> PAGEREF _Toc148084478 \h </w:instrText>
          </w:r>
          <w:r>
            <w:rPr>
              <w:color w:val="auto"/>
              <w:highlight w:val="none"/>
            </w:rPr>
            <w:fldChar w:fldCharType="separate"/>
          </w:r>
          <w:r>
            <w:rPr>
              <w:color w:val="auto"/>
              <w:highlight w:val="none"/>
            </w:rPr>
            <w:t>23</w:t>
          </w:r>
          <w:r>
            <w:rPr>
              <w:color w:val="auto"/>
              <w:highlight w:val="none"/>
            </w:rPr>
            <w:fldChar w:fldCharType="end"/>
          </w:r>
          <w:r>
            <w:rPr>
              <w:color w:val="auto"/>
              <w:highlight w:val="none"/>
            </w:rPr>
            <w:fldChar w:fldCharType="end"/>
          </w:r>
        </w:p>
        <w:p w14:paraId="48EFD887">
          <w:pPr>
            <w:pStyle w:val="29"/>
            <w:ind w:firstLine="360"/>
            <w:rPr>
              <w:rFonts w:asciiTheme="minorHAnsi" w:hAnsiTheme="minorHAnsi" w:eastAsiaTheme="minorEastAsia" w:cstheme="minorBidi"/>
              <w:b w:val="0"/>
              <w:bCs w:val="0"/>
              <w:color w:val="auto"/>
              <w:kern w:val="2"/>
              <w:sz w:val="21"/>
              <w:szCs w:val="22"/>
              <w:highlight w:val="none"/>
            </w:rPr>
          </w:pPr>
          <w:r>
            <w:rPr>
              <w:color w:val="auto"/>
              <w:highlight w:val="none"/>
            </w:rPr>
            <w:fldChar w:fldCharType="begin"/>
          </w:r>
          <w:r>
            <w:rPr>
              <w:color w:val="auto"/>
              <w:highlight w:val="none"/>
            </w:rPr>
            <w:instrText xml:space="preserve"> HYPERLINK \l "_Toc148084480" </w:instrText>
          </w:r>
          <w:r>
            <w:rPr>
              <w:color w:val="auto"/>
              <w:highlight w:val="none"/>
            </w:rPr>
            <w:fldChar w:fldCharType="separate"/>
          </w:r>
          <w:r>
            <w:rPr>
              <w:rStyle w:val="53"/>
              <w:rFonts w:hint="default" w:ascii="宋体" w:hAnsi="宋体" w:cs="宋体"/>
              <w:color w:val="auto"/>
              <w:kern w:val="44"/>
              <w:highlight w:val="none"/>
            </w:rPr>
            <w:t>第四章 评标程序、评标方法和评标标准</w:t>
          </w:r>
          <w:r>
            <w:rPr>
              <w:color w:val="auto"/>
              <w:highlight w:val="none"/>
            </w:rPr>
            <w:tab/>
          </w:r>
          <w:r>
            <w:rPr>
              <w:color w:val="auto"/>
              <w:highlight w:val="none"/>
            </w:rPr>
            <w:fldChar w:fldCharType="begin"/>
          </w:r>
          <w:r>
            <w:rPr>
              <w:color w:val="auto"/>
              <w:highlight w:val="none"/>
            </w:rPr>
            <w:instrText xml:space="preserve"> PAGEREF _Toc148084480 \h </w:instrText>
          </w:r>
          <w:r>
            <w:rPr>
              <w:color w:val="auto"/>
              <w:highlight w:val="none"/>
            </w:rPr>
            <w:fldChar w:fldCharType="separate"/>
          </w:r>
          <w:r>
            <w:rPr>
              <w:color w:val="auto"/>
              <w:highlight w:val="none"/>
            </w:rPr>
            <w:t>25</w:t>
          </w:r>
          <w:r>
            <w:rPr>
              <w:color w:val="auto"/>
              <w:highlight w:val="none"/>
            </w:rPr>
            <w:fldChar w:fldCharType="end"/>
          </w:r>
          <w:r>
            <w:rPr>
              <w:color w:val="auto"/>
              <w:highlight w:val="none"/>
            </w:rPr>
            <w:fldChar w:fldCharType="end"/>
          </w:r>
        </w:p>
        <w:p w14:paraId="0C4B0DD4">
          <w:pPr>
            <w:pStyle w:val="29"/>
            <w:ind w:firstLine="360"/>
            <w:rPr>
              <w:rFonts w:asciiTheme="minorHAnsi" w:hAnsiTheme="minorHAnsi" w:eastAsiaTheme="minorEastAsia" w:cstheme="minorBidi"/>
              <w:b w:val="0"/>
              <w:bCs w:val="0"/>
              <w:color w:val="auto"/>
              <w:kern w:val="2"/>
              <w:sz w:val="21"/>
              <w:szCs w:val="22"/>
              <w:highlight w:val="none"/>
            </w:rPr>
          </w:pPr>
          <w:r>
            <w:rPr>
              <w:color w:val="auto"/>
              <w:highlight w:val="none"/>
            </w:rPr>
            <w:fldChar w:fldCharType="begin"/>
          </w:r>
          <w:r>
            <w:rPr>
              <w:color w:val="auto"/>
              <w:highlight w:val="none"/>
            </w:rPr>
            <w:instrText xml:space="preserve"> HYPERLINK \l "_Toc148084481" </w:instrText>
          </w:r>
          <w:r>
            <w:rPr>
              <w:color w:val="auto"/>
              <w:highlight w:val="none"/>
            </w:rPr>
            <w:fldChar w:fldCharType="separate"/>
          </w:r>
          <w:r>
            <w:rPr>
              <w:rStyle w:val="53"/>
              <w:rFonts w:hint="default" w:ascii="宋体" w:hAnsi="宋体" w:cs="宋体"/>
              <w:color w:val="auto"/>
              <w:kern w:val="44"/>
              <w:highlight w:val="none"/>
            </w:rPr>
            <w:t>第四章 合同条款</w:t>
          </w:r>
          <w:r>
            <w:rPr>
              <w:color w:val="auto"/>
              <w:highlight w:val="none"/>
            </w:rPr>
            <w:tab/>
          </w:r>
          <w:r>
            <w:rPr>
              <w:color w:val="auto"/>
              <w:highlight w:val="none"/>
            </w:rPr>
            <w:fldChar w:fldCharType="begin"/>
          </w:r>
          <w:r>
            <w:rPr>
              <w:color w:val="auto"/>
              <w:highlight w:val="none"/>
            </w:rPr>
            <w:instrText xml:space="preserve"> PAGEREF _Toc148084481 \h </w:instrText>
          </w:r>
          <w:r>
            <w:rPr>
              <w:color w:val="auto"/>
              <w:highlight w:val="none"/>
            </w:rPr>
            <w:fldChar w:fldCharType="separate"/>
          </w:r>
          <w:r>
            <w:rPr>
              <w:color w:val="auto"/>
              <w:highlight w:val="none"/>
            </w:rPr>
            <w:t>32</w:t>
          </w:r>
          <w:r>
            <w:rPr>
              <w:color w:val="auto"/>
              <w:highlight w:val="none"/>
            </w:rPr>
            <w:fldChar w:fldCharType="end"/>
          </w:r>
          <w:r>
            <w:rPr>
              <w:color w:val="auto"/>
              <w:highlight w:val="none"/>
            </w:rPr>
            <w:fldChar w:fldCharType="end"/>
          </w:r>
        </w:p>
        <w:p w14:paraId="34B583E0">
          <w:pPr>
            <w:pStyle w:val="29"/>
            <w:ind w:firstLine="360"/>
            <w:rPr>
              <w:rFonts w:asciiTheme="minorHAnsi" w:hAnsiTheme="minorHAnsi" w:eastAsiaTheme="minorEastAsia" w:cstheme="minorBidi"/>
              <w:b w:val="0"/>
              <w:bCs w:val="0"/>
              <w:color w:val="auto"/>
              <w:kern w:val="2"/>
              <w:sz w:val="21"/>
              <w:szCs w:val="22"/>
              <w:highlight w:val="none"/>
            </w:rPr>
          </w:pPr>
          <w:r>
            <w:rPr>
              <w:color w:val="auto"/>
              <w:highlight w:val="none"/>
            </w:rPr>
            <w:fldChar w:fldCharType="begin"/>
          </w:r>
          <w:r>
            <w:rPr>
              <w:color w:val="auto"/>
              <w:highlight w:val="none"/>
            </w:rPr>
            <w:instrText xml:space="preserve"> HYPERLINK \l "_Toc148084482" </w:instrText>
          </w:r>
          <w:r>
            <w:rPr>
              <w:color w:val="auto"/>
              <w:highlight w:val="none"/>
            </w:rPr>
            <w:fldChar w:fldCharType="separate"/>
          </w:r>
          <w:r>
            <w:rPr>
              <w:rStyle w:val="53"/>
              <w:rFonts w:hint="default" w:ascii="宋体" w:hAnsi="宋体" w:cs="宋体"/>
              <w:color w:val="auto"/>
              <w:kern w:val="44"/>
              <w:highlight w:val="none"/>
            </w:rPr>
            <w:t>第五章 采购需求</w:t>
          </w:r>
          <w:r>
            <w:rPr>
              <w:color w:val="auto"/>
              <w:highlight w:val="none"/>
            </w:rPr>
            <w:tab/>
          </w:r>
          <w:r>
            <w:rPr>
              <w:color w:val="auto"/>
              <w:highlight w:val="none"/>
            </w:rPr>
            <w:fldChar w:fldCharType="begin"/>
          </w:r>
          <w:r>
            <w:rPr>
              <w:color w:val="auto"/>
              <w:highlight w:val="none"/>
            </w:rPr>
            <w:instrText xml:space="preserve"> PAGEREF _Toc148084482 \h </w:instrText>
          </w:r>
          <w:r>
            <w:rPr>
              <w:color w:val="auto"/>
              <w:highlight w:val="none"/>
            </w:rPr>
            <w:fldChar w:fldCharType="separate"/>
          </w:r>
          <w:r>
            <w:rPr>
              <w:color w:val="auto"/>
              <w:highlight w:val="none"/>
            </w:rPr>
            <w:t>44</w:t>
          </w:r>
          <w:r>
            <w:rPr>
              <w:color w:val="auto"/>
              <w:highlight w:val="none"/>
            </w:rPr>
            <w:fldChar w:fldCharType="end"/>
          </w:r>
          <w:r>
            <w:rPr>
              <w:color w:val="auto"/>
              <w:highlight w:val="none"/>
            </w:rPr>
            <w:fldChar w:fldCharType="end"/>
          </w:r>
        </w:p>
        <w:p w14:paraId="15244F66">
          <w:pPr>
            <w:pStyle w:val="29"/>
            <w:ind w:firstLine="360"/>
            <w:rPr>
              <w:rFonts w:asciiTheme="minorHAnsi" w:hAnsiTheme="minorHAnsi" w:eastAsiaTheme="minorEastAsia" w:cstheme="minorBidi"/>
              <w:b w:val="0"/>
              <w:bCs w:val="0"/>
              <w:color w:val="auto"/>
              <w:kern w:val="2"/>
              <w:sz w:val="21"/>
              <w:szCs w:val="22"/>
              <w:highlight w:val="none"/>
            </w:rPr>
          </w:pPr>
          <w:r>
            <w:rPr>
              <w:color w:val="auto"/>
              <w:highlight w:val="none"/>
            </w:rPr>
            <w:fldChar w:fldCharType="begin"/>
          </w:r>
          <w:r>
            <w:rPr>
              <w:color w:val="auto"/>
              <w:highlight w:val="none"/>
            </w:rPr>
            <w:instrText xml:space="preserve"> HYPERLINK \l "_Toc148084483" </w:instrText>
          </w:r>
          <w:r>
            <w:rPr>
              <w:color w:val="auto"/>
              <w:highlight w:val="none"/>
            </w:rPr>
            <w:fldChar w:fldCharType="separate"/>
          </w:r>
          <w:r>
            <w:rPr>
              <w:rStyle w:val="53"/>
              <w:rFonts w:hint="default" w:ascii="宋体" w:hAnsi="宋体" w:cs="宋体"/>
              <w:color w:val="auto"/>
              <w:highlight w:val="none"/>
            </w:rPr>
            <w:t>第六章 投标文件格式</w:t>
          </w:r>
          <w:r>
            <w:rPr>
              <w:color w:val="auto"/>
              <w:highlight w:val="none"/>
            </w:rPr>
            <w:tab/>
          </w:r>
          <w:r>
            <w:rPr>
              <w:color w:val="auto"/>
              <w:highlight w:val="none"/>
            </w:rPr>
            <w:fldChar w:fldCharType="begin"/>
          </w:r>
          <w:r>
            <w:rPr>
              <w:color w:val="auto"/>
              <w:highlight w:val="none"/>
            </w:rPr>
            <w:instrText xml:space="preserve"> PAGEREF _Toc148084483 \h </w:instrText>
          </w:r>
          <w:r>
            <w:rPr>
              <w:color w:val="auto"/>
              <w:highlight w:val="none"/>
            </w:rPr>
            <w:fldChar w:fldCharType="separate"/>
          </w:r>
          <w:r>
            <w:rPr>
              <w:color w:val="auto"/>
              <w:highlight w:val="none"/>
            </w:rPr>
            <w:t>52</w:t>
          </w:r>
          <w:r>
            <w:rPr>
              <w:color w:val="auto"/>
              <w:highlight w:val="none"/>
            </w:rPr>
            <w:fldChar w:fldCharType="end"/>
          </w:r>
          <w:r>
            <w:rPr>
              <w:color w:val="auto"/>
              <w:highlight w:val="none"/>
            </w:rPr>
            <w:fldChar w:fldCharType="end"/>
          </w:r>
          <w:r>
            <w:rPr>
              <w:rFonts w:hint="eastAsia" w:ascii="宋体" w:hAnsi="宋体" w:cs="宋体"/>
              <w:color w:val="auto"/>
              <w:szCs w:val="32"/>
              <w:highlight w:val="none"/>
            </w:rPr>
            <w:fldChar w:fldCharType="end"/>
          </w:r>
        </w:p>
      </w:sdtContent>
    </w:sdt>
    <w:p w14:paraId="70CE6F66">
      <w:pPr>
        <w:tabs>
          <w:tab w:val="left" w:pos="855"/>
        </w:tabs>
        <w:spacing w:line="720" w:lineRule="auto"/>
        <w:jc w:val="left"/>
        <w:rPr>
          <w:rFonts w:ascii="宋体" w:hAnsi="宋体" w:cs="宋体"/>
          <w:color w:val="auto"/>
          <w:sz w:val="28"/>
          <w:szCs w:val="28"/>
          <w:highlight w:val="none"/>
        </w:rPr>
      </w:pPr>
    </w:p>
    <w:p w14:paraId="312C27E4">
      <w:pPr>
        <w:pStyle w:val="55"/>
        <w:ind w:firstLine="643"/>
        <w:rPr>
          <w:rFonts w:ascii="宋体" w:hAnsi="宋体" w:eastAsia="宋体" w:cs="宋体"/>
          <w:b/>
          <w:bCs/>
          <w:color w:val="auto"/>
          <w:sz w:val="32"/>
          <w:szCs w:val="32"/>
          <w:highlight w:val="none"/>
        </w:rPr>
      </w:pPr>
    </w:p>
    <w:p w14:paraId="25E79AE0">
      <w:pPr>
        <w:pStyle w:val="55"/>
        <w:ind w:firstLine="643"/>
        <w:rPr>
          <w:rFonts w:ascii="宋体" w:hAnsi="宋体" w:eastAsia="宋体" w:cs="宋体"/>
          <w:b/>
          <w:bCs/>
          <w:color w:val="auto"/>
          <w:sz w:val="32"/>
          <w:szCs w:val="32"/>
          <w:highlight w:val="none"/>
        </w:rPr>
      </w:pPr>
    </w:p>
    <w:p w14:paraId="5AFD1BD9">
      <w:pPr>
        <w:pStyle w:val="55"/>
        <w:ind w:firstLine="643"/>
        <w:rPr>
          <w:rFonts w:ascii="宋体" w:hAnsi="宋体" w:eastAsia="宋体" w:cs="宋体"/>
          <w:b/>
          <w:bCs/>
          <w:color w:val="auto"/>
          <w:sz w:val="32"/>
          <w:szCs w:val="32"/>
          <w:highlight w:val="none"/>
        </w:rPr>
      </w:pPr>
    </w:p>
    <w:p w14:paraId="5A71424F">
      <w:pPr>
        <w:pStyle w:val="55"/>
        <w:ind w:firstLine="643"/>
        <w:rPr>
          <w:rFonts w:ascii="宋体" w:hAnsi="宋体" w:eastAsia="宋体" w:cs="宋体"/>
          <w:b/>
          <w:bCs/>
          <w:color w:val="auto"/>
          <w:sz w:val="32"/>
          <w:szCs w:val="32"/>
          <w:highlight w:val="none"/>
        </w:rPr>
      </w:pPr>
    </w:p>
    <w:p w14:paraId="1EECA7E4">
      <w:pPr>
        <w:spacing w:line="440" w:lineRule="exact"/>
        <w:ind w:right="119"/>
        <w:jc w:val="center"/>
        <w:rPr>
          <w:rFonts w:ascii="宋体" w:hAnsi="宋体" w:cs="宋体"/>
          <w:b/>
          <w:bCs/>
          <w:color w:val="auto"/>
          <w:sz w:val="24"/>
          <w:highlight w:val="none"/>
        </w:rPr>
      </w:pPr>
    </w:p>
    <w:p w14:paraId="3851E682">
      <w:pPr>
        <w:spacing w:line="440" w:lineRule="exact"/>
        <w:ind w:right="119"/>
        <w:jc w:val="center"/>
        <w:rPr>
          <w:rFonts w:ascii="宋体" w:hAnsi="宋体" w:cs="宋体"/>
          <w:b/>
          <w:bCs/>
          <w:color w:val="auto"/>
          <w:sz w:val="24"/>
          <w:highlight w:val="none"/>
        </w:rPr>
      </w:pPr>
    </w:p>
    <w:p w14:paraId="7B35D3F2">
      <w:pPr>
        <w:spacing w:line="440" w:lineRule="exact"/>
        <w:ind w:right="119"/>
        <w:jc w:val="center"/>
        <w:rPr>
          <w:rFonts w:ascii="宋体" w:hAnsi="宋体" w:cs="宋体"/>
          <w:b/>
          <w:bCs/>
          <w:color w:val="auto"/>
          <w:sz w:val="24"/>
          <w:highlight w:val="none"/>
        </w:rPr>
      </w:pPr>
    </w:p>
    <w:p w14:paraId="63B7CDCA">
      <w:pPr>
        <w:spacing w:line="440" w:lineRule="exact"/>
        <w:ind w:right="119"/>
        <w:jc w:val="center"/>
        <w:rPr>
          <w:rFonts w:ascii="宋体" w:hAnsi="宋体" w:cs="宋体"/>
          <w:b/>
          <w:bCs/>
          <w:color w:val="auto"/>
          <w:sz w:val="24"/>
          <w:highlight w:val="none"/>
        </w:rPr>
      </w:pPr>
    </w:p>
    <w:p w14:paraId="0308558B">
      <w:pPr>
        <w:spacing w:line="440" w:lineRule="exact"/>
        <w:ind w:right="119"/>
        <w:jc w:val="center"/>
        <w:rPr>
          <w:rFonts w:ascii="宋体" w:hAnsi="宋体" w:cs="宋体"/>
          <w:b/>
          <w:bCs/>
          <w:color w:val="auto"/>
          <w:sz w:val="24"/>
          <w:highlight w:val="none"/>
        </w:rPr>
      </w:pPr>
    </w:p>
    <w:p w14:paraId="4D280A20">
      <w:pPr>
        <w:spacing w:line="440" w:lineRule="exact"/>
        <w:ind w:right="119"/>
        <w:jc w:val="center"/>
        <w:rPr>
          <w:rFonts w:ascii="宋体" w:hAnsi="宋体" w:cs="宋体"/>
          <w:b/>
          <w:bCs/>
          <w:color w:val="auto"/>
          <w:sz w:val="24"/>
          <w:highlight w:val="none"/>
        </w:rPr>
      </w:pPr>
    </w:p>
    <w:p w14:paraId="57297A33">
      <w:pPr>
        <w:spacing w:afterLines="50" w:line="440" w:lineRule="exact"/>
        <w:ind w:right="119"/>
        <w:jc w:val="center"/>
        <w:rPr>
          <w:rFonts w:ascii="宋体" w:hAnsi="宋体" w:cs="宋体"/>
          <w:b/>
          <w:color w:val="auto"/>
          <w:sz w:val="36"/>
          <w:szCs w:val="36"/>
          <w:highlight w:val="none"/>
        </w:rPr>
        <w:sectPr>
          <w:headerReference r:id="rId8" w:type="default"/>
          <w:footerReference r:id="rId9" w:type="default"/>
          <w:pgSz w:w="11907" w:h="16840"/>
          <w:pgMar w:top="1440" w:right="1800" w:bottom="1440" w:left="1800" w:header="851" w:footer="964" w:gutter="0"/>
          <w:pgNumType w:fmt="numberInDash" w:start="1"/>
          <w:cols w:space="720" w:num="1"/>
          <w:docGrid w:type="lines" w:linePitch="286" w:charSpace="0"/>
        </w:sectPr>
      </w:pPr>
    </w:p>
    <w:p w14:paraId="5F8BB789">
      <w:pPr>
        <w:spacing w:line="480" w:lineRule="exact"/>
        <w:ind w:right="119"/>
        <w:jc w:val="center"/>
        <w:outlineLvl w:val="0"/>
        <w:rPr>
          <w:rFonts w:ascii="宋体" w:hAnsi="宋体" w:cs="宋体"/>
          <w:b/>
          <w:bCs/>
          <w:color w:val="auto"/>
          <w:kern w:val="44"/>
          <w:sz w:val="36"/>
          <w:szCs w:val="36"/>
          <w:highlight w:val="none"/>
        </w:rPr>
      </w:pPr>
      <w:bookmarkStart w:id="1" w:name="_Toc148084454"/>
      <w:bookmarkStart w:id="2" w:name="_Toc141969779"/>
      <w:r>
        <w:rPr>
          <w:rFonts w:hint="eastAsia" w:ascii="宋体" w:hAnsi="宋体" w:cs="宋体"/>
          <w:b/>
          <w:bCs/>
          <w:color w:val="auto"/>
          <w:kern w:val="44"/>
          <w:sz w:val="36"/>
          <w:szCs w:val="36"/>
          <w:highlight w:val="none"/>
        </w:rPr>
        <w:t>第一章 招标公告</w:t>
      </w:r>
      <w:bookmarkEnd w:id="1"/>
      <w:bookmarkEnd w:id="2"/>
    </w:p>
    <w:p w14:paraId="396B0BE0">
      <w:pPr>
        <w:pageBreakBefore w:val="0"/>
        <w:widowControl w:val="0"/>
        <w:pBdr>
          <w:top w:val="single" w:color="auto" w:sz="4" w:space="1"/>
          <w:left w:val="single" w:color="auto" w:sz="4" w:space="4"/>
          <w:bottom w:val="single" w:color="auto" w:sz="4" w:space="1"/>
          <w:right w:val="single" w:color="auto" w:sz="4" w:space="4"/>
        </w:pBdr>
        <w:kinsoku/>
        <w:wordWrap/>
        <w:topLinePunct w:val="0"/>
        <w:bidi w:val="0"/>
        <w:adjustRightInd/>
        <w:snapToGrid/>
        <w:spacing w:line="50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6A9943EF">
      <w:pPr>
        <w:pageBreakBefore w:val="0"/>
        <w:widowControl w:val="0"/>
        <w:pBdr>
          <w:top w:val="single" w:color="auto" w:sz="4" w:space="1"/>
          <w:left w:val="single" w:color="auto" w:sz="4" w:space="4"/>
          <w:bottom w:val="single" w:color="auto" w:sz="4" w:space="1"/>
          <w:right w:val="single" w:color="auto" w:sz="4" w:space="4"/>
        </w:pBdr>
        <w:kinsoku/>
        <w:wordWrap/>
        <w:topLinePunct w:val="0"/>
        <w:bidi w:val="0"/>
        <w:adjustRightInd/>
        <w:snapToGrid/>
        <w:spacing w:line="500" w:lineRule="exact"/>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米东区铁厂沟镇八家户村速冻食品生产车间建设项目-设备采购</w:t>
      </w:r>
      <w:r>
        <w:rPr>
          <w:rFonts w:hint="eastAsia" w:ascii="宋体" w:hAnsi="宋体" w:eastAsia="宋体" w:cs="宋体"/>
          <w:color w:val="auto"/>
          <w:sz w:val="24"/>
          <w:highlight w:val="none"/>
        </w:rPr>
        <w:t>的潜在</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应在</w:t>
      </w:r>
      <w:r>
        <w:rPr>
          <w:rFonts w:hint="eastAsia" w:ascii="宋体" w:hAnsi="宋体" w:cs="宋体"/>
          <w:color w:val="auto"/>
          <w:sz w:val="24"/>
          <w:highlight w:val="none"/>
        </w:rPr>
        <w:t>政采云平台线上</w:t>
      </w:r>
      <w:r>
        <w:rPr>
          <w:rFonts w:hint="eastAsia" w:ascii="宋体" w:hAnsi="宋体" w:eastAsia="宋体" w:cs="宋体"/>
          <w:color w:val="auto"/>
          <w:sz w:val="24"/>
          <w:highlight w:val="none"/>
        </w:rPr>
        <w:t>获取招标文件，并于202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04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30</w:t>
      </w:r>
      <w:r>
        <w:rPr>
          <w:rFonts w:hint="eastAsia" w:ascii="宋体" w:hAnsi="宋体" w:eastAsia="宋体" w:cs="宋体"/>
          <w:color w:val="auto"/>
          <w:sz w:val="24"/>
          <w:highlight w:val="none"/>
        </w:rPr>
        <w:t>日1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点00分（北京时间）前递交投标文件。</w:t>
      </w:r>
    </w:p>
    <w:p w14:paraId="4A5C419F">
      <w:pPr>
        <w:pageBreakBefore w:val="0"/>
        <w:widowControl w:val="0"/>
        <w:kinsoku/>
        <w:wordWrap/>
        <w:overflowPunct w:val="0"/>
        <w:topLinePunct w:val="0"/>
        <w:autoSpaceDE w:val="0"/>
        <w:autoSpaceDN w:val="0"/>
        <w:bidi w:val="0"/>
        <w:adjustRightInd/>
        <w:snapToGrid/>
        <w:spacing w:line="500" w:lineRule="exact"/>
        <w:textAlignment w:val="auto"/>
        <w:outlineLvl w:val="1"/>
        <w:rPr>
          <w:rFonts w:hint="eastAsia" w:ascii="宋体" w:hAnsi="宋体" w:eastAsia="宋体" w:cs="宋体"/>
          <w:b/>
          <w:color w:val="auto"/>
          <w:sz w:val="24"/>
          <w:highlight w:val="none"/>
        </w:rPr>
      </w:pPr>
      <w:bookmarkStart w:id="3" w:name="_Toc30325"/>
      <w:r>
        <w:rPr>
          <w:rFonts w:hint="eastAsia" w:ascii="宋体" w:hAnsi="宋体" w:eastAsia="宋体" w:cs="宋体"/>
          <w:b/>
          <w:color w:val="auto"/>
          <w:sz w:val="24"/>
          <w:highlight w:val="none"/>
        </w:rPr>
        <w:t>一、项目基本情况</w:t>
      </w:r>
      <w:bookmarkEnd w:id="3"/>
    </w:p>
    <w:p w14:paraId="062DF5B3">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lang w:val="en-US" w:eastAsia="zh-CN"/>
        </w:rPr>
      </w:pPr>
      <w:bookmarkStart w:id="4" w:name="_Toc17817"/>
      <w:r>
        <w:rPr>
          <w:rFonts w:hint="eastAsia" w:ascii="宋体" w:hAnsi="宋体" w:eastAsia="宋体" w:cs="宋体"/>
          <w:bCs/>
          <w:color w:val="auto"/>
          <w:sz w:val="24"/>
          <w:highlight w:val="none"/>
        </w:rPr>
        <w:t>项目编号：</w:t>
      </w:r>
      <w:bookmarkEnd w:id="4"/>
      <w:r>
        <w:rPr>
          <w:rFonts w:hint="eastAsia" w:ascii="宋体" w:hAnsi="宋体" w:eastAsia="宋体" w:cs="宋体"/>
          <w:bCs/>
          <w:color w:val="auto"/>
          <w:sz w:val="24"/>
          <w:highlight w:val="none"/>
        </w:rPr>
        <w:t>TH2025-ZH0053</w:t>
      </w:r>
      <w:r>
        <w:rPr>
          <w:rFonts w:hint="eastAsia" w:ascii="宋体" w:hAnsi="宋体" w:cs="宋体"/>
          <w:bCs/>
          <w:color w:val="auto"/>
          <w:sz w:val="24"/>
          <w:highlight w:val="none"/>
          <w:lang w:val="en-US" w:eastAsia="zh-CN"/>
        </w:rPr>
        <w:t xml:space="preserve"> </w:t>
      </w:r>
    </w:p>
    <w:p w14:paraId="2B7E00E9">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lang w:eastAsia="zh-CN"/>
        </w:rPr>
      </w:pPr>
      <w:bookmarkStart w:id="5" w:name="_Toc29091"/>
      <w:r>
        <w:rPr>
          <w:rFonts w:hint="eastAsia" w:ascii="宋体" w:hAnsi="宋体" w:eastAsia="宋体" w:cs="宋体"/>
          <w:bCs/>
          <w:color w:val="auto"/>
          <w:sz w:val="24"/>
          <w:highlight w:val="none"/>
        </w:rPr>
        <w:t>项目名称：</w:t>
      </w:r>
      <w:bookmarkEnd w:id="5"/>
      <w:r>
        <w:rPr>
          <w:rFonts w:hint="eastAsia" w:ascii="宋体" w:hAnsi="宋体" w:cs="宋体"/>
          <w:bCs/>
          <w:color w:val="auto"/>
          <w:sz w:val="24"/>
          <w:highlight w:val="none"/>
          <w:lang w:eastAsia="zh-CN"/>
        </w:rPr>
        <w:t>米东区铁厂沟镇八家户村速冻食品生产车间建设项目-设备采购</w:t>
      </w:r>
    </w:p>
    <w:p w14:paraId="2E512E45">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6" w:name="_Toc21008"/>
      <w:r>
        <w:rPr>
          <w:rFonts w:hint="eastAsia" w:ascii="宋体" w:hAnsi="宋体" w:eastAsia="宋体" w:cs="宋体"/>
          <w:bCs/>
          <w:color w:val="auto"/>
          <w:sz w:val="24"/>
          <w:highlight w:val="none"/>
        </w:rPr>
        <w:t>预算金额：</w:t>
      </w:r>
      <w:r>
        <w:rPr>
          <w:rFonts w:hint="eastAsia" w:ascii="宋体" w:hAnsi="宋体" w:cs="宋体"/>
          <w:bCs/>
          <w:color w:val="auto"/>
          <w:sz w:val="24"/>
          <w:highlight w:val="none"/>
          <w:lang w:val="en-US" w:eastAsia="zh-CN"/>
        </w:rPr>
        <w:t>149</w:t>
      </w:r>
      <w:r>
        <w:rPr>
          <w:rFonts w:hint="eastAsia" w:ascii="宋体" w:hAnsi="宋体" w:eastAsia="宋体" w:cs="宋体"/>
          <w:bCs/>
          <w:color w:val="auto"/>
          <w:sz w:val="24"/>
          <w:highlight w:val="none"/>
        </w:rPr>
        <w:t>万元</w:t>
      </w:r>
      <w:bookmarkEnd w:id="6"/>
    </w:p>
    <w:p w14:paraId="3B4A11E2">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7" w:name="_Toc12381"/>
      <w:r>
        <w:rPr>
          <w:rFonts w:hint="eastAsia" w:ascii="宋体" w:hAnsi="宋体" w:eastAsia="宋体" w:cs="宋体"/>
          <w:bCs/>
          <w:color w:val="auto"/>
          <w:sz w:val="24"/>
          <w:highlight w:val="none"/>
        </w:rPr>
        <w:t>最高限价：</w:t>
      </w:r>
      <w:bookmarkEnd w:id="7"/>
      <w:r>
        <w:rPr>
          <w:rFonts w:hint="eastAsia" w:ascii="宋体" w:hAnsi="宋体" w:cs="宋体"/>
          <w:bCs/>
          <w:color w:val="auto"/>
          <w:sz w:val="24"/>
          <w:highlight w:val="none"/>
          <w:lang w:val="en-US" w:eastAsia="zh-CN"/>
        </w:rPr>
        <w:t>149</w:t>
      </w:r>
      <w:r>
        <w:rPr>
          <w:rFonts w:hint="eastAsia" w:ascii="宋体" w:hAnsi="宋体" w:eastAsia="宋体" w:cs="宋体"/>
          <w:bCs/>
          <w:color w:val="auto"/>
          <w:sz w:val="24"/>
          <w:highlight w:val="none"/>
        </w:rPr>
        <w:t>万元</w:t>
      </w:r>
    </w:p>
    <w:p w14:paraId="05CFDC0E">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8" w:name="_Toc20267"/>
      <w:r>
        <w:rPr>
          <w:rFonts w:hint="eastAsia" w:ascii="宋体" w:hAnsi="宋体" w:eastAsia="宋体" w:cs="宋体"/>
          <w:bCs/>
          <w:color w:val="auto"/>
          <w:sz w:val="24"/>
          <w:highlight w:val="none"/>
        </w:rPr>
        <w:t>采购需求：</w:t>
      </w:r>
      <w:r>
        <w:rPr>
          <w:rFonts w:hint="eastAsia" w:ascii="宋体" w:hAnsi="宋体" w:cs="宋体"/>
          <w:bCs/>
          <w:color w:val="auto"/>
          <w:sz w:val="24"/>
          <w:highlight w:val="none"/>
          <w:lang w:eastAsia="zh-CN"/>
        </w:rPr>
        <w:t>采购</w:t>
      </w:r>
      <w:r>
        <w:rPr>
          <w:rFonts w:hint="eastAsia" w:ascii="宋体" w:hAnsi="宋体" w:eastAsia="宋体" w:cs="宋体"/>
          <w:bCs/>
          <w:color w:val="auto"/>
          <w:sz w:val="24"/>
          <w:highlight w:val="none"/>
        </w:rPr>
        <w:t>新疆特色饺子生产线1条</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新疆薄皮包子生产线1条及相关配套加工设备。</w:t>
      </w:r>
    </w:p>
    <w:bookmarkEnd w:id="8"/>
    <w:p w14:paraId="6BB590C6">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lang w:eastAsia="zh-CN"/>
        </w:rPr>
      </w:pPr>
      <w:bookmarkStart w:id="9" w:name="_Toc23631"/>
      <w:r>
        <w:rPr>
          <w:rFonts w:hint="eastAsia" w:ascii="宋体" w:hAnsi="宋体" w:eastAsia="宋体" w:cs="宋体"/>
          <w:bCs/>
          <w:color w:val="auto"/>
          <w:sz w:val="24"/>
          <w:highlight w:val="none"/>
        </w:rPr>
        <w:t>合同履行期限：</w:t>
      </w:r>
      <w:bookmarkEnd w:id="9"/>
      <w:r>
        <w:rPr>
          <w:rFonts w:hint="eastAsia" w:ascii="宋体" w:hAnsi="宋体" w:eastAsia="宋体" w:cs="宋体"/>
          <w:bCs/>
          <w:color w:val="auto"/>
          <w:sz w:val="24"/>
          <w:highlight w:val="none"/>
          <w:lang w:val="zh-CN"/>
        </w:rPr>
        <w:t>自收到中标通知书</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val="zh-CN"/>
        </w:rPr>
        <w:t>天内完成供货；供货完成后2天内完成安装部署工作</w:t>
      </w:r>
      <w:r>
        <w:rPr>
          <w:rFonts w:hint="eastAsia" w:ascii="宋体" w:hAnsi="宋体" w:cs="宋体"/>
          <w:bCs/>
          <w:color w:val="auto"/>
          <w:sz w:val="24"/>
          <w:highlight w:val="none"/>
          <w:lang w:val="zh-CN"/>
        </w:rPr>
        <w:t>。</w:t>
      </w:r>
    </w:p>
    <w:p w14:paraId="26BB9C56">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10" w:name="_Toc29737"/>
      <w:r>
        <w:rPr>
          <w:rFonts w:hint="eastAsia" w:ascii="宋体" w:hAnsi="宋体" w:eastAsia="宋体" w:cs="宋体"/>
          <w:bCs/>
          <w:color w:val="auto"/>
          <w:sz w:val="24"/>
          <w:highlight w:val="none"/>
        </w:rPr>
        <w:t>本项目（否）接受联合体投标。</w:t>
      </w:r>
      <w:bookmarkEnd w:id="10"/>
    </w:p>
    <w:p w14:paraId="1F9685A3">
      <w:pPr>
        <w:pageBreakBefore w:val="0"/>
        <w:widowControl w:val="0"/>
        <w:kinsoku/>
        <w:wordWrap/>
        <w:overflowPunct w:val="0"/>
        <w:topLinePunct w:val="0"/>
        <w:autoSpaceDE w:val="0"/>
        <w:autoSpaceDN w:val="0"/>
        <w:bidi w:val="0"/>
        <w:adjustRightInd/>
        <w:snapToGrid/>
        <w:spacing w:line="500" w:lineRule="exact"/>
        <w:textAlignment w:val="auto"/>
        <w:outlineLvl w:val="1"/>
        <w:rPr>
          <w:rFonts w:hint="eastAsia" w:ascii="宋体" w:hAnsi="宋体" w:eastAsia="宋体" w:cs="宋体"/>
          <w:b/>
          <w:color w:val="auto"/>
          <w:sz w:val="24"/>
          <w:highlight w:val="none"/>
        </w:rPr>
      </w:pPr>
      <w:bookmarkStart w:id="11" w:name="_Toc15098"/>
      <w:r>
        <w:rPr>
          <w:rFonts w:hint="eastAsia" w:ascii="宋体" w:hAnsi="宋体" w:eastAsia="宋体" w:cs="宋体"/>
          <w:b/>
          <w:color w:val="auto"/>
          <w:sz w:val="24"/>
          <w:highlight w:val="none"/>
        </w:rPr>
        <w:t>二、申请人的资格要求：</w:t>
      </w:r>
      <w:bookmarkEnd w:id="11"/>
    </w:p>
    <w:p w14:paraId="2BC38244">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12" w:name="_Toc5848"/>
      <w:r>
        <w:rPr>
          <w:rFonts w:hint="eastAsia" w:ascii="宋体" w:hAnsi="宋体" w:eastAsia="宋体" w:cs="宋体"/>
          <w:bCs/>
          <w:color w:val="auto"/>
          <w:sz w:val="24"/>
          <w:highlight w:val="none"/>
        </w:rPr>
        <w:t>1.满足《中华人民共和国政府采购法》第二十二条规定；</w:t>
      </w:r>
      <w:bookmarkEnd w:id="12"/>
    </w:p>
    <w:p w14:paraId="50486E78">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13" w:name="_Toc8191"/>
      <w:r>
        <w:rPr>
          <w:rFonts w:hint="eastAsia" w:ascii="宋体" w:hAnsi="宋体" w:eastAsia="宋体" w:cs="宋体"/>
          <w:bCs/>
          <w:color w:val="auto"/>
          <w:sz w:val="24"/>
          <w:highlight w:val="none"/>
        </w:rPr>
        <w:t>2.落实政府采购政策需满足的资格要求：供应商为</w:t>
      </w:r>
      <w:r>
        <w:rPr>
          <w:rFonts w:hint="eastAsia" w:ascii="宋体" w:hAnsi="宋体" w:cs="宋体"/>
          <w:bCs/>
          <w:color w:val="auto"/>
          <w:sz w:val="24"/>
          <w:highlight w:val="none"/>
          <w:lang w:eastAsia="zh-CN"/>
        </w:rPr>
        <w:t>中小</w:t>
      </w:r>
      <w:r>
        <w:rPr>
          <w:rFonts w:hint="eastAsia" w:ascii="宋体" w:hAnsi="宋体" w:eastAsia="宋体" w:cs="宋体"/>
          <w:bCs/>
          <w:color w:val="auto"/>
          <w:sz w:val="24"/>
          <w:highlight w:val="none"/>
        </w:rPr>
        <w:t>企业；</w:t>
      </w:r>
      <w:bookmarkEnd w:id="13"/>
    </w:p>
    <w:p w14:paraId="4C69216E">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14" w:name="_Toc25910"/>
      <w:r>
        <w:rPr>
          <w:rFonts w:hint="eastAsia" w:ascii="宋体" w:hAnsi="宋体" w:eastAsia="宋体" w:cs="宋体"/>
          <w:bCs/>
          <w:color w:val="auto"/>
          <w:sz w:val="24"/>
          <w:highlight w:val="none"/>
        </w:rPr>
        <w:t>3.本项目的特定资格要求：</w:t>
      </w:r>
      <w:r>
        <w:rPr>
          <w:rFonts w:hint="eastAsia" w:ascii="宋体" w:hAnsi="宋体" w:eastAsia="宋体" w:cs="宋体"/>
          <w:bCs/>
          <w:color w:val="auto"/>
          <w:sz w:val="24"/>
          <w:highlight w:val="none"/>
          <w:lang w:eastAsia="zh-CN"/>
        </w:rPr>
        <w:t>无</w:t>
      </w:r>
      <w:r>
        <w:rPr>
          <w:rFonts w:hint="eastAsia" w:ascii="宋体" w:hAnsi="宋体" w:eastAsia="宋体" w:cs="宋体"/>
          <w:bCs/>
          <w:color w:val="auto"/>
          <w:sz w:val="24"/>
          <w:highlight w:val="none"/>
        </w:rPr>
        <w:t>。</w:t>
      </w:r>
      <w:bookmarkEnd w:id="14"/>
    </w:p>
    <w:p w14:paraId="18F77051">
      <w:pPr>
        <w:pageBreakBefore w:val="0"/>
        <w:widowControl w:val="0"/>
        <w:kinsoku/>
        <w:wordWrap/>
        <w:overflowPunct w:val="0"/>
        <w:topLinePunct w:val="0"/>
        <w:autoSpaceDE w:val="0"/>
        <w:autoSpaceDN w:val="0"/>
        <w:bidi w:val="0"/>
        <w:adjustRightInd/>
        <w:snapToGrid/>
        <w:spacing w:line="500" w:lineRule="exact"/>
        <w:textAlignment w:val="auto"/>
        <w:outlineLvl w:val="1"/>
        <w:rPr>
          <w:rFonts w:hint="eastAsia" w:ascii="宋体" w:hAnsi="宋体" w:eastAsia="宋体" w:cs="宋体"/>
          <w:b/>
          <w:color w:val="auto"/>
          <w:sz w:val="24"/>
          <w:highlight w:val="none"/>
        </w:rPr>
      </w:pPr>
      <w:bookmarkStart w:id="15" w:name="_Toc3770"/>
      <w:r>
        <w:rPr>
          <w:rFonts w:hint="eastAsia" w:ascii="宋体" w:hAnsi="宋体" w:eastAsia="宋体" w:cs="宋体"/>
          <w:b/>
          <w:color w:val="auto"/>
          <w:sz w:val="24"/>
          <w:highlight w:val="none"/>
        </w:rPr>
        <w:t>三、获取招标文件</w:t>
      </w:r>
      <w:bookmarkEnd w:id="15"/>
    </w:p>
    <w:p w14:paraId="715ED56C">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16" w:name="_Toc5413"/>
      <w:r>
        <w:rPr>
          <w:rFonts w:hint="eastAsia" w:ascii="宋体" w:hAnsi="宋体" w:eastAsia="宋体" w:cs="宋体"/>
          <w:bCs/>
          <w:color w:val="auto"/>
          <w:sz w:val="24"/>
          <w:highlight w:val="none"/>
        </w:rPr>
        <w:t>时间：</w:t>
      </w:r>
      <w:r>
        <w:rPr>
          <w:rFonts w:hint="eastAsia" w:ascii="宋体" w:hAnsi="宋体" w:eastAsia="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04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09</w:t>
      </w:r>
      <w:r>
        <w:rPr>
          <w:rFonts w:hint="eastAsia" w:ascii="宋体" w:hAnsi="宋体" w:eastAsia="宋体" w:cs="宋体"/>
          <w:color w:val="auto"/>
          <w:sz w:val="24"/>
          <w:highlight w:val="none"/>
        </w:rPr>
        <w:t>日至202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04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16</w:t>
      </w:r>
      <w:r>
        <w:rPr>
          <w:rFonts w:hint="eastAsia" w:ascii="宋体" w:hAnsi="宋体" w:eastAsia="宋体" w:cs="宋体"/>
          <w:color w:val="auto"/>
          <w:sz w:val="24"/>
          <w:highlight w:val="none"/>
        </w:rPr>
        <w:t>日</w:t>
      </w:r>
      <w:r>
        <w:rPr>
          <w:rFonts w:hint="eastAsia" w:ascii="宋体" w:hAnsi="宋体" w:eastAsia="宋体" w:cs="宋体"/>
          <w:bCs/>
          <w:color w:val="auto"/>
          <w:sz w:val="24"/>
          <w:highlight w:val="none"/>
        </w:rPr>
        <w:t>，每天上午10:00至14:00，下午15:30至19:30（北京时间，法定节假日除外）</w:t>
      </w:r>
      <w:bookmarkEnd w:id="16"/>
    </w:p>
    <w:p w14:paraId="592F0EE2">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bookmarkStart w:id="17" w:name="_Toc149300630"/>
      <w:bookmarkStart w:id="18" w:name="_Toc149300406"/>
      <w:r>
        <w:rPr>
          <w:rFonts w:ascii="宋体" w:hAnsi="宋体" w:cs="宋体"/>
          <w:bCs/>
          <w:color w:val="auto"/>
          <w:sz w:val="24"/>
          <w:highlight w:val="none"/>
        </w:rPr>
        <w:t>地点：</w:t>
      </w:r>
      <w:r>
        <w:rPr>
          <w:rFonts w:hint="eastAsia" w:ascii="宋体" w:hAnsi="宋体" w:cs="宋体"/>
          <w:bCs/>
          <w:color w:val="auto"/>
          <w:sz w:val="24"/>
          <w:highlight w:val="none"/>
        </w:rPr>
        <w:t>政采云平台http//www.zcygov.cn/</w:t>
      </w:r>
      <w:bookmarkEnd w:id="17"/>
      <w:bookmarkEnd w:id="18"/>
    </w:p>
    <w:p w14:paraId="01D9360D">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bookmarkStart w:id="19" w:name="_Toc149300631"/>
      <w:bookmarkStart w:id="20" w:name="_Toc149300407"/>
      <w:r>
        <w:rPr>
          <w:rFonts w:ascii="宋体" w:hAnsi="宋体" w:cs="宋体"/>
          <w:bCs/>
          <w:color w:val="auto"/>
          <w:sz w:val="24"/>
          <w:highlight w:val="none"/>
        </w:rPr>
        <w:t>方式：</w:t>
      </w:r>
      <w:r>
        <w:rPr>
          <w:rFonts w:hint="eastAsia" w:ascii="宋体" w:hAnsi="宋体" w:cs="宋体"/>
          <w:bCs/>
          <w:color w:val="auto"/>
          <w:sz w:val="24"/>
          <w:highlight w:val="none"/>
        </w:rPr>
        <w:t>供应商</w:t>
      </w:r>
      <w:r>
        <w:rPr>
          <w:rFonts w:ascii="宋体" w:hAnsi="宋体" w:cs="宋体"/>
          <w:bCs/>
          <w:color w:val="auto"/>
          <w:sz w:val="24"/>
          <w:highlight w:val="none"/>
        </w:rPr>
        <w:t>登录政采云平台https://www.zcygov.cn/在线申请获取采购文件（进入“项目采购”应用，在获取采购文件菜单中选择项目</w:t>
      </w:r>
      <w:r>
        <w:rPr>
          <w:rFonts w:hint="eastAsia" w:ascii="宋体" w:hAnsi="宋体" w:cs="宋体"/>
          <w:bCs/>
          <w:color w:val="auto"/>
          <w:sz w:val="24"/>
          <w:highlight w:val="none"/>
        </w:rPr>
        <w:t>，</w:t>
      </w:r>
      <w:r>
        <w:rPr>
          <w:rFonts w:ascii="宋体" w:hAnsi="宋体" w:cs="宋体"/>
          <w:bCs/>
          <w:color w:val="auto"/>
          <w:sz w:val="24"/>
          <w:highlight w:val="none"/>
        </w:rPr>
        <w:t>申请获取采购文件）</w:t>
      </w:r>
      <w:bookmarkEnd w:id="19"/>
      <w:bookmarkEnd w:id="20"/>
    </w:p>
    <w:p w14:paraId="201F330C">
      <w:pPr>
        <w:pageBreakBefore w:val="0"/>
        <w:widowControl w:val="0"/>
        <w:kinsoku/>
        <w:wordWrap/>
        <w:topLinePunct w:val="0"/>
        <w:bidi w:val="0"/>
        <w:adjustRightInd/>
        <w:snapToGrid/>
        <w:spacing w:line="500" w:lineRule="exact"/>
        <w:ind w:firstLine="540"/>
        <w:textAlignment w:val="auto"/>
        <w:rPr>
          <w:rFonts w:hint="eastAsia" w:ascii="宋体" w:hAnsi="宋体" w:eastAsia="宋体" w:cs="宋体"/>
          <w:color w:val="auto"/>
          <w:sz w:val="24"/>
          <w:szCs w:val="28"/>
          <w:highlight w:val="none"/>
          <w:lang w:eastAsia="zh-CN"/>
        </w:rPr>
      </w:pPr>
      <w:r>
        <w:rPr>
          <w:rFonts w:hint="eastAsia" w:ascii="宋体" w:hAnsi="宋体" w:eastAsia="宋体" w:cs="宋体"/>
          <w:color w:val="auto"/>
          <w:sz w:val="24"/>
          <w:szCs w:val="28"/>
          <w:highlight w:val="none"/>
        </w:rPr>
        <w:t>售价：0元/</w:t>
      </w:r>
      <w:r>
        <w:rPr>
          <w:rFonts w:hint="eastAsia" w:ascii="宋体" w:hAnsi="宋体" w:eastAsia="宋体" w:cs="宋体"/>
          <w:color w:val="auto"/>
          <w:sz w:val="24"/>
          <w:szCs w:val="28"/>
          <w:highlight w:val="none"/>
          <w:lang w:eastAsia="zh-CN"/>
        </w:rPr>
        <w:t>份</w:t>
      </w:r>
    </w:p>
    <w:p w14:paraId="5A789E84">
      <w:pPr>
        <w:pageBreakBefore w:val="0"/>
        <w:widowControl w:val="0"/>
        <w:kinsoku/>
        <w:wordWrap/>
        <w:overflowPunct w:val="0"/>
        <w:topLinePunct w:val="0"/>
        <w:autoSpaceDE w:val="0"/>
        <w:autoSpaceDN w:val="0"/>
        <w:bidi w:val="0"/>
        <w:adjustRightInd/>
        <w:snapToGrid/>
        <w:spacing w:line="500" w:lineRule="exact"/>
        <w:textAlignment w:val="auto"/>
        <w:outlineLvl w:val="1"/>
        <w:rPr>
          <w:rFonts w:hint="eastAsia" w:ascii="宋体" w:hAnsi="宋体" w:eastAsia="宋体" w:cs="宋体"/>
          <w:b/>
          <w:color w:val="auto"/>
          <w:sz w:val="24"/>
          <w:highlight w:val="none"/>
        </w:rPr>
      </w:pPr>
      <w:bookmarkStart w:id="21" w:name="_Toc647"/>
      <w:r>
        <w:rPr>
          <w:rFonts w:hint="eastAsia" w:ascii="宋体" w:hAnsi="宋体" w:eastAsia="宋体" w:cs="宋体"/>
          <w:b/>
          <w:color w:val="auto"/>
          <w:sz w:val="24"/>
          <w:highlight w:val="none"/>
        </w:rPr>
        <w:t>四、提交投标文件截止时间、开标时间和地点</w:t>
      </w:r>
      <w:bookmarkEnd w:id="21"/>
    </w:p>
    <w:p w14:paraId="2C6F1337">
      <w:pPr>
        <w:pageBreakBefore w:val="0"/>
        <w:widowControl w:val="0"/>
        <w:kinsoku/>
        <w:wordWrap/>
        <w:topLinePunct w:val="0"/>
        <w:bidi w:val="0"/>
        <w:adjustRightInd/>
        <w:snapToGrid/>
        <w:spacing w:line="50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提交投标文件截止时间：</w:t>
      </w:r>
      <w:r>
        <w:rPr>
          <w:rFonts w:hint="eastAsia" w:ascii="宋体" w:hAnsi="宋体" w:cs="宋体"/>
          <w:bCs/>
          <w:color w:val="auto"/>
          <w:sz w:val="24"/>
          <w:highlight w:val="none"/>
          <w:lang w:eastAsia="zh-CN"/>
        </w:rPr>
        <w:t>2025年04月30日11点00分</w:t>
      </w:r>
      <w:r>
        <w:rPr>
          <w:rFonts w:hint="eastAsia" w:ascii="宋体" w:hAnsi="宋体" w:eastAsia="宋体" w:cs="宋体"/>
          <w:bCs/>
          <w:color w:val="auto"/>
          <w:sz w:val="24"/>
          <w:highlight w:val="none"/>
        </w:rPr>
        <w:t>（北京时间）</w:t>
      </w:r>
    </w:p>
    <w:p w14:paraId="1A5E0EB3">
      <w:pPr>
        <w:pageBreakBefore w:val="0"/>
        <w:widowControl w:val="0"/>
        <w:kinsoku/>
        <w:wordWrap/>
        <w:topLinePunct w:val="0"/>
        <w:bidi w:val="0"/>
        <w:adjustRightInd/>
        <w:snapToGrid/>
        <w:spacing w:line="500" w:lineRule="exact"/>
        <w:ind w:firstLine="480" w:firstLineChars="200"/>
        <w:textAlignment w:val="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地点：请登录政采云投标客户端投标</w:t>
      </w:r>
    </w:p>
    <w:p w14:paraId="1EA2D26E">
      <w:pPr>
        <w:pageBreakBefore w:val="0"/>
        <w:widowControl w:val="0"/>
        <w:kinsoku/>
        <w:wordWrap/>
        <w:topLinePunct w:val="0"/>
        <w:bidi w:val="0"/>
        <w:adjustRightInd/>
        <w:snapToGrid/>
        <w:spacing w:line="50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开标时间：</w:t>
      </w:r>
      <w:r>
        <w:rPr>
          <w:rFonts w:hint="eastAsia" w:ascii="宋体" w:hAnsi="宋体" w:cs="宋体"/>
          <w:bCs/>
          <w:color w:val="auto"/>
          <w:sz w:val="24"/>
          <w:highlight w:val="none"/>
          <w:lang w:eastAsia="zh-CN"/>
        </w:rPr>
        <w:t>2025年04月30日11点00分</w:t>
      </w:r>
      <w:r>
        <w:rPr>
          <w:rFonts w:hint="eastAsia" w:ascii="宋体" w:hAnsi="宋体" w:eastAsia="宋体" w:cs="宋体"/>
          <w:bCs/>
          <w:color w:val="auto"/>
          <w:sz w:val="24"/>
          <w:highlight w:val="none"/>
        </w:rPr>
        <w:t>（北京时间）</w:t>
      </w:r>
    </w:p>
    <w:p w14:paraId="09B4618A">
      <w:pPr>
        <w:pageBreakBefore w:val="0"/>
        <w:widowControl w:val="0"/>
        <w:kinsoku/>
        <w:wordWrap/>
        <w:topLinePunct w:val="0"/>
        <w:bidi w:val="0"/>
        <w:adjustRightInd/>
        <w:snapToGrid/>
        <w:spacing w:line="500" w:lineRule="exact"/>
        <w:ind w:firstLine="480" w:firstLineChars="200"/>
        <w:textAlignment w:val="auto"/>
        <w:rPr>
          <w:rFonts w:hint="eastAsia" w:ascii="宋体" w:hAnsi="宋体" w:eastAsia="宋体" w:cs="宋体"/>
          <w:bCs/>
          <w:color w:val="auto"/>
          <w:sz w:val="24"/>
          <w:szCs w:val="28"/>
          <w:highlight w:val="none"/>
          <w:lang w:eastAsia="zh-CN"/>
        </w:rPr>
      </w:pPr>
      <w:r>
        <w:rPr>
          <w:rFonts w:hint="eastAsia" w:ascii="宋体" w:hAnsi="宋体" w:eastAsia="宋体" w:cs="宋体"/>
          <w:color w:val="auto"/>
          <w:sz w:val="24"/>
          <w:szCs w:val="28"/>
          <w:highlight w:val="none"/>
        </w:rPr>
        <w:t>开标地点：</w:t>
      </w:r>
      <w:r>
        <w:rPr>
          <w:rFonts w:hint="eastAsia" w:ascii="宋体" w:hAnsi="宋体" w:cs="宋体"/>
          <w:color w:val="auto"/>
          <w:sz w:val="24"/>
          <w:szCs w:val="28"/>
          <w:highlight w:val="none"/>
          <w:lang w:eastAsia="zh-CN"/>
        </w:rPr>
        <w:t>政采云平台开标</w:t>
      </w:r>
    </w:p>
    <w:p w14:paraId="178CE625">
      <w:pPr>
        <w:pageBreakBefore w:val="0"/>
        <w:widowControl w:val="0"/>
        <w:kinsoku/>
        <w:wordWrap/>
        <w:overflowPunct w:val="0"/>
        <w:topLinePunct w:val="0"/>
        <w:autoSpaceDE w:val="0"/>
        <w:autoSpaceDN w:val="0"/>
        <w:bidi w:val="0"/>
        <w:adjustRightInd/>
        <w:snapToGrid/>
        <w:spacing w:line="500" w:lineRule="exact"/>
        <w:textAlignment w:val="auto"/>
        <w:outlineLvl w:val="1"/>
        <w:rPr>
          <w:rFonts w:hint="eastAsia" w:ascii="宋体" w:hAnsi="宋体" w:eastAsia="宋体" w:cs="宋体"/>
          <w:b/>
          <w:color w:val="auto"/>
          <w:sz w:val="24"/>
          <w:highlight w:val="none"/>
        </w:rPr>
      </w:pPr>
      <w:bookmarkStart w:id="22" w:name="_Toc699"/>
      <w:r>
        <w:rPr>
          <w:rFonts w:hint="eastAsia" w:ascii="宋体" w:hAnsi="宋体" w:eastAsia="宋体" w:cs="宋体"/>
          <w:b/>
          <w:color w:val="auto"/>
          <w:sz w:val="24"/>
          <w:highlight w:val="none"/>
        </w:rPr>
        <w:t>五、公告期限</w:t>
      </w:r>
      <w:bookmarkEnd w:id="22"/>
    </w:p>
    <w:p w14:paraId="2813DF12">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23" w:name="_Toc14214"/>
      <w:r>
        <w:rPr>
          <w:rFonts w:hint="eastAsia" w:ascii="宋体" w:hAnsi="宋体" w:eastAsia="宋体" w:cs="宋体"/>
          <w:bCs/>
          <w:color w:val="auto"/>
          <w:sz w:val="24"/>
          <w:highlight w:val="none"/>
        </w:rPr>
        <w:t>自本公告发布之日起5个工作日。</w:t>
      </w:r>
      <w:bookmarkEnd w:id="23"/>
    </w:p>
    <w:p w14:paraId="4B809CE0">
      <w:pPr>
        <w:pageBreakBefore w:val="0"/>
        <w:widowControl w:val="0"/>
        <w:numPr>
          <w:ilvl w:val="0"/>
          <w:numId w:val="3"/>
        </w:numPr>
        <w:kinsoku/>
        <w:wordWrap/>
        <w:overflowPunct w:val="0"/>
        <w:topLinePunct w:val="0"/>
        <w:autoSpaceDE w:val="0"/>
        <w:autoSpaceDN w:val="0"/>
        <w:bidi w:val="0"/>
        <w:adjustRightInd/>
        <w:snapToGrid/>
        <w:spacing w:line="500" w:lineRule="exact"/>
        <w:textAlignment w:val="auto"/>
        <w:outlineLvl w:val="1"/>
        <w:rPr>
          <w:rFonts w:ascii="宋体" w:hAnsi="宋体" w:cs="宋体"/>
          <w:bCs/>
          <w:color w:val="auto"/>
          <w:sz w:val="24"/>
          <w:highlight w:val="none"/>
        </w:rPr>
      </w:pPr>
      <w:bookmarkStart w:id="24" w:name="_Toc25759"/>
      <w:r>
        <w:rPr>
          <w:rFonts w:hint="eastAsia" w:ascii="宋体" w:hAnsi="宋体" w:eastAsia="宋体" w:cs="宋体"/>
          <w:b/>
          <w:color w:val="auto"/>
          <w:sz w:val="24"/>
          <w:highlight w:val="none"/>
        </w:rPr>
        <w:t>其他补充事宜</w:t>
      </w:r>
      <w:bookmarkEnd w:id="24"/>
      <w:r>
        <w:rPr>
          <w:rFonts w:hint="eastAsia" w:ascii="宋体" w:hAnsi="宋体" w:cs="宋体"/>
          <w:b/>
          <w:color w:val="auto"/>
          <w:sz w:val="24"/>
          <w:highlight w:val="none"/>
          <w:lang w:eastAsia="zh-CN"/>
        </w:rPr>
        <w:t>、</w:t>
      </w:r>
    </w:p>
    <w:p w14:paraId="18C483D5">
      <w:pPr>
        <w:pageBreakBefore w:val="0"/>
        <w:widowControl w:val="0"/>
        <w:numPr>
          <w:ilvl w:val="0"/>
          <w:numId w:val="0"/>
        </w:numPr>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r>
        <w:rPr>
          <w:rFonts w:hint="eastAsia" w:ascii="宋体" w:hAnsi="宋体" w:eastAsia="宋体" w:cs="宋体"/>
          <w:bCs/>
          <w:color w:val="auto"/>
          <w:sz w:val="24"/>
          <w:highlight w:val="none"/>
        </w:rPr>
        <w:t xml:space="preserve"> </w:t>
      </w:r>
      <w:bookmarkStart w:id="25" w:name="_Toc149300415"/>
      <w:bookmarkStart w:id="26" w:name="_Toc149300639"/>
      <w:r>
        <w:rPr>
          <w:rFonts w:hint="eastAsia" w:ascii="宋体" w:hAnsi="宋体" w:cs="宋体"/>
          <w:bCs/>
          <w:color w:val="auto"/>
          <w:sz w:val="24"/>
          <w:highlight w:val="none"/>
        </w:rPr>
        <w:t>1.本项目实行全流程电子招投标。</w:t>
      </w:r>
      <w:bookmarkEnd w:id="25"/>
      <w:bookmarkEnd w:id="26"/>
    </w:p>
    <w:p w14:paraId="4D38C9F4">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bookmarkStart w:id="27" w:name="_Toc149300640"/>
      <w:bookmarkStart w:id="28" w:name="_Toc149300416"/>
      <w:r>
        <w:rPr>
          <w:rFonts w:hint="eastAsia" w:ascii="宋体" w:hAnsi="宋体" w:cs="宋体"/>
          <w:bCs/>
          <w:color w:val="auto"/>
          <w:sz w:val="24"/>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或下载“新疆政务通”APP自行进行申领。如需咨询，请联系新疆CA服务热线0991-2819290。</w:t>
      </w:r>
      <w:bookmarkEnd w:id="27"/>
      <w:bookmarkEnd w:id="28"/>
    </w:p>
    <w:p w14:paraId="34CD1ED0">
      <w:pPr>
        <w:pageBreakBefore w:val="0"/>
        <w:widowControl w:val="0"/>
        <w:kinsoku/>
        <w:wordWrap/>
        <w:overflowPunct w:val="0"/>
        <w:topLinePunct w:val="0"/>
        <w:autoSpaceDE w:val="0"/>
        <w:autoSpaceDN w:val="0"/>
        <w:bidi w:val="0"/>
        <w:adjustRightInd/>
        <w:snapToGrid/>
        <w:spacing w:line="500" w:lineRule="exact"/>
        <w:ind w:firstLine="480" w:firstLineChars="200"/>
        <w:jc w:val="left"/>
        <w:textAlignment w:val="auto"/>
        <w:outlineLvl w:val="1"/>
        <w:rPr>
          <w:rFonts w:ascii="宋体" w:hAnsi="宋体" w:cs="宋体"/>
          <w:bCs/>
          <w:color w:val="auto"/>
          <w:sz w:val="24"/>
          <w:highlight w:val="none"/>
        </w:rPr>
      </w:pPr>
      <w:bookmarkStart w:id="29" w:name="_Toc149300417"/>
      <w:bookmarkStart w:id="30" w:name="_Toc149300641"/>
      <w:r>
        <w:rPr>
          <w:rFonts w:hint="eastAsia" w:ascii="宋体" w:hAnsi="宋体" w:cs="宋体"/>
          <w:bCs/>
          <w:color w:val="auto"/>
          <w:sz w:val="24"/>
          <w:highlight w:val="none"/>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bookmarkEnd w:id="29"/>
      <w:bookmarkEnd w:id="30"/>
    </w:p>
    <w:p w14:paraId="50B022FD">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bookmarkStart w:id="31" w:name="_Toc149300642"/>
      <w:bookmarkStart w:id="32" w:name="_Toc149300418"/>
      <w:r>
        <w:rPr>
          <w:rFonts w:hint="eastAsia" w:ascii="宋体" w:hAnsi="宋体" w:cs="宋体"/>
          <w:bCs/>
          <w:color w:val="auto"/>
          <w:sz w:val="24"/>
          <w:highlight w:val="none"/>
        </w:rPr>
        <w:t>4.供应商在开标前应准备好电脑以及制作加密电子响应文件所使用的CA锁。电脑须提前配置好浏览器（建议使用360 浏览器或谷歌浏览器）。</w:t>
      </w:r>
      <w:bookmarkEnd w:id="31"/>
      <w:bookmarkEnd w:id="32"/>
    </w:p>
    <w:p w14:paraId="45AA31BF">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bookmarkStart w:id="33" w:name="_Toc149300643"/>
      <w:bookmarkStart w:id="34" w:name="_Toc149300419"/>
      <w:r>
        <w:rPr>
          <w:rFonts w:hint="eastAsia" w:ascii="宋体" w:hAnsi="宋体" w:cs="宋体"/>
          <w:bCs/>
          <w:color w:val="auto"/>
          <w:sz w:val="24"/>
          <w:highlight w:val="none"/>
        </w:rPr>
        <w:t>5.在投标截止时间前,供应商应将生成的“电子加密投标文件”上传递交至“政府采购云平台”,投标截止时间以后上传递交的响应文件将被“政府采购云平台”拒收。</w:t>
      </w:r>
      <w:bookmarkEnd w:id="33"/>
      <w:bookmarkEnd w:id="34"/>
    </w:p>
    <w:p w14:paraId="48530090">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ascii="宋体" w:hAnsi="宋体" w:cs="宋体"/>
          <w:bCs/>
          <w:color w:val="auto"/>
          <w:sz w:val="24"/>
          <w:highlight w:val="none"/>
        </w:rPr>
      </w:pPr>
      <w:bookmarkStart w:id="35" w:name="_Toc149300420"/>
      <w:bookmarkStart w:id="36" w:name="_Toc149300644"/>
      <w:r>
        <w:rPr>
          <w:rFonts w:hint="eastAsia" w:ascii="宋体" w:hAnsi="宋体" w:cs="宋体"/>
          <w:bCs/>
          <w:color w:val="auto"/>
          <w:sz w:val="24"/>
          <w:highlight w:val="none"/>
        </w:rPr>
        <w:t>6.供应商应①投标截止时间前一小时在系统进行在线签到；②30分钟内完成在线解密；③开标结束后30分钟内完成“开标一览表”在线签章；④开标结束后，请及时进入“网上报价”页面，等待最终报价通知。注意：如未在规定时间进行以上操作，将导致投标（响应）无效。</w:t>
      </w:r>
      <w:bookmarkEnd w:id="35"/>
      <w:bookmarkEnd w:id="36"/>
    </w:p>
    <w:p w14:paraId="0D20DCDD">
      <w:pPr>
        <w:pageBreakBefore w:val="0"/>
        <w:widowControl w:val="0"/>
        <w:kinsoku/>
        <w:wordWrap/>
        <w:overflowPunct w:val="0"/>
        <w:topLinePunct w:val="0"/>
        <w:autoSpaceDE w:val="0"/>
        <w:autoSpaceDN w:val="0"/>
        <w:bidi w:val="0"/>
        <w:adjustRightInd/>
        <w:snapToGrid/>
        <w:spacing w:line="500" w:lineRule="exact"/>
        <w:textAlignment w:val="auto"/>
        <w:outlineLvl w:val="1"/>
        <w:rPr>
          <w:rFonts w:hint="eastAsia" w:ascii="宋体" w:hAnsi="宋体" w:eastAsia="宋体" w:cs="宋体"/>
          <w:b/>
          <w:color w:val="auto"/>
          <w:sz w:val="24"/>
          <w:highlight w:val="none"/>
        </w:rPr>
      </w:pPr>
      <w:bookmarkStart w:id="37" w:name="_Toc14304"/>
      <w:r>
        <w:rPr>
          <w:rFonts w:hint="eastAsia" w:ascii="宋体" w:hAnsi="宋体" w:eastAsia="宋体" w:cs="宋体"/>
          <w:b/>
          <w:color w:val="auto"/>
          <w:sz w:val="24"/>
          <w:highlight w:val="none"/>
        </w:rPr>
        <w:t>七、对本次招标提出询问，请按以下方式联系。</w:t>
      </w:r>
      <w:bookmarkEnd w:id="37"/>
    </w:p>
    <w:p w14:paraId="191E3798">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38" w:name="_Toc28453"/>
      <w:r>
        <w:rPr>
          <w:rFonts w:hint="eastAsia" w:ascii="宋体" w:hAnsi="宋体" w:eastAsia="宋体" w:cs="宋体"/>
          <w:bCs/>
          <w:color w:val="auto"/>
          <w:sz w:val="24"/>
          <w:highlight w:val="none"/>
        </w:rPr>
        <w:t>1.招标人信息</w:t>
      </w:r>
      <w:bookmarkEnd w:id="38"/>
    </w:p>
    <w:p w14:paraId="6F90A3FA">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lang w:eastAsia="zh-CN"/>
        </w:rPr>
      </w:pPr>
      <w:bookmarkStart w:id="39" w:name="_Toc30169"/>
      <w:r>
        <w:rPr>
          <w:rFonts w:hint="eastAsia" w:ascii="宋体" w:hAnsi="宋体" w:eastAsia="宋体" w:cs="宋体"/>
          <w:bCs/>
          <w:color w:val="auto"/>
          <w:sz w:val="24"/>
          <w:highlight w:val="none"/>
        </w:rPr>
        <w:t>名称：</w:t>
      </w:r>
      <w:bookmarkEnd w:id="39"/>
      <w:r>
        <w:rPr>
          <w:rFonts w:hint="eastAsia" w:ascii="宋体" w:hAnsi="宋体" w:cs="宋体"/>
          <w:bCs/>
          <w:color w:val="auto"/>
          <w:sz w:val="24"/>
          <w:highlight w:val="none"/>
          <w:lang w:eastAsia="zh-CN"/>
        </w:rPr>
        <w:t>乌鲁木齐市米东区农业农村局(乡村振兴局、农业综合行政执法队）</w:t>
      </w:r>
    </w:p>
    <w:p w14:paraId="6AC3E11A">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color w:val="auto"/>
          <w:sz w:val="24"/>
          <w:highlight w:val="none"/>
          <w:lang w:eastAsia="zh-CN"/>
        </w:rPr>
      </w:pPr>
      <w:bookmarkStart w:id="40" w:name="_Toc25641"/>
      <w:r>
        <w:rPr>
          <w:rFonts w:hint="eastAsia" w:ascii="宋体" w:hAnsi="宋体" w:eastAsia="宋体" w:cs="宋体"/>
          <w:bCs/>
          <w:color w:val="auto"/>
          <w:sz w:val="24"/>
          <w:highlight w:val="none"/>
        </w:rPr>
        <w:t>地 址：</w:t>
      </w:r>
      <w:bookmarkEnd w:id="40"/>
      <w:r>
        <w:rPr>
          <w:rFonts w:hint="eastAsia" w:ascii="宋体" w:hAnsi="宋体" w:cs="宋体"/>
          <w:bCs/>
          <w:color w:val="auto"/>
          <w:sz w:val="24"/>
          <w:highlight w:val="none"/>
          <w:lang w:eastAsia="zh-CN"/>
        </w:rPr>
        <w:t>米东区府前中路1400号</w:t>
      </w:r>
    </w:p>
    <w:p w14:paraId="793F645F">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联系人：单鹏</w:t>
      </w:r>
    </w:p>
    <w:p w14:paraId="10965966">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lang w:val="en-US" w:eastAsia="zh-CN"/>
        </w:rPr>
      </w:pPr>
      <w:bookmarkStart w:id="41" w:name="_Toc14885"/>
      <w:r>
        <w:rPr>
          <w:rFonts w:hint="eastAsia" w:ascii="宋体" w:hAnsi="宋体" w:eastAsia="宋体" w:cs="宋体"/>
          <w:bCs/>
          <w:color w:val="auto"/>
          <w:sz w:val="24"/>
          <w:highlight w:val="none"/>
        </w:rPr>
        <w:t>联系电话：</w:t>
      </w:r>
      <w:bookmarkEnd w:id="41"/>
      <w:r>
        <w:rPr>
          <w:rFonts w:hint="eastAsia" w:ascii="宋体" w:hAnsi="宋体" w:cs="宋体"/>
          <w:bCs/>
          <w:color w:val="auto"/>
          <w:sz w:val="24"/>
          <w:highlight w:val="none"/>
          <w:lang w:eastAsia="zh-CN"/>
        </w:rPr>
        <w:t>189 9992 6988</w:t>
      </w:r>
    </w:p>
    <w:p w14:paraId="20C2D942">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42" w:name="_Toc7391"/>
      <w:r>
        <w:rPr>
          <w:rFonts w:hint="eastAsia" w:ascii="宋体" w:hAnsi="宋体" w:eastAsia="宋体" w:cs="宋体"/>
          <w:bCs/>
          <w:color w:val="auto"/>
          <w:sz w:val="24"/>
          <w:highlight w:val="none"/>
        </w:rPr>
        <w:t>2.招标代理机构信息</w:t>
      </w:r>
      <w:bookmarkEnd w:id="42"/>
    </w:p>
    <w:p w14:paraId="0310D5B4">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43" w:name="_Toc12372"/>
      <w:r>
        <w:rPr>
          <w:rFonts w:hint="eastAsia" w:ascii="宋体" w:hAnsi="宋体" w:eastAsia="宋体" w:cs="宋体"/>
          <w:bCs/>
          <w:color w:val="auto"/>
          <w:sz w:val="24"/>
          <w:highlight w:val="none"/>
        </w:rPr>
        <w:t>名  称：新疆天合新动力工程管理有限公司</w:t>
      </w:r>
      <w:bookmarkEnd w:id="43"/>
      <w:r>
        <w:rPr>
          <w:rFonts w:hint="eastAsia" w:ascii="宋体" w:hAnsi="宋体" w:eastAsia="宋体" w:cs="宋体"/>
          <w:bCs/>
          <w:color w:val="auto"/>
          <w:sz w:val="24"/>
          <w:highlight w:val="none"/>
        </w:rPr>
        <w:t>　　　　　　　　</w:t>
      </w:r>
    </w:p>
    <w:p w14:paraId="74121161">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44" w:name="_Toc17912"/>
      <w:r>
        <w:rPr>
          <w:rFonts w:hint="eastAsia" w:ascii="宋体" w:hAnsi="宋体" w:eastAsia="宋体" w:cs="宋体"/>
          <w:bCs/>
          <w:color w:val="auto"/>
          <w:sz w:val="24"/>
          <w:highlight w:val="none"/>
        </w:rPr>
        <w:t>地　址：乌鲁木齐市水磨沟区立井街198号9号楼11层</w:t>
      </w:r>
      <w:bookmarkEnd w:id="44"/>
    </w:p>
    <w:p w14:paraId="78D2A358">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宋体" w:hAnsi="宋体" w:eastAsia="宋体" w:cs="宋体"/>
          <w:bCs/>
          <w:color w:val="auto"/>
          <w:sz w:val="24"/>
          <w:highlight w:val="none"/>
        </w:rPr>
      </w:pPr>
      <w:bookmarkStart w:id="45" w:name="_Toc19503"/>
      <w:r>
        <w:rPr>
          <w:rFonts w:hint="eastAsia" w:ascii="宋体" w:hAnsi="宋体" w:eastAsia="宋体" w:cs="宋体"/>
          <w:bCs/>
          <w:color w:val="auto"/>
          <w:sz w:val="24"/>
          <w:highlight w:val="none"/>
        </w:rPr>
        <w:t>联系方式</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highlight w:val="none"/>
        </w:rPr>
        <w:t>0991-3508696、</w:t>
      </w:r>
      <w:bookmarkEnd w:id="45"/>
      <w:r>
        <w:rPr>
          <w:rFonts w:hint="eastAsia" w:ascii="宋体" w:hAnsi="宋体" w:cs="宋体"/>
          <w:color w:val="auto"/>
          <w:sz w:val="24"/>
          <w:highlight w:val="none"/>
          <w:lang w:eastAsia="zh-CN"/>
        </w:rPr>
        <w:t>0991-3508222</w:t>
      </w:r>
      <w:r>
        <w:rPr>
          <w:rFonts w:hint="eastAsia" w:ascii="宋体" w:hAnsi="宋体" w:eastAsia="宋体" w:cs="宋体"/>
          <w:bCs/>
          <w:color w:val="auto"/>
          <w:sz w:val="24"/>
          <w:highlight w:val="none"/>
        </w:rPr>
        <w:t>　　　　</w:t>
      </w:r>
    </w:p>
    <w:p w14:paraId="53E10857">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2"/>
        <w:rPr>
          <w:rFonts w:hint="eastAsia" w:ascii="宋体" w:hAnsi="宋体" w:eastAsia="宋体" w:cs="宋体"/>
          <w:bCs/>
          <w:color w:val="auto"/>
          <w:sz w:val="24"/>
          <w:highlight w:val="none"/>
        </w:rPr>
      </w:pPr>
      <w:bookmarkStart w:id="46" w:name="_Toc32399"/>
      <w:r>
        <w:rPr>
          <w:rFonts w:hint="eastAsia" w:ascii="宋体" w:hAnsi="宋体" w:eastAsia="宋体" w:cs="宋体"/>
          <w:bCs/>
          <w:color w:val="auto"/>
          <w:sz w:val="24"/>
          <w:highlight w:val="none"/>
        </w:rPr>
        <w:t>3.项目联系方式</w:t>
      </w:r>
      <w:bookmarkEnd w:id="46"/>
    </w:p>
    <w:p w14:paraId="789C2268">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0"/>
        <w:rPr>
          <w:rFonts w:hint="eastAsia" w:ascii="宋体" w:hAnsi="宋体" w:eastAsia="宋体" w:cs="宋体"/>
          <w:bCs/>
          <w:color w:val="auto"/>
          <w:sz w:val="24"/>
          <w:highlight w:val="none"/>
          <w:lang w:eastAsia="zh-CN"/>
        </w:rPr>
      </w:pPr>
      <w:bookmarkStart w:id="47" w:name="_Toc2322"/>
      <w:r>
        <w:rPr>
          <w:rFonts w:hint="eastAsia" w:ascii="宋体" w:hAnsi="宋体" w:eastAsia="宋体" w:cs="宋体"/>
          <w:bCs/>
          <w:color w:val="auto"/>
          <w:sz w:val="24"/>
          <w:highlight w:val="none"/>
        </w:rPr>
        <w:t>项目联系人：</w:t>
      </w:r>
      <w:bookmarkEnd w:id="47"/>
      <w:r>
        <w:rPr>
          <w:rFonts w:hint="eastAsia" w:ascii="宋体" w:hAnsi="宋体" w:cs="宋体"/>
          <w:color w:val="auto"/>
          <w:sz w:val="24"/>
          <w:highlight w:val="none"/>
          <w:lang w:eastAsia="zh-CN"/>
        </w:rPr>
        <w:t>马龙、金云花、朱春华、付梅</w:t>
      </w:r>
    </w:p>
    <w:p w14:paraId="0CB5DE84">
      <w:pPr>
        <w:pStyle w:val="12"/>
        <w:spacing w:line="480" w:lineRule="exact"/>
        <w:ind w:firstLine="480" w:firstLineChars="200"/>
        <w:rPr>
          <w:rFonts w:ascii="宋体" w:hAnsi="宋体" w:eastAsia="宋体" w:cs="宋体"/>
          <w:color w:val="auto"/>
          <w:spacing w:val="0"/>
          <w:sz w:val="24"/>
          <w:szCs w:val="24"/>
          <w:highlight w:val="none"/>
        </w:rPr>
        <w:sectPr>
          <w:headerReference r:id="rId10" w:type="first"/>
          <w:pgSz w:w="11906" w:h="16838"/>
          <w:pgMar w:top="1440" w:right="1800" w:bottom="1440" w:left="1800" w:header="850" w:footer="850" w:gutter="0"/>
          <w:pgNumType w:fmt="numberInDash" w:start="1" w:chapStyle="1"/>
          <w:cols w:space="720" w:num="1"/>
          <w:titlePg/>
          <w:docGrid w:type="lines" w:linePitch="312" w:charSpace="0"/>
        </w:sectPr>
      </w:pPr>
      <w:r>
        <w:rPr>
          <w:rFonts w:hint="eastAsia" w:ascii="宋体" w:hAnsi="宋体" w:eastAsia="宋体" w:cs="宋体"/>
          <w:color w:val="auto"/>
          <w:spacing w:val="0"/>
          <w:sz w:val="24"/>
          <w:szCs w:val="24"/>
          <w:highlight w:val="none"/>
        </w:rPr>
        <w:t>电　话：</w:t>
      </w:r>
      <w:r>
        <w:rPr>
          <w:rFonts w:hint="eastAsia" w:ascii="宋体" w:hAnsi="宋体" w:eastAsia="宋体" w:cs="宋体"/>
          <w:color w:val="auto"/>
          <w:sz w:val="24"/>
          <w:szCs w:val="24"/>
          <w:highlight w:val="none"/>
        </w:rPr>
        <w:t>0991-3508696、</w:t>
      </w:r>
      <w:r>
        <w:rPr>
          <w:rFonts w:hint="eastAsia" w:ascii="宋体" w:hAnsi="宋体" w:eastAsia="宋体" w:cs="宋体"/>
          <w:color w:val="auto"/>
          <w:sz w:val="24"/>
          <w:szCs w:val="24"/>
          <w:highlight w:val="none"/>
          <w:lang w:eastAsia="zh-CN"/>
        </w:rPr>
        <w:t>0991-3508222</w:t>
      </w:r>
      <w:r>
        <w:rPr>
          <w:rFonts w:hint="eastAsia" w:ascii="宋体" w:hAnsi="宋体" w:eastAsia="宋体" w:cs="宋体"/>
          <w:color w:val="auto"/>
          <w:sz w:val="24"/>
          <w:szCs w:val="24"/>
          <w:highlight w:val="none"/>
        </w:rPr>
        <w:t>　</w:t>
      </w:r>
    </w:p>
    <w:p w14:paraId="6B27F430">
      <w:pPr>
        <w:spacing w:line="480" w:lineRule="exact"/>
        <w:ind w:right="119"/>
        <w:jc w:val="center"/>
        <w:outlineLvl w:val="0"/>
        <w:rPr>
          <w:rFonts w:ascii="宋体" w:hAnsi="宋体" w:cs="宋体"/>
          <w:b/>
          <w:bCs/>
          <w:color w:val="auto"/>
          <w:kern w:val="44"/>
          <w:sz w:val="36"/>
          <w:szCs w:val="36"/>
          <w:highlight w:val="none"/>
        </w:rPr>
      </w:pPr>
      <w:bookmarkStart w:id="48" w:name="_Toc141969780"/>
      <w:bookmarkStart w:id="49" w:name="_Toc148084455"/>
      <w:r>
        <w:rPr>
          <w:rFonts w:hint="eastAsia" w:ascii="宋体" w:hAnsi="宋体" w:cs="宋体"/>
          <w:b/>
          <w:bCs/>
          <w:color w:val="auto"/>
          <w:kern w:val="44"/>
          <w:sz w:val="36"/>
          <w:szCs w:val="36"/>
          <w:highlight w:val="none"/>
        </w:rPr>
        <w:t>第二章 投标人须知前附表</w:t>
      </w:r>
      <w:bookmarkEnd w:id="0"/>
      <w:bookmarkEnd w:id="48"/>
      <w:bookmarkEnd w:id="49"/>
    </w:p>
    <w:tbl>
      <w:tblPr>
        <w:tblStyle w:val="47"/>
        <w:tblW w:w="877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377"/>
        <w:gridCol w:w="6414"/>
      </w:tblGrid>
      <w:tr w14:paraId="56746F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88" w:type="dxa"/>
            <w:tcBorders>
              <w:tl2br w:val="nil"/>
              <w:tr2bl w:val="nil"/>
            </w:tcBorders>
            <w:vAlign w:val="center"/>
          </w:tcPr>
          <w:p w14:paraId="6EC6807D">
            <w:pPr>
              <w:spacing w:line="500" w:lineRule="exact"/>
              <w:jc w:val="center"/>
              <w:rPr>
                <w:rFonts w:ascii="宋体" w:hAnsi="宋体" w:cs="宋体"/>
                <w:bCs/>
                <w:color w:val="auto"/>
                <w:sz w:val="24"/>
                <w:highlight w:val="none"/>
              </w:rPr>
            </w:pPr>
            <w:r>
              <w:rPr>
                <w:rFonts w:hint="eastAsia" w:ascii="宋体" w:hAnsi="宋体" w:cs="宋体"/>
                <w:b/>
                <w:color w:val="auto"/>
                <w:sz w:val="24"/>
                <w:highlight w:val="none"/>
              </w:rPr>
              <w:t>条款号</w:t>
            </w:r>
          </w:p>
        </w:tc>
        <w:tc>
          <w:tcPr>
            <w:tcW w:w="1377" w:type="dxa"/>
            <w:tcBorders>
              <w:tl2br w:val="nil"/>
              <w:tr2bl w:val="nil"/>
            </w:tcBorders>
            <w:vAlign w:val="center"/>
          </w:tcPr>
          <w:p w14:paraId="416FD741">
            <w:pPr>
              <w:spacing w:line="500" w:lineRule="exact"/>
              <w:jc w:val="center"/>
              <w:rPr>
                <w:rFonts w:ascii="宋体" w:hAnsi="宋体" w:cs="宋体"/>
                <w:bCs/>
                <w:color w:val="auto"/>
                <w:sz w:val="24"/>
                <w:highlight w:val="none"/>
              </w:rPr>
            </w:pPr>
            <w:r>
              <w:rPr>
                <w:rFonts w:hint="eastAsia" w:ascii="宋体" w:hAnsi="宋体" w:cs="宋体"/>
                <w:b/>
                <w:color w:val="auto"/>
                <w:sz w:val="24"/>
                <w:highlight w:val="none"/>
              </w:rPr>
              <w:t>内  容</w:t>
            </w:r>
          </w:p>
        </w:tc>
        <w:tc>
          <w:tcPr>
            <w:tcW w:w="6414" w:type="dxa"/>
            <w:tcBorders>
              <w:tl2br w:val="nil"/>
              <w:tr2bl w:val="nil"/>
            </w:tcBorders>
            <w:vAlign w:val="center"/>
          </w:tcPr>
          <w:p w14:paraId="0DAAF2B9">
            <w:pPr>
              <w:spacing w:line="500" w:lineRule="exact"/>
              <w:jc w:val="center"/>
              <w:rPr>
                <w:rFonts w:ascii="宋体" w:hAnsi="宋体" w:cs="宋体"/>
                <w:bCs/>
                <w:color w:val="auto"/>
                <w:sz w:val="24"/>
                <w:highlight w:val="none"/>
              </w:rPr>
            </w:pPr>
            <w:r>
              <w:rPr>
                <w:rFonts w:hint="eastAsia" w:ascii="宋体" w:hAnsi="宋体" w:cs="宋体"/>
                <w:b/>
                <w:color w:val="auto"/>
                <w:sz w:val="24"/>
                <w:highlight w:val="none"/>
              </w:rPr>
              <w:t>说明及要求</w:t>
            </w:r>
          </w:p>
        </w:tc>
      </w:tr>
      <w:tr w14:paraId="55E093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88" w:type="dxa"/>
            <w:vMerge w:val="restart"/>
            <w:tcBorders>
              <w:tl2br w:val="nil"/>
              <w:tr2bl w:val="nil"/>
            </w:tcBorders>
            <w:vAlign w:val="center"/>
          </w:tcPr>
          <w:p w14:paraId="1369D9D8">
            <w:pPr>
              <w:autoSpaceDE w:val="0"/>
              <w:autoSpaceDN w:val="0"/>
              <w:spacing w:line="500" w:lineRule="exact"/>
              <w:jc w:val="center"/>
              <w:rPr>
                <w:rFonts w:ascii="宋体" w:hAnsi="宋体"/>
                <w:color w:val="auto"/>
                <w:sz w:val="24"/>
                <w:highlight w:val="none"/>
              </w:rPr>
            </w:pPr>
            <w:r>
              <w:rPr>
                <w:rFonts w:ascii="宋体" w:hAnsi="宋体"/>
                <w:color w:val="auto"/>
                <w:sz w:val="24"/>
                <w:highlight w:val="none"/>
              </w:rPr>
              <w:t>1.2.1</w:t>
            </w:r>
          </w:p>
        </w:tc>
        <w:tc>
          <w:tcPr>
            <w:tcW w:w="1377" w:type="dxa"/>
            <w:vMerge w:val="restart"/>
            <w:tcBorders>
              <w:tl2br w:val="nil"/>
              <w:tr2bl w:val="nil"/>
            </w:tcBorders>
            <w:vAlign w:val="center"/>
          </w:tcPr>
          <w:p w14:paraId="234B5B63">
            <w:pPr>
              <w:autoSpaceDE w:val="0"/>
              <w:autoSpaceDN w:val="0"/>
              <w:spacing w:line="500" w:lineRule="exact"/>
              <w:jc w:val="center"/>
              <w:rPr>
                <w:rFonts w:ascii="宋体" w:hAnsi="宋体"/>
                <w:color w:val="auto"/>
                <w:sz w:val="24"/>
                <w:highlight w:val="none"/>
                <w:lang w:val="zh-CN"/>
              </w:rPr>
            </w:pPr>
            <w:r>
              <w:rPr>
                <w:rFonts w:hint="eastAsia" w:ascii="宋体" w:hAnsi="宋体"/>
                <w:color w:val="auto"/>
                <w:sz w:val="24"/>
                <w:highlight w:val="none"/>
              </w:rPr>
              <w:t>招标</w:t>
            </w:r>
            <w:r>
              <w:rPr>
                <w:rFonts w:ascii="宋体" w:hAnsi="宋体"/>
                <w:color w:val="auto"/>
                <w:sz w:val="24"/>
                <w:highlight w:val="none"/>
              </w:rPr>
              <w:t>人</w:t>
            </w:r>
            <w:r>
              <w:rPr>
                <w:rFonts w:hint="eastAsia" w:ascii="宋体" w:hAnsi="宋体"/>
                <w:color w:val="auto"/>
                <w:sz w:val="24"/>
                <w:highlight w:val="none"/>
              </w:rPr>
              <w:t>、招标</w:t>
            </w:r>
            <w:r>
              <w:rPr>
                <w:rFonts w:ascii="宋体" w:hAnsi="宋体"/>
                <w:color w:val="auto"/>
                <w:sz w:val="24"/>
                <w:highlight w:val="none"/>
              </w:rPr>
              <w:t>代理机构</w:t>
            </w:r>
          </w:p>
        </w:tc>
        <w:tc>
          <w:tcPr>
            <w:tcW w:w="6414" w:type="dxa"/>
            <w:tcBorders>
              <w:tl2br w:val="nil"/>
              <w:tr2bl w:val="nil"/>
            </w:tcBorders>
            <w:vAlign w:val="center"/>
          </w:tcPr>
          <w:p w14:paraId="642CCAEC">
            <w:pPr>
              <w:autoSpaceDE w:val="0"/>
              <w:autoSpaceDN w:val="0"/>
              <w:spacing w:line="500" w:lineRule="exact"/>
              <w:rPr>
                <w:rFonts w:hint="eastAsia" w:ascii="宋体" w:hAnsi="宋体"/>
                <w:color w:val="auto"/>
                <w:sz w:val="24"/>
                <w:highlight w:val="none"/>
              </w:rPr>
            </w:pPr>
            <w:r>
              <w:rPr>
                <w:rFonts w:hint="eastAsia" w:ascii="宋体" w:hAnsi="宋体"/>
                <w:color w:val="auto"/>
                <w:sz w:val="24"/>
                <w:highlight w:val="none"/>
              </w:rPr>
              <w:t>招标人名称</w:t>
            </w:r>
            <w:r>
              <w:rPr>
                <w:rFonts w:hint="eastAsia" w:ascii="宋体" w:hAnsi="宋体"/>
                <w:color w:val="auto"/>
                <w:sz w:val="24"/>
                <w:highlight w:val="none"/>
                <w:lang w:eastAsia="zh-CN"/>
              </w:rPr>
              <w:t>：乌鲁木齐市米东区农业农村局(乡村振兴局、农业综合行政执法队）</w:t>
            </w:r>
          </w:p>
          <w:p w14:paraId="708F29F4">
            <w:pPr>
              <w:autoSpaceDE w:val="0"/>
              <w:autoSpaceDN w:val="0"/>
              <w:spacing w:line="500" w:lineRule="exact"/>
              <w:rPr>
                <w:rFonts w:hint="eastAsia" w:ascii="宋体" w:hAnsi="宋体" w:eastAsia="宋体"/>
                <w:color w:val="auto"/>
                <w:sz w:val="24"/>
                <w:highlight w:val="none"/>
                <w:lang w:eastAsia="zh-CN"/>
              </w:rPr>
            </w:pPr>
            <w:r>
              <w:rPr>
                <w:rFonts w:hint="eastAsia" w:ascii="宋体" w:hAnsi="宋体"/>
                <w:color w:val="auto"/>
                <w:sz w:val="24"/>
                <w:highlight w:val="none"/>
              </w:rPr>
              <w:t>地 址：</w:t>
            </w:r>
            <w:r>
              <w:rPr>
                <w:rFonts w:hint="eastAsia" w:ascii="宋体" w:hAnsi="宋体"/>
                <w:color w:val="auto"/>
                <w:sz w:val="24"/>
                <w:highlight w:val="none"/>
                <w:lang w:eastAsia="zh-CN"/>
              </w:rPr>
              <w:t>米东区府前中路1400号</w:t>
            </w:r>
          </w:p>
          <w:p w14:paraId="5A7B91AF">
            <w:pPr>
              <w:autoSpaceDE w:val="0"/>
              <w:autoSpaceDN w:val="0"/>
              <w:spacing w:line="500" w:lineRule="exact"/>
              <w:rPr>
                <w:rFonts w:hint="eastAsia" w:ascii="宋体" w:hAnsi="宋体" w:eastAsia="宋体"/>
                <w:color w:val="auto"/>
                <w:sz w:val="24"/>
                <w:highlight w:val="none"/>
                <w:lang w:eastAsia="zh-CN"/>
              </w:rPr>
            </w:pPr>
            <w:r>
              <w:rPr>
                <w:rFonts w:hint="eastAsia" w:ascii="宋体" w:hAnsi="宋体"/>
                <w:color w:val="auto"/>
                <w:sz w:val="24"/>
                <w:highlight w:val="none"/>
              </w:rPr>
              <w:t>联系人：</w:t>
            </w:r>
            <w:r>
              <w:rPr>
                <w:rFonts w:hint="eastAsia" w:ascii="宋体" w:hAnsi="宋体"/>
                <w:color w:val="auto"/>
                <w:sz w:val="24"/>
                <w:highlight w:val="none"/>
                <w:lang w:eastAsia="zh-CN"/>
              </w:rPr>
              <w:t>单鹏</w:t>
            </w:r>
          </w:p>
          <w:p w14:paraId="04011C9C">
            <w:pPr>
              <w:autoSpaceDE w:val="0"/>
              <w:autoSpaceDN w:val="0"/>
              <w:spacing w:line="500" w:lineRule="exact"/>
              <w:rPr>
                <w:rFonts w:hint="eastAsia" w:ascii="宋体" w:hAnsi="宋体" w:eastAsia="宋体"/>
                <w:color w:val="auto"/>
                <w:sz w:val="24"/>
                <w:highlight w:val="none"/>
                <w:lang w:eastAsia="zh-CN"/>
              </w:rPr>
            </w:pPr>
            <w:r>
              <w:rPr>
                <w:rFonts w:hint="eastAsia" w:ascii="宋体" w:hAnsi="宋体"/>
                <w:color w:val="auto"/>
                <w:sz w:val="24"/>
                <w:highlight w:val="none"/>
              </w:rPr>
              <w:t>联系电话：</w:t>
            </w:r>
            <w:r>
              <w:rPr>
                <w:rFonts w:hint="eastAsia" w:ascii="宋体" w:hAnsi="宋体"/>
                <w:color w:val="auto"/>
                <w:sz w:val="24"/>
                <w:highlight w:val="none"/>
                <w:lang w:eastAsia="zh-CN"/>
              </w:rPr>
              <w:t>189 9992 6988</w:t>
            </w:r>
          </w:p>
        </w:tc>
      </w:tr>
      <w:tr w14:paraId="04CED4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88" w:type="dxa"/>
            <w:vMerge w:val="continue"/>
            <w:tcBorders>
              <w:tl2br w:val="nil"/>
              <w:tr2bl w:val="nil"/>
            </w:tcBorders>
            <w:vAlign w:val="center"/>
          </w:tcPr>
          <w:p w14:paraId="44827543">
            <w:pPr>
              <w:spacing w:line="500" w:lineRule="exact"/>
              <w:jc w:val="center"/>
              <w:rPr>
                <w:rFonts w:ascii="宋体" w:hAnsi="宋体" w:cs="宋体"/>
                <w:b/>
                <w:color w:val="auto"/>
                <w:sz w:val="24"/>
                <w:highlight w:val="none"/>
              </w:rPr>
            </w:pPr>
          </w:p>
        </w:tc>
        <w:tc>
          <w:tcPr>
            <w:tcW w:w="1377" w:type="dxa"/>
            <w:vMerge w:val="continue"/>
            <w:tcBorders>
              <w:tl2br w:val="nil"/>
              <w:tr2bl w:val="nil"/>
            </w:tcBorders>
            <w:vAlign w:val="center"/>
          </w:tcPr>
          <w:p w14:paraId="5D18A4F6">
            <w:pPr>
              <w:spacing w:line="500" w:lineRule="exact"/>
              <w:jc w:val="center"/>
              <w:rPr>
                <w:rFonts w:ascii="宋体" w:hAnsi="宋体" w:cs="宋体"/>
                <w:b/>
                <w:color w:val="auto"/>
                <w:sz w:val="24"/>
                <w:highlight w:val="none"/>
              </w:rPr>
            </w:pPr>
          </w:p>
        </w:tc>
        <w:tc>
          <w:tcPr>
            <w:tcW w:w="6414" w:type="dxa"/>
            <w:tcBorders>
              <w:tl2br w:val="nil"/>
              <w:tr2bl w:val="nil"/>
            </w:tcBorders>
            <w:vAlign w:val="center"/>
          </w:tcPr>
          <w:p w14:paraId="12C7FA05">
            <w:pPr>
              <w:autoSpaceDE w:val="0"/>
              <w:autoSpaceDN w:val="0"/>
              <w:spacing w:line="500" w:lineRule="exact"/>
              <w:rPr>
                <w:rFonts w:ascii="宋体" w:hAnsi="宋体"/>
                <w:color w:val="auto"/>
                <w:sz w:val="24"/>
                <w:highlight w:val="none"/>
              </w:rPr>
            </w:pPr>
            <w:r>
              <w:rPr>
                <w:rFonts w:hint="eastAsia" w:ascii="宋体" w:hAnsi="宋体"/>
                <w:color w:val="auto"/>
                <w:sz w:val="24"/>
                <w:highlight w:val="none"/>
              </w:rPr>
              <w:t>招标</w:t>
            </w:r>
            <w:r>
              <w:rPr>
                <w:rFonts w:ascii="宋体" w:hAnsi="宋体"/>
                <w:color w:val="auto"/>
                <w:sz w:val="24"/>
                <w:highlight w:val="none"/>
              </w:rPr>
              <w:t>代理机构</w:t>
            </w:r>
            <w:r>
              <w:rPr>
                <w:rFonts w:hint="eastAsia" w:ascii="宋体" w:hAnsi="宋体"/>
                <w:color w:val="auto"/>
                <w:sz w:val="24"/>
                <w:highlight w:val="none"/>
              </w:rPr>
              <w:t>名称：新疆天合新动力工程管理有限公司</w:t>
            </w:r>
          </w:p>
          <w:p w14:paraId="142BBB78">
            <w:pPr>
              <w:autoSpaceDE w:val="0"/>
              <w:autoSpaceDN w:val="0"/>
              <w:spacing w:line="500" w:lineRule="exact"/>
              <w:rPr>
                <w:rFonts w:ascii="宋体" w:hAnsi="宋体"/>
                <w:color w:val="auto"/>
                <w:sz w:val="24"/>
                <w:highlight w:val="none"/>
              </w:rPr>
            </w:pPr>
            <w:r>
              <w:rPr>
                <w:rFonts w:hint="eastAsia" w:ascii="宋体" w:hAnsi="宋体"/>
                <w:color w:val="auto"/>
                <w:sz w:val="24"/>
                <w:highlight w:val="none"/>
              </w:rPr>
              <w:t>地址：乌鲁木齐市水磨沟区立井街198号9号楼11层</w:t>
            </w:r>
          </w:p>
          <w:p w14:paraId="4B9798E6">
            <w:pPr>
              <w:autoSpaceDE w:val="0"/>
              <w:autoSpaceDN w:val="0"/>
              <w:spacing w:line="500" w:lineRule="exact"/>
              <w:rPr>
                <w:rFonts w:hint="eastAsia" w:ascii="宋体" w:hAnsi="宋体" w:eastAsia="宋体"/>
                <w:color w:val="auto"/>
                <w:sz w:val="24"/>
                <w:highlight w:val="none"/>
                <w:lang w:eastAsia="zh-CN"/>
              </w:rPr>
            </w:pPr>
            <w:r>
              <w:rPr>
                <w:rFonts w:hint="eastAsia" w:ascii="宋体" w:hAnsi="宋体"/>
                <w:color w:val="auto"/>
                <w:sz w:val="24"/>
                <w:highlight w:val="none"/>
              </w:rPr>
              <w:t>项目联系人：</w:t>
            </w:r>
            <w:r>
              <w:rPr>
                <w:rFonts w:hint="eastAsia" w:ascii="宋体" w:hAnsi="宋体"/>
                <w:color w:val="auto"/>
                <w:sz w:val="24"/>
                <w:highlight w:val="none"/>
                <w:lang w:eastAsia="zh-CN"/>
              </w:rPr>
              <w:t>马龙、金云花、朱春华、付梅</w:t>
            </w:r>
          </w:p>
          <w:p w14:paraId="77991DA8">
            <w:pPr>
              <w:autoSpaceDE w:val="0"/>
              <w:autoSpaceDN w:val="0"/>
              <w:spacing w:line="500" w:lineRule="exact"/>
              <w:rPr>
                <w:rFonts w:ascii="宋体" w:hAnsi="宋体"/>
                <w:color w:val="auto"/>
                <w:sz w:val="24"/>
                <w:highlight w:val="none"/>
              </w:rPr>
            </w:pPr>
            <w:r>
              <w:rPr>
                <w:rFonts w:hint="eastAsia" w:ascii="宋体" w:hAnsi="宋体"/>
                <w:color w:val="auto"/>
                <w:sz w:val="24"/>
                <w:highlight w:val="none"/>
              </w:rPr>
              <w:t>电　话：0991-3508696、</w:t>
            </w:r>
            <w:r>
              <w:rPr>
                <w:rFonts w:hint="eastAsia" w:ascii="宋体" w:hAnsi="宋体"/>
                <w:color w:val="auto"/>
                <w:sz w:val="24"/>
                <w:highlight w:val="none"/>
                <w:lang w:eastAsia="zh-CN"/>
              </w:rPr>
              <w:t>0991-3508222</w:t>
            </w:r>
            <w:r>
              <w:rPr>
                <w:rFonts w:hint="eastAsia" w:ascii="宋体" w:hAnsi="宋体"/>
                <w:color w:val="auto"/>
                <w:sz w:val="24"/>
                <w:highlight w:val="none"/>
              </w:rPr>
              <w:t>　</w:t>
            </w:r>
          </w:p>
        </w:tc>
      </w:tr>
      <w:tr w14:paraId="195607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988" w:type="dxa"/>
            <w:tcBorders>
              <w:tl2br w:val="nil"/>
              <w:tr2bl w:val="nil"/>
            </w:tcBorders>
            <w:vAlign w:val="center"/>
          </w:tcPr>
          <w:p w14:paraId="291E33F3">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1.2.3</w:t>
            </w:r>
          </w:p>
        </w:tc>
        <w:tc>
          <w:tcPr>
            <w:tcW w:w="1377" w:type="dxa"/>
            <w:tcBorders>
              <w:tl2br w:val="nil"/>
              <w:tr2bl w:val="nil"/>
            </w:tcBorders>
            <w:vAlign w:val="center"/>
          </w:tcPr>
          <w:p w14:paraId="1CD048AC">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项目名称及编号</w:t>
            </w:r>
          </w:p>
        </w:tc>
        <w:tc>
          <w:tcPr>
            <w:tcW w:w="6414" w:type="dxa"/>
            <w:tcBorders>
              <w:tl2br w:val="nil"/>
              <w:tr2bl w:val="nil"/>
            </w:tcBorders>
            <w:vAlign w:val="center"/>
          </w:tcPr>
          <w:p w14:paraId="2C54FB7C">
            <w:pPr>
              <w:spacing w:line="500" w:lineRule="exact"/>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米东区铁厂沟镇八家户村速冻食品生产车间建设项目-设备采购</w:t>
            </w:r>
          </w:p>
          <w:p w14:paraId="32ACAA72">
            <w:pPr>
              <w:spacing w:line="500" w:lineRule="exact"/>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项目编号：TH2025-ZH0053</w:t>
            </w:r>
            <w:r>
              <w:rPr>
                <w:rFonts w:hint="eastAsia" w:ascii="宋体" w:hAnsi="宋体" w:cs="宋体"/>
                <w:bCs/>
                <w:color w:val="auto"/>
                <w:sz w:val="24"/>
                <w:highlight w:val="none"/>
                <w:lang w:val="en-US" w:eastAsia="zh-CN"/>
              </w:rPr>
              <w:t xml:space="preserve"> </w:t>
            </w:r>
          </w:p>
        </w:tc>
      </w:tr>
      <w:tr w14:paraId="52D6AE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vMerge w:val="restart"/>
            <w:tcBorders>
              <w:tl2br w:val="nil"/>
              <w:tr2bl w:val="nil"/>
            </w:tcBorders>
            <w:vAlign w:val="center"/>
          </w:tcPr>
          <w:p w14:paraId="478F0797">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1.2.4</w:t>
            </w:r>
          </w:p>
        </w:tc>
        <w:tc>
          <w:tcPr>
            <w:tcW w:w="1377" w:type="dxa"/>
            <w:vMerge w:val="restart"/>
            <w:tcBorders>
              <w:tl2br w:val="nil"/>
              <w:tr2bl w:val="nil"/>
            </w:tcBorders>
            <w:vAlign w:val="center"/>
          </w:tcPr>
          <w:p w14:paraId="2196EECF">
            <w:pPr>
              <w:spacing w:line="500" w:lineRule="exact"/>
              <w:jc w:val="center"/>
              <w:rPr>
                <w:rFonts w:ascii="宋体" w:hAnsi="宋体" w:cs="宋体"/>
                <w:bCs/>
                <w:color w:val="auto"/>
                <w:sz w:val="24"/>
                <w:highlight w:val="none"/>
              </w:rPr>
            </w:pPr>
            <w:r>
              <w:rPr>
                <w:rFonts w:hint="eastAsia" w:ascii="宋体" w:hAnsi="宋体"/>
                <w:color w:val="auto"/>
                <w:sz w:val="24"/>
                <w:highlight w:val="none"/>
                <w:lang w:val="zh-CN"/>
              </w:rPr>
              <w:t>资金来源及</w:t>
            </w:r>
            <w:r>
              <w:rPr>
                <w:rFonts w:ascii="宋体" w:hAnsi="宋体"/>
                <w:color w:val="auto"/>
                <w:sz w:val="24"/>
                <w:highlight w:val="none"/>
                <w:lang w:val="zh-CN"/>
              </w:rPr>
              <w:t>采购预算</w:t>
            </w:r>
          </w:p>
        </w:tc>
        <w:tc>
          <w:tcPr>
            <w:tcW w:w="6414" w:type="dxa"/>
            <w:tcBorders>
              <w:tl2br w:val="nil"/>
              <w:tr2bl w:val="nil"/>
            </w:tcBorders>
            <w:vAlign w:val="center"/>
          </w:tcPr>
          <w:p w14:paraId="33C63396">
            <w:pPr>
              <w:spacing w:line="500" w:lineRule="exact"/>
              <w:rPr>
                <w:rFonts w:hint="eastAsia" w:ascii="宋体" w:hAnsi="宋体" w:eastAsia="宋体" w:cs="宋体"/>
                <w:bCs/>
                <w:color w:val="auto"/>
                <w:sz w:val="24"/>
                <w:highlight w:val="none"/>
                <w:lang w:eastAsia="zh-CN"/>
              </w:rPr>
            </w:pPr>
            <w:r>
              <w:rPr>
                <w:rFonts w:hint="eastAsia" w:ascii="宋体" w:hAnsi="宋体"/>
                <w:color w:val="auto"/>
                <w:sz w:val="24"/>
                <w:highlight w:val="none"/>
                <w:u w:val="none"/>
                <w:lang w:eastAsia="zh-CN"/>
              </w:rPr>
              <w:t>财政资金</w:t>
            </w:r>
          </w:p>
        </w:tc>
      </w:tr>
      <w:tr w14:paraId="53B39D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vMerge w:val="continue"/>
            <w:tcBorders>
              <w:tl2br w:val="nil"/>
              <w:tr2bl w:val="nil"/>
            </w:tcBorders>
            <w:vAlign w:val="center"/>
          </w:tcPr>
          <w:p w14:paraId="67C66330">
            <w:pPr>
              <w:spacing w:line="500" w:lineRule="exact"/>
              <w:jc w:val="center"/>
              <w:rPr>
                <w:rFonts w:ascii="宋体" w:hAnsi="宋体" w:cs="宋体"/>
                <w:bCs/>
                <w:color w:val="auto"/>
                <w:sz w:val="24"/>
                <w:highlight w:val="none"/>
              </w:rPr>
            </w:pPr>
          </w:p>
        </w:tc>
        <w:tc>
          <w:tcPr>
            <w:tcW w:w="1377" w:type="dxa"/>
            <w:vMerge w:val="continue"/>
            <w:tcBorders>
              <w:tl2br w:val="nil"/>
              <w:tr2bl w:val="nil"/>
            </w:tcBorders>
            <w:vAlign w:val="center"/>
          </w:tcPr>
          <w:p w14:paraId="0AC23E38">
            <w:pPr>
              <w:spacing w:line="500" w:lineRule="exact"/>
              <w:jc w:val="center"/>
              <w:rPr>
                <w:rFonts w:ascii="宋体" w:hAnsi="宋体" w:cs="宋体"/>
                <w:bCs/>
                <w:color w:val="auto"/>
                <w:sz w:val="24"/>
                <w:highlight w:val="none"/>
              </w:rPr>
            </w:pPr>
          </w:p>
        </w:tc>
        <w:tc>
          <w:tcPr>
            <w:tcW w:w="6414" w:type="dxa"/>
            <w:tcBorders>
              <w:tl2br w:val="nil"/>
              <w:tr2bl w:val="nil"/>
            </w:tcBorders>
            <w:vAlign w:val="center"/>
          </w:tcPr>
          <w:p w14:paraId="2564BE14">
            <w:pPr>
              <w:autoSpaceDE w:val="0"/>
              <w:autoSpaceDN w:val="0"/>
              <w:spacing w:line="500" w:lineRule="exact"/>
              <w:rPr>
                <w:rFonts w:ascii="宋体" w:hAnsi="宋体"/>
                <w:bCs/>
                <w:color w:val="auto"/>
                <w:sz w:val="24"/>
                <w:highlight w:val="none"/>
              </w:rPr>
            </w:pPr>
            <w:r>
              <w:rPr>
                <w:rFonts w:hint="eastAsia" w:ascii="宋体" w:hAnsi="宋体"/>
                <w:bCs/>
                <w:color w:val="auto"/>
                <w:sz w:val="24"/>
                <w:highlight w:val="none"/>
              </w:rPr>
              <w:t>★采购预算：</w:t>
            </w:r>
            <w:r>
              <w:rPr>
                <w:rFonts w:hint="eastAsia" w:ascii="宋体" w:hAnsi="宋体"/>
                <w:bCs/>
                <w:color w:val="auto"/>
                <w:sz w:val="24"/>
                <w:highlight w:val="none"/>
                <w:lang w:val="en-US" w:eastAsia="zh-CN"/>
              </w:rPr>
              <w:t>149万元</w:t>
            </w:r>
          </w:p>
          <w:p w14:paraId="6A99AD22">
            <w:pPr>
              <w:spacing w:line="500" w:lineRule="exact"/>
              <w:rPr>
                <w:rFonts w:ascii="宋体" w:hAnsi="宋体" w:cs="宋体"/>
                <w:bCs/>
                <w:color w:val="auto"/>
                <w:sz w:val="24"/>
                <w:highlight w:val="none"/>
              </w:rPr>
            </w:pPr>
            <w:r>
              <w:rPr>
                <w:rFonts w:ascii="宋体" w:hAnsi="宋体"/>
                <w:b/>
                <w:bCs/>
                <w:color w:val="auto"/>
                <w:sz w:val="24"/>
                <w:highlight w:val="none"/>
              </w:rPr>
              <w:t>注：如</w:t>
            </w:r>
            <w:r>
              <w:rPr>
                <w:rFonts w:hint="eastAsia" w:ascii="宋体" w:hAnsi="宋体"/>
                <w:b/>
                <w:bCs/>
                <w:color w:val="auto"/>
                <w:sz w:val="24"/>
                <w:highlight w:val="none"/>
              </w:rPr>
              <w:t>投标人</w:t>
            </w:r>
            <w:r>
              <w:rPr>
                <w:rFonts w:ascii="宋体" w:hAnsi="宋体"/>
                <w:b/>
                <w:bCs/>
                <w:color w:val="auto"/>
                <w:sz w:val="24"/>
                <w:highlight w:val="none"/>
              </w:rPr>
              <w:t>的</w:t>
            </w:r>
            <w:r>
              <w:rPr>
                <w:rFonts w:hint="eastAsia" w:ascii="宋体" w:hAnsi="宋体"/>
                <w:b/>
                <w:bCs/>
                <w:color w:val="auto"/>
                <w:sz w:val="24"/>
                <w:highlight w:val="none"/>
              </w:rPr>
              <w:t>投标</w:t>
            </w:r>
            <w:r>
              <w:rPr>
                <w:rFonts w:ascii="宋体" w:hAnsi="宋体"/>
                <w:b/>
                <w:bCs/>
                <w:color w:val="auto"/>
                <w:sz w:val="24"/>
                <w:highlight w:val="none"/>
              </w:rPr>
              <w:t>报价超出采购预算将作无效</w:t>
            </w:r>
            <w:r>
              <w:rPr>
                <w:rFonts w:hint="eastAsia" w:ascii="宋体" w:hAnsi="宋体"/>
                <w:b/>
                <w:bCs/>
                <w:color w:val="auto"/>
                <w:sz w:val="24"/>
                <w:highlight w:val="none"/>
              </w:rPr>
              <w:t>投标</w:t>
            </w:r>
            <w:r>
              <w:rPr>
                <w:rFonts w:ascii="宋体" w:hAnsi="宋体"/>
                <w:b/>
                <w:bCs/>
                <w:color w:val="auto"/>
                <w:sz w:val="24"/>
                <w:highlight w:val="none"/>
              </w:rPr>
              <w:t>处理。</w:t>
            </w:r>
          </w:p>
        </w:tc>
      </w:tr>
      <w:tr w14:paraId="158579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tcBorders>
              <w:tl2br w:val="nil"/>
              <w:tr2bl w:val="nil"/>
            </w:tcBorders>
            <w:vAlign w:val="center"/>
          </w:tcPr>
          <w:p w14:paraId="116EB1B2">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1.2.5</w:t>
            </w:r>
          </w:p>
        </w:tc>
        <w:tc>
          <w:tcPr>
            <w:tcW w:w="1377" w:type="dxa"/>
            <w:tcBorders>
              <w:tl2br w:val="nil"/>
              <w:tr2bl w:val="nil"/>
            </w:tcBorders>
            <w:vAlign w:val="center"/>
          </w:tcPr>
          <w:p w14:paraId="748D7053">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招标方式</w:t>
            </w:r>
          </w:p>
        </w:tc>
        <w:tc>
          <w:tcPr>
            <w:tcW w:w="6414" w:type="dxa"/>
            <w:tcBorders>
              <w:tl2br w:val="nil"/>
              <w:tr2bl w:val="nil"/>
            </w:tcBorders>
            <w:vAlign w:val="center"/>
          </w:tcPr>
          <w:p w14:paraId="502E8262">
            <w:pPr>
              <w:spacing w:line="500" w:lineRule="exact"/>
              <w:rPr>
                <w:rFonts w:hint="eastAsia" w:ascii="宋体" w:hAnsi="宋体" w:eastAsia="宋体" w:cs="宋体"/>
                <w:bCs/>
                <w:color w:val="auto"/>
                <w:sz w:val="24"/>
                <w:highlight w:val="none"/>
                <w:lang w:eastAsia="zh-CN"/>
              </w:rPr>
            </w:pPr>
            <w:r>
              <w:rPr>
                <w:rFonts w:hint="eastAsia" w:ascii="宋体" w:hAnsi="宋体"/>
                <w:color w:val="auto"/>
                <w:sz w:val="24"/>
                <w:highlight w:val="none"/>
                <w:u w:val="none"/>
                <w:lang w:eastAsia="zh-CN"/>
              </w:rPr>
              <w:t>公开招标</w:t>
            </w:r>
          </w:p>
        </w:tc>
      </w:tr>
      <w:tr w14:paraId="4F5E76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988" w:type="dxa"/>
            <w:tcBorders>
              <w:tl2br w:val="nil"/>
              <w:tr2bl w:val="nil"/>
            </w:tcBorders>
            <w:vAlign w:val="center"/>
          </w:tcPr>
          <w:p w14:paraId="7A61D9F9">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1.2.6</w:t>
            </w:r>
          </w:p>
        </w:tc>
        <w:tc>
          <w:tcPr>
            <w:tcW w:w="1377" w:type="dxa"/>
            <w:tcBorders>
              <w:tl2br w:val="nil"/>
              <w:tr2bl w:val="nil"/>
            </w:tcBorders>
            <w:vAlign w:val="center"/>
          </w:tcPr>
          <w:p w14:paraId="25E20BEF">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采购需求</w:t>
            </w:r>
          </w:p>
        </w:tc>
        <w:tc>
          <w:tcPr>
            <w:tcW w:w="6414" w:type="dxa"/>
            <w:tcBorders>
              <w:tl2br w:val="nil"/>
              <w:tr2bl w:val="nil"/>
            </w:tcBorders>
            <w:vAlign w:val="center"/>
          </w:tcPr>
          <w:p w14:paraId="60AD0477">
            <w:pPr>
              <w:spacing w:line="500" w:lineRule="exact"/>
              <w:rPr>
                <w:rFonts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新疆特色饺子生产线1条</w:t>
            </w:r>
            <w:r>
              <w:rPr>
                <w:rFonts w:hint="eastAsia" w:ascii="宋体" w:hAnsi="宋体" w:cs="宋体"/>
                <w:color w:val="auto"/>
                <w:sz w:val="24"/>
                <w:highlight w:val="none"/>
                <w:lang w:eastAsia="zh-CN"/>
              </w:rPr>
              <w:t>、</w:t>
            </w:r>
            <w:r>
              <w:rPr>
                <w:rFonts w:hint="eastAsia" w:ascii="宋体" w:hAnsi="宋体" w:cs="宋体"/>
                <w:color w:val="auto"/>
                <w:sz w:val="24"/>
                <w:highlight w:val="none"/>
              </w:rPr>
              <w:t>新疆薄皮包子生产线1条及相关配套加工设备。</w:t>
            </w:r>
          </w:p>
        </w:tc>
      </w:tr>
      <w:tr w14:paraId="751C92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tcBorders>
              <w:tl2br w:val="nil"/>
              <w:tr2bl w:val="nil"/>
            </w:tcBorders>
            <w:vAlign w:val="center"/>
          </w:tcPr>
          <w:p w14:paraId="53A26DC4">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1.2.7</w:t>
            </w:r>
          </w:p>
        </w:tc>
        <w:tc>
          <w:tcPr>
            <w:tcW w:w="1377" w:type="dxa"/>
            <w:tcBorders>
              <w:tl2br w:val="nil"/>
              <w:tr2bl w:val="nil"/>
            </w:tcBorders>
            <w:vAlign w:val="center"/>
          </w:tcPr>
          <w:p w14:paraId="7FB478B5">
            <w:pPr>
              <w:autoSpaceDE w:val="0"/>
              <w:autoSpaceDN w:val="0"/>
              <w:spacing w:line="500" w:lineRule="exact"/>
              <w:jc w:val="center"/>
              <w:rPr>
                <w:rFonts w:ascii="宋体" w:hAnsi="宋体"/>
                <w:color w:val="auto"/>
                <w:sz w:val="24"/>
                <w:highlight w:val="none"/>
                <w:lang w:val="zh-CN"/>
              </w:rPr>
            </w:pPr>
            <w:r>
              <w:rPr>
                <w:rFonts w:ascii="宋体" w:hAnsi="宋体"/>
                <w:color w:val="auto"/>
                <w:sz w:val="24"/>
                <w:highlight w:val="none"/>
                <w:lang w:val="zh-CN"/>
              </w:rPr>
              <w:t>合同履</w:t>
            </w:r>
            <w:r>
              <w:rPr>
                <w:rFonts w:hint="eastAsia" w:ascii="宋体" w:hAnsi="宋体"/>
                <w:color w:val="auto"/>
                <w:sz w:val="24"/>
                <w:highlight w:val="none"/>
                <w:lang w:val="zh-CN"/>
              </w:rPr>
              <w:t>行</w:t>
            </w:r>
            <w:r>
              <w:rPr>
                <w:rFonts w:ascii="宋体" w:hAnsi="宋体"/>
                <w:color w:val="auto"/>
                <w:sz w:val="24"/>
                <w:highlight w:val="none"/>
                <w:lang w:val="zh-CN"/>
              </w:rPr>
              <w:t>期限及</w:t>
            </w:r>
            <w:r>
              <w:rPr>
                <w:rFonts w:hint="eastAsia" w:ascii="宋体" w:hAnsi="宋体"/>
                <w:color w:val="auto"/>
                <w:kern w:val="0"/>
                <w:sz w:val="24"/>
                <w:highlight w:val="none"/>
              </w:rPr>
              <w:t>交货地点</w:t>
            </w:r>
          </w:p>
        </w:tc>
        <w:tc>
          <w:tcPr>
            <w:tcW w:w="6414" w:type="dxa"/>
            <w:tcBorders>
              <w:tl2br w:val="nil"/>
              <w:tr2bl w:val="nil"/>
            </w:tcBorders>
            <w:vAlign w:val="center"/>
          </w:tcPr>
          <w:p w14:paraId="1EBD068F">
            <w:pPr>
              <w:spacing w:line="500" w:lineRule="exact"/>
              <w:rPr>
                <w:rFonts w:ascii="宋体" w:hAnsi="宋体"/>
                <w:color w:val="auto"/>
                <w:kern w:val="0"/>
                <w:sz w:val="24"/>
                <w:highlight w:val="none"/>
              </w:rPr>
            </w:pPr>
            <w:r>
              <w:rPr>
                <w:rFonts w:ascii="宋体" w:hAnsi="宋体"/>
                <w:color w:val="auto"/>
                <w:kern w:val="0"/>
                <w:sz w:val="24"/>
                <w:highlight w:val="none"/>
                <w:lang w:val="zh-CN"/>
              </w:rPr>
              <w:t>合同履</w:t>
            </w:r>
            <w:r>
              <w:rPr>
                <w:rFonts w:hint="eastAsia" w:ascii="宋体" w:hAnsi="宋体"/>
                <w:color w:val="auto"/>
                <w:kern w:val="0"/>
                <w:sz w:val="24"/>
                <w:highlight w:val="none"/>
                <w:lang w:val="zh-CN"/>
              </w:rPr>
              <w:t>行</w:t>
            </w:r>
            <w:r>
              <w:rPr>
                <w:rFonts w:ascii="宋体" w:hAnsi="宋体"/>
                <w:color w:val="auto"/>
                <w:kern w:val="0"/>
                <w:sz w:val="24"/>
                <w:highlight w:val="none"/>
                <w:lang w:val="zh-CN"/>
              </w:rPr>
              <w:t>期限：</w:t>
            </w:r>
            <w:r>
              <w:rPr>
                <w:rFonts w:hint="eastAsia" w:ascii="宋体" w:hAnsi="宋体"/>
                <w:color w:val="auto"/>
                <w:kern w:val="0"/>
                <w:sz w:val="24"/>
                <w:highlight w:val="none"/>
                <w:lang w:val="zh-CN"/>
              </w:rPr>
              <w:t>自收到中标通知书</w:t>
            </w:r>
            <w:r>
              <w:rPr>
                <w:rFonts w:hint="eastAsia" w:ascii="宋体" w:hAnsi="宋体"/>
                <w:color w:val="auto"/>
                <w:kern w:val="0"/>
                <w:sz w:val="24"/>
                <w:highlight w:val="none"/>
                <w:lang w:val="en-US" w:eastAsia="zh-CN"/>
              </w:rPr>
              <w:t>10</w:t>
            </w:r>
            <w:r>
              <w:rPr>
                <w:rFonts w:hint="eastAsia" w:ascii="宋体" w:hAnsi="宋体"/>
                <w:color w:val="auto"/>
                <w:kern w:val="0"/>
                <w:sz w:val="24"/>
                <w:highlight w:val="none"/>
                <w:lang w:val="zh-CN"/>
              </w:rPr>
              <w:t>天内完成供货；供货完成后2天内完成安装部署工作；</w:t>
            </w:r>
          </w:p>
          <w:p w14:paraId="3C7B8FE5">
            <w:pPr>
              <w:spacing w:line="500" w:lineRule="exact"/>
              <w:rPr>
                <w:rFonts w:hint="eastAsia" w:ascii="宋体" w:hAnsi="宋体" w:eastAsia="宋体"/>
                <w:color w:val="auto"/>
                <w:kern w:val="0"/>
                <w:sz w:val="24"/>
                <w:highlight w:val="none"/>
                <w:lang w:eastAsia="zh-CN"/>
              </w:rPr>
            </w:pPr>
            <w:r>
              <w:rPr>
                <w:rFonts w:hint="eastAsia" w:ascii="宋体" w:hAnsi="宋体"/>
                <w:color w:val="auto"/>
                <w:kern w:val="0"/>
                <w:sz w:val="24"/>
                <w:highlight w:val="none"/>
              </w:rPr>
              <w:t>交货地点</w:t>
            </w:r>
            <w:r>
              <w:rPr>
                <w:rFonts w:ascii="宋体" w:hAnsi="宋体"/>
                <w:color w:val="auto"/>
                <w:kern w:val="0"/>
                <w:sz w:val="24"/>
                <w:highlight w:val="none"/>
              </w:rPr>
              <w:t>：</w:t>
            </w:r>
            <w:r>
              <w:rPr>
                <w:rFonts w:hint="eastAsia" w:ascii="宋体" w:hAnsi="宋体"/>
                <w:color w:val="auto"/>
                <w:kern w:val="0"/>
                <w:sz w:val="24"/>
                <w:highlight w:val="none"/>
                <w:lang w:eastAsia="zh-CN"/>
              </w:rPr>
              <w:t>招标人指定地点</w:t>
            </w:r>
          </w:p>
        </w:tc>
      </w:tr>
      <w:tr w14:paraId="12500A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tcBorders>
              <w:tl2br w:val="nil"/>
              <w:tr2bl w:val="nil"/>
            </w:tcBorders>
            <w:vAlign w:val="center"/>
          </w:tcPr>
          <w:p w14:paraId="2AB81E1A">
            <w:pPr>
              <w:spacing w:line="500" w:lineRule="exact"/>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1.2.8</w:t>
            </w:r>
          </w:p>
        </w:tc>
        <w:tc>
          <w:tcPr>
            <w:tcW w:w="1377" w:type="dxa"/>
            <w:tcBorders>
              <w:tl2br w:val="nil"/>
              <w:tr2bl w:val="nil"/>
            </w:tcBorders>
            <w:vAlign w:val="center"/>
          </w:tcPr>
          <w:p w14:paraId="291933E3">
            <w:pPr>
              <w:autoSpaceDE w:val="0"/>
              <w:autoSpaceDN w:val="0"/>
              <w:spacing w:line="500" w:lineRule="exact"/>
              <w:jc w:val="center"/>
              <w:rPr>
                <w:rFonts w:hint="default" w:ascii="宋体" w:hAnsi="宋体" w:eastAsia="宋体"/>
                <w:color w:val="auto"/>
                <w:sz w:val="24"/>
                <w:highlight w:val="none"/>
                <w:lang w:val="en-US" w:eastAsia="zh-CN"/>
              </w:rPr>
            </w:pPr>
            <w:r>
              <w:rPr>
                <w:rFonts w:hint="eastAsia" w:ascii="宋体" w:hAnsi="宋体"/>
                <w:color w:val="auto"/>
                <w:sz w:val="24"/>
                <w:highlight w:val="none"/>
                <w:lang w:val="zh-CN"/>
              </w:rPr>
              <w:t>免费维保期</w:t>
            </w:r>
            <w:r>
              <w:rPr>
                <w:rFonts w:hint="eastAsia" w:ascii="宋体" w:hAnsi="宋体"/>
                <w:color w:val="auto"/>
                <w:sz w:val="24"/>
                <w:highlight w:val="none"/>
                <w:lang w:val="en-US" w:eastAsia="zh-CN"/>
              </w:rPr>
              <w:t>(免费质保期）</w:t>
            </w:r>
          </w:p>
        </w:tc>
        <w:tc>
          <w:tcPr>
            <w:tcW w:w="6414" w:type="dxa"/>
            <w:tcBorders>
              <w:tl2br w:val="nil"/>
              <w:tr2bl w:val="nil"/>
            </w:tcBorders>
            <w:vAlign w:val="center"/>
          </w:tcPr>
          <w:p w14:paraId="220069A7">
            <w:pPr>
              <w:spacing w:line="500" w:lineRule="exact"/>
              <w:rPr>
                <w:rFonts w:hint="eastAsia" w:ascii="宋体" w:hAnsi="宋体"/>
                <w:color w:val="auto"/>
                <w:kern w:val="0"/>
                <w:sz w:val="24"/>
                <w:highlight w:val="none"/>
              </w:rPr>
            </w:pPr>
            <w:r>
              <w:rPr>
                <w:rFonts w:hint="eastAsia" w:ascii="宋体" w:hAnsi="宋体"/>
                <w:color w:val="auto"/>
                <w:kern w:val="0"/>
                <w:sz w:val="24"/>
                <w:highlight w:val="none"/>
              </w:rPr>
              <w:t>所有产品免费质保</w:t>
            </w:r>
            <w:r>
              <w:rPr>
                <w:rFonts w:hint="eastAsia" w:ascii="宋体" w:hAnsi="宋体"/>
                <w:color w:val="auto"/>
                <w:kern w:val="0"/>
                <w:sz w:val="24"/>
                <w:highlight w:val="none"/>
                <w:lang w:val="en-US" w:eastAsia="zh-CN"/>
              </w:rPr>
              <w:t xml:space="preserve"> 4 </w:t>
            </w:r>
            <w:r>
              <w:rPr>
                <w:rFonts w:hint="eastAsia" w:ascii="宋体" w:hAnsi="宋体"/>
                <w:color w:val="auto"/>
                <w:kern w:val="0"/>
                <w:sz w:val="24"/>
                <w:highlight w:val="none"/>
              </w:rPr>
              <w:t>年。</w:t>
            </w:r>
          </w:p>
        </w:tc>
      </w:tr>
      <w:tr w14:paraId="1596CF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tcBorders>
              <w:tl2br w:val="nil"/>
              <w:tr2bl w:val="nil"/>
            </w:tcBorders>
            <w:vAlign w:val="center"/>
          </w:tcPr>
          <w:p w14:paraId="43556A6E">
            <w:pPr>
              <w:spacing w:line="500" w:lineRule="exact"/>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1.2.9</w:t>
            </w:r>
          </w:p>
        </w:tc>
        <w:tc>
          <w:tcPr>
            <w:tcW w:w="1377" w:type="dxa"/>
            <w:tcBorders>
              <w:tl2br w:val="nil"/>
              <w:tr2bl w:val="nil"/>
            </w:tcBorders>
            <w:vAlign w:val="center"/>
          </w:tcPr>
          <w:p w14:paraId="41FA5E7D">
            <w:pPr>
              <w:autoSpaceDE w:val="0"/>
              <w:autoSpaceDN w:val="0"/>
              <w:spacing w:line="500" w:lineRule="exact"/>
              <w:jc w:val="center"/>
              <w:rPr>
                <w:rFonts w:ascii="宋体" w:hAnsi="宋体"/>
                <w:color w:val="auto"/>
                <w:sz w:val="24"/>
                <w:highlight w:val="none"/>
                <w:lang w:val="zh-CN"/>
              </w:rPr>
            </w:pPr>
            <w:r>
              <w:rPr>
                <w:rFonts w:hint="eastAsia" w:ascii="宋体" w:hAnsi="宋体"/>
                <w:color w:val="auto"/>
                <w:sz w:val="24"/>
                <w:highlight w:val="none"/>
                <w:lang w:val="zh-CN"/>
              </w:rPr>
              <w:t>核心产品</w:t>
            </w:r>
          </w:p>
        </w:tc>
        <w:tc>
          <w:tcPr>
            <w:tcW w:w="6414" w:type="dxa"/>
            <w:tcBorders>
              <w:tl2br w:val="nil"/>
              <w:tr2bl w:val="nil"/>
            </w:tcBorders>
            <w:vAlign w:val="center"/>
          </w:tcPr>
          <w:p w14:paraId="4311374E">
            <w:pPr>
              <w:spacing w:line="500" w:lineRule="exact"/>
              <w:rPr>
                <w:rFonts w:hint="eastAsia" w:ascii="宋体" w:hAnsi="宋体" w:eastAsia="宋体"/>
                <w:color w:val="auto"/>
                <w:kern w:val="0"/>
                <w:sz w:val="24"/>
                <w:highlight w:val="none"/>
                <w:lang w:eastAsia="zh-CN"/>
              </w:rPr>
            </w:pPr>
            <w:r>
              <w:rPr>
                <w:rFonts w:hint="eastAsia" w:ascii="宋体" w:hAnsi="宋体"/>
                <w:color w:val="auto"/>
                <w:kern w:val="0"/>
                <w:sz w:val="24"/>
                <w:highlight w:val="none"/>
              </w:rPr>
              <w:t>★</w:t>
            </w:r>
            <w:r>
              <w:rPr>
                <w:rFonts w:hint="eastAsia" w:ascii="宋体" w:hAnsi="宋体" w:eastAsia="宋体" w:cs="宋体"/>
                <w:bCs/>
                <w:color w:val="auto"/>
                <w:sz w:val="24"/>
                <w:highlight w:val="none"/>
              </w:rPr>
              <w:t>薄皮包子生产线</w:t>
            </w:r>
          </w:p>
        </w:tc>
      </w:tr>
      <w:tr w14:paraId="710BB1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94" w:hRule="atLeast"/>
          <w:jc w:val="center"/>
        </w:trPr>
        <w:tc>
          <w:tcPr>
            <w:tcW w:w="988" w:type="dxa"/>
            <w:tcBorders>
              <w:tl2br w:val="nil"/>
              <w:tr2bl w:val="nil"/>
            </w:tcBorders>
            <w:vAlign w:val="center"/>
          </w:tcPr>
          <w:p w14:paraId="7F09CFF4">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1.3.1</w:t>
            </w:r>
          </w:p>
        </w:tc>
        <w:tc>
          <w:tcPr>
            <w:tcW w:w="1377" w:type="dxa"/>
            <w:tcBorders>
              <w:tl2br w:val="nil"/>
              <w:tr2bl w:val="nil"/>
            </w:tcBorders>
            <w:vAlign w:val="center"/>
          </w:tcPr>
          <w:p w14:paraId="632907E8">
            <w:pPr>
              <w:autoSpaceDE w:val="0"/>
              <w:autoSpaceDN w:val="0"/>
              <w:spacing w:line="500" w:lineRule="exact"/>
              <w:jc w:val="center"/>
              <w:rPr>
                <w:rFonts w:ascii="宋体" w:hAnsi="宋体" w:cs="宋体"/>
                <w:color w:val="auto"/>
                <w:sz w:val="24"/>
                <w:highlight w:val="none"/>
              </w:rPr>
            </w:pPr>
            <w:r>
              <w:rPr>
                <w:rFonts w:hint="eastAsia" w:ascii="宋体" w:hAnsi="宋体" w:cs="宋体"/>
                <w:color w:val="auto"/>
                <w:sz w:val="24"/>
                <w:highlight w:val="none"/>
              </w:rPr>
              <w:t>投标人的</w:t>
            </w:r>
          </w:p>
          <w:p w14:paraId="5591F281">
            <w:pPr>
              <w:autoSpaceDE w:val="0"/>
              <w:autoSpaceDN w:val="0"/>
              <w:spacing w:line="500" w:lineRule="exact"/>
              <w:jc w:val="center"/>
              <w:rPr>
                <w:rFonts w:ascii="宋体" w:hAnsi="宋体" w:cs="宋体"/>
                <w:bCs/>
                <w:color w:val="auto"/>
                <w:sz w:val="24"/>
                <w:highlight w:val="none"/>
              </w:rPr>
            </w:pPr>
            <w:r>
              <w:rPr>
                <w:rFonts w:hint="eastAsia" w:ascii="宋体" w:hAnsi="宋体" w:cs="宋体"/>
                <w:color w:val="auto"/>
                <w:sz w:val="24"/>
                <w:highlight w:val="none"/>
              </w:rPr>
              <w:t>资格要求</w:t>
            </w:r>
          </w:p>
        </w:tc>
        <w:tc>
          <w:tcPr>
            <w:tcW w:w="6414" w:type="dxa"/>
            <w:tcBorders>
              <w:tl2br w:val="nil"/>
              <w:tr2bl w:val="nil"/>
            </w:tcBorders>
            <w:vAlign w:val="center"/>
          </w:tcPr>
          <w:p w14:paraId="72B24A96">
            <w:pPr>
              <w:spacing w:line="500" w:lineRule="exact"/>
              <w:jc w:val="left"/>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w:t>
            </w:r>
          </w:p>
          <w:p w14:paraId="466B2AED">
            <w:pPr>
              <w:spacing w:line="500" w:lineRule="exact"/>
              <w:jc w:val="left"/>
              <w:rPr>
                <w:rFonts w:ascii="宋体" w:hAnsi="宋体" w:cs="宋体"/>
                <w:color w:val="auto"/>
                <w:sz w:val="24"/>
                <w:highlight w:val="none"/>
              </w:rPr>
            </w:pPr>
            <w:r>
              <w:rPr>
                <w:rFonts w:hint="eastAsia" w:ascii="宋体" w:hAnsi="宋体" w:cs="宋体"/>
                <w:color w:val="auto"/>
                <w:sz w:val="24"/>
                <w:highlight w:val="none"/>
              </w:rPr>
              <w:t>2.落实政府采购政策需满足的资格要求：</w:t>
            </w:r>
            <w:r>
              <w:rPr>
                <w:rFonts w:hint="eastAsia" w:ascii="宋体" w:hAnsi="宋体" w:cs="宋体"/>
                <w:bCs/>
                <w:color w:val="auto"/>
                <w:sz w:val="24"/>
                <w:highlight w:val="none"/>
                <w:lang w:eastAsia="zh-CN"/>
              </w:rPr>
              <w:t>供应商为中小企业</w:t>
            </w:r>
            <w:r>
              <w:rPr>
                <w:rFonts w:hint="eastAsia" w:ascii="宋体" w:hAnsi="宋体" w:eastAsia="宋体" w:cs="宋体"/>
                <w:bCs/>
                <w:color w:val="auto"/>
                <w:sz w:val="24"/>
                <w:highlight w:val="none"/>
              </w:rPr>
              <w:t>；</w:t>
            </w:r>
          </w:p>
          <w:p w14:paraId="55614BC1">
            <w:pPr>
              <w:spacing w:line="500" w:lineRule="exact"/>
              <w:jc w:val="left"/>
              <w:rPr>
                <w:rFonts w:ascii="宋体" w:hAnsi="宋体" w:cs="宋体"/>
                <w:color w:val="auto"/>
                <w:sz w:val="24"/>
                <w:highlight w:val="none"/>
              </w:rPr>
            </w:pPr>
            <w:r>
              <w:rPr>
                <w:rFonts w:hint="eastAsia" w:ascii="宋体" w:hAnsi="宋体" w:cs="宋体"/>
                <w:color w:val="auto"/>
                <w:sz w:val="24"/>
                <w:highlight w:val="none"/>
              </w:rPr>
              <w:t>3.本项目的特定资格要求：</w:t>
            </w:r>
            <w:r>
              <w:rPr>
                <w:rFonts w:hint="eastAsia" w:ascii="宋体" w:hAnsi="宋体" w:cs="宋体"/>
                <w:color w:val="auto"/>
                <w:sz w:val="24"/>
                <w:highlight w:val="none"/>
                <w:lang w:eastAsia="zh-CN"/>
              </w:rPr>
              <w:t>无。</w:t>
            </w:r>
          </w:p>
        </w:tc>
      </w:tr>
      <w:tr w14:paraId="60C969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988" w:type="dxa"/>
            <w:vMerge w:val="restart"/>
            <w:tcBorders>
              <w:tl2br w:val="nil"/>
              <w:tr2bl w:val="nil"/>
            </w:tcBorders>
            <w:vAlign w:val="center"/>
          </w:tcPr>
          <w:p w14:paraId="1800575F">
            <w:pPr>
              <w:spacing w:line="500" w:lineRule="exact"/>
              <w:jc w:val="center"/>
              <w:rPr>
                <w:rFonts w:ascii="宋体" w:hAnsi="宋体" w:cs="宋体"/>
                <w:bCs/>
                <w:color w:val="auto"/>
                <w:sz w:val="24"/>
                <w:highlight w:val="none"/>
              </w:rPr>
            </w:pPr>
          </w:p>
          <w:p w14:paraId="30F5C414">
            <w:pPr>
              <w:spacing w:line="500" w:lineRule="exact"/>
              <w:jc w:val="center"/>
              <w:rPr>
                <w:rFonts w:ascii="宋体" w:hAnsi="宋体" w:cs="宋体"/>
                <w:bCs/>
                <w:color w:val="auto"/>
                <w:sz w:val="24"/>
                <w:highlight w:val="none"/>
              </w:rPr>
            </w:pPr>
          </w:p>
          <w:p w14:paraId="33CD6E24">
            <w:pPr>
              <w:spacing w:line="500" w:lineRule="exact"/>
              <w:jc w:val="center"/>
              <w:rPr>
                <w:rFonts w:ascii="宋体" w:hAnsi="宋体" w:cs="宋体"/>
                <w:bCs/>
                <w:color w:val="auto"/>
                <w:sz w:val="24"/>
                <w:highlight w:val="none"/>
              </w:rPr>
            </w:pPr>
          </w:p>
          <w:p w14:paraId="1C9B1FAD">
            <w:pPr>
              <w:spacing w:line="500" w:lineRule="exact"/>
              <w:jc w:val="center"/>
              <w:rPr>
                <w:rFonts w:ascii="宋体" w:hAnsi="宋体" w:cs="宋体"/>
                <w:bCs/>
                <w:color w:val="auto"/>
                <w:sz w:val="24"/>
                <w:highlight w:val="none"/>
              </w:rPr>
            </w:pPr>
          </w:p>
          <w:p w14:paraId="1BEA4B61">
            <w:pPr>
              <w:spacing w:line="500" w:lineRule="exact"/>
              <w:jc w:val="center"/>
              <w:rPr>
                <w:rFonts w:ascii="宋体" w:hAnsi="宋体" w:cs="宋体"/>
                <w:bCs/>
                <w:color w:val="auto"/>
                <w:sz w:val="24"/>
                <w:highlight w:val="none"/>
              </w:rPr>
            </w:pPr>
          </w:p>
          <w:p w14:paraId="5B9A7D5E">
            <w:pPr>
              <w:spacing w:line="500" w:lineRule="exact"/>
              <w:jc w:val="center"/>
              <w:rPr>
                <w:rFonts w:ascii="宋体" w:hAnsi="宋体" w:cs="宋体"/>
                <w:bCs/>
                <w:color w:val="auto"/>
                <w:sz w:val="24"/>
                <w:highlight w:val="none"/>
              </w:rPr>
            </w:pPr>
          </w:p>
          <w:p w14:paraId="6EDD238B">
            <w:pPr>
              <w:spacing w:line="500" w:lineRule="exact"/>
              <w:jc w:val="center"/>
              <w:rPr>
                <w:rFonts w:ascii="宋体" w:hAnsi="宋体" w:cs="宋体"/>
                <w:bCs/>
                <w:color w:val="auto"/>
                <w:sz w:val="24"/>
                <w:highlight w:val="none"/>
              </w:rPr>
            </w:pPr>
          </w:p>
          <w:p w14:paraId="0C78630B">
            <w:pPr>
              <w:spacing w:line="500" w:lineRule="exact"/>
              <w:jc w:val="center"/>
              <w:rPr>
                <w:rFonts w:ascii="宋体" w:hAnsi="宋体" w:cs="宋体"/>
                <w:bCs/>
                <w:color w:val="auto"/>
                <w:sz w:val="24"/>
                <w:highlight w:val="none"/>
              </w:rPr>
            </w:pPr>
          </w:p>
          <w:p w14:paraId="4B6FB884">
            <w:pPr>
              <w:spacing w:line="500" w:lineRule="exact"/>
              <w:jc w:val="center"/>
              <w:rPr>
                <w:rFonts w:ascii="宋体" w:hAnsi="宋体" w:cs="宋体"/>
                <w:bCs/>
                <w:color w:val="auto"/>
                <w:sz w:val="24"/>
                <w:highlight w:val="none"/>
              </w:rPr>
            </w:pPr>
          </w:p>
          <w:p w14:paraId="3B0A4409">
            <w:pPr>
              <w:spacing w:line="500" w:lineRule="exact"/>
              <w:jc w:val="center"/>
              <w:rPr>
                <w:rFonts w:ascii="宋体" w:hAnsi="宋体" w:cs="宋体"/>
                <w:bCs/>
                <w:color w:val="auto"/>
                <w:sz w:val="24"/>
                <w:highlight w:val="none"/>
              </w:rPr>
            </w:pPr>
          </w:p>
          <w:p w14:paraId="5B80B508">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1.4.1</w:t>
            </w:r>
          </w:p>
        </w:tc>
        <w:tc>
          <w:tcPr>
            <w:tcW w:w="1377" w:type="dxa"/>
            <w:tcBorders>
              <w:tl2br w:val="nil"/>
              <w:tr2bl w:val="nil"/>
            </w:tcBorders>
            <w:vAlign w:val="center"/>
          </w:tcPr>
          <w:p w14:paraId="630E675E">
            <w:pPr>
              <w:spacing w:line="500" w:lineRule="exact"/>
              <w:jc w:val="center"/>
              <w:rPr>
                <w:rFonts w:hint="eastAsia" w:ascii="宋体" w:hAnsi="宋体" w:eastAsia="宋体" w:cs="宋体"/>
                <w:bCs/>
                <w:color w:val="auto"/>
                <w:sz w:val="24"/>
                <w:highlight w:val="none"/>
                <w:lang w:eastAsia="zh-CN"/>
              </w:rPr>
            </w:pPr>
            <w:r>
              <w:rPr>
                <w:rFonts w:hint="eastAsia" w:ascii="宋体" w:hAnsi="宋体" w:cs="宋体"/>
                <w:color w:val="auto"/>
                <w:sz w:val="24"/>
                <w:highlight w:val="none"/>
              </w:rPr>
              <w:t>本项目落实的政府采购政策</w:t>
            </w:r>
            <w:r>
              <w:rPr>
                <w:rFonts w:hint="eastAsia" w:ascii="宋体" w:hAnsi="宋体" w:cs="宋体"/>
                <w:color w:val="auto"/>
                <w:sz w:val="24"/>
                <w:highlight w:val="none"/>
                <w:lang w:eastAsia="zh-CN"/>
              </w:rPr>
              <w:t>文件</w:t>
            </w:r>
          </w:p>
        </w:tc>
        <w:tc>
          <w:tcPr>
            <w:tcW w:w="6414" w:type="dxa"/>
            <w:tcBorders>
              <w:tl2br w:val="nil"/>
              <w:tr2bl w:val="nil"/>
            </w:tcBorders>
            <w:vAlign w:val="center"/>
          </w:tcPr>
          <w:p w14:paraId="289E5A1E">
            <w:pPr>
              <w:spacing w:line="500" w:lineRule="exact"/>
              <w:rPr>
                <w:rFonts w:hint="eastAsia" w:ascii="宋体" w:hAnsi="宋体" w:cs="宋体"/>
                <w:color w:val="auto"/>
                <w:sz w:val="24"/>
                <w:highlight w:val="none"/>
              </w:rPr>
            </w:pPr>
            <w:r>
              <w:rPr>
                <w:rFonts w:hint="eastAsia" w:ascii="宋体" w:hAnsi="宋体" w:cs="宋体"/>
                <w:color w:val="auto"/>
                <w:sz w:val="24"/>
                <w:highlight w:val="none"/>
              </w:rPr>
              <w:t>1.关于印发《政府采购促进中小企业发展管理办法》的通知（财库[2020]46号）</w:t>
            </w:r>
          </w:p>
          <w:p w14:paraId="7E2F6CBE">
            <w:pPr>
              <w:spacing w:line="500" w:lineRule="exact"/>
              <w:rPr>
                <w:rFonts w:hint="eastAsia" w:ascii="宋体" w:hAnsi="宋体" w:cs="宋体"/>
                <w:color w:val="auto"/>
                <w:sz w:val="24"/>
                <w:highlight w:val="none"/>
              </w:rPr>
            </w:pPr>
            <w:r>
              <w:rPr>
                <w:rFonts w:hint="eastAsia" w:ascii="宋体" w:hAnsi="宋体" w:cs="宋体"/>
                <w:color w:val="auto"/>
                <w:sz w:val="24"/>
                <w:highlight w:val="none"/>
              </w:rPr>
              <w:t>2.财政部《关于进一步加大政府采购支持中小企业力度的通知》（财库〔2022〕19号）</w:t>
            </w:r>
          </w:p>
          <w:p w14:paraId="13569085">
            <w:pPr>
              <w:spacing w:line="500" w:lineRule="exact"/>
              <w:rPr>
                <w:rFonts w:hint="eastAsia" w:ascii="宋体" w:hAnsi="宋体" w:cs="宋体"/>
                <w:color w:val="auto"/>
                <w:sz w:val="24"/>
                <w:highlight w:val="none"/>
              </w:rPr>
            </w:pPr>
            <w:r>
              <w:rPr>
                <w:rFonts w:hint="eastAsia" w:ascii="宋体" w:hAnsi="宋体" w:cs="宋体"/>
                <w:color w:val="auto"/>
                <w:sz w:val="24"/>
                <w:highlight w:val="none"/>
              </w:rPr>
              <w:t>3.《财政部、司法部关于政府采购支持监狱企业发展有关问题的通知》（财库[2014]68号）</w:t>
            </w:r>
          </w:p>
          <w:p w14:paraId="2A010D8D">
            <w:pPr>
              <w:spacing w:line="500" w:lineRule="exact"/>
              <w:rPr>
                <w:rFonts w:hint="eastAsia" w:ascii="宋体" w:hAnsi="宋体" w:cs="宋体"/>
                <w:color w:val="auto"/>
                <w:sz w:val="24"/>
                <w:highlight w:val="none"/>
              </w:rPr>
            </w:pPr>
            <w:r>
              <w:rPr>
                <w:rFonts w:hint="eastAsia" w:ascii="宋体" w:hAnsi="宋体" w:cs="宋体"/>
                <w:color w:val="auto"/>
                <w:sz w:val="24"/>
                <w:highlight w:val="none"/>
              </w:rPr>
              <w:t>4.《关于促进残疾人就业政府采购政策的通知》（财库[2017]141号）</w:t>
            </w:r>
          </w:p>
          <w:p w14:paraId="68086632">
            <w:pPr>
              <w:spacing w:line="500" w:lineRule="exact"/>
              <w:rPr>
                <w:rFonts w:ascii="宋体" w:hAnsi="宋体" w:cs="宋体"/>
                <w:color w:val="auto"/>
                <w:sz w:val="24"/>
                <w:highlight w:val="none"/>
              </w:rPr>
            </w:pPr>
            <w:r>
              <w:rPr>
                <w:rFonts w:hint="eastAsia" w:ascii="宋体" w:hAnsi="宋体" w:cs="宋体"/>
                <w:color w:val="auto"/>
                <w:sz w:val="24"/>
                <w:highlight w:val="none"/>
              </w:rPr>
              <w:t>5.落实《关于调整优化节能产品、环境标志产品政府采购执行机制的通知》（财库[2019]9号）</w:t>
            </w:r>
          </w:p>
        </w:tc>
      </w:tr>
      <w:tr w14:paraId="4CDEA6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988" w:type="dxa"/>
            <w:vMerge w:val="continue"/>
            <w:tcBorders>
              <w:tl2br w:val="nil"/>
              <w:tr2bl w:val="nil"/>
            </w:tcBorders>
            <w:vAlign w:val="center"/>
          </w:tcPr>
          <w:p w14:paraId="7C2F90DF">
            <w:pPr>
              <w:spacing w:line="500" w:lineRule="exact"/>
              <w:jc w:val="center"/>
              <w:rPr>
                <w:rFonts w:ascii="宋体" w:hAnsi="宋体" w:cs="宋体"/>
                <w:bCs/>
                <w:color w:val="auto"/>
                <w:sz w:val="24"/>
                <w:highlight w:val="none"/>
              </w:rPr>
            </w:pPr>
          </w:p>
        </w:tc>
        <w:tc>
          <w:tcPr>
            <w:tcW w:w="1377" w:type="dxa"/>
            <w:tcBorders>
              <w:tl2br w:val="nil"/>
              <w:tr2bl w:val="nil"/>
            </w:tcBorders>
            <w:vAlign w:val="center"/>
          </w:tcPr>
          <w:p w14:paraId="37F6485A">
            <w:pPr>
              <w:spacing w:line="500" w:lineRule="exact"/>
              <w:jc w:val="center"/>
              <w:rPr>
                <w:rFonts w:ascii="宋体" w:hAnsi="宋体" w:cs="宋体"/>
                <w:bCs/>
                <w:color w:val="auto"/>
                <w:sz w:val="24"/>
                <w:highlight w:val="none"/>
              </w:rPr>
            </w:pPr>
            <w:r>
              <w:rPr>
                <w:rFonts w:hint="eastAsia" w:ascii="宋体" w:hAnsi="宋体" w:cs="宋体"/>
                <w:color w:val="auto"/>
                <w:sz w:val="24"/>
                <w:highlight w:val="none"/>
              </w:rPr>
              <w:t>本项目落实政府采购政策预留份额要求</w:t>
            </w:r>
          </w:p>
        </w:tc>
        <w:tc>
          <w:tcPr>
            <w:tcW w:w="6414" w:type="dxa"/>
            <w:tcBorders>
              <w:tl2br w:val="nil"/>
              <w:tr2bl w:val="nil"/>
            </w:tcBorders>
            <w:vAlign w:val="center"/>
          </w:tcPr>
          <w:p w14:paraId="3E93F8E9">
            <w:pPr>
              <w:spacing w:line="500" w:lineRule="exact"/>
              <w:rPr>
                <w:rFonts w:ascii="宋体" w:hAnsi="宋体" w:cs="宋体"/>
                <w:color w:val="auto"/>
                <w:sz w:val="24"/>
                <w:highlight w:val="none"/>
              </w:rPr>
            </w:pPr>
            <w:r>
              <w:rPr>
                <w:rFonts w:hint="eastAsia" w:ascii="宋体" w:hAnsi="宋体" w:cs="宋体"/>
                <w:color w:val="auto"/>
                <w:sz w:val="24"/>
                <w:highlight w:val="none"/>
              </w:rPr>
              <w:t>1.中小企业政策</w:t>
            </w:r>
          </w:p>
          <w:p w14:paraId="1DDEF1BA">
            <w:pPr>
              <w:spacing w:line="500" w:lineRule="exact"/>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本项目不专门面向中小企业预留采购份额。</w:t>
            </w:r>
          </w:p>
          <w:p w14:paraId="6C9B5779">
            <w:pPr>
              <w:spacing w:line="500" w:lineRule="exact"/>
              <w:rPr>
                <w:rFonts w:hint="eastAsia" w:ascii="宋体" w:hAnsi="宋体" w:cs="宋体"/>
                <w:color w:val="auto"/>
                <w:sz w:val="24"/>
                <w:highlight w:val="none"/>
              </w:rPr>
            </w:pPr>
            <w:r>
              <w:rPr>
                <w:rFonts w:hint="eastAsia" w:ascii="MS Mincho" w:hAnsi="MS Mincho" w:cs="MS Mincho"/>
                <w:color w:val="auto"/>
                <w:sz w:val="24"/>
                <w:highlight w:val="none"/>
                <w:lang w:eastAsia="zh-CN"/>
              </w:rPr>
              <w:t>☑</w:t>
            </w:r>
            <w:r>
              <w:rPr>
                <w:rFonts w:hint="eastAsia" w:ascii="宋体" w:hAnsi="宋体" w:cs="宋体"/>
                <w:color w:val="auto"/>
                <w:sz w:val="24"/>
                <w:highlight w:val="none"/>
              </w:rPr>
              <w:t>本项目专门面向中小</w:t>
            </w:r>
            <w:r>
              <w:rPr>
                <w:rFonts w:ascii="宋体" w:hAnsi="宋体" w:cs="宋体"/>
                <w:color w:val="auto"/>
                <w:sz w:val="24"/>
                <w:highlight w:val="none"/>
              </w:rPr>
              <w:t>/</w:t>
            </w:r>
            <w:r>
              <w:rPr>
                <w:rFonts w:hint="eastAsia" w:ascii="宋体" w:hAnsi="宋体" w:cs="宋体"/>
                <w:color w:val="auto"/>
                <w:sz w:val="24"/>
                <w:highlight w:val="none"/>
              </w:rPr>
              <w:t>小微企业采购。即：提供的货物全部由符合政策要求的中小</w:t>
            </w:r>
            <w:r>
              <w:rPr>
                <w:rFonts w:ascii="宋体" w:hAnsi="宋体" w:cs="宋体"/>
                <w:color w:val="auto"/>
                <w:sz w:val="24"/>
                <w:highlight w:val="none"/>
              </w:rPr>
              <w:t>/</w:t>
            </w:r>
            <w:r>
              <w:rPr>
                <w:rFonts w:hint="eastAsia" w:ascii="宋体" w:hAnsi="宋体" w:cs="宋体"/>
                <w:color w:val="auto"/>
                <w:sz w:val="24"/>
                <w:highlight w:val="none"/>
              </w:rPr>
              <w:t>小微企业制造、服务全部由符合政策要求的中小</w:t>
            </w:r>
            <w:r>
              <w:rPr>
                <w:rFonts w:ascii="宋体" w:hAnsi="宋体" w:cs="宋体"/>
                <w:color w:val="auto"/>
                <w:sz w:val="24"/>
                <w:highlight w:val="none"/>
              </w:rPr>
              <w:t>/</w:t>
            </w:r>
            <w:r>
              <w:rPr>
                <w:rFonts w:hint="eastAsia" w:ascii="宋体" w:hAnsi="宋体" w:cs="宋体"/>
                <w:color w:val="auto"/>
                <w:sz w:val="24"/>
                <w:highlight w:val="none"/>
              </w:rPr>
              <w:t>小微企业承接。</w:t>
            </w:r>
          </w:p>
          <w:p w14:paraId="4A481B31">
            <w:pPr>
              <w:spacing w:line="500" w:lineRule="exact"/>
              <w:rPr>
                <w:rFonts w:hint="eastAsia" w:ascii="宋体" w:hAnsi="宋体" w:eastAsia="宋体" w:cs="宋体"/>
                <w:color w:val="auto"/>
                <w:sz w:val="24"/>
                <w:highlight w:val="none"/>
                <w:lang w:eastAsia="zh-CN"/>
              </w:rPr>
            </w:pPr>
            <w:r>
              <w:rPr>
                <w:rFonts w:hint="eastAsia" w:ascii="MS Mincho" w:hAnsi="MS Mincho" w:cs="MS Mincho"/>
                <w:color w:val="auto"/>
                <w:sz w:val="24"/>
                <w:highlight w:val="none"/>
              </w:rPr>
              <w:t>□</w:t>
            </w:r>
            <w:r>
              <w:rPr>
                <w:rFonts w:hint="eastAsia" w:ascii="宋体" w:hAnsi="宋体" w:cs="宋体"/>
                <w:color w:val="auto"/>
                <w:sz w:val="24"/>
                <w:highlight w:val="none"/>
              </w:rPr>
              <w:t>本项目预留部分采购项目预算专门面向中小企业采购。对于预留份额，提供的货物由符合政策要求的中小企业制造、服务由符合政策要求的中小企业承接。预留份额通过以下措施进行：</w:t>
            </w:r>
            <w:r>
              <w:rPr>
                <w:rFonts w:hint="eastAsia" w:ascii="宋体" w:hAnsi="宋体"/>
                <w:color w:val="auto"/>
                <w:sz w:val="24"/>
                <w:highlight w:val="none"/>
                <w:u w:val="single"/>
                <w:lang w:val="en-US" w:eastAsia="zh-CN"/>
              </w:rPr>
              <w:t>/</w:t>
            </w:r>
          </w:p>
          <w:p w14:paraId="28D60D61">
            <w:pPr>
              <w:spacing w:line="500" w:lineRule="exact"/>
              <w:rPr>
                <w:rFonts w:ascii="宋体" w:hAnsi="宋体" w:cs="宋体"/>
                <w:color w:val="auto"/>
                <w:sz w:val="24"/>
                <w:highlight w:val="none"/>
              </w:rPr>
            </w:pPr>
            <w:r>
              <w:rPr>
                <w:rFonts w:hint="eastAsia" w:ascii="宋体" w:hAnsi="宋体" w:cs="宋体"/>
                <w:color w:val="auto"/>
                <w:sz w:val="24"/>
                <w:highlight w:val="none"/>
              </w:rPr>
              <w:t>2.其它落实政府采购政策的资格要求：</w:t>
            </w:r>
            <w:r>
              <w:rPr>
                <w:rFonts w:hint="eastAsia" w:ascii="宋体" w:hAnsi="宋体"/>
                <w:color w:val="auto"/>
                <w:sz w:val="24"/>
                <w:highlight w:val="none"/>
                <w:u w:val="single"/>
                <w:lang w:val="en-US" w:eastAsia="zh-CN"/>
              </w:rPr>
              <w:t>/</w:t>
            </w:r>
            <w:r>
              <w:rPr>
                <w:rFonts w:hint="eastAsia" w:ascii="宋体" w:hAnsi="宋体" w:cs="宋体"/>
                <w:color w:val="auto"/>
                <w:sz w:val="24"/>
                <w:highlight w:val="none"/>
              </w:rPr>
              <w:t>。</w:t>
            </w:r>
          </w:p>
        </w:tc>
      </w:tr>
      <w:tr w14:paraId="14DCE7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988" w:type="dxa"/>
            <w:vMerge w:val="continue"/>
            <w:tcBorders>
              <w:tl2br w:val="nil"/>
              <w:tr2bl w:val="nil"/>
            </w:tcBorders>
            <w:vAlign w:val="center"/>
          </w:tcPr>
          <w:p w14:paraId="65B197FE">
            <w:pPr>
              <w:spacing w:line="500" w:lineRule="exact"/>
              <w:jc w:val="center"/>
              <w:rPr>
                <w:rFonts w:ascii="宋体" w:hAnsi="宋体" w:cs="宋体"/>
                <w:bCs/>
                <w:color w:val="auto"/>
                <w:sz w:val="24"/>
                <w:highlight w:val="none"/>
              </w:rPr>
            </w:pPr>
          </w:p>
        </w:tc>
        <w:tc>
          <w:tcPr>
            <w:tcW w:w="1377" w:type="dxa"/>
            <w:tcBorders>
              <w:tl2br w:val="nil"/>
              <w:tr2bl w:val="nil"/>
            </w:tcBorders>
            <w:vAlign w:val="center"/>
          </w:tcPr>
          <w:p w14:paraId="0976B39C">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执行财政政策投标报价评审时扣除比例</w:t>
            </w:r>
          </w:p>
        </w:tc>
        <w:tc>
          <w:tcPr>
            <w:tcW w:w="6414" w:type="dxa"/>
            <w:tcBorders>
              <w:tl2br w:val="nil"/>
              <w:tr2bl w:val="nil"/>
            </w:tcBorders>
            <w:vAlign w:val="center"/>
          </w:tcPr>
          <w:p w14:paraId="4A85CE59">
            <w:pPr>
              <w:widowControl/>
              <w:spacing w:line="500" w:lineRule="exact"/>
              <w:rPr>
                <w:rFonts w:hint="eastAsia" w:ascii="宋体" w:hAnsi="宋体" w:eastAsia="宋体"/>
                <w:color w:val="auto"/>
                <w:kern w:val="0"/>
                <w:sz w:val="24"/>
                <w:highlight w:val="none"/>
                <w:lang w:eastAsia="zh-CN"/>
              </w:rPr>
            </w:pPr>
            <w:r>
              <w:rPr>
                <w:rFonts w:hint="eastAsia" w:ascii="宋体" w:hAnsi="宋体"/>
                <w:color w:val="auto"/>
                <w:sz w:val="24"/>
                <w:highlight w:val="none"/>
                <w:u w:val="none"/>
                <w:lang w:eastAsia="zh-CN"/>
              </w:rPr>
              <w:t>本项目专门面向中小企业预留份额</w:t>
            </w:r>
            <w:r>
              <w:rPr>
                <w:rFonts w:hint="eastAsia" w:ascii="宋体" w:hAnsi="宋体"/>
                <w:color w:val="auto"/>
                <w:sz w:val="24"/>
                <w:highlight w:val="none"/>
                <w:u w:val="none"/>
                <w:lang w:val="en-US" w:eastAsia="zh-CN"/>
              </w:rPr>
              <w:t>，报价评审时不予</w:t>
            </w:r>
            <w:r>
              <w:rPr>
                <w:rFonts w:hint="eastAsia" w:ascii="宋体" w:hAnsi="宋体"/>
                <w:color w:val="auto"/>
                <w:sz w:val="24"/>
                <w:highlight w:val="none"/>
                <w:u w:val="none"/>
                <w:lang w:eastAsia="zh-CN"/>
              </w:rPr>
              <w:t>扣除。</w:t>
            </w:r>
          </w:p>
        </w:tc>
      </w:tr>
      <w:tr w14:paraId="37D762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vMerge w:val="continue"/>
            <w:tcBorders>
              <w:tl2br w:val="nil"/>
              <w:tr2bl w:val="nil"/>
            </w:tcBorders>
            <w:vAlign w:val="center"/>
          </w:tcPr>
          <w:p w14:paraId="2C974C66">
            <w:pPr>
              <w:spacing w:line="500" w:lineRule="exact"/>
              <w:rPr>
                <w:rFonts w:ascii="宋体" w:hAnsi="宋体" w:cs="宋体"/>
                <w:bCs/>
                <w:color w:val="auto"/>
                <w:sz w:val="24"/>
                <w:highlight w:val="none"/>
              </w:rPr>
            </w:pPr>
          </w:p>
        </w:tc>
        <w:tc>
          <w:tcPr>
            <w:tcW w:w="1377" w:type="dxa"/>
            <w:tcBorders>
              <w:tl2br w:val="nil"/>
              <w:tr2bl w:val="nil"/>
            </w:tcBorders>
            <w:vAlign w:val="center"/>
          </w:tcPr>
          <w:p w14:paraId="59A92840">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本项目采购标的所属行业</w:t>
            </w:r>
          </w:p>
        </w:tc>
        <w:tc>
          <w:tcPr>
            <w:tcW w:w="6414" w:type="dxa"/>
            <w:tcBorders>
              <w:tl2br w:val="nil"/>
              <w:tr2bl w:val="nil"/>
            </w:tcBorders>
            <w:vAlign w:val="center"/>
          </w:tcPr>
          <w:p w14:paraId="2C3609BA">
            <w:pPr>
              <w:spacing w:line="500" w:lineRule="exact"/>
              <w:jc w:val="left"/>
              <w:rPr>
                <w:rFonts w:ascii="宋体" w:hAnsi="宋体"/>
                <w:color w:val="auto"/>
                <w:sz w:val="24"/>
                <w:highlight w:val="none"/>
                <w:lang w:val="zh-CN"/>
              </w:rPr>
            </w:pPr>
            <w:r>
              <w:rPr>
                <w:rFonts w:hint="eastAsia" w:ascii="宋体" w:hAnsi="宋体"/>
                <w:color w:val="auto"/>
                <w:sz w:val="24"/>
                <w:highlight w:val="none"/>
                <w:lang w:val="zh-CN"/>
              </w:rPr>
              <w:t>本项目标的所属行业：根据《关于印发中小企业划型标准规定的通知》工信部联企业〔2011〕300号规定，</w:t>
            </w:r>
            <w:r>
              <w:rPr>
                <w:rFonts w:ascii="宋体" w:hAnsi="宋体"/>
                <w:color w:val="auto"/>
                <w:sz w:val="24"/>
                <w:highlight w:val="none"/>
                <w:lang w:val="zh-CN"/>
              </w:rPr>
              <w:t>本项目采购标的对应的中小企业划分标准所属行业</w:t>
            </w:r>
            <w:r>
              <w:rPr>
                <w:rFonts w:hint="eastAsia" w:ascii="宋体" w:hAnsi="宋体"/>
                <w:color w:val="auto"/>
                <w:sz w:val="24"/>
                <w:highlight w:val="none"/>
                <w:lang w:val="zh-CN"/>
              </w:rPr>
              <w:t>如下</w:t>
            </w:r>
            <w:r>
              <w:rPr>
                <w:rFonts w:ascii="宋体" w:hAnsi="宋体"/>
                <w:color w:val="auto"/>
                <w:sz w:val="24"/>
                <w:highlight w:val="none"/>
                <w:lang w:val="zh-CN"/>
              </w:rPr>
              <w:t>：</w:t>
            </w:r>
          </w:p>
          <w:tbl>
            <w:tblPr>
              <w:tblStyle w:val="4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82"/>
            </w:tblGrid>
            <w:tr w14:paraId="02685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tcBorders>
                    <w:top w:val="single" w:color="auto" w:sz="4" w:space="0"/>
                    <w:left w:val="single" w:color="auto" w:sz="4" w:space="0"/>
                    <w:bottom w:val="single" w:color="auto" w:sz="4" w:space="0"/>
                    <w:right w:val="single" w:color="auto" w:sz="4" w:space="0"/>
                  </w:tcBorders>
                  <w:vAlign w:val="center"/>
                </w:tcPr>
                <w:p w14:paraId="7308019D">
                  <w:pPr>
                    <w:spacing w:line="500" w:lineRule="exact"/>
                    <w:jc w:val="center"/>
                    <w:rPr>
                      <w:b/>
                      <w:color w:val="auto"/>
                      <w:sz w:val="24"/>
                      <w:highlight w:val="none"/>
                    </w:rPr>
                  </w:pPr>
                  <w:r>
                    <w:rPr>
                      <w:b/>
                      <w:color w:val="auto"/>
                      <w:sz w:val="24"/>
                      <w:highlight w:val="none"/>
                    </w:rPr>
                    <w:t>中小企业划分标准所属行业</w:t>
                  </w:r>
                </w:p>
              </w:tc>
            </w:tr>
            <w:tr w14:paraId="412AB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tcBorders>
                    <w:top w:val="single" w:color="auto" w:sz="4" w:space="0"/>
                    <w:left w:val="single" w:color="auto" w:sz="4" w:space="0"/>
                    <w:bottom w:val="single" w:color="auto" w:sz="4" w:space="0"/>
                    <w:right w:val="single" w:color="auto" w:sz="4" w:space="0"/>
                  </w:tcBorders>
                  <w:vAlign w:val="center"/>
                </w:tcPr>
                <w:p w14:paraId="567E111D">
                  <w:pPr>
                    <w:spacing w:line="500" w:lineRule="exact"/>
                    <w:jc w:val="center"/>
                    <w:rPr>
                      <w:rFonts w:hint="eastAsia" w:eastAsia="宋体"/>
                      <w:b/>
                      <w:color w:val="auto"/>
                      <w:sz w:val="24"/>
                      <w:highlight w:val="none"/>
                      <w:lang w:eastAsia="zh-CN"/>
                    </w:rPr>
                  </w:pPr>
                  <w:r>
                    <w:rPr>
                      <w:rFonts w:hint="eastAsia"/>
                      <w:b/>
                      <w:color w:val="auto"/>
                      <w:sz w:val="24"/>
                      <w:highlight w:val="none"/>
                      <w:lang w:eastAsia="zh-CN"/>
                    </w:rPr>
                    <w:t>工业</w:t>
                  </w:r>
                </w:p>
              </w:tc>
            </w:tr>
          </w:tbl>
          <w:p w14:paraId="700D46A7">
            <w:pPr>
              <w:spacing w:line="500" w:lineRule="exact"/>
              <w:rPr>
                <w:rFonts w:ascii="宋体" w:hAnsi="宋体" w:cs="宋体"/>
                <w:color w:val="auto"/>
                <w:sz w:val="24"/>
                <w:highlight w:val="none"/>
              </w:rPr>
            </w:pPr>
          </w:p>
        </w:tc>
      </w:tr>
      <w:tr w14:paraId="1894A7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988" w:type="dxa"/>
            <w:tcBorders>
              <w:tl2br w:val="nil"/>
              <w:tr2bl w:val="nil"/>
            </w:tcBorders>
            <w:vAlign w:val="center"/>
          </w:tcPr>
          <w:p w14:paraId="70E49F99">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2.2</w:t>
            </w:r>
          </w:p>
        </w:tc>
        <w:tc>
          <w:tcPr>
            <w:tcW w:w="1377" w:type="dxa"/>
            <w:tcBorders>
              <w:tl2br w:val="nil"/>
              <w:tr2bl w:val="nil"/>
            </w:tcBorders>
            <w:vAlign w:val="center"/>
          </w:tcPr>
          <w:p w14:paraId="04B8FBA5">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招标文件的澄清和修改</w:t>
            </w:r>
          </w:p>
        </w:tc>
        <w:tc>
          <w:tcPr>
            <w:tcW w:w="6414" w:type="dxa"/>
            <w:tcBorders>
              <w:tl2br w:val="nil"/>
              <w:tr2bl w:val="nil"/>
            </w:tcBorders>
            <w:vAlign w:val="center"/>
          </w:tcPr>
          <w:p w14:paraId="0FB35FB9">
            <w:pPr>
              <w:spacing w:line="500" w:lineRule="exact"/>
              <w:rPr>
                <w:rFonts w:ascii="宋体" w:hAnsi="宋体" w:cs="宋体"/>
                <w:color w:val="auto"/>
                <w:sz w:val="24"/>
                <w:highlight w:val="none"/>
              </w:rPr>
            </w:pPr>
            <w:r>
              <w:rPr>
                <w:rFonts w:hint="eastAsia" w:ascii="宋体" w:hAnsi="宋体" w:cs="宋体"/>
                <w:color w:val="auto"/>
                <w:sz w:val="24"/>
                <w:highlight w:val="none"/>
              </w:rPr>
              <w:t>时间：投标截止时间15日前</w:t>
            </w:r>
          </w:p>
          <w:p w14:paraId="2CFEA858">
            <w:pPr>
              <w:spacing w:line="500" w:lineRule="exact"/>
              <w:rPr>
                <w:rFonts w:ascii="宋体" w:hAnsi="宋体" w:cs="宋体"/>
                <w:color w:val="auto"/>
                <w:sz w:val="24"/>
                <w:highlight w:val="none"/>
              </w:rPr>
            </w:pPr>
            <w:r>
              <w:rPr>
                <w:rFonts w:hint="eastAsia" w:ascii="宋体" w:hAnsi="宋体" w:cs="宋体"/>
                <w:color w:val="auto"/>
                <w:sz w:val="24"/>
                <w:highlight w:val="none"/>
              </w:rPr>
              <w:t>形式：以书面形式通知所有购买招标文件的投标人。</w:t>
            </w:r>
          </w:p>
        </w:tc>
      </w:tr>
      <w:tr w14:paraId="0092A4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88" w:type="dxa"/>
            <w:tcBorders>
              <w:tl2br w:val="nil"/>
              <w:tr2bl w:val="nil"/>
            </w:tcBorders>
            <w:vAlign w:val="center"/>
          </w:tcPr>
          <w:p w14:paraId="0CFC813F">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3.3.1</w:t>
            </w:r>
          </w:p>
        </w:tc>
        <w:tc>
          <w:tcPr>
            <w:tcW w:w="1377" w:type="dxa"/>
            <w:tcBorders>
              <w:tl2br w:val="nil"/>
              <w:tr2bl w:val="nil"/>
            </w:tcBorders>
            <w:vAlign w:val="center"/>
          </w:tcPr>
          <w:p w14:paraId="4914AAA2">
            <w:pPr>
              <w:spacing w:line="50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投标有</w:t>
            </w:r>
          </w:p>
          <w:p w14:paraId="7ED6AC2B">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效期</w:t>
            </w:r>
          </w:p>
        </w:tc>
        <w:tc>
          <w:tcPr>
            <w:tcW w:w="6414" w:type="dxa"/>
            <w:tcBorders>
              <w:tl2br w:val="nil"/>
              <w:tr2bl w:val="nil"/>
            </w:tcBorders>
            <w:vAlign w:val="center"/>
          </w:tcPr>
          <w:p w14:paraId="2D87CC63">
            <w:pPr>
              <w:spacing w:line="500" w:lineRule="exact"/>
              <w:rPr>
                <w:rFonts w:ascii="宋体" w:hAnsi="宋体" w:cs="宋体"/>
                <w:b/>
                <w:bCs/>
                <w:color w:val="auto"/>
                <w:sz w:val="24"/>
                <w:highlight w:val="none"/>
              </w:rPr>
            </w:pPr>
            <w:r>
              <w:rPr>
                <w:rFonts w:hint="eastAsia" w:ascii="宋体" w:hAnsi="宋体"/>
                <w:color w:val="auto"/>
                <w:sz w:val="24"/>
                <w:highlight w:val="none"/>
              </w:rPr>
              <w:t>自提交投标文件截止之日起</w:t>
            </w:r>
            <w:r>
              <w:rPr>
                <w:rFonts w:hint="eastAsia" w:ascii="宋体" w:hAnsi="宋体"/>
                <w:color w:val="auto"/>
                <w:sz w:val="24"/>
                <w:highlight w:val="none"/>
                <w:u w:val="none"/>
                <w:lang w:val="en-US" w:eastAsia="zh-CN"/>
              </w:rPr>
              <w:t>90</w:t>
            </w:r>
            <w:r>
              <w:rPr>
                <w:rFonts w:hint="eastAsia" w:ascii="宋体" w:hAnsi="宋体"/>
                <w:color w:val="auto"/>
                <w:sz w:val="24"/>
                <w:highlight w:val="none"/>
              </w:rPr>
              <w:t>日历日</w:t>
            </w:r>
          </w:p>
        </w:tc>
      </w:tr>
      <w:tr w14:paraId="3E91C8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988" w:type="dxa"/>
            <w:tcBorders>
              <w:tl2br w:val="nil"/>
              <w:tr2bl w:val="nil"/>
            </w:tcBorders>
            <w:vAlign w:val="center"/>
          </w:tcPr>
          <w:p w14:paraId="30713F40">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3.4.1</w:t>
            </w:r>
          </w:p>
        </w:tc>
        <w:tc>
          <w:tcPr>
            <w:tcW w:w="1377" w:type="dxa"/>
            <w:tcBorders>
              <w:tl2br w:val="nil"/>
              <w:tr2bl w:val="nil"/>
            </w:tcBorders>
            <w:vAlign w:val="center"/>
          </w:tcPr>
          <w:p w14:paraId="43512098">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投标</w:t>
            </w:r>
          </w:p>
          <w:p w14:paraId="562CCA8E">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保证金</w:t>
            </w:r>
          </w:p>
        </w:tc>
        <w:tc>
          <w:tcPr>
            <w:tcW w:w="6414" w:type="dxa"/>
            <w:tcBorders>
              <w:tl2br w:val="nil"/>
              <w:tr2bl w:val="nil"/>
            </w:tcBorders>
            <w:vAlign w:val="center"/>
          </w:tcPr>
          <w:p w14:paraId="0CA3F1A3">
            <w:pPr>
              <w:spacing w:line="500" w:lineRule="exact"/>
              <w:jc w:val="left"/>
              <w:rPr>
                <w:rFonts w:ascii="宋体" w:hAnsi="宋体" w:cs="宋体" w:eastAsiaTheme="minorEastAsia"/>
                <w:b/>
                <w:bCs/>
                <w:color w:val="auto"/>
                <w:sz w:val="24"/>
                <w:highlight w:val="none"/>
              </w:rPr>
            </w:pPr>
            <w:r>
              <w:rPr>
                <w:rFonts w:hint="eastAsia" w:ascii="宋体" w:hAnsi="宋体" w:cs="宋体" w:eastAsiaTheme="minorEastAsia"/>
                <w:b/>
                <w:bCs/>
                <w:color w:val="auto"/>
                <w:sz w:val="24"/>
                <w:highlight w:val="none"/>
              </w:rPr>
              <w:t>投标</w:t>
            </w:r>
            <w:r>
              <w:rPr>
                <w:rFonts w:hint="eastAsia" w:ascii="宋体" w:hAnsi="宋体" w:cs="宋体"/>
                <w:b/>
                <w:bCs/>
                <w:color w:val="auto"/>
                <w:sz w:val="24"/>
                <w:highlight w:val="none"/>
              </w:rPr>
              <w:t>保证金金额：</w:t>
            </w:r>
            <w:r>
              <w:rPr>
                <w:rFonts w:hint="eastAsia" w:ascii="宋体" w:hAnsi="宋体" w:cs="宋体"/>
                <w:b w:val="0"/>
                <w:bCs w:val="0"/>
                <w:color w:val="auto"/>
                <w:sz w:val="24"/>
                <w:highlight w:val="none"/>
                <w:lang w:val="en-US" w:eastAsia="zh-CN"/>
              </w:rPr>
              <w:t>100</w:t>
            </w:r>
            <w:r>
              <w:rPr>
                <w:rFonts w:hint="eastAsia" w:ascii="宋体" w:hAnsi="宋体" w:cs="宋体" w:eastAsiaTheme="minorEastAsia"/>
                <w:color w:val="auto"/>
                <w:sz w:val="24"/>
                <w:highlight w:val="none"/>
              </w:rPr>
              <w:t>00.00元</w:t>
            </w:r>
          </w:p>
          <w:p w14:paraId="7A10D01E">
            <w:pPr>
              <w:spacing w:line="500" w:lineRule="exact"/>
              <w:jc w:val="left"/>
              <w:rPr>
                <w:rFonts w:ascii="宋体" w:hAnsi="宋体" w:eastAsia="Arial" w:cs="宋体"/>
                <w:b/>
                <w:bCs/>
                <w:color w:val="auto"/>
                <w:sz w:val="24"/>
                <w:highlight w:val="none"/>
              </w:rPr>
            </w:pPr>
            <w:r>
              <w:rPr>
                <w:rFonts w:hint="eastAsia" w:ascii="宋体" w:hAnsi="宋体" w:cs="宋体" w:eastAsiaTheme="minorEastAsia"/>
                <w:b/>
                <w:bCs/>
                <w:color w:val="auto"/>
                <w:sz w:val="24"/>
                <w:highlight w:val="none"/>
              </w:rPr>
              <w:t>投标</w:t>
            </w:r>
            <w:r>
              <w:rPr>
                <w:rFonts w:hint="eastAsia" w:ascii="宋体" w:hAnsi="宋体" w:cs="宋体"/>
                <w:b/>
                <w:bCs/>
                <w:color w:val="auto"/>
                <w:sz w:val="24"/>
                <w:highlight w:val="none"/>
              </w:rPr>
              <w:t>保证金缴纳方式：</w:t>
            </w:r>
            <w:r>
              <w:rPr>
                <w:rFonts w:hint="eastAsia" w:ascii="宋体" w:hAnsi="宋体" w:cs="宋体"/>
                <w:color w:val="auto"/>
                <w:sz w:val="24"/>
                <w:highlight w:val="none"/>
              </w:rPr>
              <w:t>支票、汇票、本票或者金融机构、担保机构出具的保函等非现金方式递交</w:t>
            </w:r>
          </w:p>
          <w:p w14:paraId="06B9D74F">
            <w:pPr>
              <w:spacing w:line="500" w:lineRule="exact"/>
              <w:jc w:val="left"/>
              <w:rPr>
                <w:rFonts w:ascii="宋体" w:hAnsi="宋体" w:eastAsia="Arial" w:cs="宋体"/>
                <w:b/>
                <w:bCs/>
                <w:color w:val="auto"/>
                <w:sz w:val="24"/>
                <w:highlight w:val="none"/>
              </w:rPr>
            </w:pPr>
            <w:r>
              <w:rPr>
                <w:rFonts w:hint="eastAsia" w:ascii="宋体" w:hAnsi="宋体" w:cs="宋体"/>
                <w:b/>
                <w:bCs/>
                <w:color w:val="auto"/>
                <w:sz w:val="24"/>
                <w:highlight w:val="none"/>
              </w:rPr>
              <w:t>公司名称：</w:t>
            </w:r>
            <w:r>
              <w:rPr>
                <w:rFonts w:hint="eastAsia" w:ascii="宋体" w:hAnsi="宋体" w:cs="宋体"/>
                <w:color w:val="auto"/>
                <w:sz w:val="24"/>
                <w:highlight w:val="none"/>
              </w:rPr>
              <w:t>新疆天合新动力工程管理有限公司</w:t>
            </w:r>
          </w:p>
          <w:p w14:paraId="77065F2B">
            <w:pPr>
              <w:spacing w:line="500" w:lineRule="exact"/>
              <w:jc w:val="left"/>
              <w:rPr>
                <w:rFonts w:ascii="宋体" w:hAnsi="宋体" w:eastAsia="Arial" w:cs="宋体"/>
                <w:b/>
                <w:bCs/>
                <w:color w:val="auto"/>
                <w:sz w:val="24"/>
                <w:highlight w:val="none"/>
              </w:rPr>
            </w:pPr>
            <w:r>
              <w:rPr>
                <w:rFonts w:hint="eastAsia" w:ascii="宋体" w:hAnsi="宋体" w:cs="宋体"/>
                <w:b/>
                <w:bCs/>
                <w:color w:val="auto"/>
                <w:sz w:val="24"/>
                <w:highlight w:val="none"/>
              </w:rPr>
              <w:t>银行账号：</w:t>
            </w:r>
            <w:r>
              <w:rPr>
                <w:rFonts w:hint="eastAsia" w:ascii="宋体" w:hAnsi="宋体" w:eastAsia="Arial" w:cs="宋体"/>
                <w:color w:val="auto"/>
                <w:sz w:val="24"/>
                <w:highlight w:val="none"/>
              </w:rPr>
              <w:t>512030100100197650</w:t>
            </w:r>
          </w:p>
          <w:p w14:paraId="20C80BF5">
            <w:pPr>
              <w:spacing w:line="500" w:lineRule="exact"/>
              <w:jc w:val="left"/>
              <w:rPr>
                <w:rFonts w:ascii="宋体" w:hAnsi="宋体" w:eastAsia="Arial" w:cs="宋体"/>
                <w:b/>
                <w:bCs/>
                <w:color w:val="auto"/>
                <w:sz w:val="24"/>
                <w:highlight w:val="none"/>
              </w:rPr>
            </w:pPr>
            <w:r>
              <w:rPr>
                <w:rFonts w:hint="eastAsia" w:ascii="宋体" w:hAnsi="宋体" w:cs="宋体"/>
                <w:b/>
                <w:bCs/>
                <w:color w:val="auto"/>
                <w:sz w:val="24"/>
                <w:highlight w:val="none"/>
              </w:rPr>
              <w:t>开户行地址：</w:t>
            </w:r>
            <w:r>
              <w:rPr>
                <w:rFonts w:hint="eastAsia" w:ascii="宋体" w:hAnsi="宋体" w:cs="宋体"/>
                <w:color w:val="auto"/>
                <w:sz w:val="24"/>
                <w:highlight w:val="none"/>
              </w:rPr>
              <w:t>兴业银行乌鲁木齐南湖路支行</w:t>
            </w:r>
          </w:p>
          <w:p w14:paraId="34E6C1D8">
            <w:pPr>
              <w:spacing w:line="500" w:lineRule="exact"/>
              <w:jc w:val="left"/>
              <w:rPr>
                <w:rFonts w:ascii="宋体" w:hAnsi="宋体" w:eastAsia="Arial" w:cs="宋体"/>
                <w:b/>
                <w:bCs/>
                <w:color w:val="auto"/>
                <w:sz w:val="24"/>
                <w:highlight w:val="none"/>
              </w:rPr>
            </w:pPr>
            <w:r>
              <w:rPr>
                <w:rFonts w:hint="eastAsia" w:ascii="宋体" w:hAnsi="宋体" w:cs="宋体"/>
                <w:b/>
                <w:bCs/>
                <w:color w:val="auto"/>
                <w:sz w:val="24"/>
                <w:highlight w:val="none"/>
              </w:rPr>
              <w:t>银行行号：</w:t>
            </w:r>
            <w:r>
              <w:rPr>
                <w:rFonts w:hint="eastAsia" w:ascii="宋体" w:hAnsi="宋体" w:eastAsia="Arial" w:cs="宋体"/>
                <w:color w:val="auto"/>
                <w:sz w:val="24"/>
                <w:highlight w:val="none"/>
              </w:rPr>
              <w:t>309881002036</w:t>
            </w:r>
          </w:p>
          <w:p w14:paraId="3E8C8D65">
            <w:pPr>
              <w:spacing w:line="500" w:lineRule="exact"/>
              <w:jc w:val="left"/>
              <w:rPr>
                <w:rFonts w:ascii="宋体" w:hAnsi="宋体" w:eastAsia="Arial" w:cs="宋体"/>
                <w:b/>
                <w:bCs/>
                <w:color w:val="auto"/>
                <w:sz w:val="24"/>
                <w:highlight w:val="none"/>
              </w:rPr>
            </w:pPr>
            <w:r>
              <w:rPr>
                <w:rFonts w:hint="eastAsia" w:ascii="宋体" w:hAnsi="宋体" w:cs="宋体"/>
                <w:b/>
                <w:bCs/>
                <w:color w:val="auto"/>
                <w:sz w:val="24"/>
                <w:highlight w:val="none"/>
              </w:rPr>
              <w:t>投标保证金缴纳截止时间：</w:t>
            </w:r>
            <w:r>
              <w:rPr>
                <w:rFonts w:hint="eastAsia" w:ascii="宋体" w:hAnsi="宋体" w:cs="宋体"/>
                <w:color w:val="auto"/>
                <w:sz w:val="24"/>
                <w:highlight w:val="none"/>
              </w:rPr>
              <w:t>同提交</w:t>
            </w:r>
            <w:r>
              <w:rPr>
                <w:rFonts w:hint="eastAsia" w:ascii="宋体" w:hAnsi="宋体" w:cs="宋体" w:eastAsiaTheme="minorEastAsia"/>
                <w:color w:val="auto"/>
                <w:sz w:val="24"/>
                <w:highlight w:val="none"/>
              </w:rPr>
              <w:t>投标</w:t>
            </w:r>
            <w:r>
              <w:rPr>
                <w:rFonts w:hint="eastAsia" w:ascii="宋体" w:hAnsi="宋体" w:cs="宋体"/>
                <w:color w:val="auto"/>
                <w:sz w:val="24"/>
                <w:highlight w:val="none"/>
              </w:rPr>
              <w:t>截止时间</w:t>
            </w:r>
          </w:p>
          <w:p w14:paraId="7D55FBB1">
            <w:pPr>
              <w:spacing w:line="500" w:lineRule="exact"/>
              <w:jc w:val="left"/>
              <w:rPr>
                <w:rFonts w:ascii="宋体" w:hAnsi="宋体" w:cs="宋体"/>
                <w:b/>
                <w:color w:val="auto"/>
                <w:sz w:val="24"/>
                <w:highlight w:val="none"/>
              </w:rPr>
            </w:pPr>
            <w:r>
              <w:rPr>
                <w:rFonts w:hint="eastAsia" w:ascii="宋体" w:hAnsi="宋体" w:cs="宋体"/>
                <w:b/>
                <w:color w:val="auto"/>
                <w:sz w:val="24"/>
                <w:highlight w:val="none"/>
              </w:rPr>
              <w:t>特别提示：</w:t>
            </w:r>
            <w:r>
              <w:rPr>
                <w:rFonts w:hint="eastAsia" w:ascii="宋体" w:hAnsi="宋体" w:cs="宋体"/>
                <w:bCs/>
                <w:color w:val="auto"/>
                <w:sz w:val="24"/>
                <w:highlight w:val="none"/>
              </w:rPr>
              <w:t>无论以任何形式递交保证金，都必须在投标保证金截止时间前缴纳，以我公司到账信息为准。若在投标截止时间前未查到账，视为未缴纳投标保证金。投标人办理投标保证金汇（转）款时，必须在用途栏（备注栏）准确注明</w:t>
            </w:r>
            <w:r>
              <w:rPr>
                <w:rFonts w:hint="eastAsia" w:ascii="宋体" w:hAnsi="宋体" w:cs="宋体"/>
                <w:b/>
                <w:color w:val="auto"/>
                <w:sz w:val="24"/>
                <w:highlight w:val="none"/>
              </w:rPr>
              <w:t>“项目编号+投标保证金”</w:t>
            </w:r>
            <w:r>
              <w:rPr>
                <w:rFonts w:hint="eastAsia" w:ascii="宋体" w:hAnsi="宋体" w:cs="宋体"/>
                <w:bCs/>
                <w:color w:val="auto"/>
                <w:sz w:val="24"/>
                <w:highlight w:val="none"/>
              </w:rPr>
              <w:t>。</w:t>
            </w:r>
          </w:p>
          <w:p w14:paraId="41736149">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投标保证金有效期与投标有效期一致</w:t>
            </w:r>
          </w:p>
        </w:tc>
      </w:tr>
      <w:tr w14:paraId="7E45FE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988" w:type="dxa"/>
            <w:tcBorders>
              <w:tl2br w:val="nil"/>
              <w:tr2bl w:val="nil"/>
            </w:tcBorders>
            <w:vAlign w:val="center"/>
          </w:tcPr>
          <w:p w14:paraId="2FC4B640">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4.1.1</w:t>
            </w:r>
          </w:p>
        </w:tc>
        <w:tc>
          <w:tcPr>
            <w:tcW w:w="1377" w:type="dxa"/>
            <w:tcBorders>
              <w:tl2br w:val="nil"/>
              <w:tr2bl w:val="nil"/>
            </w:tcBorders>
            <w:vAlign w:val="center"/>
          </w:tcPr>
          <w:p w14:paraId="620FD3B6">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投标文件</w:t>
            </w:r>
          </w:p>
          <w:p w14:paraId="10E3B2AF">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份数及其他要求</w:t>
            </w:r>
          </w:p>
        </w:tc>
        <w:tc>
          <w:tcPr>
            <w:tcW w:w="6414" w:type="dxa"/>
            <w:tcBorders>
              <w:tl2br w:val="nil"/>
              <w:tr2bl w:val="nil"/>
            </w:tcBorders>
            <w:vAlign w:val="center"/>
          </w:tcPr>
          <w:p w14:paraId="4F331CB7">
            <w:pPr>
              <w:autoSpaceDE w:val="0"/>
              <w:autoSpaceDN w:val="0"/>
              <w:spacing w:line="500" w:lineRule="exact"/>
              <w:rPr>
                <w:rFonts w:ascii="宋体" w:hAnsi="宋体" w:cs="宋体"/>
                <w:color w:val="auto"/>
                <w:szCs w:val="21"/>
                <w:highlight w:val="none"/>
              </w:rPr>
            </w:pPr>
            <w:r>
              <w:rPr>
                <w:rFonts w:hint="eastAsia" w:ascii="宋体" w:hAnsi="宋体" w:cs="宋体"/>
                <w:bCs/>
                <w:color w:val="auto"/>
                <w:sz w:val="24"/>
                <w:highlight w:val="none"/>
              </w:rPr>
              <w:t>按招标文件及政采云平台要求制作上传电子投标文件</w:t>
            </w:r>
          </w:p>
        </w:tc>
      </w:tr>
      <w:tr w14:paraId="15DA50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88" w:type="dxa"/>
            <w:tcBorders>
              <w:tl2br w:val="nil"/>
              <w:tr2bl w:val="nil"/>
            </w:tcBorders>
            <w:vAlign w:val="center"/>
          </w:tcPr>
          <w:p w14:paraId="0E5668C4">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4.2.1</w:t>
            </w:r>
          </w:p>
        </w:tc>
        <w:tc>
          <w:tcPr>
            <w:tcW w:w="1377" w:type="dxa"/>
            <w:tcBorders>
              <w:tl2br w:val="nil"/>
              <w:tr2bl w:val="nil"/>
            </w:tcBorders>
            <w:vAlign w:val="center"/>
          </w:tcPr>
          <w:p w14:paraId="4BE05401">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投标截止</w:t>
            </w:r>
          </w:p>
          <w:p w14:paraId="793B1343">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时间及投标文件递交地点</w:t>
            </w:r>
          </w:p>
        </w:tc>
        <w:tc>
          <w:tcPr>
            <w:tcW w:w="6414" w:type="dxa"/>
            <w:tcBorders>
              <w:tl2br w:val="nil"/>
              <w:tr2bl w:val="nil"/>
            </w:tcBorders>
            <w:vAlign w:val="center"/>
          </w:tcPr>
          <w:p w14:paraId="2F4B56ED">
            <w:pPr>
              <w:spacing w:line="500" w:lineRule="exact"/>
              <w:rPr>
                <w:rFonts w:ascii="宋体" w:hAnsi="宋体" w:cs="宋体"/>
                <w:color w:val="auto"/>
                <w:sz w:val="24"/>
                <w:highlight w:val="none"/>
              </w:rPr>
            </w:pPr>
            <w:r>
              <w:rPr>
                <w:rFonts w:hint="eastAsia" w:ascii="宋体" w:hAnsi="宋体" w:cs="宋体"/>
                <w:color w:val="auto"/>
                <w:sz w:val="24"/>
                <w:highlight w:val="none"/>
              </w:rPr>
              <w:t>投标截止时间：</w:t>
            </w:r>
            <w:r>
              <w:rPr>
                <w:rFonts w:hint="eastAsia" w:ascii="宋体" w:hAnsi="宋体" w:cs="MS Mincho"/>
                <w:color w:val="auto"/>
                <w:sz w:val="24"/>
                <w:highlight w:val="none"/>
                <w:u w:val="none"/>
                <w:lang w:val="en-US" w:eastAsia="zh-CN"/>
              </w:rPr>
              <w:t>2025年04月30日11点00分</w:t>
            </w:r>
          </w:p>
          <w:p w14:paraId="2C10F563">
            <w:pPr>
              <w:spacing w:line="500" w:lineRule="exact"/>
              <w:rPr>
                <w:rFonts w:eastAsia="仿宋_GB2312"/>
                <w:color w:val="auto"/>
                <w:highlight w:val="none"/>
              </w:rPr>
            </w:pPr>
            <w:r>
              <w:rPr>
                <w:rFonts w:hint="eastAsia" w:ascii="宋体" w:hAnsi="宋体" w:cs="宋体"/>
                <w:color w:val="auto"/>
                <w:sz w:val="24"/>
                <w:highlight w:val="none"/>
              </w:rPr>
              <w:t>投标文件递交地点：政采云平台</w:t>
            </w:r>
          </w:p>
        </w:tc>
      </w:tr>
      <w:tr w14:paraId="0C98AE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988" w:type="dxa"/>
            <w:tcBorders>
              <w:tl2br w:val="nil"/>
              <w:tr2bl w:val="nil"/>
            </w:tcBorders>
            <w:vAlign w:val="center"/>
          </w:tcPr>
          <w:p w14:paraId="2D2AF7CA">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5.1.1</w:t>
            </w:r>
          </w:p>
        </w:tc>
        <w:tc>
          <w:tcPr>
            <w:tcW w:w="1377" w:type="dxa"/>
            <w:tcBorders>
              <w:tl2br w:val="nil"/>
              <w:tr2bl w:val="nil"/>
            </w:tcBorders>
            <w:vAlign w:val="center"/>
          </w:tcPr>
          <w:p w14:paraId="06E965FE">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开标时间及地点</w:t>
            </w:r>
          </w:p>
        </w:tc>
        <w:tc>
          <w:tcPr>
            <w:tcW w:w="6414" w:type="dxa"/>
            <w:tcBorders>
              <w:tl2br w:val="nil"/>
              <w:tr2bl w:val="nil"/>
            </w:tcBorders>
            <w:vAlign w:val="center"/>
          </w:tcPr>
          <w:p w14:paraId="1348C9D3">
            <w:pPr>
              <w:spacing w:line="500" w:lineRule="exact"/>
              <w:rPr>
                <w:rFonts w:ascii="宋体" w:hAnsi="宋体" w:cs="宋体"/>
                <w:color w:val="auto"/>
                <w:sz w:val="24"/>
                <w:highlight w:val="none"/>
              </w:rPr>
            </w:pPr>
            <w:r>
              <w:rPr>
                <w:rFonts w:hint="eastAsia" w:ascii="宋体" w:hAnsi="宋体" w:cs="宋体"/>
                <w:color w:val="auto"/>
                <w:sz w:val="24"/>
                <w:highlight w:val="none"/>
              </w:rPr>
              <w:t>开标时间：</w:t>
            </w:r>
            <w:r>
              <w:rPr>
                <w:rFonts w:hint="eastAsia" w:ascii="宋体" w:hAnsi="宋体" w:cs="MS Mincho"/>
                <w:color w:val="auto"/>
                <w:sz w:val="24"/>
                <w:highlight w:val="none"/>
                <w:u w:val="none"/>
                <w:lang w:val="en-US" w:eastAsia="zh-CN"/>
              </w:rPr>
              <w:t>2025年04月30日11点00分</w:t>
            </w:r>
          </w:p>
          <w:p w14:paraId="70015F07">
            <w:pPr>
              <w:spacing w:line="500" w:lineRule="exact"/>
              <w:rPr>
                <w:rFonts w:eastAsia="Arial"/>
                <w:color w:val="auto"/>
                <w:highlight w:val="none"/>
              </w:rPr>
            </w:pPr>
            <w:r>
              <w:rPr>
                <w:rFonts w:hint="eastAsia" w:ascii="宋体" w:hAnsi="宋体" w:cs="宋体"/>
                <w:color w:val="auto"/>
                <w:sz w:val="24"/>
                <w:highlight w:val="none"/>
              </w:rPr>
              <w:t>开标地点：政采云平台</w:t>
            </w:r>
          </w:p>
        </w:tc>
      </w:tr>
      <w:tr w14:paraId="5733C9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8" w:type="dxa"/>
            <w:tcBorders>
              <w:tl2br w:val="nil"/>
              <w:tr2bl w:val="nil"/>
            </w:tcBorders>
            <w:vAlign w:val="center"/>
          </w:tcPr>
          <w:p w14:paraId="75B9ECE8">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7.1</w:t>
            </w:r>
          </w:p>
        </w:tc>
        <w:tc>
          <w:tcPr>
            <w:tcW w:w="1377" w:type="dxa"/>
            <w:tcBorders>
              <w:tl2br w:val="nil"/>
              <w:tr2bl w:val="nil"/>
            </w:tcBorders>
            <w:vAlign w:val="center"/>
          </w:tcPr>
          <w:p w14:paraId="2838E4D9">
            <w:pPr>
              <w:shd w:val="clear" w:color="auto" w:fill="FFFFFF"/>
              <w:snapToGrid w:val="0"/>
              <w:spacing w:line="500" w:lineRule="exact"/>
              <w:jc w:val="center"/>
              <w:rPr>
                <w:rFonts w:ascii="宋体" w:hAnsi="宋体" w:cs="宋体"/>
                <w:color w:val="auto"/>
                <w:sz w:val="24"/>
                <w:highlight w:val="none"/>
              </w:rPr>
            </w:pPr>
            <w:r>
              <w:rPr>
                <w:rFonts w:hint="eastAsia" w:ascii="宋体" w:hAnsi="宋体" w:cs="宋体"/>
                <w:color w:val="auto"/>
                <w:sz w:val="24"/>
                <w:highlight w:val="none"/>
              </w:rPr>
              <w:t>评标委员会的组建</w:t>
            </w:r>
          </w:p>
        </w:tc>
        <w:tc>
          <w:tcPr>
            <w:tcW w:w="6414" w:type="dxa"/>
            <w:tcBorders>
              <w:tl2br w:val="nil"/>
              <w:tr2bl w:val="nil"/>
            </w:tcBorders>
            <w:vAlign w:val="center"/>
          </w:tcPr>
          <w:p w14:paraId="1F679F43">
            <w:pPr>
              <w:shd w:val="clear" w:color="auto" w:fill="FFFFFF"/>
              <w:snapToGrid w:val="0"/>
              <w:spacing w:line="500" w:lineRule="exact"/>
              <w:rPr>
                <w:rFonts w:ascii="宋体" w:hAnsi="宋体" w:cs="宋体"/>
                <w:color w:val="auto"/>
                <w:sz w:val="24"/>
                <w:highlight w:val="none"/>
              </w:rPr>
            </w:pPr>
            <w:r>
              <w:rPr>
                <w:rFonts w:hint="eastAsia" w:ascii="宋体" w:hAnsi="宋体" w:cs="宋体"/>
                <w:color w:val="auto"/>
                <w:sz w:val="24"/>
                <w:highlight w:val="none"/>
              </w:rPr>
              <w:t>评标委员会构成：由</w:t>
            </w:r>
            <w:r>
              <w:rPr>
                <w:rFonts w:hint="eastAsia" w:ascii="宋体" w:hAnsi="宋体" w:cs="MS Mincho"/>
                <w:color w:val="auto"/>
                <w:sz w:val="24"/>
                <w:highlight w:val="none"/>
                <w:u w:val="none"/>
                <w:lang w:val="en-US" w:eastAsia="zh-CN"/>
              </w:rPr>
              <w:t>5</w:t>
            </w:r>
            <w:r>
              <w:rPr>
                <w:rFonts w:hint="eastAsia" w:ascii="宋体" w:hAnsi="宋体" w:cs="宋体"/>
                <w:color w:val="auto"/>
                <w:sz w:val="24"/>
                <w:highlight w:val="none"/>
              </w:rPr>
              <w:t>人及以上单数组成，其中评审专家不得少于成员总数的三分之二。</w:t>
            </w:r>
          </w:p>
          <w:p w14:paraId="792AD594">
            <w:pPr>
              <w:shd w:val="clear" w:color="auto" w:fill="FFFFFF"/>
              <w:snapToGrid w:val="0"/>
              <w:spacing w:line="500" w:lineRule="exact"/>
              <w:rPr>
                <w:rFonts w:ascii="宋体" w:hAnsi="宋体" w:cs="宋体"/>
                <w:color w:val="auto"/>
                <w:sz w:val="24"/>
                <w:highlight w:val="none"/>
              </w:rPr>
            </w:pPr>
            <w:r>
              <w:rPr>
                <w:rFonts w:hint="eastAsia" w:ascii="宋体" w:hAnsi="宋体" w:cs="宋体"/>
                <w:color w:val="auto"/>
                <w:sz w:val="24"/>
                <w:highlight w:val="none"/>
              </w:rPr>
              <w:t>评标专家确定方式：随机抽取。</w:t>
            </w:r>
          </w:p>
        </w:tc>
      </w:tr>
      <w:tr w14:paraId="2EDC1A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8" w:type="dxa"/>
            <w:tcBorders>
              <w:tl2br w:val="nil"/>
              <w:tr2bl w:val="nil"/>
            </w:tcBorders>
            <w:vAlign w:val="center"/>
          </w:tcPr>
          <w:p w14:paraId="4E2834A8">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9.1</w:t>
            </w:r>
          </w:p>
        </w:tc>
        <w:tc>
          <w:tcPr>
            <w:tcW w:w="1377" w:type="dxa"/>
            <w:tcBorders>
              <w:tl2br w:val="nil"/>
              <w:tr2bl w:val="nil"/>
            </w:tcBorders>
            <w:vAlign w:val="center"/>
          </w:tcPr>
          <w:p w14:paraId="5C795482">
            <w:pPr>
              <w:spacing w:line="500" w:lineRule="exact"/>
              <w:ind w:right="144" w:rightChars="0"/>
              <w:jc w:val="center"/>
              <w:rPr>
                <w:rFonts w:ascii="宋体" w:hAnsi="宋体" w:cs="宋体"/>
                <w:b/>
                <w:color w:val="auto"/>
                <w:kern w:val="0"/>
                <w:sz w:val="22"/>
                <w:szCs w:val="21"/>
                <w:highlight w:val="none"/>
                <w:lang w:val="zh-CN" w:eastAsia="en-US"/>
              </w:rPr>
            </w:pPr>
            <w:r>
              <w:rPr>
                <w:rFonts w:hint="eastAsia" w:ascii="宋体" w:hAnsi="宋体" w:cs="宋体"/>
                <w:color w:val="auto"/>
                <w:kern w:val="0"/>
                <w:sz w:val="24"/>
                <w:highlight w:val="none"/>
              </w:rPr>
              <w:t>中标结果公告媒介及期限</w:t>
            </w:r>
          </w:p>
        </w:tc>
        <w:tc>
          <w:tcPr>
            <w:tcW w:w="6414" w:type="dxa"/>
            <w:tcBorders>
              <w:tl2br w:val="nil"/>
              <w:tr2bl w:val="nil"/>
            </w:tcBorders>
            <w:vAlign w:val="center"/>
          </w:tcPr>
          <w:p w14:paraId="460A4517">
            <w:pPr>
              <w:spacing w:line="500" w:lineRule="exact"/>
              <w:rPr>
                <w:rFonts w:ascii="宋体" w:hAnsi="宋体" w:cs="宋体"/>
                <w:color w:val="auto"/>
                <w:sz w:val="24"/>
                <w:highlight w:val="none"/>
              </w:rPr>
            </w:pPr>
            <w:r>
              <w:rPr>
                <w:rFonts w:ascii="宋体" w:hAnsi="宋体" w:cs="宋体"/>
                <w:color w:val="auto"/>
                <w:sz w:val="24"/>
                <w:highlight w:val="none"/>
              </w:rPr>
              <w:t>公</w:t>
            </w:r>
            <w:r>
              <w:rPr>
                <w:rFonts w:hint="eastAsia" w:ascii="宋体" w:hAnsi="宋体" w:cs="宋体"/>
                <w:color w:val="auto"/>
                <w:sz w:val="24"/>
                <w:highlight w:val="none"/>
                <w:lang w:val="en-US" w:eastAsia="zh-CN"/>
              </w:rPr>
              <w:t>告</w:t>
            </w:r>
            <w:r>
              <w:rPr>
                <w:rFonts w:ascii="宋体" w:hAnsi="宋体" w:cs="宋体"/>
                <w:color w:val="auto"/>
                <w:sz w:val="24"/>
                <w:highlight w:val="none"/>
              </w:rPr>
              <w:t>媒介：</w:t>
            </w:r>
            <w:r>
              <w:rPr>
                <w:rFonts w:hint="eastAsia" w:ascii="宋体" w:hAnsi="宋体" w:cs="宋体"/>
                <w:color w:val="auto"/>
                <w:sz w:val="24"/>
                <w:highlight w:val="none"/>
              </w:rPr>
              <w:t>新疆政府采购网</w:t>
            </w:r>
          </w:p>
          <w:p w14:paraId="6DEFFEA2">
            <w:pPr>
              <w:spacing w:line="500" w:lineRule="exact"/>
              <w:rPr>
                <w:rFonts w:ascii="宋体" w:hAnsi="宋体" w:cs="宋体"/>
                <w:bCs/>
                <w:color w:val="auto"/>
                <w:szCs w:val="21"/>
                <w:highlight w:val="none"/>
                <w:lang w:val="zh-CN"/>
              </w:rPr>
            </w:pPr>
            <w:r>
              <w:rPr>
                <w:rFonts w:ascii="宋体" w:hAnsi="宋体" w:cs="宋体"/>
                <w:color w:val="auto"/>
                <w:sz w:val="24"/>
                <w:highlight w:val="none"/>
              </w:rPr>
              <w:t>公</w:t>
            </w:r>
            <w:r>
              <w:rPr>
                <w:rFonts w:hint="eastAsia" w:ascii="宋体" w:hAnsi="宋体" w:cs="宋体"/>
                <w:color w:val="auto"/>
                <w:sz w:val="24"/>
                <w:highlight w:val="none"/>
                <w:lang w:val="en-US" w:eastAsia="zh-CN"/>
              </w:rPr>
              <w:t>告</w:t>
            </w:r>
            <w:r>
              <w:rPr>
                <w:rFonts w:ascii="宋体" w:hAnsi="宋体" w:cs="宋体"/>
                <w:color w:val="auto"/>
                <w:sz w:val="24"/>
                <w:highlight w:val="none"/>
              </w:rPr>
              <w:t>期限：</w:t>
            </w:r>
            <w:r>
              <w:rPr>
                <w:rFonts w:hint="eastAsia" w:ascii="宋体" w:hAnsi="宋体" w:cs="宋体"/>
                <w:color w:val="auto"/>
                <w:sz w:val="24"/>
                <w:highlight w:val="none"/>
              </w:rPr>
              <w:t>1个工作</w:t>
            </w:r>
            <w:r>
              <w:rPr>
                <w:rFonts w:ascii="宋体" w:hAnsi="宋体" w:cs="宋体"/>
                <w:color w:val="auto"/>
                <w:sz w:val="24"/>
                <w:highlight w:val="none"/>
              </w:rPr>
              <w:t>日</w:t>
            </w:r>
          </w:p>
        </w:tc>
      </w:tr>
      <w:tr w14:paraId="0509E2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8" w:type="dxa"/>
            <w:tcBorders>
              <w:tl2br w:val="nil"/>
              <w:tr2bl w:val="nil"/>
            </w:tcBorders>
            <w:vAlign w:val="center"/>
          </w:tcPr>
          <w:p w14:paraId="1C6EA062">
            <w:pPr>
              <w:spacing w:line="500" w:lineRule="exact"/>
              <w:jc w:val="center"/>
              <w:rPr>
                <w:rFonts w:ascii="宋体" w:hAnsi="宋体" w:cs="宋体"/>
                <w:bCs/>
                <w:color w:val="auto"/>
                <w:sz w:val="24"/>
                <w:highlight w:val="none"/>
              </w:rPr>
            </w:pPr>
            <w:r>
              <w:rPr>
                <w:rFonts w:hint="eastAsia" w:ascii="宋体" w:hAnsi="宋体" w:cs="宋体"/>
                <w:bCs/>
                <w:color w:val="auto"/>
                <w:sz w:val="24"/>
                <w:highlight w:val="none"/>
              </w:rPr>
              <w:t>11</w:t>
            </w:r>
          </w:p>
        </w:tc>
        <w:tc>
          <w:tcPr>
            <w:tcW w:w="1377" w:type="dxa"/>
            <w:tcBorders>
              <w:tl2br w:val="nil"/>
              <w:tr2bl w:val="nil"/>
            </w:tcBorders>
            <w:vAlign w:val="center"/>
          </w:tcPr>
          <w:p w14:paraId="7A3CB4F5">
            <w:pPr>
              <w:spacing w:line="500" w:lineRule="exact"/>
              <w:rPr>
                <w:rFonts w:ascii="宋体" w:hAnsi="宋体" w:cs="宋体"/>
                <w:color w:val="auto"/>
                <w:sz w:val="24"/>
                <w:highlight w:val="none"/>
              </w:rPr>
            </w:pPr>
            <w:r>
              <w:rPr>
                <w:rFonts w:ascii="宋体" w:hAnsi="宋体" w:cs="宋体"/>
                <w:color w:val="auto"/>
                <w:sz w:val="24"/>
                <w:highlight w:val="none"/>
              </w:rPr>
              <w:t>接收询问和质疑的联系方式</w:t>
            </w:r>
          </w:p>
          <w:p w14:paraId="427F06B3">
            <w:pPr>
              <w:spacing w:line="500" w:lineRule="exact"/>
              <w:rPr>
                <w:rFonts w:ascii="宋体" w:hAnsi="宋体" w:cs="宋体"/>
                <w:color w:val="auto"/>
                <w:sz w:val="24"/>
                <w:highlight w:val="none"/>
              </w:rPr>
            </w:pPr>
            <w:r>
              <w:rPr>
                <w:rFonts w:ascii="宋体" w:hAnsi="宋体" w:cs="宋体"/>
                <w:color w:val="auto"/>
                <w:sz w:val="24"/>
                <w:highlight w:val="none"/>
              </w:rPr>
              <w:t>联系部门</w:t>
            </w:r>
          </w:p>
        </w:tc>
        <w:tc>
          <w:tcPr>
            <w:tcW w:w="6414" w:type="dxa"/>
            <w:tcBorders>
              <w:tl2br w:val="nil"/>
              <w:tr2bl w:val="nil"/>
            </w:tcBorders>
            <w:vAlign w:val="center"/>
          </w:tcPr>
          <w:p w14:paraId="274153D1">
            <w:pPr>
              <w:autoSpaceDE w:val="0"/>
              <w:autoSpaceDN w:val="0"/>
              <w:spacing w:line="500" w:lineRule="exact"/>
              <w:rPr>
                <w:rFonts w:ascii="宋体" w:hAnsi="宋体"/>
                <w:color w:val="auto"/>
                <w:sz w:val="24"/>
                <w:highlight w:val="none"/>
              </w:rPr>
            </w:pPr>
            <w:r>
              <w:rPr>
                <w:rFonts w:hint="eastAsia" w:ascii="宋体" w:hAnsi="宋体"/>
                <w:color w:val="auto"/>
                <w:sz w:val="24"/>
                <w:highlight w:val="none"/>
              </w:rPr>
              <w:t>接受单位名称：新疆天合新动力工程管理有限公司</w:t>
            </w:r>
          </w:p>
          <w:p w14:paraId="6DAACB1C">
            <w:pPr>
              <w:autoSpaceDE w:val="0"/>
              <w:autoSpaceDN w:val="0"/>
              <w:spacing w:line="500" w:lineRule="exact"/>
              <w:rPr>
                <w:rFonts w:ascii="宋体" w:hAnsi="宋体"/>
                <w:color w:val="auto"/>
                <w:sz w:val="24"/>
                <w:highlight w:val="none"/>
              </w:rPr>
            </w:pPr>
            <w:r>
              <w:rPr>
                <w:rFonts w:hint="eastAsia" w:ascii="宋体" w:hAnsi="宋体"/>
                <w:color w:val="auto"/>
                <w:sz w:val="24"/>
                <w:highlight w:val="none"/>
              </w:rPr>
              <w:t>接受单位地址：乌鲁木齐市水磨沟区立井街198号9号楼11层</w:t>
            </w:r>
          </w:p>
          <w:p w14:paraId="60A1DD8B">
            <w:pPr>
              <w:autoSpaceDE w:val="0"/>
              <w:autoSpaceDN w:val="0"/>
              <w:spacing w:line="500" w:lineRule="exact"/>
              <w:rPr>
                <w:rFonts w:ascii="宋体" w:hAnsi="宋体"/>
                <w:color w:val="auto"/>
                <w:sz w:val="24"/>
                <w:highlight w:val="none"/>
              </w:rPr>
            </w:pPr>
            <w:r>
              <w:rPr>
                <w:rFonts w:hint="eastAsia" w:ascii="宋体" w:hAnsi="宋体"/>
                <w:color w:val="auto"/>
                <w:sz w:val="24"/>
                <w:highlight w:val="none"/>
              </w:rPr>
              <w:t>联系人：马龙</w:t>
            </w:r>
          </w:p>
          <w:p w14:paraId="19A4A9E9">
            <w:pPr>
              <w:tabs>
                <w:tab w:val="left" w:pos="1125"/>
              </w:tabs>
              <w:autoSpaceDE w:val="0"/>
              <w:autoSpaceDN w:val="0"/>
              <w:spacing w:line="500" w:lineRule="exact"/>
              <w:rPr>
                <w:rFonts w:hint="eastAsia" w:ascii="宋体" w:hAnsi="宋体" w:eastAsia="宋体"/>
                <w:color w:val="auto"/>
                <w:sz w:val="24"/>
                <w:highlight w:val="none"/>
                <w:lang w:eastAsia="zh-CN"/>
              </w:rPr>
            </w:pPr>
            <w:r>
              <w:rPr>
                <w:rFonts w:hint="eastAsia" w:ascii="宋体" w:hAnsi="宋体"/>
                <w:color w:val="auto"/>
                <w:sz w:val="24"/>
                <w:highlight w:val="none"/>
              </w:rPr>
              <w:t>联系方式：0991-3508696、</w:t>
            </w:r>
            <w:r>
              <w:rPr>
                <w:rFonts w:hint="eastAsia" w:ascii="宋体" w:hAnsi="宋体"/>
                <w:color w:val="auto"/>
                <w:sz w:val="24"/>
                <w:highlight w:val="none"/>
                <w:lang w:eastAsia="zh-CN"/>
              </w:rPr>
              <w:t>0991-3508222</w:t>
            </w:r>
          </w:p>
          <w:p w14:paraId="71DCFA16">
            <w:pPr>
              <w:spacing w:line="500" w:lineRule="exact"/>
              <w:rPr>
                <w:rFonts w:ascii="宋体" w:hAnsi="宋体" w:cs="宋体"/>
                <w:color w:val="auto"/>
                <w:sz w:val="24"/>
                <w:highlight w:val="none"/>
              </w:rPr>
            </w:pPr>
            <w:r>
              <w:rPr>
                <w:rFonts w:hint="eastAsia" w:ascii="宋体" w:hAnsi="宋体"/>
                <w:color w:val="auto"/>
                <w:sz w:val="24"/>
                <w:highlight w:val="none"/>
              </w:rPr>
              <w:t>询问及质疑方式：现场递交纸质版及可编辑电子版质疑文件至接受单位。</w:t>
            </w:r>
          </w:p>
        </w:tc>
      </w:tr>
      <w:tr w14:paraId="65148F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88" w:type="dxa"/>
            <w:tcBorders>
              <w:tl2br w:val="nil"/>
              <w:tr2bl w:val="nil"/>
            </w:tcBorders>
            <w:vAlign w:val="center"/>
          </w:tcPr>
          <w:p w14:paraId="3948C0E9">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13</w:t>
            </w:r>
          </w:p>
        </w:tc>
        <w:tc>
          <w:tcPr>
            <w:tcW w:w="1377" w:type="dxa"/>
            <w:tcBorders>
              <w:tl2br w:val="nil"/>
              <w:tr2bl w:val="nil"/>
            </w:tcBorders>
            <w:vAlign w:val="center"/>
          </w:tcPr>
          <w:p w14:paraId="27592F5A">
            <w:pPr>
              <w:spacing w:line="500" w:lineRule="exact"/>
              <w:rPr>
                <w:rFonts w:ascii="宋体" w:hAnsi="宋体" w:eastAsia="宋体" w:cs="宋体"/>
                <w:color w:val="auto"/>
                <w:sz w:val="24"/>
                <w:highlight w:val="none"/>
              </w:rPr>
            </w:pPr>
            <w:r>
              <w:rPr>
                <w:rFonts w:hint="eastAsia" w:ascii="宋体" w:hAnsi="宋体" w:eastAsia="宋体" w:cs="宋体"/>
                <w:color w:val="auto"/>
                <w:sz w:val="24"/>
                <w:highlight w:val="none"/>
              </w:rPr>
              <w:t>履约保</w:t>
            </w:r>
          </w:p>
          <w:p w14:paraId="5F0959E3">
            <w:pPr>
              <w:spacing w:line="500" w:lineRule="exact"/>
              <w:rPr>
                <w:rFonts w:ascii="宋体" w:hAnsi="宋体" w:eastAsia="宋体" w:cs="宋体"/>
                <w:color w:val="auto"/>
                <w:sz w:val="24"/>
                <w:highlight w:val="none"/>
              </w:rPr>
            </w:pPr>
            <w:r>
              <w:rPr>
                <w:rFonts w:hint="eastAsia" w:ascii="宋体" w:hAnsi="宋体" w:eastAsia="宋体" w:cs="宋体"/>
                <w:color w:val="auto"/>
                <w:sz w:val="24"/>
                <w:highlight w:val="none"/>
              </w:rPr>
              <w:t>证金</w:t>
            </w:r>
          </w:p>
        </w:tc>
        <w:tc>
          <w:tcPr>
            <w:tcW w:w="6414" w:type="dxa"/>
            <w:tcBorders>
              <w:tl2br w:val="nil"/>
              <w:tr2bl w:val="nil"/>
            </w:tcBorders>
            <w:vAlign w:val="center"/>
          </w:tcPr>
          <w:p w14:paraId="76384882">
            <w:pPr>
              <w:spacing w:line="50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履约保证金金额：合同总价的10%；</w:t>
            </w:r>
          </w:p>
          <w:p w14:paraId="6EB2DE67">
            <w:pPr>
              <w:spacing w:line="50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履约保证金缴纳方式：支票、汇票、本票或者金融机构、担保机构出具的保函等非现金形式；</w:t>
            </w:r>
          </w:p>
          <w:p w14:paraId="19B47708">
            <w:pPr>
              <w:spacing w:line="50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履约保证金退还时间及方式：供应商按照合同要求履约、采购人组织验收并通过后按供应商缴纳方式退还。</w:t>
            </w:r>
          </w:p>
        </w:tc>
      </w:tr>
      <w:tr w14:paraId="5148CB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8" w:type="dxa"/>
            <w:tcBorders>
              <w:tl2br w:val="nil"/>
              <w:tr2bl w:val="nil"/>
            </w:tcBorders>
            <w:vAlign w:val="center"/>
          </w:tcPr>
          <w:p w14:paraId="100BD10A">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16</w:t>
            </w:r>
          </w:p>
        </w:tc>
        <w:tc>
          <w:tcPr>
            <w:tcW w:w="1377" w:type="dxa"/>
            <w:tcBorders>
              <w:tl2br w:val="nil"/>
              <w:tr2bl w:val="nil"/>
            </w:tcBorders>
            <w:vAlign w:val="center"/>
          </w:tcPr>
          <w:p w14:paraId="39F00E29">
            <w:pPr>
              <w:spacing w:line="500" w:lineRule="exact"/>
              <w:ind w:right="136"/>
              <w:jc w:val="center"/>
              <w:rPr>
                <w:rFonts w:ascii="宋体" w:hAnsi="宋体" w:cs="宋体"/>
                <w:color w:val="auto"/>
                <w:sz w:val="24"/>
                <w:highlight w:val="none"/>
              </w:rPr>
            </w:pPr>
            <w:r>
              <w:rPr>
                <w:rFonts w:hint="eastAsia" w:ascii="宋体" w:hAnsi="宋体" w:cs="宋体"/>
                <w:color w:val="auto"/>
                <w:sz w:val="24"/>
                <w:highlight w:val="none"/>
              </w:rPr>
              <w:t>需要补充的其他内容</w:t>
            </w:r>
          </w:p>
        </w:tc>
        <w:tc>
          <w:tcPr>
            <w:tcW w:w="6414" w:type="dxa"/>
            <w:tcBorders>
              <w:tl2br w:val="nil"/>
              <w:tr2bl w:val="nil"/>
            </w:tcBorders>
            <w:vAlign w:val="center"/>
          </w:tcPr>
          <w:p w14:paraId="778E6B59">
            <w:pPr>
              <w:shd w:val="clear" w:color="auto" w:fill="FFFFFF"/>
              <w:snapToGrid w:val="0"/>
              <w:spacing w:line="500" w:lineRule="exact"/>
              <w:rPr>
                <w:rFonts w:ascii="宋体" w:hAnsi="宋体" w:cs="宋体"/>
                <w:b/>
                <w:color w:val="auto"/>
                <w:sz w:val="24"/>
                <w:highlight w:val="none"/>
              </w:rPr>
            </w:pPr>
            <w:r>
              <w:rPr>
                <w:rFonts w:hint="eastAsia" w:ascii="宋体" w:hAnsi="宋体" w:cs="宋体"/>
                <w:b/>
                <w:color w:val="auto"/>
                <w:sz w:val="24"/>
                <w:highlight w:val="none"/>
              </w:rPr>
              <w:t>1.信用记录审查：</w:t>
            </w:r>
          </w:p>
          <w:p w14:paraId="06159633">
            <w:pPr>
              <w:shd w:val="clear" w:color="auto" w:fill="FFFFFF"/>
              <w:snapToGrid w:val="0"/>
              <w:spacing w:line="500" w:lineRule="exact"/>
              <w:rPr>
                <w:rFonts w:ascii="宋体" w:hAnsi="宋体" w:cs="宋体"/>
                <w:color w:val="auto"/>
                <w:sz w:val="24"/>
                <w:highlight w:val="none"/>
              </w:rPr>
            </w:pPr>
            <w:r>
              <w:rPr>
                <w:rFonts w:hint="eastAsia" w:ascii="宋体" w:hAnsi="宋体" w:cs="宋体"/>
                <w:color w:val="auto"/>
                <w:sz w:val="24"/>
                <w:highlight w:val="none"/>
              </w:rPr>
              <w:t>（1）根据《财政部关于在政府采购活动中查询及使用信用记录有关问题的通知》（财库〔2016〕125号）规定；响应文件开启后，招标人或招标代理机构将通过“信用中国”网站(www.creditchina.gov.cn)、中国政府采购网(www.ccgp.gov.cn)，对投标人到投标截止时间的信用记录进行查询。对列入失信被执行人、重大税收违法案件当事人名单、政府采购严重违法失信行为记录名单及其他不符合《中华人民共和国政府采购法》第二十二条规定条件的投标人，将拒绝其参与政府采购活动。查询完毕招标人或者招标代理机构须将所有投标人信用记录打印，编制甄别记录签字留档。</w:t>
            </w:r>
          </w:p>
          <w:p w14:paraId="05CE061F">
            <w:pPr>
              <w:shd w:val="clear" w:color="auto" w:fill="FFFFFF"/>
              <w:snapToGrid w:val="0"/>
              <w:spacing w:line="500" w:lineRule="exact"/>
              <w:rPr>
                <w:rFonts w:ascii="宋体" w:hAnsi="宋体" w:cs="宋体"/>
                <w:color w:val="auto"/>
                <w:sz w:val="24"/>
                <w:highlight w:val="none"/>
              </w:rPr>
            </w:pPr>
            <w:r>
              <w:rPr>
                <w:rFonts w:hint="eastAsia" w:ascii="宋体" w:hAnsi="宋体" w:cs="宋体"/>
                <w:color w:val="auto"/>
                <w:sz w:val="24"/>
                <w:highlight w:val="none"/>
              </w:rPr>
              <w:t>（2）两个以上的自然人、法人或者其他组织组成一个联合体，以一个投标人的身份共同参加政府采购活动的，应当对所有联合体成员进行信用记录查询，联合体成员存在不良信用记录的，视同联合体存在不良信用记录。</w:t>
            </w:r>
          </w:p>
          <w:p w14:paraId="797B176C">
            <w:pPr>
              <w:shd w:val="clear" w:color="auto" w:fill="FFFFFF"/>
              <w:snapToGrid w:val="0"/>
              <w:spacing w:line="500" w:lineRule="exact"/>
              <w:rPr>
                <w:rFonts w:hint="default" w:ascii="宋体" w:hAnsi="宋体" w:cs="宋体"/>
                <w:color w:val="auto"/>
                <w:sz w:val="24"/>
                <w:highlight w:val="none"/>
                <w:lang w:val="en-US"/>
              </w:rPr>
            </w:pPr>
            <w:r>
              <w:rPr>
                <w:rFonts w:hint="eastAsia" w:ascii="宋体" w:hAnsi="宋体" w:cs="宋体"/>
                <w:b/>
                <w:color w:val="auto"/>
                <w:sz w:val="24"/>
                <w:highlight w:val="none"/>
              </w:rPr>
              <w:t>2.招标代理服务费：</w:t>
            </w:r>
            <w:r>
              <w:rPr>
                <w:rFonts w:hint="eastAsia" w:ascii="宋体" w:hAnsi="宋体" w:cs="宋体"/>
                <w:b w:val="0"/>
                <w:bCs/>
                <w:color w:val="auto"/>
                <w:sz w:val="24"/>
                <w:highlight w:val="none"/>
                <w:lang w:eastAsia="zh-CN"/>
              </w:rPr>
              <w:t>本项目代理服务费按</w:t>
            </w:r>
            <w:r>
              <w:rPr>
                <w:rFonts w:hint="eastAsia" w:ascii="宋体" w:hAnsi="宋体" w:cs="宋体"/>
                <w:b w:val="0"/>
                <w:bCs/>
                <w:color w:val="auto"/>
                <w:sz w:val="24"/>
                <w:highlight w:val="none"/>
                <w:lang w:val="en-US" w:eastAsia="zh-CN"/>
              </w:rPr>
              <w:t>5000元计取。</w:t>
            </w:r>
          </w:p>
        </w:tc>
      </w:tr>
    </w:tbl>
    <w:p w14:paraId="0CEE3554">
      <w:pPr>
        <w:spacing w:line="480" w:lineRule="exact"/>
        <w:ind w:firstLine="482" w:firstLineChars="200"/>
        <w:rPr>
          <w:rFonts w:ascii="宋体" w:hAnsi="宋体" w:cs="宋体"/>
          <w:b/>
          <w:color w:val="auto"/>
          <w:sz w:val="24"/>
          <w:highlight w:val="none"/>
        </w:rPr>
      </w:pPr>
      <w:bookmarkStart w:id="50" w:name="_Toc99610130"/>
      <w:bookmarkStart w:id="51" w:name="_Toc99609722"/>
      <w:bookmarkStart w:id="52" w:name="_Toc99609699"/>
      <w:bookmarkStart w:id="53" w:name="_Toc99610164"/>
      <w:bookmarkStart w:id="54" w:name="_Toc99609994"/>
      <w:bookmarkStart w:id="55" w:name="_Toc99609858"/>
      <w:r>
        <w:rPr>
          <w:rFonts w:hint="eastAsia" w:ascii="宋体" w:hAnsi="宋体" w:cs="宋体"/>
          <w:b/>
          <w:bCs/>
          <w:color w:val="auto"/>
          <w:sz w:val="24"/>
          <w:highlight w:val="none"/>
        </w:rPr>
        <w:t>注：</w:t>
      </w:r>
      <w:r>
        <w:rPr>
          <w:rFonts w:hint="eastAsia" w:ascii="宋体" w:hAnsi="宋体" w:cs="宋体"/>
          <w:b/>
          <w:color w:val="auto"/>
          <w:sz w:val="24"/>
          <w:highlight w:val="none"/>
        </w:rPr>
        <w:t>本表是对招标文件中的重要内容进行罗列，如有矛盾，应以本表为准。</w:t>
      </w:r>
      <w:bookmarkStart w:id="56" w:name="_Toc99609995"/>
      <w:bookmarkStart w:id="57" w:name="_Toc167460120"/>
      <w:bookmarkStart w:id="58" w:name="_Toc99610165"/>
      <w:bookmarkStart w:id="59" w:name="_Toc99609723"/>
      <w:bookmarkStart w:id="60" w:name="_Toc99609859"/>
      <w:bookmarkStart w:id="61" w:name="_Toc99610131"/>
      <w:bookmarkStart w:id="62" w:name="_Toc167252387"/>
    </w:p>
    <w:p w14:paraId="41A3DAA3">
      <w:pPr>
        <w:pStyle w:val="12"/>
        <w:ind w:firstLine="0"/>
        <w:jc w:val="center"/>
        <w:rPr>
          <w:rFonts w:ascii="宋体" w:hAnsi="宋体" w:eastAsia="宋体" w:cs="宋体"/>
          <w:b/>
          <w:color w:val="auto"/>
          <w:sz w:val="32"/>
          <w:szCs w:val="32"/>
          <w:highlight w:val="none"/>
        </w:rPr>
      </w:pPr>
    </w:p>
    <w:p w14:paraId="6D7421E1">
      <w:pPr>
        <w:pStyle w:val="12"/>
        <w:ind w:firstLine="0"/>
        <w:jc w:val="center"/>
        <w:rPr>
          <w:rFonts w:ascii="宋体" w:hAnsi="宋体" w:eastAsia="宋体" w:cs="宋体"/>
          <w:b/>
          <w:color w:val="auto"/>
          <w:sz w:val="32"/>
          <w:szCs w:val="32"/>
          <w:highlight w:val="none"/>
        </w:rPr>
      </w:pPr>
    </w:p>
    <w:p w14:paraId="6C48F107">
      <w:pPr>
        <w:pStyle w:val="12"/>
        <w:ind w:firstLine="0"/>
        <w:jc w:val="center"/>
        <w:rPr>
          <w:rFonts w:ascii="宋体" w:hAnsi="宋体" w:eastAsia="宋体" w:cs="宋体"/>
          <w:b/>
          <w:color w:val="auto"/>
          <w:sz w:val="32"/>
          <w:szCs w:val="32"/>
          <w:highlight w:val="none"/>
        </w:rPr>
      </w:pPr>
    </w:p>
    <w:p w14:paraId="7067996B">
      <w:pPr>
        <w:pStyle w:val="12"/>
        <w:ind w:firstLine="0"/>
        <w:jc w:val="center"/>
        <w:rPr>
          <w:rFonts w:ascii="宋体" w:hAnsi="宋体" w:eastAsia="宋体" w:cs="宋体"/>
          <w:b/>
          <w:color w:val="auto"/>
          <w:sz w:val="32"/>
          <w:szCs w:val="32"/>
          <w:highlight w:val="none"/>
        </w:rPr>
      </w:pPr>
    </w:p>
    <w:p w14:paraId="150EA86F">
      <w:pPr>
        <w:pStyle w:val="12"/>
        <w:ind w:firstLine="0"/>
        <w:jc w:val="center"/>
        <w:rPr>
          <w:rFonts w:ascii="宋体" w:hAnsi="宋体" w:eastAsia="宋体" w:cs="宋体"/>
          <w:b/>
          <w:color w:val="auto"/>
          <w:sz w:val="32"/>
          <w:szCs w:val="32"/>
          <w:highlight w:val="none"/>
        </w:rPr>
      </w:pPr>
    </w:p>
    <w:p w14:paraId="10C443AA">
      <w:pPr>
        <w:pStyle w:val="12"/>
        <w:ind w:firstLine="0"/>
        <w:jc w:val="center"/>
        <w:rPr>
          <w:rFonts w:ascii="宋体" w:hAnsi="宋体" w:eastAsia="宋体" w:cs="宋体"/>
          <w:b/>
          <w:color w:val="auto"/>
          <w:sz w:val="32"/>
          <w:szCs w:val="32"/>
          <w:highlight w:val="none"/>
        </w:rPr>
      </w:pPr>
    </w:p>
    <w:p w14:paraId="4E6F5133">
      <w:pPr>
        <w:rPr>
          <w:rFonts w:ascii="宋体" w:hAnsi="宋体" w:eastAsia="宋体" w:cs="宋体"/>
          <w:b/>
          <w:color w:val="auto"/>
          <w:sz w:val="32"/>
          <w:szCs w:val="32"/>
          <w:highlight w:val="none"/>
        </w:rPr>
      </w:pPr>
    </w:p>
    <w:p w14:paraId="5D09C296">
      <w:pPr>
        <w:rPr>
          <w:rFonts w:ascii="宋体" w:hAnsi="宋体" w:eastAsia="宋体" w:cs="宋体"/>
          <w:b/>
          <w:color w:val="auto"/>
          <w:sz w:val="32"/>
          <w:szCs w:val="32"/>
          <w:highlight w:val="none"/>
        </w:rPr>
      </w:pPr>
    </w:p>
    <w:p w14:paraId="0D9A65BB">
      <w:pPr>
        <w:rPr>
          <w:rFonts w:ascii="宋体" w:hAnsi="宋体" w:eastAsia="宋体" w:cs="宋体"/>
          <w:b/>
          <w:color w:val="auto"/>
          <w:sz w:val="32"/>
          <w:szCs w:val="32"/>
          <w:highlight w:val="none"/>
        </w:rPr>
      </w:pPr>
    </w:p>
    <w:p w14:paraId="7EF403D7">
      <w:pPr>
        <w:pStyle w:val="12"/>
        <w:spacing w:line="500" w:lineRule="exact"/>
        <w:ind w:firstLine="0"/>
        <w:jc w:val="center"/>
        <w:rPr>
          <w:rFonts w:ascii="宋体" w:hAnsi="宋体" w:eastAsia="宋体" w:cs="宋体"/>
          <w:b/>
          <w:color w:val="auto"/>
          <w:sz w:val="36"/>
          <w:szCs w:val="36"/>
          <w:highlight w:val="none"/>
        </w:rPr>
      </w:pPr>
      <w:r>
        <w:rPr>
          <w:rFonts w:hint="eastAsia" w:ascii="宋体" w:hAnsi="宋体" w:eastAsia="宋体" w:cs="宋体"/>
          <w:b/>
          <w:color w:val="auto"/>
          <w:sz w:val="36"/>
          <w:szCs w:val="36"/>
          <w:highlight w:val="none"/>
        </w:rPr>
        <w:t>投标人须知</w:t>
      </w:r>
    </w:p>
    <w:p w14:paraId="79EE3A2D">
      <w:pPr>
        <w:pStyle w:val="4"/>
        <w:spacing w:line="500" w:lineRule="exact"/>
        <w:rPr>
          <w:rFonts w:ascii="宋体" w:hAnsi="宋体" w:cs="宋体"/>
          <w:color w:val="auto"/>
          <w:sz w:val="24"/>
          <w:highlight w:val="none"/>
        </w:rPr>
      </w:pPr>
      <w:r>
        <w:rPr>
          <w:rFonts w:hint="eastAsia" w:ascii="宋体" w:hAnsi="宋体" w:cs="宋体"/>
          <w:color w:val="auto"/>
          <w:sz w:val="24"/>
          <w:highlight w:val="none"/>
        </w:rPr>
        <w:t>1.总则</w:t>
      </w:r>
    </w:p>
    <w:p w14:paraId="25BB893B">
      <w:pPr>
        <w:spacing w:line="500" w:lineRule="exact"/>
        <w:rPr>
          <w:rFonts w:ascii="宋体" w:hAnsi="宋体" w:cs="宋体"/>
          <w:b/>
          <w:color w:val="auto"/>
          <w:sz w:val="24"/>
          <w:highlight w:val="none"/>
        </w:rPr>
      </w:pPr>
      <w:r>
        <w:rPr>
          <w:rFonts w:hint="eastAsia" w:ascii="宋体" w:hAnsi="宋体" w:cs="宋体"/>
          <w:b/>
          <w:color w:val="auto"/>
          <w:sz w:val="24"/>
          <w:highlight w:val="none"/>
        </w:rPr>
        <w:t>1.1招标文件编制依据</w:t>
      </w:r>
    </w:p>
    <w:bookmarkEnd w:id="56"/>
    <w:bookmarkEnd w:id="57"/>
    <w:bookmarkEnd w:id="58"/>
    <w:bookmarkEnd w:id="59"/>
    <w:bookmarkEnd w:id="60"/>
    <w:bookmarkEnd w:id="61"/>
    <w:bookmarkEnd w:id="62"/>
    <w:p w14:paraId="3067B71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根据《中华人民共和国政府采购法》、《中华人民共和国政府采购法实施条例》、《政府采购货物和服务招标投标管理办法》（财政部令第87号）等有关法律、法规和规章的规定编制。</w:t>
      </w:r>
    </w:p>
    <w:p w14:paraId="2F8B4147">
      <w:pPr>
        <w:spacing w:line="500" w:lineRule="exact"/>
        <w:rPr>
          <w:rFonts w:ascii="宋体" w:hAnsi="宋体" w:cs="宋体"/>
          <w:b/>
          <w:color w:val="auto"/>
          <w:sz w:val="24"/>
          <w:highlight w:val="none"/>
        </w:rPr>
      </w:pPr>
      <w:bookmarkStart w:id="63" w:name="_Toc167252390"/>
      <w:bookmarkStart w:id="64" w:name="_Toc99609726"/>
      <w:bookmarkStart w:id="65" w:name="_Toc99609998"/>
      <w:bookmarkStart w:id="66" w:name="_Toc99609862"/>
      <w:bookmarkStart w:id="67" w:name="_Toc99610168"/>
      <w:r>
        <w:rPr>
          <w:rFonts w:hint="eastAsia" w:ascii="宋体" w:hAnsi="宋体" w:cs="宋体"/>
          <w:b/>
          <w:color w:val="auto"/>
          <w:sz w:val="24"/>
          <w:highlight w:val="none"/>
        </w:rPr>
        <w:t>1.2项目</w:t>
      </w:r>
      <w:bookmarkEnd w:id="63"/>
      <w:bookmarkEnd w:id="64"/>
      <w:bookmarkEnd w:id="65"/>
      <w:bookmarkEnd w:id="66"/>
      <w:bookmarkEnd w:id="67"/>
      <w:r>
        <w:rPr>
          <w:rFonts w:hint="eastAsia" w:ascii="宋体" w:hAnsi="宋体" w:cs="宋体"/>
          <w:b/>
          <w:color w:val="auto"/>
          <w:sz w:val="24"/>
          <w:highlight w:val="none"/>
        </w:rPr>
        <w:t>概况</w:t>
      </w:r>
    </w:p>
    <w:p w14:paraId="6FB8D56B">
      <w:pPr>
        <w:spacing w:line="500" w:lineRule="exact"/>
        <w:ind w:firstLine="480" w:firstLineChars="200"/>
        <w:rPr>
          <w:rFonts w:ascii="宋体" w:hAnsi="宋体"/>
          <w:color w:val="auto"/>
          <w:sz w:val="24"/>
          <w:highlight w:val="none"/>
        </w:rPr>
      </w:pPr>
      <w:bookmarkStart w:id="68" w:name="_Toc99609727"/>
      <w:bookmarkStart w:id="69" w:name="_Toc167252391"/>
      <w:bookmarkStart w:id="70" w:name="_Toc99610169"/>
      <w:bookmarkStart w:id="71" w:name="_Toc99609863"/>
      <w:bookmarkStart w:id="72" w:name="_Toc99609999"/>
      <w:r>
        <w:rPr>
          <w:rFonts w:ascii="宋体" w:hAnsi="宋体"/>
          <w:color w:val="auto"/>
          <w:sz w:val="24"/>
          <w:highlight w:val="none"/>
        </w:rPr>
        <w:t>1.2.1</w:t>
      </w:r>
      <w:r>
        <w:rPr>
          <w:rFonts w:hint="eastAsia" w:ascii="宋体" w:hAnsi="宋体"/>
          <w:color w:val="auto"/>
          <w:sz w:val="24"/>
          <w:highlight w:val="none"/>
        </w:rPr>
        <w:t>招标</w:t>
      </w:r>
      <w:r>
        <w:rPr>
          <w:rFonts w:ascii="宋体" w:hAnsi="宋体"/>
          <w:color w:val="auto"/>
          <w:sz w:val="24"/>
          <w:highlight w:val="none"/>
        </w:rPr>
        <w:t>人</w:t>
      </w:r>
      <w:r>
        <w:rPr>
          <w:rFonts w:hint="eastAsia" w:ascii="宋体" w:hAnsi="宋体"/>
          <w:color w:val="auto"/>
          <w:sz w:val="24"/>
          <w:highlight w:val="none"/>
        </w:rPr>
        <w:t>、招标代理机构</w:t>
      </w:r>
      <w:r>
        <w:rPr>
          <w:rFonts w:ascii="宋体" w:hAnsi="宋体"/>
          <w:color w:val="auto"/>
          <w:sz w:val="24"/>
          <w:highlight w:val="none"/>
        </w:rPr>
        <w:t>：指依法进行政府采购的国家机关、事业单位、团体组织，及其委托的</w:t>
      </w:r>
      <w:r>
        <w:rPr>
          <w:rFonts w:hint="eastAsia" w:ascii="宋体" w:hAnsi="宋体"/>
          <w:color w:val="auto"/>
          <w:sz w:val="24"/>
          <w:highlight w:val="none"/>
        </w:rPr>
        <w:t>招标</w:t>
      </w:r>
      <w:r>
        <w:rPr>
          <w:rFonts w:ascii="宋体" w:hAnsi="宋体"/>
          <w:color w:val="auto"/>
          <w:sz w:val="24"/>
          <w:highlight w:val="none"/>
        </w:rPr>
        <w:t>代理机构。本项目</w:t>
      </w:r>
      <w:r>
        <w:rPr>
          <w:rFonts w:hint="eastAsia" w:ascii="宋体" w:hAnsi="宋体"/>
          <w:color w:val="auto"/>
          <w:sz w:val="24"/>
          <w:highlight w:val="none"/>
        </w:rPr>
        <w:t>招标</w:t>
      </w:r>
      <w:r>
        <w:rPr>
          <w:rFonts w:ascii="宋体" w:hAnsi="宋体"/>
          <w:color w:val="auto"/>
          <w:sz w:val="24"/>
          <w:highlight w:val="none"/>
        </w:rPr>
        <w:t>人、</w:t>
      </w:r>
      <w:r>
        <w:rPr>
          <w:rFonts w:hint="eastAsia" w:ascii="宋体" w:hAnsi="宋体"/>
          <w:color w:val="auto"/>
          <w:sz w:val="24"/>
          <w:highlight w:val="none"/>
        </w:rPr>
        <w:t>招标</w:t>
      </w:r>
      <w:r>
        <w:rPr>
          <w:rFonts w:ascii="宋体" w:hAnsi="宋体"/>
          <w:color w:val="auto"/>
          <w:sz w:val="24"/>
          <w:highlight w:val="none"/>
        </w:rPr>
        <w:t>代理机构</w:t>
      </w:r>
      <w:r>
        <w:rPr>
          <w:rFonts w:hint="eastAsia" w:ascii="宋体" w:hAnsi="宋体"/>
          <w:color w:val="auto"/>
          <w:sz w:val="24"/>
          <w:highlight w:val="none"/>
        </w:rPr>
        <w:t>见供应商须知前附表；</w:t>
      </w:r>
    </w:p>
    <w:p w14:paraId="56216A04">
      <w:pPr>
        <w:spacing w:line="500" w:lineRule="exact"/>
        <w:ind w:firstLine="480" w:firstLineChars="200"/>
        <w:rPr>
          <w:rFonts w:ascii="宋体" w:hAnsi="宋体"/>
          <w:color w:val="auto"/>
          <w:sz w:val="24"/>
          <w:highlight w:val="none"/>
        </w:rPr>
      </w:pPr>
      <w:r>
        <w:rPr>
          <w:rFonts w:ascii="宋体" w:hAnsi="宋体"/>
          <w:color w:val="auto"/>
          <w:sz w:val="24"/>
          <w:highlight w:val="none"/>
        </w:rPr>
        <w:t>1.2.2</w:t>
      </w:r>
      <w:r>
        <w:rPr>
          <w:rFonts w:hint="eastAsia" w:ascii="Calibri" w:hAnsi="Calibri" w:eastAsiaTheme="minorEastAsia"/>
          <w:color w:val="auto"/>
          <w:sz w:val="24"/>
          <w:szCs w:val="22"/>
          <w:highlight w:val="none"/>
        </w:rPr>
        <w:t>投标人（也称“供应商”、“申请人”）：指向招标人提供货物、工程或者服务的法人、其他组织或者自然人；</w:t>
      </w:r>
    </w:p>
    <w:p w14:paraId="0F429385">
      <w:pPr>
        <w:spacing w:line="500" w:lineRule="exact"/>
        <w:ind w:firstLine="480" w:firstLineChars="200"/>
        <w:rPr>
          <w:rFonts w:ascii="宋体" w:hAnsi="宋体"/>
          <w:color w:val="auto"/>
          <w:sz w:val="24"/>
          <w:highlight w:val="none"/>
        </w:rPr>
      </w:pPr>
      <w:r>
        <w:rPr>
          <w:rFonts w:ascii="宋体" w:hAnsi="宋体"/>
          <w:color w:val="auto"/>
          <w:sz w:val="24"/>
          <w:highlight w:val="none"/>
        </w:rPr>
        <w:t>1.2.3项目名称及项目编号：见供应商须知前附表</w:t>
      </w:r>
      <w:r>
        <w:rPr>
          <w:rFonts w:hint="eastAsia" w:ascii="宋体" w:hAnsi="宋体"/>
          <w:color w:val="auto"/>
          <w:sz w:val="24"/>
          <w:highlight w:val="none"/>
        </w:rPr>
        <w:t>；</w:t>
      </w:r>
    </w:p>
    <w:p w14:paraId="33E4BA5D">
      <w:pPr>
        <w:spacing w:line="500" w:lineRule="exact"/>
        <w:ind w:firstLine="480" w:firstLineChars="200"/>
        <w:rPr>
          <w:rFonts w:ascii="宋体" w:hAnsi="宋体"/>
          <w:color w:val="auto"/>
          <w:sz w:val="24"/>
          <w:highlight w:val="none"/>
        </w:rPr>
      </w:pPr>
      <w:r>
        <w:rPr>
          <w:rFonts w:ascii="宋体" w:hAnsi="宋体"/>
          <w:color w:val="auto"/>
          <w:sz w:val="24"/>
          <w:highlight w:val="none"/>
        </w:rPr>
        <w:t>1.2.4</w:t>
      </w:r>
      <w:r>
        <w:rPr>
          <w:rFonts w:hint="eastAsia" w:ascii="宋体" w:hAnsi="宋体"/>
          <w:color w:val="auto"/>
          <w:sz w:val="24"/>
          <w:highlight w:val="none"/>
        </w:rPr>
        <w:t>资金来源及采购预算</w:t>
      </w:r>
      <w:r>
        <w:rPr>
          <w:rFonts w:ascii="宋体" w:hAnsi="宋体"/>
          <w:color w:val="auto"/>
          <w:sz w:val="24"/>
          <w:highlight w:val="none"/>
        </w:rPr>
        <w:t>：见供应商须知前附表</w:t>
      </w:r>
      <w:r>
        <w:rPr>
          <w:rFonts w:hint="eastAsia" w:ascii="宋体" w:hAnsi="宋体"/>
          <w:color w:val="auto"/>
          <w:sz w:val="24"/>
          <w:highlight w:val="none"/>
        </w:rPr>
        <w:t>；</w:t>
      </w:r>
    </w:p>
    <w:p w14:paraId="496397D3">
      <w:pPr>
        <w:spacing w:line="500" w:lineRule="exact"/>
        <w:ind w:firstLine="480" w:firstLineChars="200"/>
        <w:rPr>
          <w:rFonts w:ascii="宋体" w:hAnsi="宋体"/>
          <w:color w:val="auto"/>
          <w:sz w:val="24"/>
          <w:highlight w:val="none"/>
        </w:rPr>
      </w:pPr>
      <w:r>
        <w:rPr>
          <w:rFonts w:ascii="宋体" w:hAnsi="宋体"/>
          <w:color w:val="auto"/>
          <w:sz w:val="24"/>
          <w:highlight w:val="none"/>
        </w:rPr>
        <w:t>1.2.5</w:t>
      </w:r>
      <w:r>
        <w:rPr>
          <w:rFonts w:hint="eastAsia" w:ascii="宋体" w:hAnsi="宋体"/>
          <w:color w:val="auto"/>
          <w:sz w:val="24"/>
          <w:highlight w:val="none"/>
        </w:rPr>
        <w:t>招标</w:t>
      </w:r>
      <w:r>
        <w:rPr>
          <w:rFonts w:ascii="宋体" w:hAnsi="宋体"/>
          <w:color w:val="auto"/>
          <w:sz w:val="24"/>
          <w:highlight w:val="none"/>
        </w:rPr>
        <w:t>方式：见供应商须知前附表</w:t>
      </w:r>
      <w:r>
        <w:rPr>
          <w:rFonts w:hint="eastAsia" w:ascii="宋体" w:hAnsi="宋体"/>
          <w:color w:val="auto"/>
          <w:sz w:val="24"/>
          <w:highlight w:val="none"/>
        </w:rPr>
        <w:t>；</w:t>
      </w:r>
      <w:r>
        <w:rPr>
          <w:rFonts w:ascii="宋体" w:hAnsi="宋体"/>
          <w:color w:val="auto"/>
          <w:sz w:val="24"/>
          <w:highlight w:val="none"/>
        </w:rPr>
        <w:t xml:space="preserve"> </w:t>
      </w:r>
    </w:p>
    <w:p w14:paraId="50BDC91A">
      <w:pPr>
        <w:spacing w:line="500" w:lineRule="exact"/>
        <w:ind w:firstLine="480" w:firstLineChars="200"/>
        <w:rPr>
          <w:rFonts w:ascii="宋体" w:hAnsi="宋体"/>
          <w:color w:val="auto"/>
          <w:sz w:val="24"/>
          <w:highlight w:val="none"/>
        </w:rPr>
      </w:pPr>
      <w:r>
        <w:rPr>
          <w:rFonts w:ascii="宋体" w:hAnsi="宋体"/>
          <w:color w:val="auto"/>
          <w:sz w:val="24"/>
          <w:highlight w:val="none"/>
        </w:rPr>
        <w:t>1.2.6采购需求</w:t>
      </w:r>
      <w:r>
        <w:rPr>
          <w:rFonts w:hint="eastAsia" w:ascii="宋体" w:hAnsi="宋体"/>
          <w:color w:val="auto"/>
          <w:sz w:val="24"/>
          <w:highlight w:val="none"/>
        </w:rPr>
        <w:t>：</w:t>
      </w:r>
      <w:r>
        <w:rPr>
          <w:rFonts w:ascii="宋体" w:hAnsi="宋体"/>
          <w:color w:val="auto"/>
          <w:sz w:val="24"/>
          <w:highlight w:val="none"/>
        </w:rPr>
        <w:t>见供应商须知前附表</w:t>
      </w:r>
      <w:r>
        <w:rPr>
          <w:rFonts w:hint="eastAsia" w:ascii="宋体" w:hAnsi="宋体"/>
          <w:color w:val="auto"/>
          <w:sz w:val="24"/>
          <w:highlight w:val="none"/>
        </w:rPr>
        <w:t>；</w:t>
      </w:r>
    </w:p>
    <w:p w14:paraId="540BFBE0">
      <w:pPr>
        <w:spacing w:line="500" w:lineRule="exact"/>
        <w:ind w:firstLine="480" w:firstLineChars="200"/>
        <w:rPr>
          <w:rFonts w:hint="eastAsia" w:ascii="宋体" w:hAnsi="宋体"/>
          <w:color w:val="auto"/>
          <w:sz w:val="24"/>
          <w:highlight w:val="none"/>
        </w:rPr>
      </w:pPr>
      <w:r>
        <w:rPr>
          <w:rFonts w:ascii="宋体" w:hAnsi="宋体"/>
          <w:color w:val="auto"/>
          <w:sz w:val="24"/>
          <w:highlight w:val="none"/>
        </w:rPr>
        <w:t>1.2.7合同履行期限</w:t>
      </w:r>
      <w:r>
        <w:rPr>
          <w:rFonts w:hint="eastAsia" w:ascii="宋体" w:hAnsi="宋体"/>
          <w:color w:val="auto"/>
          <w:sz w:val="24"/>
          <w:highlight w:val="none"/>
        </w:rPr>
        <w:t>及交货地点</w:t>
      </w:r>
      <w:r>
        <w:rPr>
          <w:rFonts w:ascii="宋体" w:hAnsi="宋体"/>
          <w:color w:val="auto"/>
          <w:sz w:val="24"/>
          <w:highlight w:val="none"/>
        </w:rPr>
        <w:t>：见供应商须知前附表</w:t>
      </w:r>
      <w:r>
        <w:rPr>
          <w:rFonts w:hint="eastAsia" w:ascii="宋体" w:hAnsi="宋体"/>
          <w:color w:val="auto"/>
          <w:sz w:val="24"/>
          <w:highlight w:val="none"/>
        </w:rPr>
        <w:t>；</w:t>
      </w:r>
    </w:p>
    <w:p w14:paraId="53715E67">
      <w:pPr>
        <w:spacing w:line="500" w:lineRule="exact"/>
        <w:ind w:firstLine="480" w:firstLineChars="200"/>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1.2.8</w:t>
      </w:r>
      <w:r>
        <w:rPr>
          <w:rFonts w:hint="eastAsia" w:ascii="宋体" w:hAnsi="宋体" w:eastAsia="宋体" w:cs="Times New Roman"/>
          <w:color w:val="auto"/>
          <w:sz w:val="24"/>
          <w:highlight w:val="none"/>
          <w:lang w:val="zh-CN"/>
        </w:rPr>
        <w:t>免费维保期</w:t>
      </w:r>
      <w:r>
        <w:rPr>
          <w:rFonts w:ascii="宋体" w:hAnsi="宋体" w:eastAsia="宋体" w:cs="Times New Roman"/>
          <w:color w:val="auto"/>
          <w:sz w:val="24"/>
          <w:highlight w:val="none"/>
        </w:rPr>
        <w:t>：见供应商须知前附表</w:t>
      </w:r>
      <w:r>
        <w:rPr>
          <w:rFonts w:hint="eastAsia" w:ascii="宋体" w:hAnsi="宋体" w:eastAsia="宋体" w:cs="Times New Roman"/>
          <w:color w:val="auto"/>
          <w:sz w:val="24"/>
          <w:highlight w:val="none"/>
        </w:rPr>
        <w:t>；</w:t>
      </w:r>
    </w:p>
    <w:p w14:paraId="674F3E99">
      <w:pPr>
        <w:spacing w:line="500" w:lineRule="exact"/>
        <w:ind w:firstLine="480" w:firstLineChars="200"/>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1.2.9核心产品：</w:t>
      </w:r>
      <w:r>
        <w:rPr>
          <w:rFonts w:ascii="宋体" w:hAnsi="宋体" w:eastAsia="宋体" w:cs="Times New Roman"/>
          <w:color w:val="auto"/>
          <w:sz w:val="24"/>
          <w:highlight w:val="none"/>
        </w:rPr>
        <w:t>见供应商须知前附表</w:t>
      </w:r>
      <w:r>
        <w:rPr>
          <w:rFonts w:hint="eastAsia" w:ascii="宋体" w:hAnsi="宋体" w:eastAsia="宋体" w:cs="Times New Roman"/>
          <w:color w:val="auto"/>
          <w:sz w:val="24"/>
          <w:highlight w:val="none"/>
        </w:rPr>
        <w:t>；</w:t>
      </w:r>
    </w:p>
    <w:p w14:paraId="1CA306EF">
      <w:pPr>
        <w:spacing w:line="500" w:lineRule="exact"/>
        <w:rPr>
          <w:rFonts w:ascii="宋体" w:hAnsi="宋体" w:cs="宋体"/>
          <w:b/>
          <w:color w:val="auto"/>
          <w:sz w:val="24"/>
          <w:highlight w:val="none"/>
        </w:rPr>
      </w:pPr>
      <w:r>
        <w:rPr>
          <w:rFonts w:hint="eastAsia" w:ascii="宋体" w:hAnsi="宋体" w:cs="宋体"/>
          <w:b/>
          <w:color w:val="auto"/>
          <w:sz w:val="24"/>
          <w:highlight w:val="none"/>
        </w:rPr>
        <w:t>1.3投标人</w:t>
      </w:r>
      <w:bookmarkEnd w:id="68"/>
      <w:bookmarkEnd w:id="69"/>
      <w:bookmarkEnd w:id="70"/>
      <w:bookmarkEnd w:id="71"/>
      <w:bookmarkEnd w:id="72"/>
      <w:bookmarkStart w:id="73" w:name="_Toc99610170"/>
      <w:bookmarkStart w:id="74" w:name="_Toc99610000"/>
      <w:bookmarkStart w:id="75" w:name="_Toc99609728"/>
      <w:bookmarkStart w:id="76" w:name="_Toc167252392"/>
      <w:bookmarkStart w:id="77" w:name="_Toc99609864"/>
      <w:r>
        <w:rPr>
          <w:rFonts w:hint="eastAsia" w:ascii="宋体" w:hAnsi="宋体" w:cs="宋体"/>
          <w:b/>
          <w:color w:val="auto"/>
          <w:sz w:val="24"/>
          <w:highlight w:val="none"/>
        </w:rPr>
        <w:t>资格要求</w:t>
      </w:r>
    </w:p>
    <w:p w14:paraId="2C3BC09D">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1.3.1投标人应具备承担本项目资格要求：详见投标人须知前附表。</w:t>
      </w:r>
    </w:p>
    <w:p w14:paraId="4681152D">
      <w:pPr>
        <w:spacing w:line="500" w:lineRule="exact"/>
        <w:ind w:firstLine="480" w:firstLineChars="200"/>
        <w:rPr>
          <w:rFonts w:ascii="宋体" w:hAnsi="宋体" w:cs="宋体"/>
          <w:color w:val="auto"/>
          <w:sz w:val="24"/>
          <w:highlight w:val="none"/>
        </w:rPr>
      </w:pPr>
      <w:r>
        <w:rPr>
          <w:rFonts w:hint="eastAsia" w:ascii="宋体" w:hAnsi="宋体" w:cs="宋体"/>
          <w:bCs/>
          <w:color w:val="auto"/>
          <w:sz w:val="24"/>
          <w:highlight w:val="none"/>
        </w:rPr>
        <w:t>1.3.2投标人不得存在的情形</w:t>
      </w:r>
      <w:r>
        <w:rPr>
          <w:rFonts w:hint="eastAsia" w:ascii="宋体" w:hAnsi="宋体" w:cs="宋体"/>
          <w:color w:val="auto"/>
          <w:sz w:val="24"/>
          <w:highlight w:val="none"/>
        </w:rPr>
        <w:t>：</w:t>
      </w:r>
    </w:p>
    <w:p w14:paraId="42AE442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（1）单位负责人为同一人或者存在直接控股、管理关系的不同投标人，不得参加同一合同项下的政府采购活动；</w:t>
      </w:r>
    </w:p>
    <w:p w14:paraId="781B5135">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（2）为采购项目提供整体设计、规范编制或者项目管理、监理、检测等服务的投标人，不得再参加该采购项目的其他采购活动；</w:t>
      </w:r>
    </w:p>
    <w:p w14:paraId="1E34DFFB">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（3）被最高人民法院在“信用中国”网站（www.creditchina.gov.cn）或各级信用信息共享平台中列入失信被执行人名单、重大税收违法案件当事人名单；</w:t>
      </w:r>
    </w:p>
    <w:p w14:paraId="5226F216">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（4）被“中国政府采购网”（www.ccgp.gov.cn）列入严重违法失信行为记录名单（且在限制投标处罚期内的）；</w:t>
      </w:r>
    </w:p>
    <w:p w14:paraId="6394DA46">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（5）法律法规规定的其他不得存在的情形。</w:t>
      </w:r>
    </w:p>
    <w:p w14:paraId="361278C1">
      <w:pPr>
        <w:spacing w:line="500" w:lineRule="exact"/>
        <w:ind w:firstLine="482" w:firstLineChars="200"/>
        <w:rPr>
          <w:rFonts w:ascii="宋体" w:hAnsi="宋体" w:cs="宋体"/>
          <w:color w:val="auto"/>
          <w:sz w:val="24"/>
          <w:highlight w:val="none"/>
        </w:rPr>
      </w:pPr>
      <w:r>
        <w:rPr>
          <w:rFonts w:hint="eastAsia" w:ascii="宋体" w:hAnsi="宋体" w:cs="宋体"/>
          <w:b/>
          <w:bCs/>
          <w:color w:val="auto"/>
          <w:sz w:val="24"/>
          <w:highlight w:val="none"/>
        </w:rPr>
        <w:t>有上述情形之一的投标人，属于不合格投标人，其投标或中标资格将被取消。</w:t>
      </w:r>
    </w:p>
    <w:p w14:paraId="48373FAA">
      <w:pPr>
        <w:spacing w:line="500" w:lineRule="exact"/>
        <w:rPr>
          <w:rFonts w:ascii="宋体" w:hAnsi="宋体"/>
          <w:b/>
          <w:color w:val="auto"/>
          <w:sz w:val="24"/>
          <w:highlight w:val="none"/>
        </w:rPr>
      </w:pPr>
      <w:r>
        <w:rPr>
          <w:rFonts w:ascii="宋体" w:hAnsi="宋体"/>
          <w:b/>
          <w:color w:val="auto"/>
          <w:sz w:val="24"/>
          <w:highlight w:val="none"/>
        </w:rPr>
        <w:t>1.4</w:t>
      </w:r>
      <w:r>
        <w:rPr>
          <w:rFonts w:hint="eastAsia" w:ascii="宋体" w:hAnsi="宋体"/>
          <w:b/>
          <w:color w:val="auto"/>
          <w:sz w:val="24"/>
          <w:highlight w:val="none"/>
        </w:rPr>
        <w:t>本项目落实的政府采购政策</w:t>
      </w:r>
    </w:p>
    <w:p w14:paraId="482C8380">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1.4.1本项目落实的政府采购政策：</w:t>
      </w:r>
      <w:r>
        <w:rPr>
          <w:rFonts w:ascii="宋体" w:hAnsi="宋体"/>
          <w:color w:val="auto"/>
          <w:sz w:val="24"/>
          <w:highlight w:val="none"/>
        </w:rPr>
        <w:t>见供应商须知前附表</w:t>
      </w:r>
      <w:r>
        <w:rPr>
          <w:rFonts w:hint="eastAsia" w:ascii="宋体" w:hAnsi="宋体"/>
          <w:color w:val="auto"/>
          <w:sz w:val="24"/>
          <w:highlight w:val="none"/>
        </w:rPr>
        <w:t>；</w:t>
      </w:r>
    </w:p>
    <w:p w14:paraId="2E909DAE">
      <w:pPr>
        <w:spacing w:line="500" w:lineRule="exact"/>
        <w:ind w:firstLine="482" w:firstLineChars="200"/>
        <w:rPr>
          <w:rFonts w:ascii="宋体" w:hAnsi="宋体"/>
          <w:b/>
          <w:color w:val="auto"/>
          <w:sz w:val="24"/>
          <w:highlight w:val="none"/>
        </w:rPr>
      </w:pPr>
      <w:r>
        <w:rPr>
          <w:rFonts w:ascii="宋体" w:hAnsi="宋体"/>
          <w:b/>
          <w:color w:val="auto"/>
          <w:sz w:val="24"/>
          <w:highlight w:val="none"/>
        </w:rPr>
        <w:t>（1）中小企业定义</w:t>
      </w:r>
      <w:r>
        <w:rPr>
          <w:rFonts w:hint="eastAsia" w:ascii="宋体" w:hAnsi="宋体"/>
          <w:color w:val="auto"/>
          <w:sz w:val="24"/>
          <w:highlight w:val="none"/>
        </w:rPr>
        <w:t>（</w:t>
      </w:r>
      <w:r>
        <w:rPr>
          <w:rFonts w:ascii="Calibri" w:hAnsi="Calibri" w:eastAsiaTheme="minorEastAsia"/>
          <w:color w:val="auto"/>
          <w:sz w:val="24"/>
          <w:szCs w:val="22"/>
          <w:highlight w:val="none"/>
        </w:rPr>
        <w:t>是否专门面向中小企业预留采购份额</w:t>
      </w:r>
      <w:r>
        <w:rPr>
          <w:rFonts w:hint="eastAsia" w:ascii="Calibri" w:hAnsi="Calibri" w:eastAsiaTheme="minorEastAsia"/>
          <w:color w:val="auto"/>
          <w:sz w:val="24"/>
          <w:szCs w:val="22"/>
          <w:highlight w:val="none"/>
        </w:rPr>
        <w:t>以及</w:t>
      </w:r>
      <w:r>
        <w:rPr>
          <w:rFonts w:ascii="Calibri" w:hAnsi="Calibri" w:eastAsiaTheme="minorEastAsia"/>
          <w:color w:val="auto"/>
          <w:sz w:val="24"/>
          <w:szCs w:val="22"/>
          <w:highlight w:val="none"/>
        </w:rPr>
        <w:t>采购标的对应的中小企业划分标准所属行业见</w:t>
      </w:r>
      <w:r>
        <w:rPr>
          <w:rFonts w:hint="eastAsia" w:ascii="Calibri" w:hAnsi="Calibri" w:eastAsiaTheme="minorEastAsia"/>
          <w:color w:val="auto"/>
          <w:sz w:val="24"/>
          <w:szCs w:val="22"/>
          <w:highlight w:val="none"/>
        </w:rPr>
        <w:t>《供应商须知前附表》</w:t>
      </w:r>
      <w:r>
        <w:rPr>
          <w:rFonts w:hint="eastAsia" w:ascii="宋体" w:hAnsi="宋体"/>
          <w:color w:val="auto"/>
          <w:sz w:val="24"/>
          <w:highlight w:val="none"/>
        </w:rPr>
        <w:t>）</w:t>
      </w:r>
    </w:p>
    <w:p w14:paraId="507E8276">
      <w:pPr>
        <w:spacing w:line="500" w:lineRule="exact"/>
        <w:ind w:firstLine="480" w:firstLineChars="200"/>
        <w:rPr>
          <w:rFonts w:ascii="宋体" w:hAnsi="宋体"/>
          <w:color w:val="auto"/>
          <w:sz w:val="24"/>
          <w:highlight w:val="none"/>
        </w:rPr>
      </w:pPr>
      <w:r>
        <w:rPr>
          <w:rFonts w:ascii="宋体" w:hAnsi="宋体"/>
          <w:color w:val="auto"/>
          <w:sz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号）、《关于印发中小企业划型标准规定的通知》（工信部联企业〔2011〕300 号）、《国务院关于进一步促进中小企业发展的若干意见》（国发〔2009〕36 号）。</w:t>
      </w:r>
    </w:p>
    <w:p w14:paraId="1F40C68E">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A.供应商提供的货物、工程或者服务符合下列情形的，享受中小企业扶持政策：</w:t>
      </w:r>
    </w:p>
    <w:p w14:paraId="17448F13">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①在货物采购项目中，货物由中小企业制造，即货物由中小企业生产且使用该中小企业商号或者注册商标；</w:t>
      </w:r>
    </w:p>
    <w:p w14:paraId="14BE9F01">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②在工程采购项目中，工程由中小企业承建，即工程施工单位为中小企业；</w:t>
      </w:r>
    </w:p>
    <w:p w14:paraId="43349809">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③在服务采购项目中，服务由中小企业承接，即提供服务的人员为中小企业依照《中华人民共和国劳动合同法》订立劳动合同的从业人员。</w:t>
      </w:r>
    </w:p>
    <w:p w14:paraId="7B10808D">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B.在货物采购项目中，供应商提供的货物既有中小企业制造货物，也有大型企业制造货物的，不享受中小企业扶持政策。</w:t>
      </w:r>
    </w:p>
    <w:p w14:paraId="11789DB9">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C.以联合体形式参加政府采购活动，联合体各方均为中小企业的，联合体视同中小企业。其中，联合体各方均为小微企业的，联合体视同小微企业。</w:t>
      </w:r>
    </w:p>
    <w:p w14:paraId="07BF4B47">
      <w:pPr>
        <w:spacing w:line="500" w:lineRule="exact"/>
        <w:ind w:firstLine="482" w:firstLineChars="200"/>
        <w:rPr>
          <w:rFonts w:ascii="宋体" w:hAnsi="宋体"/>
          <w:b/>
          <w:color w:val="auto"/>
          <w:sz w:val="24"/>
          <w:highlight w:val="none"/>
        </w:rPr>
      </w:pPr>
      <w:r>
        <w:rPr>
          <w:rFonts w:ascii="宋体" w:hAnsi="宋体"/>
          <w:b/>
          <w:color w:val="auto"/>
          <w:sz w:val="24"/>
          <w:highlight w:val="none"/>
        </w:rPr>
        <w:t>（2）监狱企业定义</w:t>
      </w:r>
      <w:r>
        <w:rPr>
          <w:rFonts w:hint="eastAsia" w:ascii="宋体" w:hAnsi="宋体"/>
          <w:color w:val="auto"/>
          <w:sz w:val="24"/>
          <w:highlight w:val="none"/>
        </w:rPr>
        <w:t>（视同中小企业）</w:t>
      </w:r>
    </w:p>
    <w:p w14:paraId="0831065D">
      <w:pPr>
        <w:spacing w:line="500" w:lineRule="exact"/>
        <w:ind w:firstLine="480" w:firstLineChars="200"/>
        <w:rPr>
          <w:rFonts w:ascii="宋体" w:hAnsi="宋体"/>
          <w:color w:val="auto"/>
          <w:sz w:val="24"/>
          <w:highlight w:val="none"/>
        </w:rPr>
      </w:pPr>
      <w:r>
        <w:rPr>
          <w:rFonts w:ascii="宋体" w:hAnsi="宋体"/>
          <w:color w:val="auto"/>
          <w:sz w:val="24"/>
          <w:highlight w:val="none"/>
        </w:rPr>
        <w:t>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089F05C">
      <w:pPr>
        <w:spacing w:line="500" w:lineRule="exact"/>
        <w:ind w:firstLine="482" w:firstLineChars="200"/>
        <w:rPr>
          <w:rFonts w:ascii="宋体" w:hAnsi="宋体"/>
          <w:b/>
          <w:color w:val="auto"/>
          <w:sz w:val="24"/>
          <w:highlight w:val="none"/>
        </w:rPr>
      </w:pPr>
      <w:r>
        <w:rPr>
          <w:rFonts w:ascii="宋体" w:hAnsi="宋体"/>
          <w:b/>
          <w:color w:val="auto"/>
          <w:sz w:val="24"/>
          <w:highlight w:val="none"/>
        </w:rPr>
        <w:t>（3）残疾人福利单位定义</w:t>
      </w:r>
      <w:r>
        <w:rPr>
          <w:rFonts w:hint="eastAsia" w:ascii="宋体" w:hAnsi="宋体"/>
          <w:color w:val="auto"/>
          <w:sz w:val="24"/>
          <w:highlight w:val="none"/>
        </w:rPr>
        <w:t>（视同中小企业）</w:t>
      </w:r>
    </w:p>
    <w:p w14:paraId="0B1B741C">
      <w:pPr>
        <w:spacing w:line="500" w:lineRule="exact"/>
        <w:ind w:firstLine="480" w:firstLineChars="200"/>
        <w:rPr>
          <w:rFonts w:ascii="宋体" w:hAnsi="宋体"/>
          <w:color w:val="auto"/>
          <w:sz w:val="24"/>
          <w:highlight w:val="none"/>
        </w:rPr>
      </w:pPr>
      <w:r>
        <w:rPr>
          <w:rFonts w:ascii="宋体" w:hAnsi="宋体"/>
          <w:color w:val="auto"/>
          <w:sz w:val="24"/>
          <w:highlight w:val="none"/>
        </w:rPr>
        <w:t>享受政府采购支持政策的残疾人福利性单位应当同时满足以下条件：</w:t>
      </w:r>
    </w:p>
    <w:p w14:paraId="1E8F784D">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A</w:t>
      </w:r>
      <w:r>
        <w:rPr>
          <w:rFonts w:ascii="宋体" w:hAnsi="宋体"/>
          <w:color w:val="auto"/>
          <w:sz w:val="24"/>
          <w:highlight w:val="none"/>
        </w:rPr>
        <w:t>.安置的残疾人占本单位在职职工人数的比例不低于25%（含25%），并且安置的残疾人人数不少于10 人（含10 人）；</w:t>
      </w:r>
    </w:p>
    <w:p w14:paraId="15737AFA">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B</w:t>
      </w:r>
      <w:r>
        <w:rPr>
          <w:rFonts w:ascii="宋体" w:hAnsi="宋体"/>
          <w:color w:val="auto"/>
          <w:sz w:val="24"/>
          <w:highlight w:val="none"/>
        </w:rPr>
        <w:t>.依法与安置的每位残疾人签订了一年以上（含一年）的劳动合同或服务协议；</w:t>
      </w:r>
    </w:p>
    <w:p w14:paraId="0B34B3C3">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C</w:t>
      </w:r>
      <w:r>
        <w:rPr>
          <w:rFonts w:ascii="宋体" w:hAnsi="宋体"/>
          <w:color w:val="auto"/>
          <w:sz w:val="24"/>
          <w:highlight w:val="none"/>
        </w:rPr>
        <w:t>.为安置的每位残疾人按月足额缴纳了基本养老保险、基本医疗保险、失业保险、工伤保险和生育保险等社会保险费；</w:t>
      </w:r>
    </w:p>
    <w:p w14:paraId="197E6BB0">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D</w:t>
      </w:r>
      <w:r>
        <w:rPr>
          <w:rFonts w:ascii="宋体" w:hAnsi="宋体"/>
          <w:color w:val="auto"/>
          <w:sz w:val="24"/>
          <w:highlight w:val="none"/>
        </w:rPr>
        <w:t>.通过银行等金融机构向安置的每位残疾人，按月支付了不低于单位所在区县适用的经省级人民政府批准的月最低工资标准的工资；</w:t>
      </w:r>
    </w:p>
    <w:p w14:paraId="18A75B6B">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E</w:t>
      </w:r>
      <w:r>
        <w:rPr>
          <w:rFonts w:ascii="宋体" w:hAnsi="宋体"/>
          <w:color w:val="auto"/>
          <w:sz w:val="24"/>
          <w:highlight w:val="none"/>
        </w:rPr>
        <w:t>.提供本单位制造的货物、承担的工程或者服务（以下简称产品），或者提供其他残疾人福利性单位制造的货物（不包括使用非残疾人福利性单位注册商标的货物）；</w:t>
      </w:r>
    </w:p>
    <w:p w14:paraId="26FFC534">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F</w:t>
      </w:r>
      <w:r>
        <w:rPr>
          <w:rFonts w:ascii="宋体" w:hAnsi="宋体"/>
          <w:color w:val="auto"/>
          <w:sz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服务协议的雇员人数。</w:t>
      </w:r>
    </w:p>
    <w:p w14:paraId="692E3AAA">
      <w:pPr>
        <w:spacing w:line="500" w:lineRule="exact"/>
        <w:ind w:firstLine="482" w:firstLineChars="200"/>
        <w:rPr>
          <w:rFonts w:ascii="宋体" w:hAnsi="宋体"/>
          <w:b/>
          <w:color w:val="auto"/>
          <w:sz w:val="24"/>
          <w:highlight w:val="none"/>
        </w:rPr>
      </w:pPr>
      <w:r>
        <w:rPr>
          <w:rFonts w:ascii="宋体" w:hAnsi="宋体"/>
          <w:b/>
          <w:color w:val="auto"/>
          <w:sz w:val="24"/>
          <w:highlight w:val="none"/>
        </w:rPr>
        <w:t>（4）政府采购节能产品、环境标志产品</w:t>
      </w:r>
      <w:r>
        <w:rPr>
          <w:rFonts w:hint="eastAsia" w:ascii="宋体" w:hAnsi="宋体"/>
          <w:b/>
          <w:color w:val="auto"/>
          <w:sz w:val="24"/>
          <w:highlight w:val="none"/>
        </w:rPr>
        <w:t>定义</w:t>
      </w:r>
    </w:p>
    <w:p w14:paraId="6165C5AB">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A</w:t>
      </w:r>
      <w:r>
        <w:rPr>
          <w:rFonts w:ascii="宋体" w:hAnsi="宋体"/>
          <w:color w:val="auto"/>
          <w:sz w:val="24"/>
          <w:highlight w:val="none"/>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2D52B626">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B</w:t>
      </w:r>
      <w:r>
        <w:rPr>
          <w:rFonts w:ascii="宋体" w:hAnsi="宋体"/>
          <w:color w:val="auto"/>
          <w:sz w:val="24"/>
          <w:highlight w:val="none"/>
        </w:rPr>
        <w:t xml:space="preserve">.招标人拟采购的产品属于品目清单范围的，招标人及其委托的招标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号）。 </w:t>
      </w:r>
    </w:p>
    <w:p w14:paraId="6AC4779D">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C</w:t>
      </w:r>
      <w:r>
        <w:rPr>
          <w:rFonts w:ascii="宋体" w:hAnsi="宋体"/>
          <w:color w:val="auto"/>
          <w:sz w:val="24"/>
          <w:highlight w:val="none"/>
        </w:rPr>
        <w:t>.如本项目采购产品属于实施政府强制采购品目清单范围的节能产品，则供应商所报产品必须获得国家确定的认证机构出具的、处于有效期之内的节能产品认证证书，</w:t>
      </w:r>
      <w:r>
        <w:rPr>
          <w:rFonts w:ascii="宋体" w:hAnsi="宋体"/>
          <w:b/>
          <w:color w:val="auto"/>
          <w:sz w:val="24"/>
          <w:highlight w:val="none"/>
        </w:rPr>
        <w:t>否则响应无效</w:t>
      </w:r>
      <w:r>
        <w:rPr>
          <w:rFonts w:ascii="宋体" w:hAnsi="宋体"/>
          <w:color w:val="auto"/>
          <w:sz w:val="24"/>
          <w:highlight w:val="none"/>
        </w:rPr>
        <w:t>；</w:t>
      </w:r>
    </w:p>
    <w:p w14:paraId="2EAB5469">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D</w:t>
      </w:r>
      <w:r>
        <w:rPr>
          <w:rFonts w:ascii="宋体" w:hAnsi="宋体"/>
          <w:color w:val="auto"/>
          <w:sz w:val="24"/>
          <w:highlight w:val="none"/>
        </w:rPr>
        <w:t>.非政府强制采购的节能产品或环境标志产品，依据品目清单和认证证书实施政府优先采购。优先采购的具体规定见评审标准（如涉及）。</w:t>
      </w:r>
    </w:p>
    <w:p w14:paraId="225B7ACE">
      <w:pPr>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（5）进口产品定义</w:t>
      </w:r>
      <w:r>
        <w:rPr>
          <w:rFonts w:hint="eastAsia" w:ascii="宋体" w:hAnsi="宋体"/>
          <w:color w:val="auto"/>
          <w:sz w:val="24"/>
          <w:highlight w:val="none"/>
        </w:rPr>
        <w:t>（是否接受进口产品见《采购需求》）</w:t>
      </w:r>
    </w:p>
    <w:p w14:paraId="6303109F">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指通过中国海关报关验放进入中国境内且产自关境外的产品，包括已经进入中国境内的进口产品。关于进口产品的相关规定依据《政府采购进口产品管理办法》（财库〔2007〕119号文）、《关于政府采购进口产品管理有关问题的通知》（财办库〔2008〕248号文）。</w:t>
      </w:r>
    </w:p>
    <w:p w14:paraId="2E7ED100">
      <w:pPr>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（6）支持乡村产业振兴管理</w:t>
      </w:r>
      <w:r>
        <w:rPr>
          <w:rFonts w:hint="eastAsia" w:ascii="宋体" w:hAnsi="宋体"/>
          <w:color w:val="auto"/>
          <w:sz w:val="24"/>
          <w:highlight w:val="none"/>
        </w:rPr>
        <w:t>（</w:t>
      </w:r>
      <w:r>
        <w:rPr>
          <w:rFonts w:ascii="宋体" w:hAnsi="宋体"/>
          <w:color w:val="auto"/>
          <w:sz w:val="24"/>
          <w:highlight w:val="none"/>
        </w:rPr>
        <w:t>对于支持乡村振兴管理的相关要求见《采购需求》（如涉及）</w:t>
      </w:r>
      <w:r>
        <w:rPr>
          <w:rFonts w:hint="eastAsia" w:ascii="宋体" w:hAnsi="宋体"/>
          <w:color w:val="auto"/>
          <w:sz w:val="24"/>
          <w:highlight w:val="none"/>
        </w:rPr>
        <w:t>）</w:t>
      </w:r>
    </w:p>
    <w:p w14:paraId="6B616AF5">
      <w:pPr>
        <w:spacing w:line="500" w:lineRule="exact"/>
        <w:ind w:firstLine="480" w:firstLineChars="200"/>
        <w:rPr>
          <w:rFonts w:ascii="宋体" w:hAnsi="宋体"/>
          <w:color w:val="auto"/>
          <w:sz w:val="24"/>
          <w:highlight w:val="none"/>
        </w:rPr>
      </w:pPr>
      <w:r>
        <w:rPr>
          <w:rFonts w:ascii="宋体" w:hAnsi="宋体"/>
          <w:color w:val="auto"/>
          <w:sz w:val="24"/>
          <w:highlight w:val="none"/>
        </w:rPr>
        <w:t>为落实《关于运用政府采购政策支持乡村产业振兴的通知》（财库〔2021〕19号）有关要求，做好支持脱贫攻坚工作。</w:t>
      </w:r>
    </w:p>
    <w:p w14:paraId="47D77A81">
      <w:pPr>
        <w:spacing w:line="500" w:lineRule="exact"/>
        <w:ind w:firstLine="482" w:firstLineChars="200"/>
        <w:rPr>
          <w:rFonts w:ascii="宋体" w:hAnsi="宋体"/>
          <w:b/>
          <w:color w:val="auto"/>
          <w:sz w:val="24"/>
          <w:highlight w:val="none"/>
        </w:rPr>
      </w:pPr>
      <w:r>
        <w:rPr>
          <w:rFonts w:hint="eastAsia" w:ascii="宋体" w:hAnsi="宋体"/>
          <w:b/>
          <w:color w:val="auto"/>
          <w:sz w:val="24"/>
          <w:highlight w:val="none"/>
        </w:rPr>
        <w:t>（7）信息安全产品</w:t>
      </w:r>
    </w:p>
    <w:p w14:paraId="0738900C">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所投产品属于《关于调整信息安全产品强制性认证实施要求的公告》（2009 年第33 号）范围的，采购经国家认证的信息安全产品，否则响应无效。关于信息安全相关规定依据《关于信息安全产品实施政府采购的通知》（财库〔2010〕48 号）。</w:t>
      </w:r>
    </w:p>
    <w:p w14:paraId="5DBFA3C9">
      <w:pPr>
        <w:spacing w:line="500" w:lineRule="exact"/>
        <w:rPr>
          <w:rFonts w:ascii="宋体" w:hAnsi="宋体" w:cs="宋体"/>
          <w:b/>
          <w:color w:val="auto"/>
          <w:sz w:val="24"/>
          <w:highlight w:val="none"/>
        </w:rPr>
      </w:pPr>
      <w:r>
        <w:rPr>
          <w:rFonts w:hint="eastAsia" w:ascii="宋体" w:hAnsi="宋体" w:cs="宋体"/>
          <w:b/>
          <w:color w:val="auto"/>
          <w:sz w:val="24"/>
          <w:highlight w:val="none"/>
        </w:rPr>
        <w:t>1.</w:t>
      </w:r>
      <w:bookmarkEnd w:id="73"/>
      <w:bookmarkEnd w:id="74"/>
      <w:bookmarkEnd w:id="75"/>
      <w:bookmarkEnd w:id="76"/>
      <w:bookmarkEnd w:id="77"/>
      <w:r>
        <w:rPr>
          <w:rFonts w:hint="eastAsia" w:ascii="宋体" w:hAnsi="宋体" w:cs="宋体"/>
          <w:b/>
          <w:color w:val="auto"/>
          <w:sz w:val="24"/>
          <w:highlight w:val="none"/>
        </w:rPr>
        <w:t>5费用承担</w:t>
      </w:r>
    </w:p>
    <w:p w14:paraId="6AE4695E">
      <w:pPr>
        <w:spacing w:line="500" w:lineRule="exact"/>
        <w:ind w:firstLine="480" w:firstLineChars="200"/>
        <w:rPr>
          <w:rFonts w:ascii="宋体" w:hAnsi="宋体" w:cs="宋体"/>
          <w:color w:val="auto"/>
          <w:sz w:val="24"/>
          <w:highlight w:val="none"/>
        </w:rPr>
      </w:pPr>
      <w:bookmarkStart w:id="78" w:name="_Toc99609729"/>
      <w:bookmarkStart w:id="79" w:name="_Toc99610001"/>
      <w:bookmarkStart w:id="80" w:name="_Toc99610171"/>
      <w:bookmarkStart w:id="81" w:name="_Toc99609865"/>
      <w:bookmarkStart w:id="82" w:name="_Toc99610132"/>
      <w:r>
        <w:rPr>
          <w:rFonts w:hint="eastAsia" w:ascii="宋体" w:hAnsi="宋体" w:cs="宋体"/>
          <w:color w:val="auto"/>
          <w:sz w:val="24"/>
          <w:highlight w:val="none"/>
        </w:rPr>
        <w:t>投标人准备和参加投标活动发生的费用自理。</w:t>
      </w:r>
    </w:p>
    <w:p w14:paraId="3FCED5DC">
      <w:pPr>
        <w:spacing w:line="500" w:lineRule="exact"/>
        <w:rPr>
          <w:rFonts w:ascii="宋体" w:hAnsi="宋体" w:cs="宋体"/>
          <w:b/>
          <w:color w:val="auto"/>
          <w:sz w:val="24"/>
          <w:highlight w:val="none"/>
        </w:rPr>
      </w:pPr>
      <w:r>
        <w:rPr>
          <w:rFonts w:hint="eastAsia" w:ascii="宋体" w:hAnsi="宋体" w:cs="宋体"/>
          <w:b/>
          <w:color w:val="auto"/>
          <w:sz w:val="24"/>
          <w:highlight w:val="none"/>
        </w:rPr>
        <w:t>1.6保密</w:t>
      </w:r>
    </w:p>
    <w:p w14:paraId="3073D9C1">
      <w:pPr>
        <w:spacing w:line="500" w:lineRule="exact"/>
        <w:ind w:left="100" w:right="113" w:firstLine="419"/>
        <w:jc w:val="left"/>
        <w:rPr>
          <w:rFonts w:ascii="宋体" w:hAnsi="宋体" w:cs="宋体"/>
          <w:color w:val="auto"/>
          <w:sz w:val="24"/>
          <w:highlight w:val="none"/>
        </w:rPr>
      </w:pPr>
      <w:r>
        <w:rPr>
          <w:rFonts w:hint="eastAsia" w:ascii="宋体" w:hAnsi="宋体" w:cs="宋体"/>
          <w:color w:val="auto"/>
          <w:sz w:val="24"/>
          <w:highlight w:val="none"/>
        </w:rPr>
        <w:t>参与政府采购活动的各方应对招标文件和投标文件中的商业和技术等秘密保密，否则应承担相应的法律责任。</w:t>
      </w:r>
    </w:p>
    <w:p w14:paraId="653BCEF7">
      <w:pPr>
        <w:spacing w:line="500" w:lineRule="exact"/>
        <w:rPr>
          <w:rFonts w:ascii="宋体" w:hAnsi="宋体" w:cs="宋体"/>
          <w:b/>
          <w:color w:val="auto"/>
          <w:sz w:val="24"/>
          <w:highlight w:val="none"/>
        </w:rPr>
      </w:pPr>
      <w:r>
        <w:rPr>
          <w:rFonts w:hint="eastAsia" w:ascii="宋体" w:hAnsi="宋体" w:cs="宋体"/>
          <w:b/>
          <w:color w:val="auto"/>
          <w:sz w:val="24"/>
          <w:highlight w:val="none"/>
        </w:rPr>
        <w:t>1.7语言文字及计量单位</w:t>
      </w:r>
    </w:p>
    <w:p w14:paraId="2B7ED7CB">
      <w:pPr>
        <w:spacing w:line="500" w:lineRule="exact"/>
        <w:ind w:firstLine="480" w:firstLineChars="200"/>
        <w:rPr>
          <w:rFonts w:ascii="宋体" w:hAnsi="宋体" w:cs="宋体"/>
          <w:color w:val="auto"/>
          <w:sz w:val="24"/>
          <w:highlight w:val="none"/>
        </w:rPr>
      </w:pPr>
      <w:bookmarkStart w:id="83" w:name="_Toc167460121"/>
      <w:r>
        <w:rPr>
          <w:rFonts w:hint="eastAsia" w:ascii="宋体" w:hAnsi="宋体" w:cs="宋体"/>
          <w:color w:val="auto"/>
          <w:sz w:val="24"/>
          <w:highlight w:val="none"/>
        </w:rPr>
        <w:t>1.7.1招标文件所使用的语言为中文，招标人提供的支持文件和印刷的文献可以使用其他语言，但相应内容应附有中文翻译本，在解释时以中文翻译本为准。</w:t>
      </w:r>
    </w:p>
    <w:p w14:paraId="0D78149B">
      <w:pPr>
        <w:spacing w:line="50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1.7.2招标文件中的所有计量单位和规格说明都是用中华人民共和国法定计量单位（国际单位制和国家选定的其他计量单位）表示。</w:t>
      </w:r>
      <w:bookmarkStart w:id="84" w:name="_Toc15045"/>
    </w:p>
    <w:p w14:paraId="0CFBAD3C">
      <w:pPr>
        <w:spacing w:line="500" w:lineRule="exact"/>
        <w:outlineLvl w:val="0"/>
        <w:rPr>
          <w:rFonts w:ascii="宋体" w:hAnsi="宋体" w:cs="宋体"/>
          <w:color w:val="auto"/>
          <w:sz w:val="24"/>
          <w:highlight w:val="none"/>
        </w:rPr>
      </w:pPr>
      <w:bookmarkStart w:id="85" w:name="_Toc141870317"/>
      <w:bookmarkStart w:id="86" w:name="_Toc141969781"/>
      <w:bookmarkStart w:id="87" w:name="_Toc9081"/>
      <w:bookmarkStart w:id="88" w:name="_Toc31024"/>
      <w:bookmarkStart w:id="89" w:name="_Toc148084456"/>
      <w:bookmarkStart w:id="90" w:name="_Toc25424"/>
      <w:r>
        <w:rPr>
          <w:rFonts w:hint="eastAsia" w:ascii="宋体" w:hAnsi="宋体" w:cs="宋体"/>
          <w:b/>
          <w:color w:val="auto"/>
          <w:sz w:val="24"/>
          <w:highlight w:val="none"/>
        </w:rPr>
        <w:t>2.招标文件</w:t>
      </w:r>
      <w:bookmarkEnd w:id="78"/>
      <w:bookmarkEnd w:id="79"/>
      <w:bookmarkEnd w:id="80"/>
      <w:bookmarkEnd w:id="81"/>
      <w:bookmarkEnd w:id="82"/>
      <w:bookmarkEnd w:id="83"/>
      <w:bookmarkEnd w:id="84"/>
      <w:bookmarkEnd w:id="85"/>
      <w:bookmarkEnd w:id="86"/>
      <w:bookmarkEnd w:id="87"/>
      <w:bookmarkEnd w:id="88"/>
      <w:bookmarkEnd w:id="89"/>
      <w:bookmarkEnd w:id="90"/>
      <w:bookmarkStart w:id="91" w:name="_Toc99610002"/>
      <w:bookmarkStart w:id="92" w:name="_Toc99610172"/>
      <w:bookmarkStart w:id="93" w:name="_Toc99609866"/>
      <w:bookmarkStart w:id="94" w:name="_Toc99609730"/>
    </w:p>
    <w:p w14:paraId="0D05255F">
      <w:pPr>
        <w:spacing w:line="500" w:lineRule="exact"/>
        <w:rPr>
          <w:rFonts w:ascii="宋体" w:hAnsi="宋体" w:cs="宋体"/>
          <w:b/>
          <w:color w:val="auto"/>
          <w:sz w:val="24"/>
          <w:highlight w:val="none"/>
        </w:rPr>
      </w:pPr>
      <w:r>
        <w:rPr>
          <w:rFonts w:hint="eastAsia" w:ascii="宋体" w:hAnsi="宋体" w:cs="宋体"/>
          <w:b/>
          <w:color w:val="auto"/>
          <w:sz w:val="24"/>
          <w:highlight w:val="none"/>
        </w:rPr>
        <w:t>2.1招标文件</w:t>
      </w:r>
      <w:bookmarkEnd w:id="91"/>
      <w:bookmarkEnd w:id="92"/>
      <w:bookmarkEnd w:id="93"/>
      <w:bookmarkEnd w:id="94"/>
      <w:r>
        <w:rPr>
          <w:rFonts w:hint="eastAsia" w:ascii="宋体" w:hAnsi="宋体" w:cs="宋体"/>
          <w:b/>
          <w:color w:val="auto"/>
          <w:sz w:val="24"/>
          <w:highlight w:val="none"/>
        </w:rPr>
        <w:t>的组成</w:t>
      </w:r>
    </w:p>
    <w:p w14:paraId="07E79DDF">
      <w:pPr>
        <w:spacing w:line="500" w:lineRule="exact"/>
        <w:ind w:firstLine="480" w:firstLineChars="200"/>
        <w:outlineLvl w:val="0"/>
        <w:rPr>
          <w:rFonts w:ascii="宋体" w:hAnsi="宋体" w:cs="宋体"/>
          <w:color w:val="auto"/>
          <w:sz w:val="24"/>
          <w:highlight w:val="none"/>
        </w:rPr>
      </w:pPr>
      <w:bookmarkStart w:id="95" w:name="_Toc141969782"/>
      <w:bookmarkStart w:id="96" w:name="_Toc2745"/>
      <w:bookmarkStart w:id="97" w:name="_Toc11925"/>
      <w:bookmarkStart w:id="98" w:name="_Toc148084457"/>
      <w:bookmarkStart w:id="99" w:name="_Toc4586"/>
      <w:bookmarkStart w:id="100" w:name="_Toc141870318"/>
      <w:bookmarkStart w:id="101" w:name="_Toc1288"/>
      <w:r>
        <w:rPr>
          <w:rFonts w:hint="eastAsia" w:ascii="宋体" w:hAnsi="宋体" w:cs="宋体"/>
          <w:color w:val="auto"/>
          <w:sz w:val="24"/>
          <w:highlight w:val="none"/>
        </w:rPr>
        <w:t>本招标文件包括以下部分：</w:t>
      </w:r>
      <w:bookmarkEnd w:id="95"/>
      <w:bookmarkEnd w:id="96"/>
      <w:bookmarkEnd w:id="97"/>
      <w:bookmarkEnd w:id="98"/>
      <w:bookmarkEnd w:id="99"/>
      <w:bookmarkEnd w:id="100"/>
      <w:bookmarkEnd w:id="101"/>
    </w:p>
    <w:p w14:paraId="3B37737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（1）招标公告</w:t>
      </w:r>
    </w:p>
    <w:p w14:paraId="79B55F8B">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（2）投标人须知前附表</w:t>
      </w:r>
    </w:p>
    <w:p w14:paraId="45A96CC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（3）资格审查</w:t>
      </w:r>
    </w:p>
    <w:p w14:paraId="6857B656">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（4）评标程序、评标方法和评标标准</w:t>
      </w:r>
    </w:p>
    <w:p w14:paraId="35AE1255">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（5）合同条款</w:t>
      </w:r>
    </w:p>
    <w:p w14:paraId="6A60519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（6）采购需求</w:t>
      </w:r>
    </w:p>
    <w:p w14:paraId="239FA0D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（7）投标文件格式</w:t>
      </w:r>
    </w:p>
    <w:p w14:paraId="2C635F4C">
      <w:pPr>
        <w:spacing w:line="500" w:lineRule="exact"/>
        <w:ind w:firstLine="480" w:firstLineChars="200"/>
        <w:outlineLvl w:val="0"/>
        <w:rPr>
          <w:rFonts w:ascii="宋体" w:hAnsi="宋体" w:cs="宋体"/>
          <w:color w:val="auto"/>
          <w:sz w:val="24"/>
          <w:highlight w:val="none"/>
        </w:rPr>
      </w:pPr>
      <w:bookmarkStart w:id="102" w:name="_Toc20061"/>
      <w:bookmarkStart w:id="103" w:name="_Toc148084458"/>
      <w:bookmarkStart w:id="104" w:name="_Toc141969783"/>
      <w:bookmarkStart w:id="105" w:name="_Toc18581"/>
      <w:bookmarkStart w:id="106" w:name="_Toc1939"/>
      <w:bookmarkStart w:id="107" w:name="_Toc141870319"/>
      <w:bookmarkStart w:id="108" w:name="_Toc4924"/>
      <w:r>
        <w:rPr>
          <w:rFonts w:hint="eastAsia" w:ascii="宋体" w:hAnsi="宋体" w:cs="宋体"/>
          <w:color w:val="auto"/>
          <w:sz w:val="24"/>
          <w:highlight w:val="none"/>
        </w:rPr>
        <w:t>一切有效的招标文件书面文件澄清或修改均是招标文件不可分割的部分。</w:t>
      </w:r>
      <w:bookmarkEnd w:id="102"/>
      <w:bookmarkEnd w:id="103"/>
      <w:bookmarkEnd w:id="104"/>
      <w:bookmarkEnd w:id="105"/>
      <w:bookmarkEnd w:id="106"/>
      <w:bookmarkEnd w:id="107"/>
      <w:bookmarkEnd w:id="108"/>
    </w:p>
    <w:p w14:paraId="52EDD75B">
      <w:pPr>
        <w:spacing w:line="500" w:lineRule="exact"/>
        <w:rPr>
          <w:rFonts w:ascii="宋体" w:hAnsi="宋体" w:cs="宋体"/>
          <w:b/>
          <w:color w:val="auto"/>
          <w:sz w:val="24"/>
          <w:highlight w:val="none"/>
        </w:rPr>
      </w:pPr>
      <w:bookmarkStart w:id="109" w:name="_Toc99610004"/>
      <w:bookmarkStart w:id="110" w:name="_Toc167252394"/>
      <w:bookmarkStart w:id="111" w:name="_Toc99609732"/>
      <w:bookmarkStart w:id="112" w:name="_Toc99610174"/>
      <w:bookmarkStart w:id="113" w:name="_Toc99609868"/>
      <w:r>
        <w:rPr>
          <w:rFonts w:hint="eastAsia" w:ascii="宋体" w:hAnsi="宋体" w:cs="宋体"/>
          <w:b/>
          <w:color w:val="auto"/>
          <w:sz w:val="24"/>
          <w:highlight w:val="none"/>
        </w:rPr>
        <w:t>2.2招标文件的澄清</w:t>
      </w:r>
      <w:bookmarkEnd w:id="109"/>
      <w:bookmarkEnd w:id="110"/>
      <w:bookmarkEnd w:id="111"/>
      <w:bookmarkEnd w:id="112"/>
      <w:bookmarkEnd w:id="113"/>
      <w:r>
        <w:rPr>
          <w:rFonts w:hint="eastAsia" w:ascii="宋体" w:hAnsi="宋体" w:cs="宋体"/>
          <w:b/>
          <w:color w:val="auto"/>
          <w:sz w:val="24"/>
          <w:highlight w:val="none"/>
        </w:rPr>
        <w:t>或修改</w:t>
      </w:r>
    </w:p>
    <w:p w14:paraId="01868DBF">
      <w:pPr>
        <w:spacing w:line="500" w:lineRule="exact"/>
        <w:ind w:firstLine="480" w:firstLineChars="200"/>
        <w:outlineLvl w:val="0"/>
        <w:rPr>
          <w:rFonts w:ascii="宋体" w:hAnsi="宋体"/>
          <w:color w:val="auto"/>
          <w:sz w:val="24"/>
          <w:highlight w:val="none"/>
        </w:rPr>
      </w:pPr>
      <w:bookmarkStart w:id="114" w:name="_Toc148084459"/>
      <w:bookmarkStart w:id="115" w:name="_Toc3544"/>
      <w:bookmarkStart w:id="116" w:name="_Toc141969784"/>
      <w:bookmarkStart w:id="117" w:name="_Toc141870320"/>
      <w:bookmarkStart w:id="118" w:name="_Toc1913"/>
      <w:bookmarkStart w:id="119" w:name="_Toc17308"/>
      <w:bookmarkStart w:id="120" w:name="_Toc6082"/>
      <w:r>
        <w:rPr>
          <w:rFonts w:hint="eastAsia" w:ascii="宋体" w:hAnsi="宋体" w:cs="宋体"/>
          <w:color w:val="auto"/>
          <w:sz w:val="24"/>
          <w:highlight w:val="none"/>
        </w:rPr>
        <w:t>2.2.1</w:t>
      </w:r>
      <w:bookmarkStart w:id="121" w:name="_Toc99610175"/>
      <w:bookmarkStart w:id="122" w:name="_Toc99609733"/>
      <w:bookmarkStart w:id="123" w:name="_Toc99609869"/>
      <w:bookmarkStart w:id="124" w:name="_Toc99610005"/>
      <w:r>
        <w:rPr>
          <w:rFonts w:hint="eastAsia" w:ascii="宋体" w:hAnsi="宋体" w:cs="宋体"/>
          <w:color w:val="auto"/>
          <w:sz w:val="24"/>
          <w:highlight w:val="none"/>
        </w:rPr>
        <w:t>招标代</w:t>
      </w:r>
      <w:r>
        <w:rPr>
          <w:rFonts w:ascii="宋体" w:hAnsi="宋体"/>
          <w:color w:val="auto"/>
          <w:sz w:val="24"/>
          <w:highlight w:val="none"/>
        </w:rPr>
        <w:t>文件澄清和修改：见供应商须知前附表。</w:t>
      </w:r>
      <w:bookmarkEnd w:id="114"/>
    </w:p>
    <w:p w14:paraId="2333BE4E">
      <w:pPr>
        <w:spacing w:line="500" w:lineRule="exact"/>
        <w:ind w:firstLine="480" w:firstLineChars="200"/>
        <w:outlineLvl w:val="0"/>
        <w:rPr>
          <w:rFonts w:ascii="宋体" w:hAnsi="宋体" w:cs="宋体"/>
          <w:color w:val="auto"/>
          <w:sz w:val="24"/>
          <w:highlight w:val="none"/>
        </w:rPr>
      </w:pPr>
      <w:bookmarkStart w:id="125" w:name="_Toc148084460"/>
      <w:r>
        <w:rPr>
          <w:rFonts w:hint="eastAsia" w:ascii="宋体" w:hAnsi="宋体"/>
          <w:color w:val="auto"/>
          <w:sz w:val="24"/>
          <w:highlight w:val="none"/>
        </w:rPr>
        <w:t>2.2.2招标代理</w:t>
      </w:r>
      <w:r>
        <w:rPr>
          <w:rFonts w:hint="eastAsia" w:ascii="宋体" w:hAnsi="宋体" w:cs="宋体"/>
          <w:color w:val="auto"/>
          <w:sz w:val="24"/>
          <w:highlight w:val="none"/>
        </w:rPr>
        <w:t>机构可以对已发出的招标文件进行必要的澄清或者修改，将在原公告发布媒体上发布更正公告，并以书面形式通知所有获取招标文件的潜在投标人，澄清或者修改的内容为招标文件的组成部分。</w:t>
      </w:r>
      <w:bookmarkEnd w:id="115"/>
      <w:bookmarkEnd w:id="116"/>
      <w:bookmarkEnd w:id="117"/>
      <w:bookmarkEnd w:id="118"/>
      <w:bookmarkEnd w:id="119"/>
      <w:bookmarkEnd w:id="120"/>
      <w:bookmarkEnd w:id="125"/>
    </w:p>
    <w:p w14:paraId="749D92ED">
      <w:pPr>
        <w:spacing w:line="500" w:lineRule="exact"/>
        <w:ind w:firstLine="480" w:firstLineChars="200"/>
        <w:outlineLvl w:val="0"/>
        <w:rPr>
          <w:rFonts w:ascii="宋体" w:hAnsi="宋体" w:cs="宋体"/>
          <w:color w:val="auto"/>
          <w:sz w:val="24"/>
          <w:highlight w:val="none"/>
        </w:rPr>
      </w:pPr>
      <w:bookmarkStart w:id="126" w:name="_Toc148084461"/>
      <w:bookmarkStart w:id="127" w:name="_Toc29208"/>
      <w:bookmarkStart w:id="128" w:name="_Toc141870321"/>
      <w:bookmarkStart w:id="129" w:name="_Toc31676"/>
      <w:bookmarkStart w:id="130" w:name="_Toc24133"/>
      <w:bookmarkStart w:id="131" w:name="_Toc141969785"/>
      <w:bookmarkStart w:id="132" w:name="_Toc24818"/>
      <w:r>
        <w:rPr>
          <w:rFonts w:hint="eastAsia" w:ascii="宋体" w:hAnsi="宋体" w:cs="宋体"/>
          <w:color w:val="auto"/>
          <w:sz w:val="24"/>
          <w:highlight w:val="none"/>
        </w:rPr>
        <w:t>2.2.3上述书面通知，按照获取招标文件的潜在投标人提供的联系方式发出，因提供的信息有误导致通知延迟或无法通知的，招标人或招标代理机构不承担责任。</w:t>
      </w:r>
      <w:bookmarkEnd w:id="126"/>
    </w:p>
    <w:p w14:paraId="72B5E398">
      <w:pPr>
        <w:spacing w:line="500" w:lineRule="exact"/>
        <w:ind w:firstLine="480" w:firstLineChars="200"/>
        <w:outlineLvl w:val="0"/>
        <w:rPr>
          <w:rFonts w:ascii="宋体" w:hAnsi="宋体" w:cs="宋体"/>
          <w:color w:val="auto"/>
          <w:sz w:val="24"/>
          <w:highlight w:val="none"/>
        </w:rPr>
      </w:pPr>
      <w:bookmarkStart w:id="133" w:name="_Toc148084462"/>
      <w:r>
        <w:rPr>
          <w:rFonts w:hint="eastAsia" w:ascii="宋体" w:hAnsi="宋体" w:cs="宋体"/>
          <w:color w:val="auto"/>
          <w:sz w:val="24"/>
          <w:highlight w:val="none"/>
        </w:rPr>
        <w:t>2.2.4澄清或者修改的内容可能影响投标文件编制的，招标人或者招标代理机构在投标截止时间至少15日前，以书面形式通知所有获取招标文件的潜在投标人；不足15日的，招标人或者招标代理机构应当顺延提交投标文件的截止时间。</w:t>
      </w:r>
      <w:bookmarkEnd w:id="127"/>
      <w:bookmarkEnd w:id="128"/>
      <w:bookmarkEnd w:id="129"/>
      <w:bookmarkEnd w:id="130"/>
      <w:bookmarkEnd w:id="131"/>
      <w:bookmarkEnd w:id="132"/>
      <w:bookmarkEnd w:id="133"/>
    </w:p>
    <w:bookmarkEnd w:id="121"/>
    <w:bookmarkEnd w:id="122"/>
    <w:bookmarkEnd w:id="123"/>
    <w:bookmarkEnd w:id="124"/>
    <w:p w14:paraId="70B3218F">
      <w:pPr>
        <w:spacing w:line="500" w:lineRule="exact"/>
        <w:rPr>
          <w:rFonts w:ascii="宋体" w:hAnsi="宋体" w:cs="宋体"/>
          <w:b/>
          <w:color w:val="auto"/>
          <w:sz w:val="24"/>
          <w:highlight w:val="none"/>
        </w:rPr>
      </w:pPr>
      <w:bookmarkStart w:id="134" w:name="_Toc99610007"/>
      <w:bookmarkStart w:id="135" w:name="_Toc99610133"/>
      <w:bookmarkStart w:id="136" w:name="_Toc2662"/>
      <w:bookmarkStart w:id="137" w:name="_Toc99609871"/>
      <w:bookmarkStart w:id="138" w:name="_Toc99610177"/>
      <w:bookmarkStart w:id="139" w:name="_Toc167460122"/>
      <w:bookmarkStart w:id="140" w:name="_Toc99609735"/>
      <w:r>
        <w:rPr>
          <w:rFonts w:hint="eastAsia" w:ascii="宋体" w:hAnsi="宋体" w:cs="宋体"/>
          <w:b/>
          <w:color w:val="auto"/>
          <w:sz w:val="24"/>
          <w:highlight w:val="none"/>
        </w:rPr>
        <w:t>3.投标文件的编制</w:t>
      </w:r>
      <w:bookmarkEnd w:id="134"/>
      <w:bookmarkEnd w:id="135"/>
      <w:bookmarkEnd w:id="136"/>
      <w:bookmarkEnd w:id="137"/>
      <w:bookmarkEnd w:id="138"/>
      <w:bookmarkEnd w:id="139"/>
      <w:bookmarkEnd w:id="140"/>
    </w:p>
    <w:p w14:paraId="63D9C9A7">
      <w:pPr>
        <w:spacing w:line="500" w:lineRule="exact"/>
        <w:rPr>
          <w:rFonts w:ascii="宋体" w:hAnsi="宋体" w:cs="宋体"/>
          <w:b/>
          <w:color w:val="auto"/>
          <w:sz w:val="24"/>
          <w:highlight w:val="none"/>
        </w:rPr>
      </w:pPr>
      <w:r>
        <w:rPr>
          <w:rFonts w:hint="eastAsia" w:ascii="宋体" w:hAnsi="宋体" w:cs="宋体"/>
          <w:b/>
          <w:color w:val="auto"/>
          <w:sz w:val="24"/>
          <w:highlight w:val="none"/>
        </w:rPr>
        <w:t>3.1投标文件的组成</w:t>
      </w:r>
    </w:p>
    <w:p w14:paraId="01915669">
      <w:pPr>
        <w:spacing w:line="500" w:lineRule="exact"/>
        <w:ind w:firstLine="480" w:firstLineChars="200"/>
        <w:outlineLvl w:val="0"/>
        <w:rPr>
          <w:rFonts w:ascii="宋体" w:hAnsi="宋体" w:cs="宋体"/>
          <w:color w:val="auto"/>
          <w:sz w:val="24"/>
          <w:highlight w:val="none"/>
        </w:rPr>
      </w:pPr>
      <w:bookmarkStart w:id="141" w:name="_Toc141969786"/>
      <w:bookmarkStart w:id="142" w:name="_Toc28809"/>
      <w:bookmarkStart w:id="143" w:name="_Toc4707"/>
      <w:bookmarkStart w:id="144" w:name="_Toc1561"/>
      <w:bookmarkStart w:id="145" w:name="_Toc5295"/>
      <w:bookmarkStart w:id="146" w:name="_Toc148084463"/>
      <w:bookmarkStart w:id="147" w:name="_Toc141870322"/>
      <w:r>
        <w:rPr>
          <w:rFonts w:hint="eastAsia" w:ascii="宋体" w:hAnsi="宋体" w:cs="宋体"/>
          <w:color w:val="auto"/>
          <w:sz w:val="24"/>
          <w:highlight w:val="none"/>
        </w:rPr>
        <w:t>3.1.1</w:t>
      </w:r>
      <w:bookmarkEnd w:id="141"/>
      <w:bookmarkEnd w:id="142"/>
      <w:bookmarkEnd w:id="143"/>
      <w:bookmarkEnd w:id="144"/>
      <w:bookmarkEnd w:id="145"/>
      <w:bookmarkEnd w:id="146"/>
      <w:bookmarkEnd w:id="147"/>
      <w:bookmarkStart w:id="148" w:name="_Toc99609875"/>
      <w:bookmarkStart w:id="149" w:name="_Toc99610181"/>
      <w:bookmarkStart w:id="150" w:name="_Toc99609739"/>
      <w:bookmarkStart w:id="151" w:name="_Toc99610011"/>
      <w:r>
        <w:rPr>
          <w:rFonts w:hint="eastAsia" w:ascii="宋体" w:hAnsi="宋体" w:cs="宋体"/>
          <w:color w:val="auto"/>
          <w:sz w:val="24"/>
          <w:highlight w:val="none"/>
        </w:rPr>
        <w:t>投标人应当按照招标文件的要求编制投标文件。投标文件应由《资格证明文件》、《商务技术文件》两部分构成。投标文件的部分格式要求，见第七章《投标文件格式》。</w:t>
      </w:r>
    </w:p>
    <w:p w14:paraId="00275967">
      <w:pPr>
        <w:spacing w:line="50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投标人在评标过程中作出的符合法律法规和招标文件规定的澄清说明，构成投标文件的组成部分。</w:t>
      </w:r>
    </w:p>
    <w:p w14:paraId="02A2632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3.1.2</w:t>
      </w:r>
      <w:r>
        <w:rPr>
          <w:rFonts w:ascii="宋体" w:hAnsi="宋体" w:cs="宋体"/>
          <w:color w:val="auto"/>
          <w:sz w:val="24"/>
          <w:highlight w:val="none"/>
        </w:rPr>
        <w:t>对于招标文件中标记了“实质性格式”文件的，投标人不得改变格式中给定的文字所表达的含义，不得删减格式中的实质性内容，不得自行添加与格式中给定的文字内容相矛盾的内容，不得对应当填写的空格不填写或不实质性响应，否则</w:t>
      </w:r>
      <w:r>
        <w:rPr>
          <w:rFonts w:ascii="宋体" w:hAnsi="宋体" w:cs="宋体"/>
          <w:b/>
          <w:color w:val="auto"/>
          <w:sz w:val="24"/>
          <w:highlight w:val="none"/>
        </w:rPr>
        <w:t>投标无效</w:t>
      </w:r>
      <w:r>
        <w:rPr>
          <w:rFonts w:ascii="宋体" w:hAnsi="宋体" w:cs="宋体"/>
          <w:color w:val="auto"/>
          <w:sz w:val="24"/>
          <w:highlight w:val="none"/>
        </w:rPr>
        <w:t>。未标记“实质性格式”的文件和招标文件未提供格式的内容，可由投标人自行编写。</w:t>
      </w:r>
    </w:p>
    <w:p w14:paraId="59824613">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3.1.3《评标程序、评标方法和评标标准》中涉及的证明文件。</w:t>
      </w:r>
    </w:p>
    <w:p w14:paraId="1EA18DED">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3.1.4对照《采购需求》，说明所提供货物和服务已对第五章《采购需求》做出了响应，或申明与《采购需求》的偏差和例外。如《采购需求》中要求提供证明文件的，投标人应当按具体要求提供证明文件。</w:t>
      </w:r>
    </w:p>
    <w:p w14:paraId="58536B2B">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3.1.5投标人认为应附的其他材料。</w:t>
      </w:r>
    </w:p>
    <w:p w14:paraId="23112222">
      <w:pPr>
        <w:spacing w:line="500" w:lineRule="exact"/>
        <w:rPr>
          <w:rFonts w:ascii="宋体" w:hAnsi="宋体" w:cs="宋体"/>
          <w:b/>
          <w:color w:val="auto"/>
          <w:sz w:val="24"/>
          <w:highlight w:val="none"/>
        </w:rPr>
      </w:pPr>
      <w:r>
        <w:rPr>
          <w:rFonts w:hint="eastAsia" w:ascii="宋体" w:hAnsi="宋体" w:cs="宋体"/>
          <w:b/>
          <w:color w:val="auto"/>
          <w:sz w:val="24"/>
          <w:highlight w:val="none"/>
        </w:rPr>
        <w:t>3.2投标报价</w:t>
      </w:r>
    </w:p>
    <w:p w14:paraId="5C8D89AA">
      <w:pPr>
        <w:spacing w:line="500" w:lineRule="exact"/>
        <w:ind w:firstLine="480" w:firstLineChars="200"/>
        <w:rPr>
          <w:rFonts w:ascii="宋体" w:hAnsi="宋体"/>
          <w:color w:val="auto"/>
          <w:sz w:val="24"/>
          <w:highlight w:val="none"/>
        </w:rPr>
      </w:pPr>
      <w:r>
        <w:rPr>
          <w:rFonts w:hint="eastAsia" w:ascii="宋体" w:hAnsi="宋体" w:cs="宋体"/>
          <w:color w:val="auto"/>
          <w:sz w:val="24"/>
          <w:highlight w:val="none"/>
        </w:rPr>
        <w:t>3.2.1</w:t>
      </w:r>
      <w:r>
        <w:rPr>
          <w:rFonts w:hint="eastAsia" w:ascii="宋体" w:hAnsi="宋体"/>
          <w:color w:val="auto"/>
          <w:sz w:val="24"/>
          <w:highlight w:val="none"/>
        </w:rPr>
        <w:t>投标</w:t>
      </w:r>
      <w:r>
        <w:rPr>
          <w:rFonts w:ascii="宋体" w:hAnsi="宋体"/>
          <w:color w:val="auto"/>
          <w:sz w:val="24"/>
          <w:highlight w:val="none"/>
        </w:rPr>
        <w:t>报价包含完成本项目</w:t>
      </w:r>
      <w:r>
        <w:rPr>
          <w:rFonts w:hint="eastAsia" w:ascii="宋体" w:hAnsi="宋体"/>
          <w:color w:val="auto"/>
          <w:sz w:val="24"/>
          <w:highlight w:val="none"/>
        </w:rPr>
        <w:t>全部工作内容</w:t>
      </w:r>
      <w:r>
        <w:rPr>
          <w:rFonts w:ascii="宋体" w:hAnsi="宋体"/>
          <w:color w:val="auto"/>
          <w:sz w:val="24"/>
          <w:highlight w:val="none"/>
        </w:rPr>
        <w:t>，并达到验收合格所需要的全部费用，包括但不限于各项服务以及其他有关费用等。</w:t>
      </w:r>
      <w:r>
        <w:rPr>
          <w:rFonts w:hint="eastAsia" w:ascii="宋体" w:hAnsi="宋体"/>
          <w:color w:val="auto"/>
          <w:sz w:val="24"/>
          <w:highlight w:val="none"/>
        </w:rPr>
        <w:t>投标人</w:t>
      </w:r>
      <w:r>
        <w:rPr>
          <w:rFonts w:ascii="宋体" w:hAnsi="宋体"/>
          <w:color w:val="auto"/>
          <w:sz w:val="24"/>
          <w:highlight w:val="none"/>
        </w:rPr>
        <w:t>对于因估算错误或漏项或市场价格波动等导致的不可归责于</w:t>
      </w:r>
      <w:r>
        <w:rPr>
          <w:rFonts w:hint="eastAsia" w:ascii="宋体" w:hAnsi="宋体"/>
          <w:color w:val="auto"/>
          <w:sz w:val="24"/>
          <w:highlight w:val="none"/>
        </w:rPr>
        <w:t>招标</w:t>
      </w:r>
      <w:r>
        <w:rPr>
          <w:rFonts w:ascii="宋体" w:hAnsi="宋体"/>
          <w:color w:val="auto"/>
          <w:sz w:val="24"/>
          <w:highlight w:val="none"/>
        </w:rPr>
        <w:t>人的风险，一律由</w:t>
      </w:r>
      <w:r>
        <w:rPr>
          <w:rFonts w:hint="eastAsia" w:ascii="宋体" w:hAnsi="宋体"/>
          <w:color w:val="auto"/>
          <w:sz w:val="24"/>
          <w:highlight w:val="none"/>
        </w:rPr>
        <w:t>投标人</w:t>
      </w:r>
      <w:r>
        <w:rPr>
          <w:rFonts w:ascii="宋体" w:hAnsi="宋体"/>
          <w:color w:val="auto"/>
          <w:sz w:val="24"/>
          <w:highlight w:val="none"/>
        </w:rPr>
        <w:t>承担。</w:t>
      </w:r>
      <w:r>
        <w:rPr>
          <w:rFonts w:hint="eastAsia" w:ascii="宋体" w:hAnsi="宋体"/>
          <w:color w:val="auto"/>
          <w:sz w:val="24"/>
          <w:highlight w:val="none"/>
        </w:rPr>
        <w:t>投标人</w:t>
      </w:r>
      <w:r>
        <w:rPr>
          <w:rFonts w:ascii="宋体" w:hAnsi="宋体"/>
          <w:color w:val="auto"/>
          <w:sz w:val="24"/>
          <w:highlight w:val="none"/>
        </w:rPr>
        <w:t>填写的报价中如未加说明，则认为该报价已经按照本条款要求包含了上述全部费用。</w:t>
      </w:r>
    </w:p>
    <w:p w14:paraId="58A8BCB4">
      <w:pPr>
        <w:spacing w:line="50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3.2.2投标人</w:t>
      </w:r>
      <w:r>
        <w:rPr>
          <w:rFonts w:ascii="宋体" w:hAnsi="宋体" w:cs="宋体"/>
          <w:color w:val="auto"/>
          <w:sz w:val="24"/>
          <w:highlight w:val="none"/>
        </w:rPr>
        <w:t>的报价在合同执行过程中是固定不变的，未经</w:t>
      </w:r>
      <w:r>
        <w:rPr>
          <w:rFonts w:hint="eastAsia" w:ascii="宋体" w:hAnsi="宋体" w:cs="宋体"/>
          <w:color w:val="auto"/>
          <w:sz w:val="24"/>
          <w:highlight w:val="none"/>
        </w:rPr>
        <w:t>招标</w:t>
      </w:r>
      <w:r>
        <w:rPr>
          <w:rFonts w:ascii="宋体" w:hAnsi="宋体" w:cs="宋体"/>
          <w:color w:val="auto"/>
          <w:sz w:val="24"/>
          <w:highlight w:val="none"/>
        </w:rPr>
        <w:t>人许可不得以任何理由予以变更。以可调整的价格提交的</w:t>
      </w:r>
      <w:r>
        <w:rPr>
          <w:rFonts w:hint="eastAsia" w:ascii="宋体" w:hAnsi="宋体" w:cs="宋体"/>
          <w:color w:val="auto"/>
          <w:sz w:val="24"/>
          <w:highlight w:val="none"/>
          <w:lang w:eastAsia="zh-CN"/>
        </w:rPr>
        <w:t>投标</w:t>
      </w:r>
      <w:r>
        <w:rPr>
          <w:rFonts w:ascii="宋体" w:hAnsi="宋体" w:cs="宋体"/>
          <w:color w:val="auto"/>
          <w:sz w:val="24"/>
          <w:highlight w:val="none"/>
        </w:rPr>
        <w:t>文件将作为</w:t>
      </w:r>
      <w:r>
        <w:rPr>
          <w:rFonts w:ascii="宋体" w:hAnsi="宋体" w:cs="宋体"/>
          <w:b/>
          <w:color w:val="auto"/>
          <w:sz w:val="24"/>
          <w:highlight w:val="none"/>
        </w:rPr>
        <w:t>非实质性响应而予以拒绝。</w:t>
      </w:r>
    </w:p>
    <w:p w14:paraId="77A735A8">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3.2.3</w:t>
      </w:r>
      <w:r>
        <w:rPr>
          <w:rFonts w:hint="eastAsia" w:ascii="宋体" w:hAnsi="宋体"/>
          <w:color w:val="auto"/>
          <w:sz w:val="24"/>
          <w:highlight w:val="none"/>
        </w:rPr>
        <w:t>投标人不能提供任何有选择性或可调整的投标报价（招标文件另有规定的除外），</w:t>
      </w:r>
      <w:r>
        <w:rPr>
          <w:rFonts w:hint="eastAsia" w:ascii="宋体" w:hAnsi="宋体"/>
          <w:b/>
          <w:color w:val="auto"/>
          <w:sz w:val="24"/>
          <w:highlight w:val="none"/>
        </w:rPr>
        <w:t>否则其投标无效。</w:t>
      </w:r>
    </w:p>
    <w:p w14:paraId="159BD86A">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3.2.4投标报价不得高于采购预算，否则将作</w:t>
      </w:r>
      <w:r>
        <w:rPr>
          <w:rFonts w:hint="eastAsia" w:ascii="宋体" w:hAnsi="宋体" w:cs="宋体"/>
          <w:b/>
          <w:color w:val="auto"/>
          <w:sz w:val="24"/>
          <w:highlight w:val="none"/>
        </w:rPr>
        <w:t>无效投标</w:t>
      </w:r>
      <w:r>
        <w:rPr>
          <w:rFonts w:hint="eastAsia" w:ascii="宋体" w:hAnsi="宋体" w:cs="宋体"/>
          <w:color w:val="auto"/>
          <w:sz w:val="24"/>
          <w:highlight w:val="none"/>
        </w:rPr>
        <w:t>。</w:t>
      </w:r>
    </w:p>
    <w:p w14:paraId="55A6877A">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3.2.5投标人应充分了解该项目的总体情况以及影响投标报价的其他要素。</w:t>
      </w:r>
    </w:p>
    <w:p w14:paraId="181AA613">
      <w:pPr>
        <w:spacing w:line="500" w:lineRule="exact"/>
        <w:rPr>
          <w:rFonts w:ascii="宋体" w:hAnsi="宋体" w:cs="宋体"/>
          <w:b/>
          <w:color w:val="auto"/>
          <w:sz w:val="24"/>
          <w:highlight w:val="none"/>
        </w:rPr>
      </w:pPr>
      <w:r>
        <w:rPr>
          <w:rFonts w:hint="eastAsia" w:ascii="宋体" w:hAnsi="宋体" w:cs="宋体"/>
          <w:b/>
          <w:color w:val="auto"/>
          <w:sz w:val="24"/>
          <w:highlight w:val="none"/>
        </w:rPr>
        <w:t>3.3投标有效期</w:t>
      </w:r>
    </w:p>
    <w:p w14:paraId="416CEC33">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3.3.1除投标人须知前附表另有约定外，投标有效期应为从提交投标文件的截止之日起90</w:t>
      </w:r>
      <w:r>
        <w:rPr>
          <w:rFonts w:hint="eastAsia" w:ascii="宋体" w:hAnsi="宋体" w:cs="宋体"/>
          <w:color w:val="auto"/>
          <w:sz w:val="24"/>
          <w:highlight w:val="none"/>
          <w:lang w:eastAsia="zh-CN"/>
        </w:rPr>
        <w:t>日历日</w:t>
      </w:r>
      <w:r>
        <w:rPr>
          <w:rFonts w:hint="eastAsia" w:ascii="宋体" w:hAnsi="宋体" w:cs="宋体"/>
          <w:color w:val="auto"/>
          <w:sz w:val="24"/>
          <w:highlight w:val="none"/>
        </w:rPr>
        <w:t>内有效。投标文件的投标有效期比规定时间短的将被视为非实质性响应而予以拒绝。</w:t>
      </w:r>
    </w:p>
    <w:p w14:paraId="421935B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3.3.2特殊情况下，招标人可于投标有效期满之前要求投标人同意延长有效期，要求与答复均应以书面形式。投标人可以拒绝上述要求而其投标保证金不被没收。对于同意该要求的投标人，不允许其修改投标文件，但将要求其相应延长投标保证金的有效期，有关退还和没收投标保证金的规定在投标有效期的延长期内继续有效。</w:t>
      </w:r>
      <w:bookmarkEnd w:id="148"/>
      <w:bookmarkEnd w:id="149"/>
      <w:bookmarkEnd w:id="150"/>
      <w:bookmarkEnd w:id="151"/>
      <w:bookmarkStart w:id="152" w:name="_Toc167252396"/>
      <w:bookmarkStart w:id="153" w:name="_Toc99610008"/>
      <w:bookmarkStart w:id="154" w:name="_Toc99610178"/>
      <w:bookmarkStart w:id="155" w:name="_Toc99609872"/>
      <w:bookmarkStart w:id="156" w:name="_Toc99609736"/>
    </w:p>
    <w:p w14:paraId="40DB3D69">
      <w:pPr>
        <w:spacing w:line="500" w:lineRule="exact"/>
        <w:rPr>
          <w:rFonts w:ascii="宋体" w:hAnsi="宋体" w:cs="宋体"/>
          <w:b/>
          <w:color w:val="auto"/>
          <w:sz w:val="24"/>
          <w:highlight w:val="none"/>
        </w:rPr>
      </w:pPr>
      <w:r>
        <w:rPr>
          <w:rFonts w:hint="eastAsia" w:ascii="宋体" w:hAnsi="宋体" w:cs="宋体"/>
          <w:b/>
          <w:color w:val="auto"/>
          <w:sz w:val="24"/>
          <w:highlight w:val="none"/>
        </w:rPr>
        <w:t>3.4投标保证金</w:t>
      </w:r>
    </w:p>
    <w:p w14:paraId="14A3BEC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3.4.1投标人在递交投标文件的同时，应按投标人须知前附表规定的金额、形式、时间递交投标保证金，并作为其投标文件的组成部分。投标人不按投标人须知前附表规定的金额、形式、时间提交投标保证金的，其投标文件将被视为无效。</w:t>
      </w:r>
    </w:p>
    <w:p w14:paraId="709C2B05">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3.4.2有下列情形之一的，投标保证金将不予退还：</w:t>
      </w:r>
    </w:p>
    <w:p w14:paraId="28BB968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（1）投标人在提交投标文件截止时间后撤回投标文件的；</w:t>
      </w:r>
    </w:p>
    <w:p w14:paraId="24A8A8D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（2）投标人在投标文件中提供虚假材料的；</w:t>
      </w:r>
    </w:p>
    <w:p w14:paraId="21CC79A0">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（3）中标人在收到中标通知书后，无正当理由不与招标人订立合同，在签订合同时向招标人提出附加条件；</w:t>
      </w:r>
    </w:p>
    <w:p w14:paraId="1FB88C64">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（4）投标人与招标人、其他投标人或者招标代理机构恶意串通的。</w:t>
      </w:r>
    </w:p>
    <w:p w14:paraId="48E0B82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（5）存在法律法规和本招标文件规定的投标保证金不予退还的其它情形。</w:t>
      </w:r>
    </w:p>
    <w:p w14:paraId="270A334F">
      <w:pPr>
        <w:spacing w:line="5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3.4.3</w:t>
      </w:r>
      <w:r>
        <w:rPr>
          <w:rFonts w:hint="eastAsia" w:ascii="宋体" w:hAnsi="宋体" w:cs="宋体"/>
          <w:bCs/>
          <w:color w:val="auto"/>
          <w:sz w:val="24"/>
          <w:highlight w:val="none"/>
        </w:rPr>
        <w:t>中标人按本须知第12.1.1条规定的要求签订合同后，</w:t>
      </w:r>
      <w:r>
        <w:rPr>
          <w:rFonts w:hint="eastAsia" w:ascii="宋体" w:hAnsi="宋体" w:cs="宋体"/>
          <w:b/>
          <w:color w:val="auto"/>
          <w:sz w:val="24"/>
          <w:highlight w:val="none"/>
        </w:rPr>
        <w:t>将政府采购合同原件扫描为PDF格式发送至3634330933@qq.com邮箱，</w:t>
      </w:r>
      <w:r>
        <w:rPr>
          <w:rFonts w:hint="eastAsia" w:ascii="宋体" w:hAnsi="宋体" w:cs="宋体"/>
          <w:bCs/>
          <w:color w:val="auto"/>
          <w:sz w:val="24"/>
          <w:highlight w:val="none"/>
        </w:rPr>
        <w:t>代理机构将在自政府采购合同签订之日起5个工作日内退还中标人的投标保证金。未中标的投标人的投标保证金将在中标通知书发出之日起5个工作日内退还</w:t>
      </w:r>
      <w:r>
        <w:rPr>
          <w:rFonts w:hint="eastAsia" w:ascii="宋体" w:hAnsi="宋体" w:cs="宋体"/>
          <w:b/>
          <w:color w:val="auto"/>
          <w:sz w:val="24"/>
          <w:highlight w:val="none"/>
        </w:rPr>
        <w:t>（无需提供任何资料，原账户退还）。</w:t>
      </w:r>
    </w:p>
    <w:p w14:paraId="591C9DDA">
      <w:pPr>
        <w:spacing w:line="500" w:lineRule="exact"/>
        <w:rPr>
          <w:rFonts w:ascii="宋体" w:hAnsi="宋体" w:cs="宋体"/>
          <w:b/>
          <w:color w:val="auto"/>
          <w:sz w:val="24"/>
          <w:highlight w:val="none"/>
        </w:rPr>
      </w:pPr>
      <w:r>
        <w:rPr>
          <w:rFonts w:hint="eastAsia" w:ascii="宋体" w:hAnsi="宋体" w:cs="宋体"/>
          <w:b/>
          <w:color w:val="auto"/>
          <w:sz w:val="24"/>
          <w:highlight w:val="none"/>
        </w:rPr>
        <w:t>3.5投标文件编制要求</w:t>
      </w:r>
      <w:bookmarkEnd w:id="152"/>
      <w:bookmarkEnd w:id="153"/>
      <w:bookmarkEnd w:id="154"/>
      <w:bookmarkEnd w:id="155"/>
      <w:bookmarkEnd w:id="156"/>
    </w:p>
    <w:p w14:paraId="2B0630B0">
      <w:pPr>
        <w:spacing w:line="500" w:lineRule="exact"/>
        <w:ind w:left="100" w:right="114" w:firstLine="419"/>
        <w:rPr>
          <w:rFonts w:ascii="宋体" w:hAnsi="宋体" w:cs="宋体"/>
          <w:color w:val="auto"/>
          <w:sz w:val="24"/>
          <w:highlight w:val="none"/>
        </w:rPr>
      </w:pPr>
      <w:bookmarkStart w:id="157" w:name="_Toc99609874"/>
      <w:bookmarkStart w:id="158" w:name="_Toc99610010"/>
      <w:bookmarkStart w:id="159" w:name="_Toc99610180"/>
      <w:bookmarkStart w:id="160" w:name="_Toc167252397"/>
      <w:bookmarkStart w:id="161" w:name="_Toc99609738"/>
      <w:r>
        <w:rPr>
          <w:rFonts w:hint="eastAsia" w:ascii="宋体" w:hAnsi="宋体" w:cs="宋体"/>
          <w:color w:val="auto"/>
          <w:sz w:val="24"/>
          <w:highlight w:val="none"/>
        </w:rPr>
        <w:t>3.5.1投标文件份数见投标人须知前附表。投标文件应按“投标文件格式”进行编写，并逐项逐条回答招标文件所要求的内容，如有必要，可以增加附页，作为投标文件的组成部分。投标文件在满足招标文件实质性要求的基础上，可以提出比招标文件要求更有利于招标人的承诺。</w:t>
      </w:r>
    </w:p>
    <w:p w14:paraId="0D9F601E">
      <w:pPr>
        <w:spacing w:line="500" w:lineRule="exact"/>
        <w:ind w:left="100" w:right="114" w:firstLine="419"/>
        <w:rPr>
          <w:rFonts w:ascii="宋体" w:hAnsi="宋体" w:cs="宋体"/>
          <w:color w:val="auto"/>
          <w:sz w:val="24"/>
          <w:highlight w:val="none"/>
        </w:rPr>
      </w:pPr>
      <w:r>
        <w:rPr>
          <w:rFonts w:hint="eastAsia" w:ascii="宋体" w:hAnsi="宋体" w:cs="宋体"/>
          <w:color w:val="auto"/>
          <w:sz w:val="24"/>
          <w:highlight w:val="none"/>
        </w:rPr>
        <w:t>3.5.2投标人对本招标文件的规定不允许有实质性偏离，并保证所提供的全部资料的真实性和有效性，否则视为未能对招标文件做出实质性响应。</w:t>
      </w:r>
    </w:p>
    <w:p w14:paraId="2A2C2C3B">
      <w:pPr>
        <w:spacing w:line="500" w:lineRule="exact"/>
        <w:ind w:left="100" w:right="114" w:firstLine="419"/>
        <w:rPr>
          <w:rFonts w:ascii="宋体" w:hAnsi="宋体" w:cs="宋体"/>
          <w:color w:val="auto"/>
          <w:sz w:val="24"/>
          <w:highlight w:val="none"/>
        </w:rPr>
      </w:pPr>
      <w:r>
        <w:rPr>
          <w:rFonts w:hint="eastAsia" w:ascii="宋体" w:hAnsi="宋体" w:cs="宋体"/>
          <w:color w:val="auto"/>
          <w:sz w:val="24"/>
          <w:highlight w:val="none"/>
        </w:rPr>
        <w:t>3.5.3（A）招标文件中凡出现要求投标人单位落款的地方应盖投标人公章且出现法定代表人签字或其授权代理人签字的地方应由法定代表人或其授权代理人签字或加盖法人章；可以使用电子签章或使用原件的电子件（电子件指扫描件、照片等形式电子文件）；要求第三方出具的盖章件原件（如联合协议、分包意向协议</w:t>
      </w:r>
      <w:r>
        <w:rPr>
          <w:rFonts w:hint="eastAsia" w:ascii="宋体" w:hAnsi="宋体" w:cs="宋体"/>
          <w:color w:val="auto"/>
          <w:sz w:val="24"/>
          <w:highlight w:val="none"/>
          <w:lang w:eastAsia="zh-CN"/>
        </w:rPr>
        <w:t>等</w:t>
      </w:r>
      <w:r>
        <w:rPr>
          <w:rFonts w:hint="eastAsia" w:ascii="宋体" w:hAnsi="宋体" w:cs="宋体"/>
          <w:color w:val="auto"/>
          <w:sz w:val="24"/>
          <w:highlight w:val="none"/>
        </w:rPr>
        <w:t>），投标文件中应使用原件的电子件。</w:t>
      </w:r>
    </w:p>
    <w:p w14:paraId="51080319">
      <w:pPr>
        <w:spacing w:line="500" w:lineRule="exact"/>
        <w:ind w:left="100" w:right="114" w:firstLine="419"/>
        <w:rPr>
          <w:rFonts w:ascii="宋体" w:hAnsi="宋体" w:cs="宋体"/>
          <w:color w:val="auto"/>
          <w:sz w:val="24"/>
          <w:highlight w:val="none"/>
        </w:rPr>
      </w:pPr>
      <w:r>
        <w:rPr>
          <w:rFonts w:hint="eastAsia" w:ascii="宋体" w:hAnsi="宋体" w:cs="宋体"/>
          <w:color w:val="auto"/>
          <w:sz w:val="24"/>
          <w:highlight w:val="none"/>
        </w:rPr>
        <w:t>3.5.4（A）本项目使用政采云平台采用全流程电子招投标。投标人根据招标文件及政采云电子招投标投标人操作手册要求编制、生成并提交电子投标文件。</w:t>
      </w:r>
    </w:p>
    <w:bookmarkEnd w:id="157"/>
    <w:bookmarkEnd w:id="158"/>
    <w:bookmarkEnd w:id="159"/>
    <w:bookmarkEnd w:id="160"/>
    <w:bookmarkEnd w:id="161"/>
    <w:p w14:paraId="7DF33210">
      <w:pPr>
        <w:tabs>
          <w:tab w:val="left" w:pos="312"/>
        </w:tabs>
        <w:spacing w:line="500" w:lineRule="exact"/>
        <w:outlineLvl w:val="0"/>
        <w:rPr>
          <w:rFonts w:ascii="宋体" w:hAnsi="宋体" w:cs="宋体"/>
          <w:b/>
          <w:color w:val="auto"/>
          <w:sz w:val="24"/>
          <w:highlight w:val="none"/>
        </w:rPr>
      </w:pPr>
      <w:bookmarkStart w:id="162" w:name="_Toc148084467"/>
      <w:bookmarkStart w:id="163" w:name="_Toc141969790"/>
      <w:bookmarkStart w:id="164" w:name="_Toc26430"/>
      <w:bookmarkStart w:id="165" w:name="_Toc141870326"/>
      <w:bookmarkStart w:id="166" w:name="_Toc2762"/>
      <w:bookmarkStart w:id="167" w:name="_Toc5188"/>
      <w:bookmarkStart w:id="168" w:name="_Toc16887"/>
      <w:bookmarkStart w:id="169" w:name="_Toc99609740"/>
      <w:bookmarkStart w:id="170" w:name="_Toc99610012"/>
      <w:bookmarkStart w:id="171" w:name="_Toc99610182"/>
      <w:bookmarkStart w:id="172" w:name="_Toc99609876"/>
      <w:r>
        <w:rPr>
          <w:rFonts w:hint="eastAsia" w:ascii="宋体" w:hAnsi="宋体" w:cs="宋体"/>
          <w:b/>
          <w:color w:val="auto"/>
          <w:sz w:val="24"/>
          <w:highlight w:val="none"/>
        </w:rPr>
        <w:t>4.投标</w:t>
      </w:r>
      <w:bookmarkEnd w:id="162"/>
      <w:bookmarkEnd w:id="163"/>
      <w:bookmarkEnd w:id="164"/>
      <w:bookmarkEnd w:id="165"/>
      <w:bookmarkEnd w:id="166"/>
      <w:bookmarkEnd w:id="167"/>
      <w:bookmarkEnd w:id="168"/>
    </w:p>
    <w:p w14:paraId="3F2E3BF3">
      <w:pPr>
        <w:spacing w:line="500" w:lineRule="exact"/>
        <w:rPr>
          <w:rFonts w:hint="eastAsia" w:ascii="宋体" w:hAnsi="宋体" w:eastAsia="宋体" w:cs="宋体"/>
          <w:b/>
          <w:bCs/>
          <w:color w:val="auto"/>
          <w:sz w:val="24"/>
          <w:highlight w:val="none"/>
          <w:lang w:eastAsia="zh-CN"/>
        </w:rPr>
      </w:pPr>
      <w:r>
        <w:rPr>
          <w:rFonts w:hint="eastAsia" w:ascii="宋体" w:hAnsi="宋体" w:cs="宋体"/>
          <w:b/>
          <w:color w:val="auto"/>
          <w:sz w:val="24"/>
          <w:highlight w:val="none"/>
        </w:rPr>
        <w:t>4.1</w:t>
      </w:r>
      <w:bookmarkEnd w:id="169"/>
      <w:bookmarkEnd w:id="170"/>
      <w:bookmarkEnd w:id="171"/>
      <w:bookmarkEnd w:id="172"/>
      <w:bookmarkStart w:id="173" w:name="_Toc167252409"/>
      <w:bookmarkStart w:id="174" w:name="_Toc99610027"/>
      <w:bookmarkStart w:id="175" w:name="_Toc99610197"/>
      <w:bookmarkStart w:id="176" w:name="_Toc99609891"/>
      <w:bookmarkStart w:id="177" w:name="_Toc99609755"/>
      <w:r>
        <w:rPr>
          <w:rFonts w:ascii="宋体" w:hAnsi="宋体" w:cs="宋体"/>
          <w:b/>
          <w:color w:val="auto"/>
          <w:sz w:val="24"/>
          <w:highlight w:val="none"/>
        </w:rPr>
        <w:t>投标文件的装订、密封和标记</w:t>
      </w:r>
      <w:r>
        <w:rPr>
          <w:rFonts w:hint="eastAsia" w:ascii="宋体" w:hAnsi="宋体" w:cs="宋体"/>
          <w:b/>
          <w:color w:val="auto"/>
          <w:sz w:val="24"/>
          <w:highlight w:val="none"/>
          <w:lang w:eastAsia="zh-CN"/>
        </w:rPr>
        <w:t>（本项目电子标该项不适用）</w:t>
      </w:r>
    </w:p>
    <w:p w14:paraId="681347A5">
      <w:pPr>
        <w:spacing w:line="500" w:lineRule="exact"/>
        <w:ind w:left="100" w:right="114" w:firstLine="419"/>
        <w:rPr>
          <w:rFonts w:ascii="宋体" w:hAnsi="宋体" w:cs="宋体"/>
          <w:color w:val="auto"/>
          <w:sz w:val="24"/>
          <w:highlight w:val="none"/>
        </w:rPr>
      </w:pPr>
      <w:r>
        <w:rPr>
          <w:rFonts w:hint="eastAsia" w:ascii="宋体" w:hAnsi="宋体" w:cs="宋体"/>
          <w:color w:val="auto"/>
          <w:sz w:val="24"/>
          <w:highlight w:val="none"/>
        </w:rPr>
        <w:t>4.1</w:t>
      </w:r>
      <w:r>
        <w:rPr>
          <w:rFonts w:ascii="宋体" w:hAnsi="宋体" w:cs="宋体"/>
          <w:color w:val="auto"/>
          <w:sz w:val="24"/>
          <w:highlight w:val="none"/>
        </w:rPr>
        <w:t>.1投标文件装订</w:t>
      </w:r>
      <w:r>
        <w:rPr>
          <w:rFonts w:hint="eastAsia" w:ascii="宋体" w:hAnsi="宋体" w:cs="宋体"/>
          <w:color w:val="auto"/>
          <w:sz w:val="24"/>
          <w:highlight w:val="none"/>
        </w:rPr>
        <w:t>密封</w:t>
      </w:r>
      <w:r>
        <w:rPr>
          <w:rFonts w:ascii="宋体" w:hAnsi="宋体" w:cs="宋体"/>
          <w:color w:val="auto"/>
          <w:sz w:val="24"/>
          <w:highlight w:val="none"/>
        </w:rPr>
        <w:t>要求：</w:t>
      </w:r>
      <w:r>
        <w:rPr>
          <w:rFonts w:hint="eastAsia" w:ascii="宋体" w:hAnsi="宋体" w:cs="宋体"/>
          <w:color w:val="auto"/>
          <w:sz w:val="24"/>
          <w:highlight w:val="none"/>
        </w:rPr>
        <w:t>投标装订不得以活页方式装订（</w:t>
      </w:r>
      <w:r>
        <w:rPr>
          <w:rFonts w:hint="eastAsia" w:ascii="宋体" w:hAnsi="宋体" w:cs="宋体"/>
          <w:bCs/>
          <w:color w:val="auto"/>
          <w:sz w:val="24"/>
          <w:highlight w:val="none"/>
        </w:rPr>
        <w:t>开标一览表</w:t>
      </w:r>
      <w:r>
        <w:rPr>
          <w:rFonts w:hint="eastAsia" w:ascii="宋体" w:hAnsi="宋体" w:cs="宋体"/>
          <w:color w:val="auto"/>
          <w:sz w:val="24"/>
          <w:highlight w:val="none"/>
        </w:rPr>
        <w:t>），不可拆装(如打孔、鸭嘴夹等)</w:t>
      </w:r>
      <w:r>
        <w:rPr>
          <w:rFonts w:ascii="宋体" w:hAnsi="宋体" w:cs="宋体"/>
          <w:color w:val="auto"/>
          <w:sz w:val="24"/>
          <w:highlight w:val="none"/>
        </w:rPr>
        <w:t>。</w:t>
      </w:r>
      <w:r>
        <w:rPr>
          <w:rFonts w:hint="eastAsia" w:ascii="宋体" w:hAnsi="宋体" w:cs="宋体"/>
          <w:color w:val="auto"/>
          <w:sz w:val="24"/>
          <w:highlight w:val="none"/>
        </w:rPr>
        <w:t>开标一览表单独密封在一个密封袋中；资格证明文件正、副本密封在同一密封袋中；商务技术文件正、副本密封在同一密封袋中；电子版投标文件单独密封（共四个密封袋）；并在所有封袋的封口处加盖投标人单位公章。</w:t>
      </w:r>
    </w:p>
    <w:p w14:paraId="227D6C45">
      <w:pPr>
        <w:spacing w:line="500" w:lineRule="exact"/>
        <w:ind w:left="100" w:right="114" w:firstLine="419"/>
        <w:rPr>
          <w:rFonts w:ascii="宋体" w:hAnsi="宋体" w:cs="宋体"/>
          <w:color w:val="auto"/>
          <w:sz w:val="24"/>
          <w:highlight w:val="none"/>
        </w:rPr>
      </w:pPr>
      <w:r>
        <w:rPr>
          <w:rFonts w:hint="eastAsia" w:ascii="宋体" w:hAnsi="宋体" w:cs="宋体"/>
          <w:color w:val="auto"/>
          <w:sz w:val="24"/>
          <w:highlight w:val="none"/>
        </w:rPr>
        <w:t>4.1</w:t>
      </w:r>
      <w:r>
        <w:rPr>
          <w:rFonts w:ascii="宋体" w:hAnsi="宋体" w:cs="宋体"/>
          <w:color w:val="auto"/>
          <w:sz w:val="24"/>
          <w:highlight w:val="none"/>
        </w:rPr>
        <w:t>.</w:t>
      </w:r>
      <w:r>
        <w:rPr>
          <w:rFonts w:hint="eastAsia" w:ascii="宋体" w:hAnsi="宋体" w:cs="宋体"/>
          <w:color w:val="auto"/>
          <w:sz w:val="24"/>
          <w:highlight w:val="none"/>
        </w:rPr>
        <w:t>2投标文件封套上应写明的内容见投标人须知前附表。</w:t>
      </w:r>
    </w:p>
    <w:p w14:paraId="12774FD9">
      <w:pPr>
        <w:spacing w:line="500" w:lineRule="exact"/>
        <w:ind w:left="100" w:right="114" w:firstLine="419"/>
        <w:rPr>
          <w:rFonts w:ascii="宋体" w:hAnsi="宋体" w:cs="宋体"/>
          <w:color w:val="auto"/>
          <w:sz w:val="24"/>
          <w:highlight w:val="none"/>
        </w:rPr>
      </w:pPr>
      <w:r>
        <w:rPr>
          <w:rFonts w:hint="eastAsia" w:ascii="宋体" w:hAnsi="宋体" w:cs="宋体"/>
          <w:color w:val="auto"/>
          <w:sz w:val="24"/>
          <w:highlight w:val="none"/>
        </w:rPr>
        <w:t>4.1</w:t>
      </w:r>
      <w:r>
        <w:rPr>
          <w:rFonts w:ascii="宋体" w:hAnsi="宋体" w:cs="宋体"/>
          <w:color w:val="auto"/>
          <w:sz w:val="24"/>
          <w:highlight w:val="none"/>
        </w:rPr>
        <w:t>.</w:t>
      </w:r>
      <w:r>
        <w:rPr>
          <w:rFonts w:hint="eastAsia" w:ascii="宋体" w:hAnsi="宋体" w:cs="宋体"/>
          <w:color w:val="auto"/>
          <w:sz w:val="24"/>
          <w:highlight w:val="none"/>
        </w:rPr>
        <w:t>3招标</w:t>
      </w:r>
      <w:r>
        <w:rPr>
          <w:rFonts w:ascii="宋体" w:hAnsi="宋体" w:cs="宋体"/>
          <w:color w:val="auto"/>
          <w:sz w:val="24"/>
          <w:highlight w:val="none"/>
        </w:rPr>
        <w:t>代理机构对误投或过早启封</w:t>
      </w:r>
      <w:r>
        <w:rPr>
          <w:rFonts w:hint="eastAsia" w:ascii="宋体" w:hAnsi="宋体" w:cs="宋体"/>
          <w:color w:val="auto"/>
          <w:sz w:val="24"/>
          <w:highlight w:val="none"/>
        </w:rPr>
        <w:t>投标文件</w:t>
      </w:r>
      <w:r>
        <w:rPr>
          <w:rFonts w:ascii="宋体" w:hAnsi="宋体" w:cs="宋体"/>
          <w:color w:val="auto"/>
          <w:sz w:val="24"/>
          <w:highlight w:val="none"/>
        </w:rPr>
        <w:t>概不负责。</w:t>
      </w:r>
    </w:p>
    <w:p w14:paraId="4E6E475D">
      <w:pPr>
        <w:spacing w:line="500" w:lineRule="exact"/>
        <w:rPr>
          <w:rFonts w:ascii="宋体" w:hAnsi="宋体" w:cs="Arial"/>
          <w:b/>
          <w:color w:val="auto"/>
          <w:sz w:val="24"/>
          <w:highlight w:val="none"/>
        </w:rPr>
      </w:pPr>
      <w:r>
        <w:rPr>
          <w:rFonts w:hint="eastAsia" w:ascii="宋体" w:hAnsi="宋体" w:cs="宋体"/>
          <w:b/>
          <w:color w:val="auto"/>
          <w:sz w:val="24"/>
          <w:highlight w:val="none"/>
        </w:rPr>
        <w:t>4.2</w:t>
      </w:r>
      <w:r>
        <w:rPr>
          <w:rFonts w:ascii="宋体" w:hAnsi="宋体" w:cs="Arial"/>
          <w:b/>
          <w:color w:val="auto"/>
          <w:sz w:val="24"/>
          <w:highlight w:val="none"/>
        </w:rPr>
        <w:t>投标文件的</w:t>
      </w:r>
      <w:r>
        <w:rPr>
          <w:rFonts w:hint="eastAsia" w:ascii="宋体" w:hAnsi="宋体" w:cs="Arial"/>
          <w:b/>
          <w:color w:val="auto"/>
          <w:sz w:val="24"/>
          <w:highlight w:val="none"/>
        </w:rPr>
        <w:t>提交</w:t>
      </w:r>
    </w:p>
    <w:p w14:paraId="0A20E1E8">
      <w:pPr>
        <w:spacing w:line="500" w:lineRule="exact"/>
        <w:ind w:right="114" w:firstLine="480" w:firstLineChars="200"/>
        <w:rPr>
          <w:rFonts w:ascii="宋体" w:hAnsi="宋体"/>
          <w:color w:val="auto"/>
          <w:sz w:val="24"/>
          <w:highlight w:val="none"/>
        </w:rPr>
      </w:pPr>
      <w:r>
        <w:rPr>
          <w:rFonts w:hint="eastAsia" w:ascii="宋体" w:hAnsi="宋体"/>
          <w:color w:val="auto"/>
          <w:sz w:val="24"/>
          <w:highlight w:val="none"/>
        </w:rPr>
        <w:t>4.2.1投标人应在投标人须知前附表规定的地点及投标截止时间前递交投标文件。招标人收到投标文件后，向投标人出具接收凭证。</w:t>
      </w:r>
    </w:p>
    <w:p w14:paraId="3E05969D">
      <w:pPr>
        <w:spacing w:line="500" w:lineRule="exact"/>
        <w:ind w:right="114" w:firstLine="480" w:firstLineChars="200"/>
        <w:rPr>
          <w:rFonts w:ascii="宋体" w:hAnsi="宋体"/>
          <w:color w:val="auto"/>
          <w:sz w:val="24"/>
          <w:highlight w:val="none"/>
        </w:rPr>
      </w:pPr>
      <w:r>
        <w:rPr>
          <w:rFonts w:hint="eastAsia" w:ascii="宋体" w:hAnsi="宋体"/>
          <w:color w:val="auto"/>
          <w:sz w:val="24"/>
          <w:highlight w:val="none"/>
        </w:rPr>
        <w:t>4.2.2投标文件拒绝接收的情形</w:t>
      </w:r>
    </w:p>
    <w:p w14:paraId="102E8932">
      <w:pPr>
        <w:spacing w:line="500" w:lineRule="exact"/>
        <w:ind w:right="114" w:firstLine="480" w:firstLineChars="200"/>
        <w:rPr>
          <w:rFonts w:ascii="宋体" w:hAnsi="宋体"/>
          <w:color w:val="auto"/>
          <w:sz w:val="24"/>
          <w:highlight w:val="none"/>
        </w:rPr>
      </w:pPr>
      <w:r>
        <w:rPr>
          <w:rFonts w:hint="eastAsia" w:ascii="宋体" w:hAnsi="宋体"/>
          <w:color w:val="auto"/>
          <w:sz w:val="24"/>
          <w:highlight w:val="none"/>
        </w:rPr>
        <w:t>（1）未按要求密封的投标文件，招标人将予以拒收。</w:t>
      </w:r>
    </w:p>
    <w:p w14:paraId="66AF060C">
      <w:pPr>
        <w:spacing w:line="500" w:lineRule="exact"/>
        <w:ind w:right="114" w:firstLine="480" w:firstLineChars="200"/>
        <w:rPr>
          <w:rFonts w:ascii="宋体" w:hAnsi="宋体"/>
          <w:color w:val="auto"/>
          <w:sz w:val="24"/>
          <w:highlight w:val="none"/>
        </w:rPr>
      </w:pPr>
      <w:r>
        <w:rPr>
          <w:rFonts w:hint="eastAsia" w:ascii="宋体" w:hAnsi="宋体"/>
          <w:color w:val="auto"/>
          <w:sz w:val="24"/>
          <w:highlight w:val="none"/>
        </w:rPr>
        <w:t>（2）逾期送达的投标文件，招标人将予以拒收。</w:t>
      </w:r>
    </w:p>
    <w:p w14:paraId="4EA97324">
      <w:pPr>
        <w:spacing w:line="500" w:lineRule="exact"/>
        <w:ind w:right="114" w:firstLine="480" w:firstLineChars="200"/>
        <w:rPr>
          <w:rFonts w:ascii="宋体" w:hAnsi="宋体"/>
          <w:color w:val="auto"/>
          <w:sz w:val="24"/>
          <w:highlight w:val="none"/>
        </w:rPr>
      </w:pPr>
      <w:r>
        <w:rPr>
          <w:rFonts w:hint="eastAsia" w:ascii="宋体" w:hAnsi="宋体"/>
          <w:color w:val="auto"/>
          <w:sz w:val="24"/>
          <w:highlight w:val="none"/>
        </w:rPr>
        <w:t>（3）法律法规及招标文件规定的其他情形。</w:t>
      </w:r>
    </w:p>
    <w:p w14:paraId="7FBE3AD3">
      <w:pPr>
        <w:spacing w:line="500" w:lineRule="exact"/>
        <w:rPr>
          <w:rFonts w:ascii="宋体" w:hAnsi="宋体" w:cs="宋体"/>
          <w:b/>
          <w:color w:val="auto"/>
          <w:sz w:val="24"/>
          <w:highlight w:val="none"/>
        </w:rPr>
      </w:pPr>
      <w:r>
        <w:rPr>
          <w:rFonts w:hint="eastAsia" w:ascii="宋体" w:hAnsi="宋体" w:cs="宋体"/>
          <w:b/>
          <w:color w:val="auto"/>
          <w:sz w:val="24"/>
          <w:highlight w:val="none"/>
        </w:rPr>
        <w:t>4.3投标文件的修改和撤</w:t>
      </w:r>
      <w:bookmarkEnd w:id="173"/>
      <w:bookmarkEnd w:id="174"/>
      <w:bookmarkEnd w:id="175"/>
      <w:bookmarkEnd w:id="176"/>
      <w:bookmarkEnd w:id="177"/>
      <w:r>
        <w:rPr>
          <w:rFonts w:hint="eastAsia" w:ascii="宋体" w:hAnsi="宋体" w:cs="宋体"/>
          <w:b/>
          <w:color w:val="auto"/>
          <w:sz w:val="24"/>
          <w:highlight w:val="none"/>
        </w:rPr>
        <w:t>回</w:t>
      </w:r>
    </w:p>
    <w:p w14:paraId="6DAFC370">
      <w:pPr>
        <w:spacing w:line="500" w:lineRule="exact"/>
        <w:ind w:firstLine="480" w:firstLineChars="200"/>
        <w:rPr>
          <w:rFonts w:ascii="宋体" w:hAnsi="宋体"/>
          <w:color w:val="auto"/>
          <w:sz w:val="24"/>
          <w:highlight w:val="none"/>
        </w:rPr>
      </w:pPr>
      <w:bookmarkStart w:id="178" w:name="_Toc99610198"/>
      <w:bookmarkStart w:id="179" w:name="_Toc17866"/>
      <w:bookmarkStart w:id="180" w:name="_Toc14807"/>
      <w:bookmarkStart w:id="181" w:name="_Toc167460124"/>
      <w:bookmarkStart w:id="182" w:name="_Toc99609892"/>
      <w:bookmarkStart w:id="183" w:name="_Toc23197"/>
      <w:bookmarkStart w:id="184" w:name="_Toc99609756"/>
      <w:bookmarkStart w:id="185" w:name="_Toc99610028"/>
      <w:bookmarkStart w:id="186" w:name="_Toc99610135"/>
      <w:bookmarkStart w:id="187" w:name="_Toc1941"/>
      <w:r>
        <w:rPr>
          <w:rFonts w:hint="eastAsia" w:ascii="宋体" w:hAnsi="宋体"/>
          <w:color w:val="auto"/>
          <w:sz w:val="24"/>
          <w:highlight w:val="none"/>
        </w:rPr>
        <w:t>4.3</w:t>
      </w:r>
      <w:r>
        <w:rPr>
          <w:rFonts w:ascii="宋体" w:hAnsi="宋体"/>
          <w:color w:val="auto"/>
          <w:sz w:val="24"/>
          <w:highlight w:val="none"/>
        </w:rPr>
        <w:t>.1</w:t>
      </w:r>
      <w:r>
        <w:rPr>
          <w:rFonts w:hint="eastAsia" w:ascii="宋体" w:hAnsi="宋体"/>
          <w:color w:val="auto"/>
          <w:sz w:val="24"/>
          <w:highlight w:val="none"/>
        </w:rPr>
        <w:t>投标人在投标截止时间前，可以对所递交的投标文件进行补充、修改或者撤回，并书面通知招标人或者招标代理机构。补充、修改的内容应当按照招标文件要求签署、盖章、密封后，作为投标文件的组成部分。</w:t>
      </w:r>
    </w:p>
    <w:p w14:paraId="57F2F500">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4.3</w:t>
      </w:r>
      <w:r>
        <w:rPr>
          <w:rFonts w:ascii="宋体" w:hAnsi="宋体"/>
          <w:color w:val="auto"/>
          <w:sz w:val="24"/>
          <w:highlight w:val="none"/>
        </w:rPr>
        <w:t>.</w:t>
      </w:r>
      <w:r>
        <w:rPr>
          <w:rFonts w:hint="eastAsia" w:ascii="宋体" w:hAnsi="宋体"/>
          <w:color w:val="auto"/>
          <w:sz w:val="24"/>
          <w:highlight w:val="none"/>
        </w:rPr>
        <w:t>2投标截止时间后，投标人不得撤回或修改投标文件。</w:t>
      </w:r>
    </w:p>
    <w:p w14:paraId="6EBD940A">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4.3</w:t>
      </w:r>
      <w:r>
        <w:rPr>
          <w:rFonts w:ascii="宋体" w:hAnsi="宋体"/>
          <w:color w:val="auto"/>
          <w:sz w:val="24"/>
          <w:highlight w:val="none"/>
        </w:rPr>
        <w:t>.</w:t>
      </w:r>
      <w:r>
        <w:rPr>
          <w:rFonts w:hint="eastAsia" w:ascii="宋体" w:hAnsi="宋体"/>
          <w:color w:val="auto"/>
          <w:sz w:val="24"/>
          <w:highlight w:val="none"/>
        </w:rPr>
        <w:t>3</w:t>
      </w:r>
      <w:r>
        <w:rPr>
          <w:rFonts w:ascii="宋体" w:hAnsi="宋体"/>
          <w:color w:val="auto"/>
          <w:sz w:val="24"/>
          <w:highlight w:val="none"/>
        </w:rPr>
        <w:t>投标人在提交投标文件截止时间后，投标人不得补充、修改、替代或撤回其投标文件</w:t>
      </w:r>
      <w:r>
        <w:rPr>
          <w:rFonts w:hint="eastAsia" w:ascii="宋体" w:hAnsi="宋体"/>
          <w:color w:val="auto"/>
          <w:sz w:val="24"/>
          <w:highlight w:val="none"/>
        </w:rPr>
        <w:t>，</w:t>
      </w:r>
      <w:r>
        <w:rPr>
          <w:rFonts w:ascii="宋体" w:hAnsi="宋体"/>
          <w:color w:val="auto"/>
          <w:sz w:val="24"/>
          <w:highlight w:val="none"/>
        </w:rPr>
        <w:t>投标人撤回投标文件的，其投标保证金将被没收。</w:t>
      </w:r>
    </w:p>
    <w:p w14:paraId="7FE2C5AC">
      <w:pPr>
        <w:pStyle w:val="12"/>
        <w:spacing w:line="500" w:lineRule="exact"/>
        <w:rPr>
          <w:rFonts w:ascii="宋体" w:hAnsi="宋体" w:eastAsia="宋体"/>
          <w:color w:val="auto"/>
          <w:spacing w:val="0"/>
          <w:sz w:val="24"/>
          <w:szCs w:val="24"/>
          <w:highlight w:val="none"/>
        </w:rPr>
      </w:pPr>
      <w:r>
        <w:rPr>
          <w:rFonts w:hint="eastAsia" w:ascii="宋体" w:hAnsi="宋体" w:eastAsia="宋体"/>
          <w:color w:val="auto"/>
          <w:spacing w:val="0"/>
          <w:sz w:val="24"/>
          <w:szCs w:val="24"/>
          <w:highlight w:val="none"/>
        </w:rPr>
        <w:t>4.3.4修改的内容为投标文件的组成部分。修改的投标文件应按照本章第3.5.3（1）条的规定进行编制、</w:t>
      </w:r>
      <w:r>
        <w:rPr>
          <w:rFonts w:hint="eastAsia" w:ascii="宋体" w:hAnsi="宋体" w:eastAsia="宋体"/>
          <w:color w:val="auto"/>
          <w:spacing w:val="0"/>
          <w:sz w:val="24"/>
          <w:szCs w:val="24"/>
          <w:highlight w:val="none"/>
          <w:lang w:eastAsia="zh-CN"/>
        </w:rPr>
        <w:t>按照政采云平台要求上传，</w:t>
      </w:r>
      <w:r>
        <w:rPr>
          <w:rFonts w:hint="eastAsia" w:ascii="宋体" w:hAnsi="宋体" w:eastAsia="宋体"/>
          <w:color w:val="auto"/>
          <w:spacing w:val="0"/>
          <w:sz w:val="24"/>
          <w:szCs w:val="24"/>
          <w:highlight w:val="none"/>
        </w:rPr>
        <w:t>并标明“修改文件”的字样。</w:t>
      </w:r>
    </w:p>
    <w:p w14:paraId="469BB8EA">
      <w:pPr>
        <w:spacing w:line="500" w:lineRule="exact"/>
        <w:outlineLvl w:val="0"/>
        <w:rPr>
          <w:rFonts w:ascii="宋体" w:hAnsi="宋体" w:cs="宋体"/>
          <w:b/>
          <w:color w:val="auto"/>
          <w:sz w:val="24"/>
          <w:highlight w:val="none"/>
        </w:rPr>
      </w:pPr>
      <w:bookmarkStart w:id="188" w:name="_Toc141969791"/>
      <w:bookmarkStart w:id="189" w:name="_Toc141870327"/>
      <w:bookmarkStart w:id="190" w:name="_Toc148084468"/>
      <w:r>
        <w:rPr>
          <w:rFonts w:hint="eastAsia" w:ascii="宋体" w:hAnsi="宋体" w:cs="宋体"/>
          <w:b/>
          <w:color w:val="auto"/>
          <w:sz w:val="24"/>
          <w:highlight w:val="none"/>
        </w:rPr>
        <w:t>5.开标</w:t>
      </w:r>
      <w:bookmarkEnd w:id="178"/>
      <w:bookmarkEnd w:id="179"/>
      <w:bookmarkEnd w:id="180"/>
      <w:bookmarkEnd w:id="181"/>
      <w:bookmarkEnd w:id="182"/>
      <w:bookmarkEnd w:id="183"/>
      <w:bookmarkEnd w:id="184"/>
      <w:bookmarkEnd w:id="185"/>
      <w:bookmarkEnd w:id="186"/>
      <w:bookmarkEnd w:id="187"/>
      <w:bookmarkEnd w:id="188"/>
      <w:bookmarkEnd w:id="189"/>
      <w:bookmarkEnd w:id="190"/>
      <w:bookmarkStart w:id="191" w:name="_Toc99609757"/>
      <w:bookmarkStart w:id="192" w:name="_Toc99610199"/>
      <w:bookmarkStart w:id="193" w:name="_Toc99609893"/>
      <w:bookmarkStart w:id="194" w:name="_Toc99610029"/>
    </w:p>
    <w:bookmarkEnd w:id="191"/>
    <w:bookmarkEnd w:id="192"/>
    <w:bookmarkEnd w:id="193"/>
    <w:bookmarkEnd w:id="194"/>
    <w:p w14:paraId="1A03C520">
      <w:pPr>
        <w:spacing w:line="500" w:lineRule="exact"/>
        <w:rPr>
          <w:rFonts w:ascii="宋体" w:hAnsi="宋体" w:cs="宋体"/>
          <w:b/>
          <w:color w:val="auto"/>
          <w:sz w:val="24"/>
          <w:highlight w:val="none"/>
        </w:rPr>
      </w:pPr>
      <w:r>
        <w:rPr>
          <w:rFonts w:hint="eastAsia" w:ascii="宋体" w:hAnsi="宋体" w:cs="宋体"/>
          <w:b/>
          <w:color w:val="auto"/>
          <w:sz w:val="24"/>
          <w:highlight w:val="none"/>
        </w:rPr>
        <w:t>5.1开标时间和地点</w:t>
      </w:r>
    </w:p>
    <w:p w14:paraId="137423A1">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5.1</w:t>
      </w:r>
      <w:r>
        <w:rPr>
          <w:rFonts w:ascii="宋体" w:hAnsi="宋体"/>
          <w:color w:val="auto"/>
          <w:sz w:val="24"/>
          <w:highlight w:val="none"/>
        </w:rPr>
        <w:t>.1</w:t>
      </w:r>
      <w:r>
        <w:rPr>
          <w:rFonts w:hint="eastAsia" w:ascii="宋体" w:hAnsi="宋体"/>
          <w:color w:val="auto"/>
          <w:sz w:val="24"/>
          <w:highlight w:val="none"/>
        </w:rPr>
        <w:t>本项目开标的时间、地点见投标人须知前附表。</w:t>
      </w:r>
    </w:p>
    <w:p w14:paraId="05D0E6AC">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5.1.2招标代理机构</w:t>
      </w:r>
      <w:r>
        <w:rPr>
          <w:rFonts w:ascii="宋体" w:hAnsi="宋体"/>
          <w:color w:val="auto"/>
          <w:sz w:val="24"/>
          <w:highlight w:val="none"/>
        </w:rPr>
        <w:t>将会同</w:t>
      </w:r>
      <w:r>
        <w:rPr>
          <w:rFonts w:hint="eastAsia" w:ascii="宋体" w:hAnsi="宋体"/>
          <w:color w:val="auto"/>
          <w:sz w:val="24"/>
          <w:highlight w:val="none"/>
        </w:rPr>
        <w:t>招标人按投标人须知前附表规定的时间及地点</w:t>
      </w:r>
      <w:r>
        <w:rPr>
          <w:rFonts w:ascii="宋体" w:hAnsi="宋体"/>
          <w:color w:val="auto"/>
          <w:sz w:val="24"/>
          <w:highlight w:val="none"/>
        </w:rPr>
        <w:t>举行开标会</w:t>
      </w:r>
      <w:r>
        <w:rPr>
          <w:rFonts w:hint="eastAsia" w:ascii="宋体" w:hAnsi="宋体"/>
          <w:color w:val="auto"/>
          <w:sz w:val="24"/>
          <w:highlight w:val="none"/>
        </w:rPr>
        <w:t>，招标人邀请所有投标人参加</w:t>
      </w:r>
      <w:r>
        <w:rPr>
          <w:rFonts w:ascii="宋体" w:hAnsi="宋体"/>
          <w:color w:val="auto"/>
          <w:sz w:val="24"/>
          <w:highlight w:val="none"/>
        </w:rPr>
        <w:t>开标会</w:t>
      </w:r>
      <w:r>
        <w:rPr>
          <w:rFonts w:hint="eastAsia" w:ascii="宋体" w:hAnsi="宋体"/>
          <w:color w:val="auto"/>
          <w:sz w:val="24"/>
          <w:highlight w:val="none"/>
        </w:rPr>
        <w:t>。</w:t>
      </w:r>
    </w:p>
    <w:p w14:paraId="44C4761F">
      <w:pPr>
        <w:spacing w:line="500" w:lineRule="exact"/>
        <w:rPr>
          <w:rFonts w:ascii="宋体" w:hAnsi="宋体" w:cs="宋体"/>
          <w:b/>
          <w:color w:val="auto"/>
          <w:sz w:val="24"/>
          <w:highlight w:val="none"/>
        </w:rPr>
      </w:pPr>
      <w:r>
        <w:rPr>
          <w:rFonts w:hint="eastAsia" w:ascii="宋体" w:hAnsi="宋体" w:cs="宋体"/>
          <w:b/>
          <w:color w:val="auto"/>
          <w:sz w:val="24"/>
          <w:highlight w:val="none"/>
        </w:rPr>
        <w:t>5.2开标程序</w:t>
      </w:r>
    </w:p>
    <w:p w14:paraId="0D65F082">
      <w:pPr>
        <w:spacing w:line="500" w:lineRule="exact"/>
        <w:ind w:firstLine="480" w:firstLineChars="200"/>
        <w:rPr>
          <w:rFonts w:ascii="宋体" w:hAnsi="宋体" w:cs="宋体"/>
          <w:color w:val="auto"/>
          <w:sz w:val="24"/>
          <w:highlight w:val="none"/>
        </w:rPr>
      </w:pPr>
      <w:bookmarkStart w:id="195" w:name="_Toc23634"/>
      <w:r>
        <w:rPr>
          <w:rFonts w:hint="eastAsia" w:ascii="宋体" w:hAnsi="宋体" w:cs="宋体"/>
          <w:color w:val="auto"/>
          <w:sz w:val="24"/>
          <w:highlight w:val="none"/>
        </w:rPr>
        <w:t>5.2.1主持人按下列程序进行开标：</w:t>
      </w:r>
    </w:p>
    <w:p w14:paraId="102DBD7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（1）宣布开标纪律；</w:t>
      </w:r>
    </w:p>
    <w:p w14:paraId="3E604E6F">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（2）公布在投标截止时间前递交投标文件的投标人名称；</w:t>
      </w:r>
    </w:p>
    <w:p w14:paraId="760AC1C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（3）宣布开标人、唱标人、记录人、监督人等有关人员姓名；</w:t>
      </w:r>
    </w:p>
    <w:p w14:paraId="23DEDA0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（4）投标文件解密，投标人根据政采云电子招投标投标人操作手册在开标截止时间使用CA锁解密；</w:t>
      </w:r>
    </w:p>
    <w:p w14:paraId="2244816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（5）公布招标项目名称、投标人名称、投标保证金的递交情况、投标报价等内容，并记录在案；</w:t>
      </w:r>
    </w:p>
    <w:p w14:paraId="486D7F38">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（6）投标人代表、监督人、记录人等有关人员在开标记录上签字确认；</w:t>
      </w:r>
    </w:p>
    <w:p w14:paraId="3F93604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（7）开标结束。</w:t>
      </w:r>
    </w:p>
    <w:p w14:paraId="22CD6F9D">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5.2.2开标异议：投标人对开标有异议的，应当在开标会现场提出，招标人或招标代理机构当场作出答复，并制作记录。</w:t>
      </w:r>
    </w:p>
    <w:p w14:paraId="3E18E5B8">
      <w:pPr>
        <w:spacing w:line="500" w:lineRule="exact"/>
        <w:rPr>
          <w:rFonts w:ascii="宋体" w:hAnsi="宋体" w:cs="宋体"/>
          <w:b/>
          <w:color w:val="auto"/>
          <w:sz w:val="24"/>
          <w:highlight w:val="none"/>
        </w:rPr>
      </w:pPr>
      <w:r>
        <w:rPr>
          <w:rFonts w:hint="eastAsia" w:ascii="宋体" w:hAnsi="宋体" w:cs="宋体"/>
          <w:b/>
          <w:color w:val="auto"/>
          <w:sz w:val="24"/>
          <w:highlight w:val="none"/>
        </w:rPr>
        <w:t>6.资格审查</w:t>
      </w:r>
      <w:bookmarkEnd w:id="195"/>
    </w:p>
    <w:p w14:paraId="0EF2E3C8">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见第三章《资格审查》</w:t>
      </w:r>
    </w:p>
    <w:p w14:paraId="7A45E28B">
      <w:pPr>
        <w:spacing w:line="500" w:lineRule="exact"/>
        <w:rPr>
          <w:rFonts w:ascii="宋体" w:hAnsi="宋体" w:cs="宋体"/>
          <w:b/>
          <w:color w:val="auto"/>
          <w:sz w:val="24"/>
          <w:highlight w:val="none"/>
        </w:rPr>
      </w:pPr>
      <w:bookmarkStart w:id="196" w:name="_Toc167252411"/>
      <w:bookmarkStart w:id="197" w:name="_Toc99610201"/>
      <w:bookmarkStart w:id="198" w:name="_Toc99609895"/>
      <w:bookmarkStart w:id="199" w:name="_Toc99610031"/>
      <w:bookmarkStart w:id="200" w:name="_Toc99609759"/>
      <w:r>
        <w:rPr>
          <w:rFonts w:hint="eastAsia" w:ascii="宋体" w:hAnsi="宋体" w:cs="宋体"/>
          <w:b/>
          <w:color w:val="auto"/>
          <w:sz w:val="24"/>
          <w:highlight w:val="none"/>
        </w:rPr>
        <w:t>7.评标委员会</w:t>
      </w:r>
      <w:bookmarkEnd w:id="196"/>
      <w:bookmarkEnd w:id="197"/>
      <w:bookmarkEnd w:id="198"/>
      <w:bookmarkEnd w:id="199"/>
      <w:bookmarkEnd w:id="200"/>
    </w:p>
    <w:p w14:paraId="0EF3892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7.1评标委员会根据政府采购有关规定和本次招标采购项目的特点进行组建，并负责具体评标事务，独立履行职责。</w:t>
      </w:r>
    </w:p>
    <w:p w14:paraId="7A47A4E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7.1.2评标委员会成员有下列情形之一的，应当回避：</w:t>
      </w:r>
    </w:p>
    <w:p w14:paraId="2AF4658B">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(1)参加采购活动前三年内,与投标人存在劳动关系,或者担任过投标人的董事、监事,或者是投标人的控股股东或实际控制人；</w:t>
      </w:r>
    </w:p>
    <w:p w14:paraId="2CDF64E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(2)与投标人的法定代表人或者单位负责人有夫妻、直系血亲、三代以内旁系血亲或者近姻亲关系；</w:t>
      </w:r>
    </w:p>
    <w:p w14:paraId="1B5001A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(3)与投标人有其他可能影响政府采购活动公平、公正进行的关系。</w:t>
      </w:r>
    </w:p>
    <w:p w14:paraId="2915366B">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(4)法律法规规定的其他应予回避的情形。</w:t>
      </w:r>
    </w:p>
    <w:p w14:paraId="23A875C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7.1.3评标专家须符合《财政部关于在政府采购活动中查询及使用信用记录有关问题的通知》（财库〔2016〕125号）的规定。依法自行选定评审专家的，招标人和招标代理机构将查询有关信用记录，对具有行贿、受贿、欺诈等不良信用记录的人员，拒绝其参与政府采购活动。</w:t>
      </w:r>
    </w:p>
    <w:p w14:paraId="4FD16C94">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7.1.4评标过程中，评标委员会成员有回避事由、擅离职守或者因健康等原因不能继续评标的，招标人有权更换。被更换的评标委员会成员作出的评审结论无效，由更换后的评标委员会成员重新进行评审。</w:t>
      </w:r>
    </w:p>
    <w:p w14:paraId="15244829">
      <w:pPr>
        <w:spacing w:line="500" w:lineRule="exact"/>
        <w:rPr>
          <w:rFonts w:ascii="宋体" w:hAnsi="宋体" w:cs="宋体"/>
          <w:b/>
          <w:color w:val="auto"/>
          <w:sz w:val="24"/>
          <w:highlight w:val="none"/>
        </w:rPr>
      </w:pPr>
      <w:r>
        <w:rPr>
          <w:rFonts w:hint="eastAsia" w:ascii="宋体" w:hAnsi="宋体" w:cs="宋体"/>
          <w:b/>
          <w:color w:val="auto"/>
          <w:sz w:val="24"/>
          <w:highlight w:val="none"/>
        </w:rPr>
        <w:t>7.2评标原则</w:t>
      </w:r>
    </w:p>
    <w:p w14:paraId="6354B81A">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评标应遵循客观、公正、审慎的原则。</w:t>
      </w:r>
    </w:p>
    <w:p w14:paraId="6F86F406">
      <w:pPr>
        <w:spacing w:line="500" w:lineRule="exact"/>
        <w:outlineLvl w:val="0"/>
        <w:rPr>
          <w:rFonts w:ascii="宋体" w:hAnsi="宋体" w:cs="宋体"/>
          <w:color w:val="auto"/>
          <w:sz w:val="24"/>
          <w:highlight w:val="none"/>
        </w:rPr>
      </w:pPr>
      <w:bookmarkStart w:id="201" w:name="_Toc10932"/>
      <w:bookmarkStart w:id="202" w:name="_Toc27867"/>
      <w:bookmarkStart w:id="203" w:name="_Toc16669"/>
      <w:bookmarkStart w:id="204" w:name="_Toc6854"/>
      <w:bookmarkStart w:id="205" w:name="_Toc141870330"/>
      <w:bookmarkStart w:id="206" w:name="_Toc148084469"/>
      <w:bookmarkStart w:id="207" w:name="_Toc141969794"/>
      <w:r>
        <w:rPr>
          <w:rFonts w:hint="eastAsia" w:ascii="宋体" w:hAnsi="宋体" w:cs="宋体"/>
          <w:b/>
          <w:color w:val="auto"/>
          <w:sz w:val="24"/>
          <w:highlight w:val="none"/>
        </w:rPr>
        <w:t>8.定标</w:t>
      </w:r>
      <w:bookmarkEnd w:id="201"/>
      <w:bookmarkEnd w:id="202"/>
      <w:bookmarkEnd w:id="203"/>
      <w:bookmarkEnd w:id="204"/>
      <w:bookmarkEnd w:id="205"/>
      <w:bookmarkEnd w:id="206"/>
      <w:bookmarkEnd w:id="207"/>
    </w:p>
    <w:p w14:paraId="60A4C029">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招标人自收到评标报告之日起5个工作日内，在评标报告推荐的中标候选人名单中按顺序确定中标人。</w:t>
      </w:r>
    </w:p>
    <w:p w14:paraId="035974A5">
      <w:pPr>
        <w:spacing w:line="500" w:lineRule="exact"/>
        <w:outlineLvl w:val="0"/>
        <w:rPr>
          <w:rFonts w:ascii="宋体" w:hAnsi="宋体" w:cs="宋体"/>
          <w:color w:val="auto"/>
          <w:sz w:val="24"/>
          <w:highlight w:val="none"/>
        </w:rPr>
      </w:pPr>
      <w:bookmarkStart w:id="208" w:name="_Toc99609903"/>
      <w:bookmarkStart w:id="209" w:name="_Toc167252420"/>
      <w:bookmarkStart w:id="210" w:name="_Toc99609767"/>
      <w:bookmarkStart w:id="211" w:name="_Toc99610209"/>
      <w:bookmarkStart w:id="212" w:name="_Toc99610039"/>
      <w:bookmarkStart w:id="213" w:name="_Toc141870331"/>
      <w:bookmarkStart w:id="214" w:name="_Toc4395"/>
      <w:bookmarkStart w:id="215" w:name="_Toc148084470"/>
      <w:bookmarkStart w:id="216" w:name="_Toc24506"/>
      <w:bookmarkStart w:id="217" w:name="_Toc141969795"/>
      <w:bookmarkStart w:id="218" w:name="_Toc29106"/>
      <w:bookmarkStart w:id="219" w:name="_Toc25129"/>
      <w:r>
        <w:rPr>
          <w:rFonts w:hint="eastAsia" w:ascii="宋体" w:hAnsi="宋体" w:cs="宋体"/>
          <w:b/>
          <w:color w:val="auto"/>
          <w:sz w:val="24"/>
          <w:highlight w:val="none"/>
        </w:rPr>
        <w:t>9.中标</w:t>
      </w:r>
      <w:bookmarkEnd w:id="208"/>
      <w:bookmarkEnd w:id="209"/>
      <w:bookmarkEnd w:id="210"/>
      <w:bookmarkEnd w:id="211"/>
      <w:bookmarkEnd w:id="212"/>
      <w:r>
        <w:rPr>
          <w:rFonts w:hint="eastAsia" w:ascii="宋体" w:hAnsi="宋体" w:cs="宋体"/>
          <w:b/>
          <w:color w:val="auto"/>
          <w:sz w:val="24"/>
          <w:highlight w:val="none"/>
        </w:rPr>
        <w:t>结果公告及中标通知书</w:t>
      </w:r>
      <w:bookmarkEnd w:id="213"/>
      <w:bookmarkEnd w:id="214"/>
      <w:bookmarkEnd w:id="215"/>
      <w:bookmarkEnd w:id="216"/>
      <w:bookmarkEnd w:id="217"/>
      <w:bookmarkEnd w:id="218"/>
      <w:bookmarkEnd w:id="219"/>
    </w:p>
    <w:p w14:paraId="20493CF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9.1招标代理机构自中标人确定之日起2个工作日内，在投标人须知前附表规定的公示媒介发布中标结果公告，中标结果公告期限为1个工作日。</w:t>
      </w:r>
    </w:p>
    <w:p w14:paraId="51FE6434">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9.2在公告中标结果的同时，招标代理机构向中标人发出中标通知书。中标通知书一经发出即发生法律效力。</w:t>
      </w:r>
    </w:p>
    <w:p w14:paraId="70E34EA4">
      <w:pPr>
        <w:spacing w:line="500" w:lineRule="exact"/>
        <w:outlineLvl w:val="0"/>
        <w:rPr>
          <w:rFonts w:ascii="宋体" w:hAnsi="宋体" w:cs="宋体"/>
          <w:b/>
          <w:color w:val="auto"/>
          <w:sz w:val="24"/>
          <w:highlight w:val="none"/>
        </w:rPr>
      </w:pPr>
      <w:bookmarkStart w:id="220" w:name="_Toc148084471"/>
      <w:bookmarkStart w:id="221" w:name="_Toc11997"/>
      <w:bookmarkStart w:id="222" w:name="_Toc16825"/>
      <w:bookmarkStart w:id="223" w:name="_Toc141969796"/>
      <w:bookmarkStart w:id="224" w:name="_Toc141870332"/>
      <w:bookmarkStart w:id="225" w:name="_Toc17675"/>
      <w:bookmarkStart w:id="226" w:name="_Toc20980"/>
      <w:r>
        <w:rPr>
          <w:rFonts w:hint="eastAsia" w:ascii="宋体" w:hAnsi="宋体" w:cs="宋体"/>
          <w:b/>
          <w:color w:val="auto"/>
          <w:sz w:val="24"/>
          <w:highlight w:val="none"/>
        </w:rPr>
        <w:t>10.废标</w:t>
      </w:r>
      <w:bookmarkEnd w:id="220"/>
    </w:p>
    <w:p w14:paraId="2DD7A9E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10.1在招标采购中，出现下列情形之一的，应予废标：</w:t>
      </w:r>
    </w:p>
    <w:p w14:paraId="32EFCF7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10.2符合专业条件的供应商或者对招标文件作实质响应的供应商不足三家的；</w:t>
      </w:r>
    </w:p>
    <w:p w14:paraId="1F65CDC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10.3出现影响采购公正的违法、违规行为的；</w:t>
      </w:r>
    </w:p>
    <w:p w14:paraId="614A5630">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10.4投标人的报价均超过了采购预算，招标人不能支付的；</w:t>
      </w:r>
    </w:p>
    <w:p w14:paraId="67BCE8C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10.5因重大变故，采购任务取消的。</w:t>
      </w:r>
    </w:p>
    <w:p w14:paraId="6DBB068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10.6废标后，招标人将废标理由通知所有投标人。</w:t>
      </w:r>
    </w:p>
    <w:p w14:paraId="255D9E97">
      <w:pPr>
        <w:spacing w:line="500" w:lineRule="exact"/>
        <w:outlineLvl w:val="0"/>
        <w:rPr>
          <w:rFonts w:ascii="宋体" w:hAnsi="宋体" w:cs="宋体"/>
          <w:b/>
          <w:color w:val="auto"/>
          <w:sz w:val="24"/>
          <w:highlight w:val="none"/>
        </w:rPr>
      </w:pPr>
      <w:bookmarkStart w:id="227" w:name="_Toc148084472"/>
      <w:r>
        <w:rPr>
          <w:rFonts w:hint="eastAsia" w:ascii="宋体" w:hAnsi="宋体" w:cs="宋体"/>
          <w:b/>
          <w:color w:val="auto"/>
          <w:sz w:val="24"/>
          <w:highlight w:val="none"/>
        </w:rPr>
        <w:t>11.询问</w:t>
      </w:r>
      <w:bookmarkEnd w:id="227"/>
    </w:p>
    <w:p w14:paraId="1015072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11.1投标人对政府采购活动事项有疑问的，可依法提出询问，并按《投标人须知资料表》载明的形式送达招标人或招标代理机构。</w:t>
      </w:r>
    </w:p>
    <w:p w14:paraId="55415B28">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11.2招标人或招标代理机构对供应商依法提出的询问，在3个工作日内作出答复，但答复的内容不得涉及商业秘密。</w:t>
      </w:r>
    </w:p>
    <w:p w14:paraId="1F59F522">
      <w:pPr>
        <w:spacing w:line="500" w:lineRule="exact"/>
        <w:outlineLvl w:val="0"/>
        <w:rPr>
          <w:rFonts w:ascii="宋体" w:hAnsi="宋体" w:cs="宋体"/>
          <w:b/>
          <w:color w:val="auto"/>
          <w:sz w:val="24"/>
          <w:highlight w:val="none"/>
        </w:rPr>
      </w:pPr>
      <w:bookmarkStart w:id="228" w:name="_Toc148084473"/>
      <w:r>
        <w:rPr>
          <w:rFonts w:hint="eastAsia" w:ascii="宋体" w:hAnsi="宋体" w:cs="宋体"/>
          <w:b/>
          <w:color w:val="auto"/>
          <w:sz w:val="24"/>
          <w:highlight w:val="none"/>
        </w:rPr>
        <w:t>12.质疑</w:t>
      </w:r>
      <w:bookmarkEnd w:id="221"/>
      <w:bookmarkEnd w:id="222"/>
      <w:bookmarkEnd w:id="223"/>
      <w:bookmarkEnd w:id="224"/>
      <w:bookmarkEnd w:id="225"/>
      <w:bookmarkEnd w:id="226"/>
      <w:bookmarkEnd w:id="228"/>
    </w:p>
    <w:p w14:paraId="244FB30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12.1</w:t>
      </w:r>
      <w:r>
        <w:rPr>
          <w:rFonts w:ascii="宋体" w:hAnsi="宋体" w:cs="宋体"/>
          <w:color w:val="auto"/>
          <w:sz w:val="24"/>
          <w:highlight w:val="none"/>
        </w:rPr>
        <w:t>投标人认为</w:t>
      </w:r>
      <w:r>
        <w:rPr>
          <w:rFonts w:hint="eastAsia" w:ascii="宋体" w:hAnsi="宋体" w:cs="宋体"/>
          <w:color w:val="auto"/>
          <w:sz w:val="24"/>
          <w:highlight w:val="none"/>
        </w:rPr>
        <w:t>招标</w:t>
      </w:r>
      <w:r>
        <w:rPr>
          <w:rFonts w:ascii="宋体" w:hAnsi="宋体" w:cs="宋体"/>
          <w:color w:val="auto"/>
          <w:sz w:val="24"/>
          <w:highlight w:val="none"/>
        </w:rPr>
        <w:t>文件、采购过程、中标或者成交结果使自己的权益受到损害的，可以在知道或者应知其权益受到损害之日起7个工作日内，以书面形式向招标人、招标代理机构提出质疑。</w:t>
      </w:r>
    </w:p>
    <w:p w14:paraId="1E7E8B3A">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12.2</w:t>
      </w:r>
      <w:r>
        <w:rPr>
          <w:rFonts w:ascii="宋体" w:hAnsi="宋体" w:cs="宋体"/>
          <w:color w:val="auto"/>
          <w:sz w:val="24"/>
          <w:highlight w:val="none"/>
        </w:rPr>
        <w:t>招标人、招标代理机构在收到质疑函后7个工作日内作出答复，并以书面形式通知质疑投标人和其他有关投标人。</w:t>
      </w:r>
    </w:p>
    <w:p w14:paraId="508A17E0">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12.3</w:t>
      </w:r>
      <w:r>
        <w:rPr>
          <w:rFonts w:ascii="宋体" w:hAnsi="宋体" w:cs="宋体"/>
          <w:color w:val="auto"/>
          <w:sz w:val="24"/>
          <w:highlight w:val="none"/>
        </w:rPr>
        <w:t>投标人对评审过程、中标结果提出质疑的，招标人、招标代理机构可以组织原评标委员会协助答复质疑。</w:t>
      </w:r>
    </w:p>
    <w:p w14:paraId="01244DA8">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12.4</w:t>
      </w:r>
      <w:r>
        <w:rPr>
          <w:rFonts w:ascii="宋体" w:hAnsi="宋体" w:cs="宋体"/>
          <w:color w:val="auto"/>
          <w:sz w:val="24"/>
          <w:highlight w:val="none"/>
        </w:rPr>
        <w:t>投标人质疑、投诉应当有明确的请求和必要的证明材料。投标人投诉的事项不得超出已质疑事项的范围。</w:t>
      </w:r>
    </w:p>
    <w:p w14:paraId="51E031A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12.5</w:t>
      </w:r>
      <w:r>
        <w:rPr>
          <w:rFonts w:ascii="宋体" w:hAnsi="宋体" w:cs="宋体"/>
          <w:color w:val="auto"/>
          <w:sz w:val="24"/>
          <w:highlight w:val="none"/>
        </w:rPr>
        <w:t>投标人提出质疑应当提交质疑函和必要的证明材料。质疑函应当包括下列内容：</w:t>
      </w:r>
    </w:p>
    <w:p w14:paraId="603C5C3F">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（1）投标人的姓名或者名称、地址、邮编、联系人及联系电话；</w:t>
      </w:r>
    </w:p>
    <w:p w14:paraId="58400BE8">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（2）质疑项目的名称、编号；</w:t>
      </w:r>
    </w:p>
    <w:p w14:paraId="0B7752D6">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（3）具体、明确的质疑事项和与质疑事项相关的请求；</w:t>
      </w:r>
    </w:p>
    <w:p w14:paraId="0B725367">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（4）事实依据；</w:t>
      </w:r>
    </w:p>
    <w:p w14:paraId="5C82E9C9">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（5）必要的法律依据；</w:t>
      </w:r>
    </w:p>
    <w:p w14:paraId="2E6B0570">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（6）提出质疑的日期。</w:t>
      </w:r>
    </w:p>
    <w:p w14:paraId="7A22DB68">
      <w:pPr>
        <w:spacing w:line="500" w:lineRule="exact"/>
        <w:ind w:firstLine="480" w:firstLineChars="200"/>
        <w:rPr>
          <w:rFonts w:ascii="宋体" w:hAnsi="宋体" w:cs="宋体"/>
          <w:color w:val="auto"/>
          <w:sz w:val="24"/>
          <w:highlight w:val="none"/>
        </w:rPr>
      </w:pPr>
      <w:r>
        <w:rPr>
          <w:rFonts w:ascii="宋体" w:hAnsi="宋体" w:cs="宋体"/>
          <w:color w:val="auto"/>
          <w:sz w:val="24"/>
          <w:highlight w:val="none"/>
        </w:rPr>
        <w:t>投标人为法人或者其他组织的，应当由法定代表人、主要负责人，或者其授权代表签字或者盖章，并加盖公章。</w:t>
      </w:r>
    </w:p>
    <w:p w14:paraId="0DE7013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12.6</w:t>
      </w:r>
      <w:r>
        <w:rPr>
          <w:rFonts w:ascii="宋体" w:hAnsi="宋体" w:cs="宋体"/>
          <w:color w:val="auto"/>
          <w:sz w:val="24"/>
          <w:highlight w:val="none"/>
        </w:rPr>
        <w:t>投标人在法定质疑期内一次性提出针对同一采购程序环节的质疑，法定质疑期内针对同一采购程序环节再次提出的质疑，招标人、招标代理机构有权不予答复。</w:t>
      </w:r>
    </w:p>
    <w:p w14:paraId="73601215">
      <w:pPr>
        <w:spacing w:line="500" w:lineRule="exact"/>
        <w:outlineLvl w:val="0"/>
        <w:rPr>
          <w:rFonts w:ascii="宋体" w:hAnsi="宋体" w:cs="宋体"/>
          <w:b/>
          <w:color w:val="auto"/>
          <w:sz w:val="24"/>
          <w:highlight w:val="none"/>
        </w:rPr>
      </w:pPr>
      <w:bookmarkStart w:id="229" w:name="_Toc141870333"/>
      <w:bookmarkStart w:id="230" w:name="_Toc13374"/>
      <w:bookmarkStart w:id="231" w:name="_Toc10327"/>
      <w:bookmarkStart w:id="232" w:name="_Toc141969797"/>
      <w:bookmarkStart w:id="233" w:name="_Toc18476"/>
      <w:bookmarkStart w:id="234" w:name="_Toc792"/>
      <w:bookmarkStart w:id="235" w:name="_Toc148084474"/>
      <w:r>
        <w:rPr>
          <w:rFonts w:hint="eastAsia" w:ascii="宋体" w:hAnsi="宋体" w:cs="宋体"/>
          <w:b/>
          <w:color w:val="auto"/>
          <w:sz w:val="24"/>
          <w:highlight w:val="none"/>
        </w:rPr>
        <w:t>13.履约保证金</w:t>
      </w:r>
      <w:bookmarkEnd w:id="229"/>
      <w:bookmarkEnd w:id="230"/>
      <w:bookmarkEnd w:id="231"/>
      <w:bookmarkEnd w:id="232"/>
      <w:bookmarkEnd w:id="233"/>
      <w:bookmarkEnd w:id="234"/>
      <w:bookmarkEnd w:id="235"/>
    </w:p>
    <w:p w14:paraId="21919BB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13.1在签订合同前，中标人应按投标人须知前附表规定的形式、金额或者事先经过招标人书面认可的履约保证金格式向招标人提交履约保证金。</w:t>
      </w:r>
    </w:p>
    <w:p w14:paraId="092C17D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13.2中标人不能按本章第13.1项要求提交履约保证金的，视为放弃中标，给招标人造成的损失超过投标保证金数额的，中标人还应当对超过部分予以赔偿。</w:t>
      </w:r>
    </w:p>
    <w:p w14:paraId="5F84C46B">
      <w:pPr>
        <w:spacing w:line="500" w:lineRule="exact"/>
        <w:outlineLvl w:val="0"/>
        <w:rPr>
          <w:rFonts w:ascii="宋体" w:hAnsi="宋体" w:cs="宋体"/>
          <w:b/>
          <w:color w:val="auto"/>
          <w:sz w:val="24"/>
          <w:highlight w:val="none"/>
        </w:rPr>
      </w:pPr>
      <w:bookmarkStart w:id="236" w:name="_Toc141870334"/>
      <w:bookmarkStart w:id="237" w:name="_Toc148084475"/>
      <w:bookmarkStart w:id="238" w:name="_Toc4397"/>
      <w:bookmarkStart w:id="239" w:name="_Toc30046"/>
      <w:bookmarkStart w:id="240" w:name="_Toc856"/>
      <w:bookmarkStart w:id="241" w:name="_Toc23523"/>
      <w:bookmarkStart w:id="242" w:name="_Toc141969798"/>
      <w:r>
        <w:rPr>
          <w:rFonts w:hint="eastAsia" w:ascii="宋体" w:hAnsi="宋体" w:cs="宋体"/>
          <w:b/>
          <w:color w:val="auto"/>
          <w:sz w:val="24"/>
          <w:highlight w:val="none"/>
        </w:rPr>
        <w:t>14.签订合同</w:t>
      </w:r>
      <w:bookmarkEnd w:id="236"/>
      <w:bookmarkEnd w:id="237"/>
      <w:bookmarkEnd w:id="238"/>
      <w:bookmarkEnd w:id="239"/>
      <w:bookmarkEnd w:id="240"/>
      <w:bookmarkEnd w:id="241"/>
      <w:bookmarkEnd w:id="242"/>
    </w:p>
    <w:p w14:paraId="3573F77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14.1招标人应当自中标通知书发出之日起30日内，按照招标文件和中标人投标文件的规定，与中标人签订书面合同。所签订的合同不得对招标文件确定的事项和中标人投标文件作实质性修改。</w:t>
      </w:r>
    </w:p>
    <w:p w14:paraId="73005B4F">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14.2发出中标通知书后，招标人无正当理由拒签合同，或者在签订合同时向中标人提出附加条件的，给中标人造成损失的，应当赔偿损失。</w:t>
      </w:r>
    </w:p>
    <w:p w14:paraId="0083F76C">
      <w:pPr>
        <w:spacing w:line="500" w:lineRule="exact"/>
        <w:outlineLvl w:val="0"/>
        <w:rPr>
          <w:rFonts w:ascii="宋体" w:hAnsi="宋体" w:cs="宋体"/>
          <w:b/>
          <w:color w:val="auto"/>
          <w:sz w:val="24"/>
          <w:highlight w:val="none"/>
        </w:rPr>
      </w:pPr>
      <w:bookmarkStart w:id="243" w:name="_Toc15542"/>
      <w:bookmarkStart w:id="244" w:name="_Toc1051"/>
      <w:bookmarkStart w:id="245" w:name="_Toc32206"/>
      <w:bookmarkStart w:id="246" w:name="_Toc141969799"/>
      <w:bookmarkStart w:id="247" w:name="_Toc1586"/>
      <w:bookmarkStart w:id="248" w:name="_Toc148084476"/>
      <w:bookmarkStart w:id="249" w:name="_Toc141870335"/>
      <w:r>
        <w:rPr>
          <w:rFonts w:hint="eastAsia" w:ascii="宋体" w:hAnsi="宋体" w:cs="宋体"/>
          <w:b/>
          <w:color w:val="auto"/>
          <w:sz w:val="24"/>
          <w:highlight w:val="none"/>
        </w:rPr>
        <w:t>15.纪律和监督</w:t>
      </w:r>
      <w:bookmarkEnd w:id="243"/>
      <w:bookmarkEnd w:id="244"/>
      <w:bookmarkEnd w:id="245"/>
      <w:bookmarkEnd w:id="246"/>
      <w:bookmarkEnd w:id="247"/>
      <w:bookmarkEnd w:id="248"/>
      <w:bookmarkEnd w:id="249"/>
    </w:p>
    <w:p w14:paraId="50225096">
      <w:pPr>
        <w:spacing w:line="500" w:lineRule="exact"/>
        <w:rPr>
          <w:rFonts w:ascii="宋体" w:hAnsi="宋体" w:cs="宋体"/>
          <w:b/>
          <w:color w:val="auto"/>
          <w:sz w:val="24"/>
          <w:highlight w:val="none"/>
        </w:rPr>
      </w:pPr>
      <w:bookmarkStart w:id="250" w:name="_bookmark68"/>
      <w:bookmarkEnd w:id="250"/>
      <w:r>
        <w:rPr>
          <w:rFonts w:hint="eastAsia" w:ascii="宋体" w:hAnsi="宋体" w:cs="宋体"/>
          <w:b/>
          <w:color w:val="auto"/>
          <w:sz w:val="24"/>
          <w:highlight w:val="none"/>
        </w:rPr>
        <w:t>15.1对招标人的纪律要求</w:t>
      </w:r>
    </w:p>
    <w:p w14:paraId="2A452A7A">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38991E42">
      <w:pPr>
        <w:spacing w:line="500" w:lineRule="exact"/>
        <w:rPr>
          <w:rFonts w:ascii="宋体" w:hAnsi="宋体" w:cs="宋体"/>
          <w:b/>
          <w:color w:val="auto"/>
          <w:sz w:val="24"/>
          <w:highlight w:val="none"/>
        </w:rPr>
      </w:pPr>
      <w:bookmarkStart w:id="251" w:name="_bookmark69"/>
      <w:bookmarkEnd w:id="251"/>
      <w:r>
        <w:rPr>
          <w:rFonts w:hint="eastAsia" w:ascii="宋体" w:hAnsi="宋体" w:cs="宋体"/>
          <w:b/>
          <w:color w:val="auto"/>
          <w:sz w:val="24"/>
          <w:highlight w:val="none"/>
        </w:rPr>
        <w:t>15.2对投标人的纪律要求</w:t>
      </w:r>
    </w:p>
    <w:p w14:paraId="338193E5">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38D622B8">
      <w:pPr>
        <w:spacing w:line="500" w:lineRule="exact"/>
        <w:rPr>
          <w:rFonts w:ascii="宋体" w:hAnsi="宋体" w:cs="宋体"/>
          <w:b/>
          <w:color w:val="auto"/>
          <w:sz w:val="24"/>
          <w:highlight w:val="none"/>
        </w:rPr>
      </w:pPr>
      <w:bookmarkStart w:id="252" w:name="_bookmark70"/>
      <w:bookmarkEnd w:id="252"/>
      <w:r>
        <w:rPr>
          <w:rFonts w:hint="eastAsia" w:ascii="宋体" w:hAnsi="宋体" w:cs="宋体"/>
          <w:b/>
          <w:color w:val="auto"/>
          <w:sz w:val="24"/>
          <w:highlight w:val="none"/>
        </w:rPr>
        <w:t>15.3对评标委员会成员的纪律要求</w:t>
      </w:r>
    </w:p>
    <w:p w14:paraId="626FA40D">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成员不得收受他人的财物或者其他好处，不得向他人透露对投标文件的评审和比较、推荐候选人的推荐情况以及评标有关的其他情况。在评标活动中，评标委员会成员应当客观、公正地履行职责，遵守职业道德，不得擅离职守，影响评标程序正常进行，不得使用 “评标办法”没有规定的评审因素和标准进行评标。</w:t>
      </w:r>
    </w:p>
    <w:p w14:paraId="5B9F05CC">
      <w:pPr>
        <w:spacing w:line="500" w:lineRule="exact"/>
        <w:rPr>
          <w:rFonts w:ascii="宋体" w:hAnsi="宋体" w:cs="宋体"/>
          <w:b/>
          <w:color w:val="auto"/>
          <w:sz w:val="24"/>
          <w:highlight w:val="none"/>
        </w:rPr>
      </w:pPr>
      <w:bookmarkStart w:id="253" w:name="_bookmark71"/>
      <w:bookmarkEnd w:id="253"/>
      <w:r>
        <w:rPr>
          <w:rFonts w:hint="eastAsia" w:ascii="宋体" w:hAnsi="宋体" w:cs="宋体"/>
          <w:b/>
          <w:color w:val="auto"/>
          <w:sz w:val="24"/>
          <w:highlight w:val="none"/>
        </w:rPr>
        <w:t>15.4对与评标活动有关的工作人员的纪律要求</w:t>
      </w:r>
    </w:p>
    <w:p w14:paraId="47C29776">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其他好处，不得向他人透露对投标文件的评审和比较、推荐候选人的推荐情况以及评标有关的其他情况。在评标活动中，与评标活动有关的工作人员不得擅离职守，影响评标程序正常进行。</w:t>
      </w:r>
    </w:p>
    <w:p w14:paraId="710A9868">
      <w:pPr>
        <w:spacing w:line="500" w:lineRule="exact"/>
        <w:outlineLvl w:val="0"/>
        <w:rPr>
          <w:rFonts w:ascii="宋体" w:hAnsi="宋体" w:cs="宋体"/>
          <w:b/>
          <w:color w:val="auto"/>
          <w:sz w:val="24"/>
          <w:highlight w:val="none"/>
        </w:rPr>
      </w:pPr>
      <w:bookmarkStart w:id="254" w:name="_Toc3505"/>
      <w:bookmarkStart w:id="255" w:name="_Toc16580"/>
      <w:bookmarkStart w:id="256" w:name="_Toc148084477"/>
      <w:bookmarkStart w:id="257" w:name="_Toc141969800"/>
      <w:bookmarkStart w:id="258" w:name="_Toc25042"/>
      <w:bookmarkStart w:id="259" w:name="_Toc19947"/>
      <w:bookmarkStart w:id="260" w:name="_Toc141870336"/>
      <w:r>
        <w:rPr>
          <w:rFonts w:hint="eastAsia" w:ascii="宋体" w:hAnsi="宋体" w:cs="宋体"/>
          <w:b/>
          <w:color w:val="auto"/>
          <w:sz w:val="24"/>
          <w:highlight w:val="none"/>
        </w:rPr>
        <w:t>16.需要补充的其他内容</w:t>
      </w:r>
      <w:bookmarkEnd w:id="254"/>
      <w:bookmarkEnd w:id="255"/>
      <w:bookmarkEnd w:id="256"/>
      <w:bookmarkEnd w:id="257"/>
      <w:bookmarkEnd w:id="258"/>
      <w:bookmarkEnd w:id="259"/>
      <w:bookmarkEnd w:id="260"/>
    </w:p>
    <w:p w14:paraId="660B6161">
      <w:pPr>
        <w:spacing w:line="5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需要补充的其他内容：见投标人须知前附表。</w:t>
      </w:r>
    </w:p>
    <w:p w14:paraId="7B49A9AB">
      <w:pPr>
        <w:spacing w:line="500" w:lineRule="exact"/>
        <w:ind w:firstLine="480" w:firstLineChars="200"/>
        <w:rPr>
          <w:rFonts w:hint="eastAsia" w:ascii="宋体" w:hAnsi="宋体" w:cs="宋体"/>
          <w:color w:val="auto"/>
          <w:sz w:val="24"/>
          <w:highlight w:val="none"/>
        </w:rPr>
      </w:pPr>
    </w:p>
    <w:p w14:paraId="304E3265">
      <w:pPr>
        <w:spacing w:line="500" w:lineRule="exact"/>
        <w:ind w:firstLine="480" w:firstLineChars="200"/>
        <w:rPr>
          <w:rFonts w:hint="eastAsia" w:ascii="宋体" w:hAnsi="宋体" w:cs="宋体"/>
          <w:color w:val="auto"/>
          <w:sz w:val="24"/>
          <w:highlight w:val="none"/>
        </w:rPr>
      </w:pPr>
    </w:p>
    <w:p w14:paraId="35BAA256">
      <w:pPr>
        <w:spacing w:line="500" w:lineRule="exact"/>
        <w:ind w:firstLine="480" w:firstLineChars="200"/>
        <w:rPr>
          <w:rFonts w:hint="eastAsia" w:ascii="宋体" w:hAnsi="宋体" w:cs="宋体"/>
          <w:color w:val="auto"/>
          <w:sz w:val="24"/>
          <w:highlight w:val="none"/>
        </w:rPr>
      </w:pPr>
    </w:p>
    <w:p w14:paraId="5EE6035B">
      <w:pPr>
        <w:spacing w:line="500" w:lineRule="exact"/>
        <w:ind w:firstLine="480" w:firstLineChars="200"/>
        <w:rPr>
          <w:rFonts w:hint="eastAsia" w:ascii="宋体" w:hAnsi="宋体" w:cs="宋体"/>
          <w:color w:val="auto"/>
          <w:sz w:val="24"/>
          <w:highlight w:val="none"/>
        </w:rPr>
      </w:pPr>
    </w:p>
    <w:p w14:paraId="5E961F1E">
      <w:pPr>
        <w:spacing w:line="500" w:lineRule="exact"/>
        <w:ind w:firstLine="480" w:firstLineChars="200"/>
        <w:rPr>
          <w:rFonts w:hint="eastAsia" w:ascii="宋体" w:hAnsi="宋体" w:cs="宋体"/>
          <w:color w:val="auto"/>
          <w:sz w:val="24"/>
          <w:highlight w:val="none"/>
        </w:rPr>
      </w:pPr>
    </w:p>
    <w:p w14:paraId="5D5D3CF1">
      <w:pPr>
        <w:spacing w:line="500" w:lineRule="exact"/>
        <w:ind w:firstLine="480" w:firstLineChars="200"/>
        <w:rPr>
          <w:rFonts w:hint="eastAsia" w:ascii="宋体" w:hAnsi="宋体" w:cs="宋体"/>
          <w:color w:val="auto"/>
          <w:sz w:val="24"/>
          <w:highlight w:val="none"/>
        </w:rPr>
      </w:pPr>
    </w:p>
    <w:p w14:paraId="127876AC">
      <w:pPr>
        <w:spacing w:line="500" w:lineRule="exact"/>
        <w:ind w:firstLine="480" w:firstLineChars="200"/>
        <w:rPr>
          <w:rFonts w:hint="eastAsia" w:ascii="宋体" w:hAnsi="宋体" w:cs="宋体"/>
          <w:color w:val="auto"/>
          <w:sz w:val="24"/>
          <w:highlight w:val="none"/>
        </w:rPr>
      </w:pPr>
    </w:p>
    <w:p w14:paraId="680FD181">
      <w:pPr>
        <w:spacing w:line="500" w:lineRule="exact"/>
        <w:ind w:firstLine="480" w:firstLineChars="200"/>
        <w:rPr>
          <w:rFonts w:hint="eastAsia" w:ascii="宋体" w:hAnsi="宋体" w:cs="宋体"/>
          <w:color w:val="auto"/>
          <w:sz w:val="24"/>
          <w:highlight w:val="none"/>
        </w:rPr>
      </w:pPr>
    </w:p>
    <w:p w14:paraId="617C5224">
      <w:pPr>
        <w:spacing w:line="500" w:lineRule="exact"/>
        <w:ind w:firstLine="480" w:firstLineChars="200"/>
        <w:rPr>
          <w:rFonts w:hint="eastAsia" w:ascii="宋体" w:hAnsi="宋体" w:cs="宋体"/>
          <w:color w:val="auto"/>
          <w:sz w:val="24"/>
          <w:highlight w:val="none"/>
        </w:rPr>
      </w:pPr>
    </w:p>
    <w:p w14:paraId="762AAF1E">
      <w:pPr>
        <w:spacing w:line="500" w:lineRule="exact"/>
        <w:ind w:firstLine="480" w:firstLineChars="200"/>
        <w:rPr>
          <w:rFonts w:hint="eastAsia" w:ascii="宋体" w:hAnsi="宋体" w:cs="宋体"/>
          <w:color w:val="auto"/>
          <w:sz w:val="24"/>
          <w:highlight w:val="none"/>
        </w:rPr>
      </w:pPr>
    </w:p>
    <w:p w14:paraId="0173ED59">
      <w:pPr>
        <w:spacing w:line="500" w:lineRule="exact"/>
        <w:ind w:firstLine="480" w:firstLineChars="200"/>
        <w:rPr>
          <w:rFonts w:hint="eastAsia" w:ascii="宋体" w:hAnsi="宋体" w:cs="宋体"/>
          <w:color w:val="auto"/>
          <w:sz w:val="24"/>
          <w:highlight w:val="none"/>
        </w:rPr>
      </w:pPr>
    </w:p>
    <w:p w14:paraId="3FA5B6F7">
      <w:pPr>
        <w:spacing w:line="500" w:lineRule="exact"/>
        <w:ind w:firstLine="480" w:firstLineChars="200"/>
        <w:rPr>
          <w:rFonts w:hint="eastAsia" w:ascii="宋体" w:hAnsi="宋体" w:cs="宋体"/>
          <w:color w:val="auto"/>
          <w:sz w:val="24"/>
          <w:highlight w:val="none"/>
        </w:rPr>
      </w:pPr>
    </w:p>
    <w:p w14:paraId="264DD504">
      <w:pPr>
        <w:spacing w:line="500" w:lineRule="exact"/>
        <w:ind w:firstLine="480" w:firstLineChars="200"/>
        <w:rPr>
          <w:rFonts w:hint="eastAsia" w:ascii="宋体" w:hAnsi="宋体" w:cs="宋体"/>
          <w:color w:val="auto"/>
          <w:sz w:val="24"/>
          <w:highlight w:val="none"/>
        </w:rPr>
      </w:pPr>
    </w:p>
    <w:p w14:paraId="1AF71719">
      <w:pPr>
        <w:spacing w:line="500" w:lineRule="exact"/>
        <w:ind w:firstLine="480" w:firstLineChars="200"/>
        <w:rPr>
          <w:rFonts w:hint="eastAsia" w:ascii="宋体" w:hAnsi="宋体" w:cs="宋体"/>
          <w:color w:val="auto"/>
          <w:sz w:val="24"/>
          <w:highlight w:val="none"/>
        </w:rPr>
      </w:pPr>
    </w:p>
    <w:p w14:paraId="4773D93C">
      <w:pPr>
        <w:spacing w:line="500" w:lineRule="exact"/>
        <w:ind w:firstLine="480" w:firstLineChars="200"/>
        <w:rPr>
          <w:rFonts w:hint="eastAsia" w:ascii="宋体" w:hAnsi="宋体" w:cs="宋体"/>
          <w:color w:val="auto"/>
          <w:sz w:val="24"/>
          <w:highlight w:val="none"/>
        </w:rPr>
      </w:pPr>
    </w:p>
    <w:p w14:paraId="71721D7A">
      <w:pPr>
        <w:spacing w:line="500" w:lineRule="exact"/>
        <w:ind w:firstLine="480" w:firstLineChars="200"/>
        <w:rPr>
          <w:rFonts w:hint="eastAsia" w:ascii="宋体" w:hAnsi="宋体" w:cs="宋体"/>
          <w:color w:val="auto"/>
          <w:sz w:val="24"/>
          <w:highlight w:val="none"/>
        </w:rPr>
      </w:pPr>
    </w:p>
    <w:p w14:paraId="7808AE34">
      <w:pPr>
        <w:pStyle w:val="12"/>
        <w:rPr>
          <w:color w:val="auto"/>
          <w:highlight w:val="none"/>
        </w:rPr>
      </w:pPr>
    </w:p>
    <w:p w14:paraId="73C969EB">
      <w:pPr>
        <w:pStyle w:val="12"/>
        <w:rPr>
          <w:color w:val="auto"/>
          <w:highlight w:val="none"/>
        </w:rPr>
      </w:pPr>
    </w:p>
    <w:p w14:paraId="4E3DC66B">
      <w:pPr>
        <w:pStyle w:val="12"/>
        <w:rPr>
          <w:rFonts w:ascii="宋体" w:hAnsi="宋体" w:eastAsia="宋体" w:cs="宋体"/>
          <w:color w:val="auto"/>
          <w:highlight w:val="none"/>
        </w:rPr>
      </w:pPr>
    </w:p>
    <w:p w14:paraId="2B58B1E8">
      <w:pPr>
        <w:pStyle w:val="12"/>
        <w:ind w:firstLine="0"/>
        <w:rPr>
          <w:rFonts w:ascii="宋体" w:hAnsi="宋体" w:eastAsia="宋体" w:cs="宋体"/>
          <w:color w:val="auto"/>
          <w:highlight w:val="none"/>
        </w:rPr>
      </w:pPr>
    </w:p>
    <w:p w14:paraId="1547ED8A">
      <w:pPr>
        <w:pStyle w:val="12"/>
        <w:ind w:firstLine="0"/>
        <w:rPr>
          <w:rFonts w:ascii="宋体" w:hAnsi="宋体" w:eastAsia="宋体" w:cs="宋体"/>
          <w:color w:val="auto"/>
          <w:highlight w:val="none"/>
        </w:rPr>
      </w:pPr>
    </w:p>
    <w:p w14:paraId="3371F9C3">
      <w:pPr>
        <w:pStyle w:val="12"/>
        <w:ind w:firstLine="0"/>
        <w:rPr>
          <w:rFonts w:ascii="宋体" w:hAnsi="宋体" w:eastAsia="宋体" w:cs="宋体"/>
          <w:color w:val="auto"/>
          <w:highlight w:val="none"/>
        </w:rPr>
      </w:pPr>
    </w:p>
    <w:p w14:paraId="3E593275">
      <w:pPr>
        <w:pStyle w:val="12"/>
        <w:ind w:firstLine="0"/>
        <w:rPr>
          <w:rFonts w:ascii="宋体" w:hAnsi="宋体" w:eastAsia="宋体" w:cs="宋体"/>
          <w:color w:val="auto"/>
          <w:highlight w:val="none"/>
        </w:rPr>
      </w:pPr>
    </w:p>
    <w:p w14:paraId="28E26123">
      <w:pPr>
        <w:spacing w:afterLines="50" w:line="500" w:lineRule="exact"/>
        <w:ind w:right="119"/>
        <w:jc w:val="center"/>
        <w:outlineLvl w:val="0"/>
        <w:rPr>
          <w:rFonts w:ascii="宋体" w:hAnsi="宋体" w:cs="宋体"/>
          <w:b/>
          <w:bCs/>
          <w:color w:val="auto"/>
          <w:kern w:val="44"/>
          <w:sz w:val="32"/>
          <w:szCs w:val="32"/>
          <w:highlight w:val="none"/>
        </w:rPr>
      </w:pPr>
    </w:p>
    <w:p w14:paraId="6C335EDF">
      <w:pPr>
        <w:spacing w:afterLines="50" w:line="500" w:lineRule="exact"/>
        <w:ind w:right="119"/>
        <w:jc w:val="center"/>
        <w:outlineLvl w:val="0"/>
        <w:rPr>
          <w:rFonts w:ascii="宋体" w:hAnsi="宋体" w:cs="宋体"/>
          <w:b/>
          <w:bCs/>
          <w:color w:val="auto"/>
          <w:kern w:val="44"/>
          <w:sz w:val="36"/>
          <w:szCs w:val="32"/>
          <w:highlight w:val="none"/>
        </w:rPr>
      </w:pPr>
      <w:bookmarkStart w:id="261" w:name="_Toc148084478"/>
      <w:r>
        <w:rPr>
          <w:rFonts w:hint="eastAsia" w:ascii="宋体" w:hAnsi="宋体" w:cs="宋体"/>
          <w:b/>
          <w:bCs/>
          <w:color w:val="auto"/>
          <w:kern w:val="44"/>
          <w:sz w:val="36"/>
          <w:szCs w:val="32"/>
          <w:highlight w:val="none"/>
        </w:rPr>
        <w:t>第三章 资格审查</w:t>
      </w:r>
      <w:bookmarkEnd w:id="261"/>
    </w:p>
    <w:p w14:paraId="64EB1A93">
      <w:pPr>
        <w:spacing w:line="500" w:lineRule="exact"/>
        <w:outlineLvl w:val="0"/>
        <w:rPr>
          <w:rFonts w:ascii="宋体" w:hAnsi="宋体" w:cs="宋体"/>
          <w:b/>
          <w:color w:val="auto"/>
          <w:sz w:val="24"/>
          <w:highlight w:val="none"/>
        </w:rPr>
      </w:pPr>
      <w:bookmarkStart w:id="262" w:name="_Toc148084479"/>
      <w:r>
        <w:rPr>
          <w:rFonts w:hint="eastAsia" w:ascii="宋体" w:hAnsi="宋体" w:cs="宋体"/>
          <w:b/>
          <w:color w:val="auto"/>
          <w:sz w:val="24"/>
          <w:highlight w:val="none"/>
        </w:rPr>
        <w:t>1.资格审查程序</w:t>
      </w:r>
      <w:bookmarkEnd w:id="262"/>
    </w:p>
    <w:p w14:paraId="30134D8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1.1开标结束后，招标人或招标代理机构将根据《资格审查表》中的规定，对投标人进行资格审查，并形成资格审查结果。</w:t>
      </w:r>
    </w:p>
    <w:p w14:paraId="4865AE3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1.2《资格审查表》中对格式有要求的，除招标文件另有规定外，均为“实质性格式”文件。</w:t>
      </w:r>
    </w:p>
    <w:p w14:paraId="6A3612C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1.3投标人《资格证明文件》有任何一项不符合《资格审查要求》的，资格审查不合格，其投标无效。</w:t>
      </w:r>
    </w:p>
    <w:p w14:paraId="78CE7D0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1.4资格审查合格的投标人不足3家的，不进行评标。</w:t>
      </w:r>
    </w:p>
    <w:p w14:paraId="12730767">
      <w:pPr>
        <w:spacing w:line="500" w:lineRule="exact"/>
        <w:jc w:val="center"/>
        <w:rPr>
          <w:rFonts w:ascii="宋体" w:hAnsi="宋体" w:cs="宋体"/>
          <w:b/>
          <w:color w:val="auto"/>
          <w:kern w:val="0"/>
          <w:sz w:val="24"/>
          <w:highlight w:val="none"/>
        </w:rPr>
      </w:pPr>
      <w:r>
        <w:rPr>
          <w:rFonts w:hint="eastAsia" w:ascii="宋体" w:hAnsi="宋体" w:cs="宋体"/>
          <w:b/>
          <w:color w:val="auto"/>
          <w:kern w:val="0"/>
          <w:sz w:val="24"/>
          <w:highlight w:val="none"/>
        </w:rPr>
        <w:t>《资格审查表》</w:t>
      </w:r>
    </w:p>
    <w:tbl>
      <w:tblPr>
        <w:tblStyle w:val="47"/>
        <w:tblW w:w="4953"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389"/>
        <w:gridCol w:w="2686"/>
        <w:gridCol w:w="4368"/>
      </w:tblGrid>
      <w:tr w14:paraId="731A20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9" w:hRule="atLeast"/>
        </w:trPr>
        <w:tc>
          <w:tcPr>
            <w:tcW w:w="823" w:type="pct"/>
            <w:tcBorders>
              <w:right w:val="single" w:color="auto" w:sz="4" w:space="0"/>
            </w:tcBorders>
            <w:vAlign w:val="center"/>
          </w:tcPr>
          <w:p w14:paraId="7CAAD461">
            <w:pPr>
              <w:spacing w:line="50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评审标准</w:t>
            </w:r>
          </w:p>
        </w:tc>
        <w:tc>
          <w:tcPr>
            <w:tcW w:w="1590" w:type="pct"/>
            <w:tcBorders>
              <w:left w:val="single" w:color="auto" w:sz="4" w:space="0"/>
            </w:tcBorders>
            <w:vAlign w:val="center"/>
          </w:tcPr>
          <w:p w14:paraId="6CC9EBBF">
            <w:pPr>
              <w:spacing w:line="50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评审内容</w:t>
            </w:r>
          </w:p>
        </w:tc>
        <w:tc>
          <w:tcPr>
            <w:tcW w:w="2586" w:type="pct"/>
            <w:tcBorders>
              <w:left w:val="single" w:color="auto" w:sz="4" w:space="0"/>
            </w:tcBorders>
            <w:vAlign w:val="center"/>
          </w:tcPr>
          <w:p w14:paraId="548670C3">
            <w:pPr>
              <w:spacing w:line="50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要求</w:t>
            </w:r>
          </w:p>
        </w:tc>
      </w:tr>
      <w:tr w14:paraId="7B8358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1" w:hRule="atLeast"/>
        </w:trPr>
        <w:tc>
          <w:tcPr>
            <w:tcW w:w="823" w:type="pct"/>
            <w:vMerge w:val="restart"/>
            <w:tcBorders>
              <w:right w:val="single" w:color="auto" w:sz="4" w:space="0"/>
            </w:tcBorders>
            <w:vAlign w:val="center"/>
          </w:tcPr>
          <w:p w14:paraId="1B0497A9">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满足《中华人民共和国政府采购法》第二十二条规定；</w:t>
            </w:r>
          </w:p>
        </w:tc>
        <w:tc>
          <w:tcPr>
            <w:tcW w:w="1590" w:type="pct"/>
            <w:tcBorders>
              <w:left w:val="single" w:color="auto" w:sz="4" w:space="0"/>
            </w:tcBorders>
            <w:vAlign w:val="center"/>
          </w:tcPr>
          <w:p w14:paraId="7519A185">
            <w:pPr>
              <w:spacing w:line="500" w:lineRule="exact"/>
              <w:rPr>
                <w:rFonts w:ascii="宋体" w:hAnsi="宋体" w:cs="宋体"/>
                <w:color w:val="auto"/>
                <w:sz w:val="24"/>
                <w:highlight w:val="none"/>
              </w:rPr>
            </w:pPr>
            <w:r>
              <w:rPr>
                <w:rFonts w:hint="eastAsia" w:ascii="宋体" w:hAnsi="宋体" w:cs="宋体"/>
                <w:color w:val="auto"/>
                <w:sz w:val="24"/>
                <w:highlight w:val="none"/>
              </w:rPr>
              <w:t>具有独立承担民事责任的能力</w:t>
            </w:r>
          </w:p>
        </w:tc>
        <w:tc>
          <w:tcPr>
            <w:tcW w:w="2586" w:type="pct"/>
            <w:tcBorders>
              <w:left w:val="single" w:color="auto" w:sz="4" w:space="0"/>
            </w:tcBorders>
            <w:vAlign w:val="center"/>
          </w:tcPr>
          <w:p w14:paraId="393ED127">
            <w:pPr>
              <w:spacing w:line="500" w:lineRule="exact"/>
              <w:rPr>
                <w:rFonts w:ascii="宋体" w:hAnsi="宋体" w:cs="宋体"/>
                <w:color w:val="auto"/>
                <w:sz w:val="24"/>
                <w:highlight w:val="none"/>
              </w:rPr>
            </w:pPr>
            <w:r>
              <w:rPr>
                <w:rFonts w:hint="eastAsia" w:ascii="宋体" w:hAnsi="宋体" w:cs="宋体"/>
                <w:color w:val="auto"/>
                <w:sz w:val="24"/>
                <w:highlight w:val="none"/>
              </w:rPr>
              <w:t>投标人为企业（包括合伙企业）的，应提供有效的“营业执照”；</w:t>
            </w:r>
          </w:p>
          <w:p w14:paraId="57A38BFA">
            <w:pPr>
              <w:spacing w:line="500" w:lineRule="exact"/>
              <w:rPr>
                <w:rFonts w:ascii="宋体" w:hAnsi="宋体" w:cs="宋体"/>
                <w:color w:val="auto"/>
                <w:sz w:val="24"/>
                <w:highlight w:val="none"/>
              </w:rPr>
            </w:pPr>
            <w:r>
              <w:rPr>
                <w:rFonts w:hint="eastAsia" w:ascii="宋体" w:hAnsi="宋体" w:cs="宋体"/>
                <w:color w:val="auto"/>
                <w:sz w:val="24"/>
                <w:highlight w:val="none"/>
              </w:rPr>
              <w:t>投标人为事业单位的，应提供有效的“事业单位法人证书”；</w:t>
            </w:r>
          </w:p>
          <w:p w14:paraId="6ED89AE8">
            <w:pPr>
              <w:spacing w:line="500" w:lineRule="exact"/>
              <w:rPr>
                <w:rFonts w:ascii="宋体" w:hAnsi="宋体" w:cs="宋体"/>
                <w:color w:val="auto"/>
                <w:sz w:val="24"/>
                <w:highlight w:val="none"/>
              </w:rPr>
            </w:pPr>
            <w:r>
              <w:rPr>
                <w:rFonts w:hint="eastAsia" w:ascii="宋体" w:hAnsi="宋体" w:cs="宋体"/>
                <w:color w:val="auto"/>
                <w:sz w:val="24"/>
                <w:highlight w:val="none"/>
              </w:rPr>
              <w:t>投标人是非企业机构的，应提供有效的“执业许可证”、“登记证书”等证明文件；</w:t>
            </w:r>
          </w:p>
          <w:p w14:paraId="66DAE3E5">
            <w:pPr>
              <w:spacing w:line="500" w:lineRule="exact"/>
              <w:rPr>
                <w:rFonts w:ascii="宋体" w:hAnsi="宋体" w:cs="宋体"/>
                <w:color w:val="auto"/>
                <w:sz w:val="24"/>
                <w:highlight w:val="none"/>
              </w:rPr>
            </w:pPr>
            <w:r>
              <w:rPr>
                <w:rFonts w:hint="eastAsia" w:ascii="宋体" w:hAnsi="宋体" w:cs="宋体"/>
                <w:color w:val="auto"/>
                <w:sz w:val="24"/>
                <w:highlight w:val="none"/>
              </w:rPr>
              <w:t>投标人是个体工商户的，应提供有效的“个体工商户营业执照”；</w:t>
            </w:r>
          </w:p>
          <w:p w14:paraId="2B514FF4">
            <w:pPr>
              <w:spacing w:line="500" w:lineRule="exact"/>
              <w:rPr>
                <w:rFonts w:ascii="宋体" w:hAnsi="宋体" w:cs="宋体"/>
                <w:color w:val="auto"/>
                <w:sz w:val="24"/>
                <w:highlight w:val="none"/>
              </w:rPr>
            </w:pPr>
            <w:r>
              <w:rPr>
                <w:rFonts w:hint="eastAsia" w:ascii="宋体" w:hAnsi="宋体" w:cs="宋体"/>
                <w:color w:val="auto"/>
                <w:sz w:val="24"/>
                <w:highlight w:val="none"/>
              </w:rPr>
              <w:t>投标人是自然人的，应提供有效的自然人身份证明。</w:t>
            </w:r>
          </w:p>
        </w:tc>
      </w:tr>
      <w:tr w14:paraId="4993B3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1" w:hRule="atLeast"/>
        </w:trPr>
        <w:tc>
          <w:tcPr>
            <w:tcW w:w="823" w:type="pct"/>
            <w:vMerge w:val="continue"/>
            <w:tcBorders>
              <w:right w:val="single" w:color="auto" w:sz="4" w:space="0"/>
            </w:tcBorders>
            <w:vAlign w:val="center"/>
          </w:tcPr>
          <w:p w14:paraId="789C9A76">
            <w:pPr>
              <w:spacing w:line="500" w:lineRule="exact"/>
              <w:rPr>
                <w:rFonts w:ascii="宋体" w:hAnsi="宋体" w:cs="宋体"/>
                <w:color w:val="auto"/>
                <w:sz w:val="24"/>
                <w:highlight w:val="none"/>
              </w:rPr>
            </w:pPr>
          </w:p>
        </w:tc>
        <w:tc>
          <w:tcPr>
            <w:tcW w:w="1590" w:type="pct"/>
            <w:tcBorders>
              <w:left w:val="single" w:color="auto" w:sz="4" w:space="0"/>
            </w:tcBorders>
            <w:vAlign w:val="center"/>
          </w:tcPr>
          <w:p w14:paraId="5569EBCB">
            <w:pPr>
              <w:spacing w:line="500" w:lineRule="exact"/>
              <w:rPr>
                <w:rFonts w:ascii="宋体" w:hAnsi="宋体" w:cs="宋体"/>
                <w:color w:val="auto"/>
                <w:sz w:val="24"/>
                <w:highlight w:val="none"/>
              </w:rPr>
            </w:pPr>
            <w:r>
              <w:rPr>
                <w:rFonts w:hint="eastAsia" w:ascii="宋体" w:hAnsi="宋体" w:cs="宋体"/>
                <w:color w:val="auto"/>
                <w:sz w:val="24"/>
                <w:highlight w:val="none"/>
              </w:rPr>
              <w:t>具有良好的商业信誉和健全的财务会计制度；</w:t>
            </w:r>
          </w:p>
          <w:p w14:paraId="577F6D76">
            <w:pPr>
              <w:spacing w:line="500" w:lineRule="exact"/>
              <w:rPr>
                <w:rFonts w:ascii="宋体" w:hAnsi="宋体" w:cs="宋体"/>
                <w:color w:val="auto"/>
                <w:sz w:val="24"/>
                <w:highlight w:val="none"/>
              </w:rPr>
            </w:pPr>
            <w:r>
              <w:rPr>
                <w:rFonts w:hint="eastAsia" w:ascii="宋体" w:hAnsi="宋体" w:cs="宋体"/>
                <w:color w:val="auto"/>
                <w:sz w:val="24"/>
                <w:highlight w:val="none"/>
              </w:rPr>
              <w:t>具有履行合同所必需的设备和专业技术能力；</w:t>
            </w:r>
          </w:p>
          <w:p w14:paraId="5FD93CA8">
            <w:pPr>
              <w:spacing w:line="500" w:lineRule="exact"/>
              <w:rPr>
                <w:rFonts w:ascii="宋体" w:hAnsi="宋体" w:cs="宋体"/>
                <w:color w:val="auto"/>
                <w:sz w:val="24"/>
                <w:highlight w:val="none"/>
              </w:rPr>
            </w:pPr>
            <w:r>
              <w:rPr>
                <w:rFonts w:hint="eastAsia" w:ascii="宋体" w:hAnsi="宋体" w:cs="宋体"/>
                <w:color w:val="auto"/>
                <w:sz w:val="24"/>
                <w:highlight w:val="none"/>
              </w:rPr>
              <w:t>有依法缴纳税收和社会保障资金的良好记录；</w:t>
            </w:r>
          </w:p>
          <w:p w14:paraId="13C4F974">
            <w:pPr>
              <w:spacing w:line="500" w:lineRule="exact"/>
              <w:rPr>
                <w:rFonts w:ascii="宋体" w:hAnsi="宋体" w:cs="宋体"/>
                <w:color w:val="auto"/>
                <w:sz w:val="24"/>
                <w:highlight w:val="none"/>
              </w:rPr>
            </w:pPr>
            <w:r>
              <w:rPr>
                <w:rFonts w:hint="eastAsia" w:ascii="宋体" w:hAnsi="宋体" w:cs="宋体"/>
                <w:color w:val="auto"/>
                <w:sz w:val="24"/>
                <w:highlight w:val="none"/>
              </w:rPr>
              <w:t>参加政府采购活动前三年内，在经营活动中没有重大违法记录；</w:t>
            </w:r>
          </w:p>
          <w:p w14:paraId="492A83C9">
            <w:pPr>
              <w:spacing w:line="500" w:lineRule="exact"/>
              <w:rPr>
                <w:rFonts w:ascii="宋体" w:hAnsi="宋体" w:cs="宋体"/>
                <w:color w:val="auto"/>
                <w:sz w:val="24"/>
                <w:highlight w:val="none"/>
              </w:rPr>
            </w:pPr>
            <w:r>
              <w:rPr>
                <w:rFonts w:hint="eastAsia" w:ascii="宋体" w:hAnsi="宋体" w:cs="宋体"/>
                <w:color w:val="auto"/>
                <w:sz w:val="24"/>
                <w:highlight w:val="none"/>
              </w:rPr>
              <w:t>法律、行政法规规定的其他条件。</w:t>
            </w:r>
          </w:p>
        </w:tc>
        <w:tc>
          <w:tcPr>
            <w:tcW w:w="2586" w:type="pct"/>
            <w:tcBorders>
              <w:left w:val="single" w:color="auto" w:sz="4" w:space="0"/>
            </w:tcBorders>
            <w:vAlign w:val="center"/>
          </w:tcPr>
          <w:p w14:paraId="465A5FEA">
            <w:pPr>
              <w:spacing w:line="500" w:lineRule="exact"/>
              <w:rPr>
                <w:rFonts w:ascii="宋体" w:hAnsi="宋体" w:cs="宋体"/>
                <w:color w:val="auto"/>
                <w:sz w:val="24"/>
                <w:highlight w:val="none"/>
              </w:rPr>
            </w:pPr>
            <w:r>
              <w:rPr>
                <w:rFonts w:hint="eastAsia" w:ascii="宋体" w:hAnsi="宋体" w:cs="宋体"/>
                <w:color w:val="auto"/>
                <w:sz w:val="24"/>
                <w:highlight w:val="none"/>
              </w:rPr>
              <w:t>需提供声明函（格式见第七章，投标人自行承诺、并承担后果。声明不实的，按《政府采购法》提供虚假材料的有关规定给予处罚）</w:t>
            </w:r>
          </w:p>
        </w:tc>
      </w:tr>
      <w:tr w14:paraId="68CA74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1" w:hRule="atLeast"/>
        </w:trPr>
        <w:tc>
          <w:tcPr>
            <w:tcW w:w="823" w:type="pct"/>
            <w:tcBorders>
              <w:right w:val="single" w:color="auto" w:sz="4" w:space="0"/>
            </w:tcBorders>
            <w:vAlign w:val="center"/>
          </w:tcPr>
          <w:p w14:paraId="5710A90F">
            <w:pPr>
              <w:spacing w:line="500" w:lineRule="exact"/>
              <w:rPr>
                <w:rFonts w:ascii="宋体" w:hAnsi="宋体" w:cs="宋体"/>
                <w:color w:val="auto"/>
                <w:sz w:val="24"/>
                <w:highlight w:val="none"/>
              </w:rPr>
            </w:pPr>
            <w:r>
              <w:rPr>
                <w:rFonts w:hint="eastAsia" w:ascii="宋体" w:hAnsi="宋体" w:eastAsia="宋体" w:cs="宋体"/>
                <w:bCs/>
                <w:color w:val="auto"/>
                <w:sz w:val="24"/>
                <w:highlight w:val="none"/>
              </w:rPr>
              <w:t>落实政府采购政策需满足的资格要求</w:t>
            </w:r>
          </w:p>
        </w:tc>
        <w:tc>
          <w:tcPr>
            <w:tcW w:w="1590" w:type="pct"/>
            <w:tcBorders>
              <w:left w:val="single" w:color="auto" w:sz="4" w:space="0"/>
            </w:tcBorders>
            <w:vAlign w:val="center"/>
          </w:tcPr>
          <w:p w14:paraId="3E1B5FD7">
            <w:pPr>
              <w:spacing w:line="500" w:lineRule="exact"/>
              <w:rPr>
                <w:rFonts w:hint="eastAsia" w:ascii="宋体" w:hAnsi="宋体" w:cs="宋体"/>
                <w:color w:val="auto"/>
                <w:sz w:val="24"/>
                <w:highlight w:val="none"/>
              </w:rPr>
            </w:pPr>
            <w:r>
              <w:rPr>
                <w:rFonts w:hint="eastAsia" w:ascii="宋体" w:hAnsi="宋体" w:cs="宋体"/>
                <w:color w:val="auto"/>
                <w:sz w:val="24"/>
                <w:highlight w:val="none"/>
                <w:lang w:eastAsia="zh-CN"/>
              </w:rPr>
              <w:t>供应商为中小企业</w:t>
            </w:r>
            <w:r>
              <w:rPr>
                <w:rFonts w:hint="eastAsia" w:ascii="宋体" w:hAnsi="宋体" w:cs="宋体"/>
                <w:color w:val="auto"/>
                <w:sz w:val="24"/>
                <w:highlight w:val="none"/>
              </w:rPr>
              <w:t>；</w:t>
            </w:r>
          </w:p>
        </w:tc>
        <w:tc>
          <w:tcPr>
            <w:tcW w:w="2586" w:type="pct"/>
            <w:tcBorders>
              <w:left w:val="single" w:color="auto" w:sz="4" w:space="0"/>
            </w:tcBorders>
            <w:vAlign w:val="center"/>
          </w:tcPr>
          <w:p w14:paraId="1DC53929">
            <w:pPr>
              <w:spacing w:line="500" w:lineRule="exac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按投标文件格式要求提供《中小企业声明函》</w:t>
            </w:r>
          </w:p>
        </w:tc>
      </w:tr>
    </w:tbl>
    <w:p w14:paraId="44C6BD38">
      <w:pPr>
        <w:pStyle w:val="12"/>
        <w:spacing w:line="500" w:lineRule="exact"/>
        <w:rPr>
          <w:color w:val="auto"/>
          <w:highlight w:val="none"/>
        </w:rPr>
      </w:pPr>
    </w:p>
    <w:p w14:paraId="08C7701A">
      <w:pPr>
        <w:pStyle w:val="12"/>
        <w:spacing w:line="500" w:lineRule="exact"/>
        <w:rPr>
          <w:color w:val="auto"/>
          <w:highlight w:val="none"/>
        </w:rPr>
      </w:pPr>
    </w:p>
    <w:p w14:paraId="6666D8D1">
      <w:pPr>
        <w:pStyle w:val="12"/>
        <w:spacing w:line="500" w:lineRule="exact"/>
        <w:rPr>
          <w:color w:val="auto"/>
          <w:highlight w:val="none"/>
        </w:rPr>
      </w:pPr>
    </w:p>
    <w:p w14:paraId="0773264F">
      <w:pPr>
        <w:pStyle w:val="12"/>
        <w:spacing w:line="500" w:lineRule="exact"/>
        <w:rPr>
          <w:color w:val="auto"/>
          <w:highlight w:val="none"/>
        </w:rPr>
      </w:pPr>
    </w:p>
    <w:p w14:paraId="10DD233A">
      <w:pPr>
        <w:pStyle w:val="12"/>
        <w:spacing w:line="500" w:lineRule="exact"/>
        <w:rPr>
          <w:color w:val="auto"/>
          <w:highlight w:val="none"/>
        </w:rPr>
      </w:pPr>
    </w:p>
    <w:p w14:paraId="25CBB482">
      <w:pPr>
        <w:spacing w:line="500" w:lineRule="exact"/>
        <w:ind w:right="119"/>
        <w:jc w:val="center"/>
        <w:outlineLvl w:val="0"/>
        <w:rPr>
          <w:rFonts w:ascii="宋体" w:hAnsi="宋体" w:cs="宋体"/>
          <w:b/>
          <w:bCs/>
          <w:color w:val="auto"/>
          <w:kern w:val="44"/>
          <w:sz w:val="32"/>
          <w:szCs w:val="32"/>
          <w:highlight w:val="none"/>
        </w:rPr>
      </w:pPr>
    </w:p>
    <w:p w14:paraId="5C5533B6">
      <w:pPr>
        <w:spacing w:line="500" w:lineRule="exact"/>
        <w:ind w:right="119"/>
        <w:jc w:val="center"/>
        <w:outlineLvl w:val="0"/>
        <w:rPr>
          <w:rFonts w:ascii="宋体" w:hAnsi="宋体" w:cs="宋体"/>
          <w:b/>
          <w:bCs/>
          <w:color w:val="auto"/>
          <w:kern w:val="44"/>
          <w:sz w:val="32"/>
          <w:szCs w:val="32"/>
          <w:highlight w:val="none"/>
        </w:rPr>
      </w:pPr>
    </w:p>
    <w:p w14:paraId="65901787">
      <w:pPr>
        <w:spacing w:afterLines="50" w:line="500" w:lineRule="exact"/>
        <w:ind w:right="119"/>
        <w:jc w:val="center"/>
        <w:outlineLvl w:val="0"/>
        <w:rPr>
          <w:rFonts w:ascii="宋体" w:hAnsi="宋体" w:cs="宋体"/>
          <w:b/>
          <w:bCs/>
          <w:color w:val="auto"/>
          <w:kern w:val="44"/>
          <w:sz w:val="32"/>
          <w:szCs w:val="32"/>
          <w:highlight w:val="none"/>
        </w:rPr>
      </w:pPr>
    </w:p>
    <w:p w14:paraId="383106F5">
      <w:pPr>
        <w:spacing w:afterLines="50" w:line="500" w:lineRule="exact"/>
        <w:ind w:right="119"/>
        <w:jc w:val="center"/>
        <w:outlineLvl w:val="0"/>
        <w:rPr>
          <w:rFonts w:ascii="宋体" w:hAnsi="宋体" w:cs="宋体"/>
          <w:b/>
          <w:bCs/>
          <w:color w:val="auto"/>
          <w:kern w:val="44"/>
          <w:sz w:val="32"/>
          <w:szCs w:val="32"/>
          <w:highlight w:val="none"/>
        </w:rPr>
      </w:pPr>
    </w:p>
    <w:p w14:paraId="4DF6ED6E">
      <w:pPr>
        <w:spacing w:afterLines="50" w:line="500" w:lineRule="exact"/>
        <w:ind w:right="119"/>
        <w:jc w:val="center"/>
        <w:outlineLvl w:val="0"/>
        <w:rPr>
          <w:rFonts w:ascii="宋体" w:hAnsi="宋体" w:cs="宋体"/>
          <w:b/>
          <w:bCs/>
          <w:color w:val="auto"/>
          <w:kern w:val="44"/>
          <w:sz w:val="32"/>
          <w:szCs w:val="32"/>
          <w:highlight w:val="none"/>
        </w:rPr>
      </w:pPr>
    </w:p>
    <w:p w14:paraId="266273A4">
      <w:pPr>
        <w:spacing w:afterLines="50" w:line="500" w:lineRule="exact"/>
        <w:ind w:right="119"/>
        <w:jc w:val="center"/>
        <w:outlineLvl w:val="0"/>
        <w:rPr>
          <w:rFonts w:ascii="宋体" w:hAnsi="宋体" w:cs="宋体"/>
          <w:b/>
          <w:bCs/>
          <w:color w:val="auto"/>
          <w:kern w:val="44"/>
          <w:sz w:val="32"/>
          <w:szCs w:val="32"/>
          <w:highlight w:val="none"/>
        </w:rPr>
      </w:pPr>
    </w:p>
    <w:p w14:paraId="2C8D39AF">
      <w:pPr>
        <w:spacing w:afterLines="50" w:line="500" w:lineRule="exact"/>
        <w:ind w:right="119"/>
        <w:jc w:val="center"/>
        <w:outlineLvl w:val="0"/>
        <w:rPr>
          <w:rFonts w:ascii="宋体" w:hAnsi="宋体" w:cs="宋体"/>
          <w:b/>
          <w:bCs/>
          <w:color w:val="auto"/>
          <w:kern w:val="44"/>
          <w:sz w:val="32"/>
          <w:szCs w:val="32"/>
          <w:highlight w:val="none"/>
        </w:rPr>
      </w:pPr>
    </w:p>
    <w:p w14:paraId="5A7F967C">
      <w:pPr>
        <w:spacing w:afterLines="50" w:line="500" w:lineRule="exact"/>
        <w:ind w:right="119"/>
        <w:jc w:val="center"/>
        <w:outlineLvl w:val="0"/>
        <w:rPr>
          <w:rFonts w:ascii="宋体" w:hAnsi="宋体" w:cs="宋体"/>
          <w:b/>
          <w:bCs/>
          <w:color w:val="auto"/>
          <w:kern w:val="44"/>
          <w:sz w:val="32"/>
          <w:szCs w:val="32"/>
          <w:highlight w:val="none"/>
        </w:rPr>
      </w:pPr>
    </w:p>
    <w:p w14:paraId="2ACD2008">
      <w:pPr>
        <w:spacing w:afterLines="50" w:line="500" w:lineRule="exact"/>
        <w:ind w:right="119"/>
        <w:jc w:val="center"/>
        <w:outlineLvl w:val="0"/>
        <w:rPr>
          <w:rFonts w:ascii="宋体" w:hAnsi="宋体" w:cs="宋体"/>
          <w:b/>
          <w:bCs/>
          <w:color w:val="auto"/>
          <w:kern w:val="44"/>
          <w:sz w:val="32"/>
          <w:szCs w:val="32"/>
          <w:highlight w:val="none"/>
        </w:rPr>
      </w:pPr>
    </w:p>
    <w:p w14:paraId="4474AAF7">
      <w:pPr>
        <w:spacing w:afterLines="50" w:line="500" w:lineRule="exact"/>
        <w:ind w:right="119"/>
        <w:jc w:val="center"/>
        <w:outlineLvl w:val="0"/>
        <w:rPr>
          <w:rFonts w:ascii="宋体" w:hAnsi="宋体" w:cs="宋体"/>
          <w:b/>
          <w:bCs/>
          <w:color w:val="auto"/>
          <w:kern w:val="44"/>
          <w:sz w:val="32"/>
          <w:szCs w:val="32"/>
          <w:highlight w:val="none"/>
        </w:rPr>
      </w:pPr>
    </w:p>
    <w:p w14:paraId="2C32F8BE">
      <w:pPr>
        <w:numPr>
          <w:ilvl w:val="0"/>
          <w:numId w:val="4"/>
        </w:numPr>
        <w:spacing w:line="500" w:lineRule="exact"/>
        <w:jc w:val="center"/>
        <w:outlineLvl w:val="0"/>
        <w:rPr>
          <w:rFonts w:ascii="宋体" w:hAnsi="宋体" w:cs="宋体"/>
          <w:b/>
          <w:bCs/>
          <w:color w:val="auto"/>
          <w:kern w:val="44"/>
          <w:sz w:val="36"/>
          <w:szCs w:val="32"/>
          <w:highlight w:val="none"/>
        </w:rPr>
      </w:pPr>
      <w:bookmarkStart w:id="263" w:name="_Toc148084480"/>
      <w:bookmarkStart w:id="264" w:name="_Toc99301423"/>
      <w:r>
        <w:rPr>
          <w:rFonts w:ascii="宋体" w:hAnsi="宋体" w:cs="宋体"/>
          <w:b/>
          <w:bCs/>
          <w:color w:val="auto"/>
          <w:kern w:val="44"/>
          <w:sz w:val="36"/>
          <w:szCs w:val="32"/>
          <w:highlight w:val="none"/>
        </w:rPr>
        <w:t>评标程序、评标方法和评标标准</w:t>
      </w:r>
      <w:bookmarkEnd w:id="263"/>
      <w:bookmarkEnd w:id="264"/>
    </w:p>
    <w:p w14:paraId="0F6B8692">
      <w:pPr>
        <w:tabs>
          <w:tab w:val="left" w:pos="360"/>
        </w:tabs>
        <w:snapToGrid w:val="0"/>
        <w:spacing w:line="500" w:lineRule="exact"/>
        <w:outlineLvl w:val="1"/>
        <w:rPr>
          <w:rFonts w:ascii="宋体" w:hAnsi="宋体" w:cs="宋体"/>
          <w:b/>
          <w:color w:val="auto"/>
          <w:sz w:val="24"/>
          <w:highlight w:val="none"/>
        </w:rPr>
      </w:pPr>
      <w:bookmarkStart w:id="265" w:name="_Toc151193711"/>
      <w:bookmarkStart w:id="266" w:name="_Toc226337237"/>
      <w:bookmarkStart w:id="267" w:name="_Toc151193783"/>
      <w:bookmarkStart w:id="268" w:name="_Toc151193855"/>
      <w:bookmarkStart w:id="269" w:name="_Toc127161455"/>
      <w:bookmarkStart w:id="270" w:name="_Toc264969231"/>
      <w:bookmarkStart w:id="271" w:name="_Toc142311043"/>
      <w:bookmarkStart w:id="272" w:name="_Toc164608655"/>
      <w:bookmarkStart w:id="273" w:name="_Toc150774641"/>
      <w:bookmarkStart w:id="274" w:name="_Toc164608810"/>
      <w:bookmarkStart w:id="275" w:name="_Toc151190168"/>
      <w:bookmarkStart w:id="276" w:name="_Toc226309785"/>
      <w:bookmarkStart w:id="277" w:name="_Toc195842906"/>
      <w:bookmarkStart w:id="278" w:name="_Toc164229382"/>
      <w:bookmarkStart w:id="279" w:name="_Toc164229236"/>
      <w:bookmarkStart w:id="280" w:name="_Toc265228379"/>
      <w:bookmarkStart w:id="281" w:name="_Toc150509292"/>
      <w:bookmarkStart w:id="282" w:name="_Toc127151541"/>
      <w:bookmarkStart w:id="283" w:name="_Toc226965814"/>
      <w:bookmarkStart w:id="284" w:name="_Toc149720834"/>
      <w:bookmarkStart w:id="285" w:name="_Toc164351635"/>
      <w:bookmarkStart w:id="286" w:name="_Toc151193929"/>
      <w:bookmarkStart w:id="287" w:name="_Toc150480779"/>
      <w:bookmarkStart w:id="288" w:name="_Toc226965731"/>
      <w:bookmarkStart w:id="289" w:name="_Toc305158809"/>
      <w:bookmarkStart w:id="290" w:name="_Toc151193639"/>
      <w:bookmarkStart w:id="291" w:name="_Toc150774746"/>
      <w:bookmarkStart w:id="292" w:name="_Toc305158883"/>
      <w:bookmarkStart w:id="293" w:name="_Toc127151742"/>
      <w:r>
        <w:rPr>
          <w:rFonts w:hint="eastAsia" w:ascii="宋体" w:hAnsi="宋体" w:cs="宋体"/>
          <w:b/>
          <w:color w:val="auto"/>
          <w:sz w:val="24"/>
          <w:highlight w:val="none"/>
        </w:rPr>
        <w:t>1.</w:t>
      </w:r>
      <w:r>
        <w:rPr>
          <w:rFonts w:ascii="宋体" w:hAnsi="宋体" w:cs="宋体"/>
          <w:b/>
          <w:color w:val="auto"/>
          <w:sz w:val="24"/>
          <w:highlight w:val="none"/>
        </w:rPr>
        <w:t>投标文件的符合性审查</w:t>
      </w:r>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p>
    <w:p w14:paraId="3192461B">
      <w:pPr>
        <w:tabs>
          <w:tab w:val="left" w:pos="108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1.1</w:t>
      </w:r>
      <w:r>
        <w:rPr>
          <w:rFonts w:ascii="宋体" w:hAnsi="宋体"/>
          <w:color w:val="auto"/>
          <w:sz w:val="24"/>
          <w:highlight w:val="none"/>
        </w:rPr>
        <w:t>评标委员会对资格审查合格的投标人的投标文件进行符合性审查，以确定其是否满足招标文件的实质性要求。</w:t>
      </w:r>
      <w:bookmarkStart w:id="294" w:name="_Toc520356167"/>
    </w:p>
    <w:p w14:paraId="03C794EA">
      <w:pPr>
        <w:tabs>
          <w:tab w:val="left" w:pos="1080"/>
        </w:tabs>
        <w:snapToGrid w:val="0"/>
        <w:spacing w:line="500" w:lineRule="exact"/>
        <w:ind w:firstLine="480" w:firstLineChars="200"/>
        <w:rPr>
          <w:rFonts w:ascii="宋体" w:hAnsi="宋体"/>
          <w:color w:val="auto"/>
          <w:sz w:val="24"/>
          <w:highlight w:val="none"/>
        </w:rPr>
      </w:pPr>
      <w:r>
        <w:rPr>
          <w:rFonts w:hint="eastAsia" w:ascii="宋体" w:hAnsi="宋体"/>
          <w:color w:val="auto"/>
          <w:sz w:val="24"/>
          <w:highlight w:val="none"/>
        </w:rPr>
        <w:t>1.2</w:t>
      </w:r>
      <w:r>
        <w:rPr>
          <w:rFonts w:ascii="宋体" w:hAnsi="宋体"/>
          <w:color w:val="auto"/>
          <w:sz w:val="24"/>
          <w:highlight w:val="none"/>
        </w:rPr>
        <w:t>评标委员会根据《符合性审查</w:t>
      </w:r>
      <w:r>
        <w:rPr>
          <w:rFonts w:hint="eastAsia" w:ascii="宋体" w:hAnsi="宋体"/>
          <w:color w:val="auto"/>
          <w:sz w:val="24"/>
          <w:highlight w:val="none"/>
        </w:rPr>
        <w:t>要求</w:t>
      </w:r>
      <w:r>
        <w:rPr>
          <w:rFonts w:ascii="宋体" w:hAnsi="宋体"/>
          <w:color w:val="auto"/>
          <w:sz w:val="24"/>
          <w:highlight w:val="none"/>
        </w:rPr>
        <w:t>》中规定的审查因素和审查内容，对投标人的投标文件是否实质上响应招标文件进行符合性审查，并形成符合性审查评审结果。</w:t>
      </w:r>
      <w:r>
        <w:rPr>
          <w:rFonts w:hint="eastAsia" w:ascii="宋体" w:hAnsi="宋体"/>
          <w:color w:val="auto"/>
          <w:sz w:val="24"/>
          <w:highlight w:val="none"/>
        </w:rPr>
        <w:t>投标人《商务技术文件》有任何一项不符合</w:t>
      </w:r>
      <w:r>
        <w:rPr>
          <w:rFonts w:ascii="宋体" w:hAnsi="宋体"/>
          <w:color w:val="auto"/>
          <w:sz w:val="24"/>
          <w:highlight w:val="none"/>
        </w:rPr>
        <w:t>《符合性审查</w:t>
      </w:r>
      <w:r>
        <w:rPr>
          <w:rFonts w:hint="eastAsia" w:ascii="宋体" w:hAnsi="宋体"/>
          <w:color w:val="auto"/>
          <w:sz w:val="24"/>
          <w:highlight w:val="none"/>
        </w:rPr>
        <w:t>要求</w:t>
      </w:r>
      <w:r>
        <w:rPr>
          <w:rFonts w:ascii="宋体" w:hAnsi="宋体"/>
          <w:color w:val="auto"/>
          <w:sz w:val="24"/>
          <w:highlight w:val="none"/>
        </w:rPr>
        <w:t>》</w:t>
      </w:r>
      <w:bookmarkEnd w:id="294"/>
      <w:r>
        <w:rPr>
          <w:rFonts w:hint="eastAsia" w:ascii="宋体" w:hAnsi="宋体"/>
          <w:color w:val="auto"/>
          <w:sz w:val="24"/>
          <w:highlight w:val="none"/>
        </w:rPr>
        <w:t>要求的，</w:t>
      </w:r>
      <w:r>
        <w:rPr>
          <w:rFonts w:hint="eastAsia" w:ascii="宋体" w:hAnsi="宋体"/>
          <w:b/>
          <w:color w:val="auto"/>
          <w:sz w:val="24"/>
          <w:highlight w:val="none"/>
        </w:rPr>
        <w:t>投标无效</w:t>
      </w:r>
      <w:r>
        <w:rPr>
          <w:rFonts w:hint="eastAsia" w:ascii="宋体" w:hAnsi="宋体"/>
          <w:color w:val="auto"/>
          <w:sz w:val="24"/>
          <w:highlight w:val="none"/>
        </w:rPr>
        <w:t>。</w:t>
      </w:r>
    </w:p>
    <w:p w14:paraId="523A7ADC">
      <w:pPr>
        <w:spacing w:line="500" w:lineRule="exact"/>
        <w:ind w:firstLine="482" w:firstLineChars="200"/>
        <w:jc w:val="center"/>
        <w:rPr>
          <w:rFonts w:ascii="宋体" w:hAnsi="宋体" w:cs="宋体"/>
          <w:b/>
          <w:bCs/>
          <w:color w:val="auto"/>
          <w:sz w:val="24"/>
          <w:highlight w:val="none"/>
        </w:rPr>
      </w:pPr>
      <w:r>
        <w:rPr>
          <w:rFonts w:hint="eastAsia" w:ascii="宋体" w:hAnsi="宋体" w:cs="宋体"/>
          <w:b/>
          <w:bCs/>
          <w:color w:val="auto"/>
          <w:sz w:val="24"/>
          <w:highlight w:val="none"/>
        </w:rPr>
        <w:t>《符合性审查》</w:t>
      </w:r>
    </w:p>
    <w:tbl>
      <w:tblPr>
        <w:tblStyle w:val="47"/>
        <w:tblW w:w="849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32"/>
        <w:gridCol w:w="7859"/>
      </w:tblGrid>
      <w:tr w14:paraId="4E7CEC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32D015EB">
            <w:pPr>
              <w:spacing w:line="500" w:lineRule="exact"/>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7859" w:type="dxa"/>
            <w:vAlign w:val="center"/>
          </w:tcPr>
          <w:p w14:paraId="20868A66">
            <w:pPr>
              <w:spacing w:line="500" w:lineRule="exact"/>
              <w:jc w:val="center"/>
              <w:rPr>
                <w:rFonts w:ascii="宋体" w:hAnsi="宋体" w:cs="宋体"/>
                <w:b/>
                <w:bCs/>
                <w:color w:val="auto"/>
                <w:sz w:val="24"/>
                <w:highlight w:val="none"/>
              </w:rPr>
            </w:pPr>
            <w:r>
              <w:rPr>
                <w:rFonts w:hint="eastAsia" w:ascii="宋体" w:hAnsi="宋体" w:cs="宋体"/>
                <w:b/>
                <w:bCs/>
                <w:color w:val="auto"/>
                <w:sz w:val="24"/>
                <w:highlight w:val="none"/>
              </w:rPr>
              <w:t>评审标准</w:t>
            </w:r>
          </w:p>
        </w:tc>
      </w:tr>
      <w:tr w14:paraId="5A16A0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 w:hRule="atLeast"/>
          <w:jc w:val="center"/>
        </w:trPr>
        <w:tc>
          <w:tcPr>
            <w:tcW w:w="632" w:type="dxa"/>
            <w:vAlign w:val="center"/>
          </w:tcPr>
          <w:p w14:paraId="2F92F016">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7859" w:type="dxa"/>
            <w:vAlign w:val="center"/>
          </w:tcPr>
          <w:p w14:paraId="125F680D">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投标文件不存在未按招标文件的要求加盖投标人单位公章、法定代表人（单位负责人）或其委托代理人签字的；</w:t>
            </w:r>
          </w:p>
        </w:tc>
      </w:tr>
      <w:tr w14:paraId="2CF686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39F54C4C">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7859" w:type="dxa"/>
            <w:vAlign w:val="center"/>
          </w:tcPr>
          <w:p w14:paraId="775D3597">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投标人未对同一项目做出两个及以上报价而未明确效力；</w:t>
            </w:r>
          </w:p>
        </w:tc>
      </w:tr>
      <w:tr w14:paraId="2C46F2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4" w:hRule="atLeast"/>
          <w:jc w:val="center"/>
        </w:trPr>
        <w:tc>
          <w:tcPr>
            <w:tcW w:w="632" w:type="dxa"/>
            <w:vAlign w:val="center"/>
          </w:tcPr>
          <w:p w14:paraId="017AE1BE">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7859" w:type="dxa"/>
            <w:vAlign w:val="center"/>
          </w:tcPr>
          <w:p w14:paraId="2BAF388F">
            <w:pPr>
              <w:spacing w:line="500" w:lineRule="exact"/>
              <w:jc w:val="left"/>
              <w:rPr>
                <w:rFonts w:ascii="宋体" w:hAnsi="宋体" w:cs="宋体"/>
                <w:color w:val="auto"/>
                <w:sz w:val="24"/>
                <w:highlight w:val="none"/>
              </w:rPr>
            </w:pPr>
            <w:r>
              <w:rPr>
                <w:rFonts w:hint="eastAsia" w:ascii="宋体" w:hAnsi="宋体" w:cs="宋体"/>
                <w:color w:val="auto"/>
                <w:sz w:val="24"/>
                <w:highlight w:val="none"/>
              </w:rPr>
              <w:t>合同履行期限未超出招标文件要求；</w:t>
            </w:r>
          </w:p>
        </w:tc>
      </w:tr>
      <w:tr w14:paraId="600219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8" w:hRule="atLeast"/>
          <w:jc w:val="center"/>
        </w:trPr>
        <w:tc>
          <w:tcPr>
            <w:tcW w:w="632" w:type="dxa"/>
            <w:vAlign w:val="center"/>
          </w:tcPr>
          <w:p w14:paraId="78EFD02F">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7859" w:type="dxa"/>
            <w:vAlign w:val="center"/>
          </w:tcPr>
          <w:p w14:paraId="2008080B">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投标人不存在未按招标文件要求递交投标保证金；</w:t>
            </w:r>
          </w:p>
        </w:tc>
      </w:tr>
      <w:tr w14:paraId="27CE5B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3DDAFB47">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7859" w:type="dxa"/>
            <w:vAlign w:val="center"/>
          </w:tcPr>
          <w:p w14:paraId="572BF394">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投标文件未提供虚假或失实资料或与事实不符的；</w:t>
            </w:r>
          </w:p>
        </w:tc>
      </w:tr>
      <w:tr w14:paraId="66D46D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406572F4">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7859" w:type="dxa"/>
            <w:vAlign w:val="center"/>
          </w:tcPr>
          <w:p w14:paraId="1EE6177D">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投标人不存在无效投标的情形；</w:t>
            </w:r>
          </w:p>
        </w:tc>
      </w:tr>
      <w:tr w14:paraId="778575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18E0CB66">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7859" w:type="dxa"/>
            <w:vAlign w:val="center"/>
          </w:tcPr>
          <w:p w14:paraId="50F43DBB">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投标人不存在废标的情形；</w:t>
            </w:r>
          </w:p>
        </w:tc>
      </w:tr>
      <w:tr w14:paraId="031372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4F3D3FAA">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p>
        </w:tc>
        <w:tc>
          <w:tcPr>
            <w:tcW w:w="7859" w:type="dxa"/>
            <w:vAlign w:val="center"/>
          </w:tcPr>
          <w:p w14:paraId="2E234C8F">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投标人不存在评标委员会认定的未能实质性满足招标文件要求的情形；</w:t>
            </w:r>
          </w:p>
        </w:tc>
      </w:tr>
      <w:tr w14:paraId="2A0F3B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710C0671">
            <w:pPr>
              <w:spacing w:line="5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7859" w:type="dxa"/>
            <w:vAlign w:val="center"/>
          </w:tcPr>
          <w:p w14:paraId="101E3579">
            <w:pPr>
              <w:spacing w:line="500" w:lineRule="exact"/>
              <w:jc w:val="left"/>
              <w:rPr>
                <w:rFonts w:ascii="宋体" w:hAnsi="宋体" w:cs="宋体"/>
                <w:color w:val="auto"/>
                <w:sz w:val="24"/>
                <w:highlight w:val="none"/>
              </w:rPr>
            </w:pPr>
            <w:r>
              <w:rPr>
                <w:rFonts w:hint="eastAsia" w:ascii="宋体" w:hAnsi="宋体" w:cs="宋体"/>
                <w:color w:val="auto"/>
                <w:sz w:val="24"/>
                <w:highlight w:val="none"/>
              </w:rPr>
              <w:t>投标人不存在法律、法规和招标文件中规定的其他要求的情形；</w:t>
            </w:r>
          </w:p>
        </w:tc>
      </w:tr>
      <w:tr w14:paraId="622B50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 w:hRule="atLeast"/>
          <w:jc w:val="center"/>
        </w:trPr>
        <w:tc>
          <w:tcPr>
            <w:tcW w:w="632" w:type="dxa"/>
            <w:vAlign w:val="center"/>
          </w:tcPr>
          <w:p w14:paraId="78DA57ED">
            <w:pPr>
              <w:spacing w:line="500" w:lineRule="exact"/>
              <w:rPr>
                <w:rFonts w:ascii="宋体" w:hAnsi="宋体" w:cs="宋体"/>
                <w:b/>
                <w:bCs/>
                <w:color w:val="auto"/>
                <w:sz w:val="24"/>
                <w:highlight w:val="none"/>
                <w:lang w:val="zh-CN"/>
              </w:rPr>
            </w:pPr>
            <w:r>
              <w:rPr>
                <w:rFonts w:hint="eastAsia" w:ascii="宋体" w:hAnsi="宋体" w:cs="宋体"/>
                <w:b/>
                <w:bCs/>
                <w:color w:val="auto"/>
                <w:sz w:val="24"/>
                <w:highlight w:val="none"/>
              </w:rPr>
              <w:t>注</w:t>
            </w:r>
          </w:p>
        </w:tc>
        <w:tc>
          <w:tcPr>
            <w:tcW w:w="7859" w:type="dxa"/>
            <w:vAlign w:val="center"/>
          </w:tcPr>
          <w:p w14:paraId="209F6B53">
            <w:pPr>
              <w:spacing w:line="500" w:lineRule="exact"/>
              <w:jc w:val="left"/>
              <w:rPr>
                <w:rFonts w:ascii="宋体" w:hAnsi="宋体" w:cs="宋体"/>
                <w:b/>
                <w:bCs/>
                <w:color w:val="auto"/>
                <w:sz w:val="24"/>
                <w:highlight w:val="none"/>
              </w:rPr>
            </w:pPr>
            <w:r>
              <w:rPr>
                <w:rFonts w:hint="eastAsia" w:ascii="宋体" w:hAnsi="宋体" w:cs="宋体"/>
                <w:b/>
                <w:bCs/>
                <w:color w:val="auto"/>
                <w:sz w:val="24"/>
                <w:highlight w:val="none"/>
              </w:rPr>
              <w:t>投标文件有上述不满足符合性审查内容之一的，为未能对招标文件做出实质性响应，作无效投标处理，不再进入以后的评审程序。</w:t>
            </w:r>
          </w:p>
        </w:tc>
      </w:tr>
    </w:tbl>
    <w:p w14:paraId="0E7E91C9">
      <w:pPr>
        <w:spacing w:line="500" w:lineRule="exact"/>
        <w:rPr>
          <w:rFonts w:ascii="宋体" w:hAnsi="宋体" w:cs="宋体"/>
          <w:color w:val="auto"/>
          <w:sz w:val="24"/>
          <w:highlight w:val="none"/>
        </w:rPr>
      </w:pPr>
      <w:r>
        <w:rPr>
          <w:rFonts w:hint="eastAsia" w:ascii="宋体" w:hAnsi="宋体" w:cs="宋体"/>
          <w:b/>
          <w:bCs/>
          <w:color w:val="auto"/>
          <w:sz w:val="24"/>
          <w:highlight w:val="none"/>
        </w:rPr>
        <w:t>2.</w:t>
      </w:r>
      <w:r>
        <w:rPr>
          <w:rFonts w:hint="eastAsia" w:ascii="宋体" w:hAnsi="宋体" w:cs="宋体"/>
          <w:b/>
          <w:color w:val="auto"/>
          <w:sz w:val="24"/>
          <w:highlight w:val="none"/>
        </w:rPr>
        <w:t>投标文件有关事项的澄清或者说明</w:t>
      </w:r>
    </w:p>
    <w:p w14:paraId="33ACBC3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在评标阶段，对于投标文件中含义不明确、同类问题表述不一致或者有明显文字和计算错误的内容，评标委员会应当以书面形式要求投标人作出必要的澄清、说明或者补正。投标人有责任以书面形式按照招标文件的要求进行澄清、说明或者补正。投标人的澄清、说明或者补正不得超出投标文件的范围或者改变投标文件的实质性内容。</w:t>
      </w:r>
    </w:p>
    <w:p w14:paraId="382D82C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2.2投标人的澄清文件是投标文件的组成部分，并取代投标文件中被澄清部分。</w:t>
      </w:r>
    </w:p>
    <w:p w14:paraId="5FA036B3">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宋体" w:hAnsi="宋体" w:cs="宋体"/>
          <w:b/>
          <w:color w:val="auto"/>
          <w:sz w:val="24"/>
          <w:highlight w:val="none"/>
        </w:rPr>
        <w:t>无效投标处理</w:t>
      </w:r>
      <w:r>
        <w:rPr>
          <w:rFonts w:hint="eastAsia" w:ascii="宋体" w:hAnsi="宋体" w:cs="宋体"/>
          <w:color w:val="auto"/>
          <w:sz w:val="24"/>
          <w:highlight w:val="none"/>
        </w:rPr>
        <w:t>。</w:t>
      </w:r>
    </w:p>
    <w:p w14:paraId="331430A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cs="宋体"/>
          <w:b/>
          <w:color w:val="auto"/>
          <w:sz w:val="24"/>
          <w:highlight w:val="none"/>
        </w:rPr>
        <w:t>投标无效</w:t>
      </w:r>
      <w:r>
        <w:rPr>
          <w:rFonts w:hint="eastAsia" w:ascii="宋体" w:hAnsi="宋体" w:cs="宋体"/>
          <w:color w:val="auto"/>
          <w:sz w:val="24"/>
          <w:highlight w:val="none"/>
        </w:rPr>
        <w:t>。</w:t>
      </w:r>
    </w:p>
    <w:p w14:paraId="451B0338">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2.5报价的算术性修正：</w:t>
      </w:r>
    </w:p>
    <w:p w14:paraId="5D56D4CF">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投标报价有算术错误的，评标委员会按以下原则对投标报价进行修正，修正的价格经投标人书面确认后具有约束力。投标人不接受修正价格的，其投标将被否决。</w:t>
      </w:r>
    </w:p>
    <w:p w14:paraId="6B7805C6">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（1）投标文件中开标一览表（报价表）内容与投标文件中相应内容不一致的，以开标一览表（报价表）为准；</w:t>
      </w:r>
    </w:p>
    <w:p w14:paraId="1FEBEF5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7A32EAFC">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w:t>
      </w:r>
    </w:p>
    <w:p w14:paraId="3CFD0873">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（4）总价金额与按单价汇总金额不一致的，以单价金额计算结果为准。</w:t>
      </w:r>
    </w:p>
    <w:p w14:paraId="7B7AEDDE">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投标人的澄清、说明或者补正应当采用书面形式，并加盖公章，或者由法定代表人（单位负责人）或其授权的代表签字。投标人的澄清、说明或者补正不得超出投标文件的范围或者改变投标文件的实质性内容的规定经投标人确认后产生约束力，投标人不确认的，其</w:t>
      </w:r>
      <w:r>
        <w:rPr>
          <w:rFonts w:hint="eastAsia" w:ascii="宋体" w:hAnsi="宋体" w:cs="宋体"/>
          <w:b/>
          <w:color w:val="auto"/>
          <w:sz w:val="24"/>
          <w:highlight w:val="none"/>
        </w:rPr>
        <w:t>投标无效</w:t>
      </w:r>
      <w:r>
        <w:rPr>
          <w:rFonts w:hint="eastAsia" w:ascii="宋体" w:hAnsi="宋体" w:cs="宋体"/>
          <w:color w:val="auto"/>
          <w:sz w:val="24"/>
          <w:highlight w:val="none"/>
        </w:rPr>
        <w:t>。</w:t>
      </w:r>
    </w:p>
    <w:p w14:paraId="0024B841">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2.6落实政府采购政策的价格调整：</w:t>
      </w:r>
    </w:p>
    <w:p w14:paraId="5C7C002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只有符合投标人须知1.4条规定情形的，可以享受中小企业扶持政策，用扣除后的价格参加评审；否则，评标时价格不予扣除。</w:t>
      </w:r>
    </w:p>
    <w:p w14:paraId="1FE2DE6F">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2.6.1对于未预留份额专门面向中小企业采购的采购项目，以及预留份额项目中的非预留部分采购包，对小微企业报价给予_</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_%的扣除，用扣除后的价格参加评审。</w:t>
      </w:r>
    </w:p>
    <w:p w14:paraId="048B81D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2.6.2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 30%以上的联合体或者大中型企业的报价给予__</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_%的扣除，用扣除后的价格参加评审。</w:t>
      </w:r>
    </w:p>
    <w:p w14:paraId="5EC4279F">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2.6.3组成联合体或者接受分包的小微企业与联合体内其他企业、分包企业之间存在直接控股、管理关系的，不享受价格扣除优惠政策。</w:t>
      </w:r>
    </w:p>
    <w:p w14:paraId="3B4C82C7">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2.6.4价格扣除比例对小型企业和微型企业同等对待，不作区分。</w:t>
      </w:r>
    </w:p>
    <w:p w14:paraId="159F2CD4">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2.6.5中小企业参加政府采购活动，应当按照招标文件给定的格式出具《中小企业声明函》，否则不得享受相关中小企业扶持政策。</w:t>
      </w:r>
    </w:p>
    <w:p w14:paraId="302D2B2B">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2.6.7监狱企业提供了由省级以上监狱管理局、戒毒管理局（含新疆生产建设兵团）出具的属于监狱企业的证明文件的，视同小微企业。</w:t>
      </w:r>
    </w:p>
    <w:p w14:paraId="070B1369">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2.6.8残疾人福利性单位按招标文件要求提供了《残疾人福利性单位声明函》（见附件）的，视同小微企业。</w:t>
      </w:r>
    </w:p>
    <w:p w14:paraId="74D40651">
      <w:pPr>
        <w:spacing w:line="5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2.6.9若投标人同时属于小型或微型企业、监狱企业、残疾人福利性单位中的两种及以上，将不重复享受小微企业价格扣减的优惠政策。</w:t>
      </w:r>
    </w:p>
    <w:p w14:paraId="2E714B51">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highlight w:val="none"/>
          <w:lang w:val="en-US" w:eastAsia="zh-CN"/>
        </w:rPr>
        <w:t>2.7</w:t>
      </w:r>
      <w:r>
        <w:rPr>
          <w:rFonts w:hint="eastAsia" w:ascii="宋体" w:hAnsi="宋体" w:eastAsia="宋体" w:cs="宋体"/>
          <w:color w:val="auto"/>
          <w:sz w:val="24"/>
          <w:szCs w:val="24"/>
          <w:highlight w:val="none"/>
          <w:lang w:val="en-US" w:eastAsia="zh-CN"/>
        </w:rPr>
        <w:t>评标委员会将根据政府采购政策支持节能、环保产品（非强制采购）优先采购政策等对投标报价进行价格</w:t>
      </w: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lang w:val="en-US" w:eastAsia="zh-CN"/>
        </w:rPr>
        <w:t>后的价格将作为评审价格。</w:t>
      </w:r>
    </w:p>
    <w:p w14:paraId="398EB707">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outlineLvl w:val="0"/>
        <w:rPr>
          <w:rFonts w:hint="eastAsia" w:ascii="宋体" w:hAnsi="宋体" w:eastAsia="宋体" w:cs="宋体"/>
          <w:color w:val="auto"/>
          <w:sz w:val="24"/>
          <w:szCs w:val="24"/>
          <w:highlight w:val="none"/>
          <w:lang w:val="en-US" w:eastAsia="zh-CN"/>
        </w:rPr>
      </w:pPr>
      <w:bookmarkStart w:id="295" w:name="_Toc24076"/>
      <w:r>
        <w:rPr>
          <w:rFonts w:hint="eastAsia" w:ascii="宋体" w:hAnsi="宋体" w:eastAsia="宋体" w:cs="宋体"/>
          <w:color w:val="auto"/>
          <w:sz w:val="24"/>
          <w:szCs w:val="24"/>
          <w:highlight w:val="none"/>
          <w:lang w:val="en-US" w:eastAsia="zh-CN"/>
        </w:rPr>
        <w:t>节能产品及环保产品价格折扣比例及方法</w:t>
      </w:r>
      <w:bookmarkEnd w:id="295"/>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7"/>
        <w:gridCol w:w="2280"/>
        <w:gridCol w:w="5355"/>
      </w:tblGrid>
      <w:tr w14:paraId="4D742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7" w:type="dxa"/>
          </w:tcPr>
          <w:p w14:paraId="10B3BBB7">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序号</w:t>
            </w:r>
          </w:p>
        </w:tc>
        <w:tc>
          <w:tcPr>
            <w:tcW w:w="2280" w:type="dxa"/>
          </w:tcPr>
          <w:p w14:paraId="1772A95E">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w:t>
            </w:r>
          </w:p>
        </w:tc>
        <w:tc>
          <w:tcPr>
            <w:tcW w:w="5355" w:type="dxa"/>
          </w:tcPr>
          <w:p w14:paraId="631094DE">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扣除比例</w:t>
            </w:r>
          </w:p>
        </w:tc>
      </w:tr>
      <w:tr w14:paraId="5628D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7" w:type="dxa"/>
          </w:tcPr>
          <w:p w14:paraId="68664887">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2280" w:type="dxa"/>
          </w:tcPr>
          <w:p w14:paraId="22705AD5">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节能产品</w:t>
            </w:r>
          </w:p>
        </w:tc>
        <w:tc>
          <w:tcPr>
            <w:tcW w:w="5355" w:type="dxa"/>
          </w:tcPr>
          <w:p w14:paraId="40BCB8DA">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lang w:val="en-US" w:eastAsia="zh-CN"/>
              </w:rPr>
              <w:t>金额=节能清单部分产品的</w:t>
            </w:r>
            <w:r>
              <w:rPr>
                <w:rFonts w:hint="eastAsia" w:ascii="宋体" w:hAnsi="宋体" w:cs="宋体"/>
                <w:color w:val="auto"/>
                <w:sz w:val="24"/>
                <w:szCs w:val="24"/>
                <w:highlight w:val="none"/>
                <w:lang w:val="en-US" w:eastAsia="zh-CN"/>
              </w:rPr>
              <w:t>报价</w:t>
            </w:r>
            <w:r>
              <w:rPr>
                <w:rFonts w:hint="eastAsia" w:ascii="宋体" w:hAnsi="宋体" w:eastAsia="宋体" w:cs="宋体"/>
                <w:color w:val="auto"/>
                <w:sz w:val="24"/>
                <w:szCs w:val="24"/>
                <w:highlight w:val="none"/>
                <w:lang w:val="en-US" w:eastAsia="zh-CN"/>
              </w:rPr>
              <w:t>×1%</w:t>
            </w:r>
          </w:p>
        </w:tc>
      </w:tr>
      <w:tr w14:paraId="279F5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7" w:type="dxa"/>
          </w:tcPr>
          <w:p w14:paraId="0F71056F">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2280" w:type="dxa"/>
          </w:tcPr>
          <w:p w14:paraId="7E43462F">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环保产品</w:t>
            </w:r>
          </w:p>
        </w:tc>
        <w:tc>
          <w:tcPr>
            <w:tcW w:w="5355" w:type="dxa"/>
          </w:tcPr>
          <w:p w14:paraId="1B71C6EB">
            <w:pPr>
              <w:keepNext w:val="0"/>
              <w:keepLines w:val="0"/>
              <w:pageBreakBefore w:val="0"/>
              <w:widowControl w:val="0"/>
              <w:kinsoku/>
              <w:wordWrap/>
              <w:overflowPunct/>
              <w:topLinePunct w:val="0"/>
              <w:autoSpaceDE/>
              <w:autoSpaceDN/>
              <w:bidi w:val="0"/>
              <w:adjustRightInd/>
              <w:spacing w:line="500" w:lineRule="exact"/>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lang w:val="en-US" w:eastAsia="zh-CN"/>
              </w:rPr>
              <w:t>金额=节能清单部分产品的</w:t>
            </w:r>
            <w:r>
              <w:rPr>
                <w:rFonts w:hint="eastAsia" w:ascii="宋体" w:hAnsi="宋体" w:cs="宋体"/>
                <w:color w:val="auto"/>
                <w:sz w:val="24"/>
                <w:szCs w:val="24"/>
                <w:highlight w:val="none"/>
                <w:lang w:val="en-US" w:eastAsia="zh-CN"/>
              </w:rPr>
              <w:t>报价</w:t>
            </w:r>
            <w:r>
              <w:rPr>
                <w:rFonts w:hint="eastAsia" w:ascii="宋体" w:hAnsi="宋体" w:eastAsia="宋体" w:cs="宋体"/>
                <w:color w:val="auto"/>
                <w:sz w:val="24"/>
                <w:szCs w:val="24"/>
                <w:highlight w:val="none"/>
                <w:lang w:val="en-US" w:eastAsia="zh-CN"/>
              </w:rPr>
              <w:t>×1%</w:t>
            </w:r>
          </w:p>
        </w:tc>
      </w:tr>
    </w:tbl>
    <w:p w14:paraId="4D8452C7">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说明：1.如有多种产品符合此项政策时，</w:t>
      </w: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lang w:eastAsia="zh-CN"/>
        </w:rPr>
        <w:t>金额</w:t>
      </w:r>
      <w:r>
        <w:rPr>
          <w:rFonts w:hint="eastAsia" w:ascii="宋体" w:hAnsi="宋体" w:eastAsia="宋体" w:cs="宋体"/>
          <w:color w:val="auto"/>
          <w:sz w:val="24"/>
          <w:szCs w:val="24"/>
          <w:highlight w:val="none"/>
        </w:rPr>
        <w:t>为每种产品的</w:t>
      </w: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rPr>
        <w:t>金额汇总。</w:t>
      </w:r>
    </w:p>
    <w:p w14:paraId="489A5417">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2.若所投产品同时属于节能产品及环保产品，只进行一次</w:t>
      </w: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rPr>
        <w:t>认定。</w:t>
      </w:r>
    </w:p>
    <w:p w14:paraId="6223F64A">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3.若节能、环境标志清单内的产品仅是构成投标产品的部件、组件或零件的，该产品不进行价格</w:t>
      </w:r>
      <w:r>
        <w:rPr>
          <w:rFonts w:hint="eastAsia" w:ascii="宋体" w:hAnsi="宋体" w:cs="宋体"/>
          <w:color w:val="auto"/>
          <w:sz w:val="24"/>
          <w:szCs w:val="24"/>
          <w:highlight w:val="none"/>
          <w:lang w:val="en-US" w:eastAsia="zh-CN"/>
        </w:rPr>
        <w:t>扣除</w:t>
      </w:r>
      <w:r>
        <w:rPr>
          <w:rFonts w:hint="eastAsia" w:ascii="宋体" w:hAnsi="宋体" w:eastAsia="宋体" w:cs="宋体"/>
          <w:color w:val="auto"/>
          <w:sz w:val="24"/>
          <w:szCs w:val="24"/>
          <w:highlight w:val="none"/>
        </w:rPr>
        <w:t>认定</w:t>
      </w:r>
    </w:p>
    <w:p w14:paraId="7DE68BD2">
      <w:pPr>
        <w:spacing w:line="500" w:lineRule="exact"/>
        <w:rPr>
          <w:rFonts w:ascii="宋体" w:hAnsi="宋体" w:cs="宋体"/>
          <w:b/>
          <w:color w:val="auto"/>
          <w:sz w:val="24"/>
          <w:highlight w:val="none"/>
        </w:rPr>
      </w:pPr>
      <w:r>
        <w:rPr>
          <w:rFonts w:hint="eastAsia" w:ascii="宋体" w:hAnsi="宋体" w:cs="宋体"/>
          <w:b/>
          <w:color w:val="auto"/>
          <w:sz w:val="24"/>
          <w:highlight w:val="none"/>
        </w:rPr>
        <w:t>3.投标文件的比较和评价</w:t>
      </w:r>
    </w:p>
    <w:p w14:paraId="3FF9DBDF">
      <w:pPr>
        <w:spacing w:line="5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经评标委员会对通过《资格审查》、《符合性审查》的投标文件，将采用综合评分法对投标文件报价部分及商务、技术部分进行进一步评审、比较。</w:t>
      </w:r>
    </w:p>
    <w:p w14:paraId="3FAC10CB">
      <w:pPr>
        <w:spacing w:line="5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B301D19">
      <w:pPr>
        <w:spacing w:line="5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4F37A938">
      <w:pPr>
        <w:spacing w:line="500" w:lineRule="exact"/>
        <w:rPr>
          <w:rFonts w:ascii="宋体" w:hAnsi="宋体" w:cs="宋体"/>
          <w:b/>
          <w:color w:val="auto"/>
          <w:sz w:val="24"/>
          <w:highlight w:val="none"/>
        </w:rPr>
      </w:pPr>
      <w:r>
        <w:rPr>
          <w:rFonts w:hint="eastAsia" w:ascii="宋体" w:hAnsi="宋体" w:cs="宋体"/>
          <w:b/>
          <w:color w:val="auto"/>
          <w:sz w:val="24"/>
          <w:highlight w:val="none"/>
        </w:rPr>
        <w:t>3.1.1报价评审（投标报价分值：30分）</w:t>
      </w:r>
    </w:p>
    <w:tbl>
      <w:tblPr>
        <w:tblStyle w:val="173"/>
        <w:tblW w:w="889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616"/>
        <w:gridCol w:w="8276"/>
      </w:tblGrid>
      <w:tr w14:paraId="1FC1BC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265" w:hRule="atLeast"/>
          <w:jc w:val="center"/>
        </w:trPr>
        <w:tc>
          <w:tcPr>
            <w:tcW w:w="616" w:type="dxa"/>
            <w:vAlign w:val="center"/>
          </w:tcPr>
          <w:p w14:paraId="3C9A5238">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报价得分计算方法</w:t>
            </w:r>
          </w:p>
        </w:tc>
        <w:tc>
          <w:tcPr>
            <w:tcW w:w="8276" w:type="dxa"/>
            <w:vAlign w:val="center"/>
          </w:tcPr>
          <w:p w14:paraId="7A1C5E1D">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价格分采用低价优先法计算，即满足招标文件要求且投标价格最低的投标报价为评标基准价，其价格分为满分。其他投标人的价格分统一按照下列公式计算：</w:t>
            </w:r>
          </w:p>
          <w:p w14:paraId="07115B8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投标报价得分=(评标基准价／投标报价)×30%×100</w:t>
            </w:r>
          </w:p>
        </w:tc>
      </w:tr>
    </w:tbl>
    <w:p w14:paraId="317562F1">
      <w:pPr>
        <w:spacing w:line="500" w:lineRule="exact"/>
        <w:rPr>
          <w:rFonts w:ascii="宋体" w:hAnsi="宋体" w:cs="宋体"/>
          <w:b/>
          <w:color w:val="auto"/>
          <w:sz w:val="24"/>
          <w:highlight w:val="none"/>
        </w:rPr>
      </w:pPr>
      <w:r>
        <w:rPr>
          <w:rFonts w:hint="eastAsia" w:ascii="宋体" w:hAnsi="宋体" w:cs="宋体"/>
          <w:b/>
          <w:color w:val="auto"/>
          <w:sz w:val="24"/>
          <w:highlight w:val="none"/>
        </w:rPr>
        <w:t>3.2.2商务技术评审（商务技术分值：70分）</w:t>
      </w:r>
    </w:p>
    <w:p w14:paraId="4921AC52">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3.2.2.1评标委员会应当按照《商务技术评审标准》规定的评标方法和标准，对通过《资格审查》及《符合性审查》的投标文件进行商务和技术评估，综合比较与评价。</w:t>
      </w:r>
    </w:p>
    <w:p w14:paraId="7482F24D">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3.2.2.2评标时，评标委员会各成员应当独立对每个投标人的投标文件进行评价，并汇总每个投标人的得分。</w:t>
      </w:r>
    </w:p>
    <w:p w14:paraId="53FA12B6">
      <w:pPr>
        <w:spacing w:line="5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3.2.2.3根据各评委对投标人的评分，所有专家打分的平均值作为投标人的商务技术评审得分（精确到小数点后二位）。</w:t>
      </w:r>
    </w:p>
    <w:p w14:paraId="323B04CF">
      <w:pPr>
        <w:spacing w:line="500" w:lineRule="exact"/>
        <w:ind w:firstLine="482" w:firstLineChars="200"/>
        <w:jc w:val="center"/>
        <w:rPr>
          <w:rFonts w:ascii="宋体" w:hAnsi="宋体" w:cs="宋体"/>
          <w:b/>
          <w:bCs/>
          <w:color w:val="auto"/>
          <w:sz w:val="24"/>
          <w:highlight w:val="none"/>
        </w:rPr>
      </w:pPr>
      <w:r>
        <w:rPr>
          <w:rFonts w:hint="eastAsia" w:ascii="宋体" w:hAnsi="宋体" w:cs="宋体"/>
          <w:b/>
          <w:bCs/>
          <w:color w:val="auto"/>
          <w:sz w:val="24"/>
          <w:highlight w:val="none"/>
        </w:rPr>
        <w:t>商务技术评审标准</w:t>
      </w:r>
    </w:p>
    <w:tbl>
      <w:tblPr>
        <w:tblStyle w:val="47"/>
        <w:tblpPr w:leftFromText="180" w:rightFromText="180" w:vertAnchor="text" w:horzAnchor="page" w:tblpXSpec="center" w:tblpY="428"/>
        <w:tblOverlap w:val="never"/>
        <w:tblW w:w="896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817"/>
        <w:gridCol w:w="6620"/>
        <w:gridCol w:w="525"/>
      </w:tblGrid>
      <w:tr w14:paraId="62A4F8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4" w:hRule="atLeast"/>
          <w:jc w:val="center"/>
        </w:trPr>
        <w:tc>
          <w:tcPr>
            <w:tcW w:w="1817" w:type="dxa"/>
            <w:vAlign w:val="center"/>
          </w:tcPr>
          <w:p w14:paraId="525446A2">
            <w:pPr>
              <w:widowControl/>
              <w:spacing w:line="500" w:lineRule="exact"/>
              <w:jc w:val="center"/>
              <w:rPr>
                <w:rFonts w:ascii="宋体" w:hAnsi="宋体" w:cs="Arial"/>
                <w:b/>
                <w:color w:val="auto"/>
                <w:sz w:val="24"/>
                <w:highlight w:val="none"/>
              </w:rPr>
            </w:pPr>
            <w:r>
              <w:rPr>
                <w:rFonts w:hint="eastAsia" w:ascii="宋体" w:hAnsi="宋体" w:cs="Arial"/>
                <w:b/>
                <w:color w:val="auto"/>
                <w:sz w:val="24"/>
                <w:highlight w:val="none"/>
              </w:rPr>
              <w:t>评审类型</w:t>
            </w:r>
          </w:p>
        </w:tc>
        <w:tc>
          <w:tcPr>
            <w:tcW w:w="6620" w:type="dxa"/>
            <w:vAlign w:val="center"/>
          </w:tcPr>
          <w:p w14:paraId="7CE61CA9">
            <w:pPr>
              <w:widowControl/>
              <w:spacing w:line="500" w:lineRule="exact"/>
              <w:jc w:val="center"/>
              <w:rPr>
                <w:rFonts w:ascii="宋体" w:hAnsi="宋体" w:cs="Arial"/>
                <w:b/>
                <w:color w:val="auto"/>
                <w:sz w:val="24"/>
                <w:highlight w:val="none"/>
              </w:rPr>
            </w:pPr>
            <w:r>
              <w:rPr>
                <w:rFonts w:hint="eastAsia" w:ascii="宋体" w:hAnsi="宋体" w:cs="Arial"/>
                <w:b/>
                <w:color w:val="auto"/>
                <w:sz w:val="24"/>
                <w:highlight w:val="none"/>
              </w:rPr>
              <w:t>评审内容</w:t>
            </w:r>
          </w:p>
        </w:tc>
        <w:tc>
          <w:tcPr>
            <w:tcW w:w="525" w:type="dxa"/>
            <w:vAlign w:val="center"/>
          </w:tcPr>
          <w:p w14:paraId="3A32D087">
            <w:pPr>
              <w:widowControl/>
              <w:spacing w:line="500" w:lineRule="exact"/>
              <w:jc w:val="center"/>
              <w:rPr>
                <w:rFonts w:ascii="宋体" w:hAnsi="宋体" w:cs="Arial"/>
                <w:b/>
                <w:color w:val="auto"/>
                <w:sz w:val="24"/>
                <w:highlight w:val="none"/>
              </w:rPr>
            </w:pPr>
            <w:r>
              <w:rPr>
                <w:rFonts w:hint="eastAsia" w:ascii="宋体" w:hAnsi="宋体" w:cs="Arial"/>
                <w:b/>
                <w:color w:val="auto"/>
                <w:sz w:val="24"/>
                <w:highlight w:val="none"/>
              </w:rPr>
              <w:t>分值</w:t>
            </w:r>
          </w:p>
        </w:tc>
      </w:tr>
      <w:tr w14:paraId="5E770F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4" w:hRule="atLeast"/>
          <w:jc w:val="center"/>
        </w:trPr>
        <w:tc>
          <w:tcPr>
            <w:tcW w:w="1817" w:type="dxa"/>
            <w:vAlign w:val="center"/>
          </w:tcPr>
          <w:p w14:paraId="2F71B281">
            <w:pPr>
              <w:spacing w:line="500" w:lineRule="exact"/>
              <w:jc w:val="center"/>
              <w:rPr>
                <w:rFonts w:ascii="宋体" w:hAnsi="宋体" w:cs="Arial"/>
                <w:b/>
                <w:color w:val="auto"/>
                <w:szCs w:val="21"/>
                <w:highlight w:val="none"/>
              </w:rPr>
            </w:pPr>
            <w:r>
              <w:rPr>
                <w:rFonts w:hint="eastAsia" w:ascii="宋体" w:hAnsi="宋体" w:cs="宋体"/>
                <w:color w:val="auto"/>
                <w:sz w:val="24"/>
                <w:highlight w:val="none"/>
              </w:rPr>
              <w:t>企业业绩</w:t>
            </w:r>
          </w:p>
        </w:tc>
        <w:tc>
          <w:tcPr>
            <w:tcW w:w="6620" w:type="dxa"/>
            <w:vAlign w:val="center"/>
          </w:tcPr>
          <w:p w14:paraId="7E9DD19F">
            <w:pPr>
              <w:spacing w:line="500" w:lineRule="exact"/>
              <w:jc w:val="left"/>
              <w:rPr>
                <w:rFonts w:hint="eastAsia" w:ascii="宋体" w:hAnsi="宋体" w:cs="宋体"/>
                <w:color w:val="auto"/>
                <w:sz w:val="24"/>
                <w:highlight w:val="none"/>
              </w:rPr>
            </w:pPr>
            <w:r>
              <w:rPr>
                <w:rFonts w:hint="eastAsia" w:ascii="宋体" w:hAnsi="宋体" w:cs="宋体"/>
                <w:color w:val="auto"/>
                <w:sz w:val="24"/>
                <w:highlight w:val="none"/>
                <w:lang w:eastAsia="zh-CN"/>
              </w:rPr>
              <w:t>投标人</w:t>
            </w:r>
            <w:r>
              <w:rPr>
                <w:rFonts w:hint="eastAsia" w:ascii="宋体" w:hAnsi="宋体" w:cs="宋体"/>
                <w:color w:val="auto"/>
                <w:sz w:val="24"/>
                <w:highlight w:val="none"/>
              </w:rPr>
              <w:t>近三年（202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年1月1日至今）</w:t>
            </w:r>
            <w:r>
              <w:rPr>
                <w:rFonts w:hint="eastAsia" w:ascii="宋体" w:hAnsi="宋体" w:cs="宋体"/>
                <w:color w:val="auto"/>
                <w:sz w:val="24"/>
                <w:highlight w:val="none"/>
                <w:lang w:eastAsia="zh-CN"/>
              </w:rPr>
              <w:t>完成的类似项目</w:t>
            </w:r>
            <w:r>
              <w:rPr>
                <w:rFonts w:hint="eastAsia" w:ascii="宋体" w:hAnsi="宋体" w:cs="宋体"/>
                <w:color w:val="auto"/>
                <w:sz w:val="24"/>
                <w:highlight w:val="none"/>
              </w:rPr>
              <w:t>业绩，每提供1个得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分，最高得</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w:t>
            </w:r>
          </w:p>
          <w:p w14:paraId="54D1D16B">
            <w:pPr>
              <w:spacing w:line="500" w:lineRule="exact"/>
              <w:jc w:val="left"/>
              <w:rPr>
                <w:rFonts w:hint="eastAsia" w:ascii="宋体" w:hAnsi="宋体" w:eastAsia="宋体" w:cs="Arial"/>
                <w:b/>
                <w:color w:val="auto"/>
                <w:szCs w:val="21"/>
                <w:highlight w:val="none"/>
                <w:lang w:eastAsia="zh-CN"/>
              </w:rPr>
            </w:pPr>
            <w:r>
              <w:rPr>
                <w:rFonts w:hint="eastAsia" w:ascii="宋体" w:hAnsi="宋体" w:cs="宋体"/>
                <w:b/>
                <w:bCs/>
                <w:color w:val="auto"/>
                <w:sz w:val="24"/>
                <w:highlight w:val="none"/>
                <w:lang w:eastAsia="zh-CN"/>
              </w:rPr>
              <w:t>注：业绩证明材料</w:t>
            </w:r>
            <w:r>
              <w:rPr>
                <w:rFonts w:hint="eastAsia" w:ascii="宋体" w:hAnsi="宋体" w:cs="宋体"/>
                <w:b/>
                <w:bCs/>
                <w:color w:val="auto"/>
                <w:sz w:val="24"/>
                <w:highlight w:val="none"/>
              </w:rPr>
              <w:t>提供合同或中标通知书</w:t>
            </w:r>
            <w:r>
              <w:rPr>
                <w:rFonts w:hint="eastAsia" w:ascii="宋体" w:hAnsi="宋体" w:cs="宋体"/>
                <w:b/>
                <w:bCs/>
                <w:color w:val="auto"/>
                <w:sz w:val="24"/>
                <w:highlight w:val="none"/>
                <w:lang w:eastAsia="zh-CN"/>
              </w:rPr>
              <w:t>。</w:t>
            </w:r>
          </w:p>
        </w:tc>
        <w:tc>
          <w:tcPr>
            <w:tcW w:w="525" w:type="dxa"/>
            <w:vAlign w:val="center"/>
          </w:tcPr>
          <w:p w14:paraId="725DDBE4">
            <w:pPr>
              <w:spacing w:line="500" w:lineRule="exact"/>
              <w:jc w:val="center"/>
              <w:rPr>
                <w:rFonts w:hint="eastAsia" w:ascii="宋体" w:hAnsi="宋体" w:eastAsia="宋体" w:cs="Arial"/>
                <w:b/>
                <w:color w:val="auto"/>
                <w:szCs w:val="21"/>
                <w:highlight w:val="none"/>
                <w:lang w:eastAsia="zh-CN"/>
              </w:rPr>
            </w:pPr>
            <w:r>
              <w:rPr>
                <w:rFonts w:hint="eastAsia" w:ascii="宋体" w:hAnsi="宋体" w:cs="宋体"/>
                <w:color w:val="auto"/>
                <w:sz w:val="24"/>
                <w:highlight w:val="none"/>
                <w:lang w:val="en-US" w:eastAsia="zh-CN"/>
              </w:rPr>
              <w:t>6</w:t>
            </w:r>
          </w:p>
        </w:tc>
      </w:tr>
      <w:tr w14:paraId="24322F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4" w:hRule="atLeast"/>
          <w:jc w:val="center"/>
        </w:trPr>
        <w:tc>
          <w:tcPr>
            <w:tcW w:w="1817" w:type="dxa"/>
            <w:vAlign w:val="center"/>
          </w:tcPr>
          <w:p w14:paraId="1BE0F7C5">
            <w:pPr>
              <w:spacing w:line="500" w:lineRule="exact"/>
              <w:jc w:val="center"/>
              <w:rPr>
                <w:rFonts w:hint="eastAsia" w:ascii="宋体" w:hAnsi="宋体" w:cs="宋体"/>
                <w:color w:val="auto"/>
                <w:sz w:val="24"/>
                <w:highlight w:val="none"/>
              </w:rPr>
            </w:pPr>
          </w:p>
          <w:p w14:paraId="4732731B">
            <w:pPr>
              <w:spacing w:line="500" w:lineRule="exact"/>
              <w:jc w:val="center"/>
              <w:rPr>
                <w:rFonts w:hint="eastAsia" w:ascii="宋体" w:hAnsi="宋体" w:cs="宋体"/>
                <w:color w:val="auto"/>
                <w:sz w:val="24"/>
                <w:highlight w:val="none"/>
              </w:rPr>
            </w:pPr>
          </w:p>
          <w:p w14:paraId="5D1EED49">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技术指标及</w:t>
            </w:r>
          </w:p>
          <w:p w14:paraId="0A10EF71">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配置响应</w:t>
            </w:r>
          </w:p>
        </w:tc>
        <w:tc>
          <w:tcPr>
            <w:tcW w:w="6620" w:type="dxa"/>
            <w:vAlign w:val="center"/>
          </w:tcPr>
          <w:p w14:paraId="6CCDE241">
            <w:pPr>
              <w:keepNext w:val="0"/>
              <w:keepLines w:val="0"/>
              <w:pageBreakBefore w:val="0"/>
              <w:widowControl/>
              <w:kinsoku/>
              <w:wordWrap/>
              <w:overflowPunct/>
              <w:topLinePunct w:val="0"/>
              <w:autoSpaceDE/>
              <w:autoSpaceDN/>
              <w:bidi w:val="0"/>
              <w:adjustRightInd/>
              <w:spacing w:line="500" w:lineRule="exact"/>
              <w:textAlignment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对照</w:t>
            </w:r>
            <w:r>
              <w:rPr>
                <w:rFonts w:hint="eastAsia" w:ascii="宋体" w:hAnsi="宋体" w:eastAsia="宋体" w:cs="宋体"/>
                <w:color w:val="auto"/>
                <w:kern w:val="0"/>
                <w:sz w:val="24"/>
                <w:szCs w:val="24"/>
                <w:highlight w:val="none"/>
                <w:lang w:val="en-US" w:eastAsia="zh-CN"/>
              </w:rPr>
              <w:t>技术参数根据投标人提供的产品配置及技术性能指标的响应情况进行评审。</w:t>
            </w:r>
          </w:p>
          <w:p w14:paraId="2B04870F">
            <w:pPr>
              <w:keepNext w:val="0"/>
              <w:keepLines w:val="0"/>
              <w:pageBreakBefore w:val="0"/>
              <w:widowControl/>
              <w:kinsoku/>
              <w:wordWrap/>
              <w:overflowPunct/>
              <w:topLinePunct w:val="0"/>
              <w:autoSpaceDE/>
              <w:autoSpaceDN/>
              <w:bidi w:val="0"/>
              <w:adjustRightInd/>
              <w:spacing w:line="500" w:lineRule="exact"/>
              <w:textAlignment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1.投标人所投产品技术参数完全响应招标文件要求的，得</w:t>
            </w:r>
            <w:r>
              <w:rPr>
                <w:rFonts w:hint="eastAsia" w:ascii="宋体" w:hAnsi="宋体" w:cs="宋体"/>
                <w:color w:val="auto"/>
                <w:kern w:val="2"/>
                <w:sz w:val="24"/>
                <w:szCs w:val="24"/>
                <w:highlight w:val="none"/>
                <w:lang w:val="en-US" w:eastAsia="zh-CN" w:bidi="ar-SA"/>
              </w:rPr>
              <w:t>30</w:t>
            </w:r>
            <w:r>
              <w:rPr>
                <w:rFonts w:hint="eastAsia" w:ascii="宋体" w:hAnsi="宋体" w:eastAsia="宋体" w:cs="宋体"/>
                <w:color w:val="auto"/>
                <w:kern w:val="2"/>
                <w:sz w:val="24"/>
                <w:szCs w:val="24"/>
                <w:highlight w:val="none"/>
                <w:lang w:val="en-US" w:eastAsia="zh-CN" w:bidi="ar-SA"/>
              </w:rPr>
              <w:t>分；</w:t>
            </w:r>
            <w:r>
              <w:rPr>
                <w:rFonts w:hint="eastAsia" w:ascii="宋体" w:hAnsi="宋体" w:eastAsia="宋体" w:cs="宋体"/>
                <w:color w:val="auto"/>
                <w:kern w:val="0"/>
                <w:sz w:val="24"/>
                <w:szCs w:val="24"/>
                <w:highlight w:val="none"/>
                <w:lang w:val="en-US" w:eastAsia="zh-CN"/>
              </w:rPr>
              <w:t>每</w:t>
            </w:r>
            <w:r>
              <w:rPr>
                <w:rFonts w:hint="eastAsia" w:ascii="宋体" w:hAnsi="宋体" w:cs="宋体"/>
                <w:color w:val="auto"/>
                <w:kern w:val="0"/>
                <w:sz w:val="24"/>
                <w:szCs w:val="24"/>
                <w:highlight w:val="none"/>
                <w:lang w:val="en-US" w:eastAsia="zh-CN"/>
              </w:rPr>
              <w:t>有</w:t>
            </w:r>
            <w:r>
              <w:rPr>
                <w:rFonts w:hint="eastAsia" w:ascii="宋体" w:hAnsi="宋体" w:eastAsia="宋体" w:cs="宋体"/>
                <w:color w:val="auto"/>
                <w:kern w:val="0"/>
                <w:sz w:val="24"/>
                <w:szCs w:val="24"/>
                <w:highlight w:val="none"/>
                <w:lang w:val="en-US" w:eastAsia="zh-CN"/>
              </w:rPr>
              <w:t>一条存在负偏离的，扣</w:t>
            </w:r>
            <w:r>
              <w:rPr>
                <w:rFonts w:hint="eastAsia" w:ascii="宋体" w:hAnsi="宋体" w:cs="宋体"/>
                <w:color w:val="auto"/>
                <w:kern w:val="0"/>
                <w:sz w:val="24"/>
                <w:szCs w:val="24"/>
                <w:highlight w:val="none"/>
                <w:lang w:val="en-US" w:eastAsia="zh-CN"/>
              </w:rPr>
              <w:t>0.5</w:t>
            </w:r>
            <w:r>
              <w:rPr>
                <w:rFonts w:hint="eastAsia" w:ascii="宋体" w:hAnsi="宋体" w:eastAsia="宋体" w:cs="宋体"/>
                <w:color w:val="auto"/>
                <w:kern w:val="0"/>
                <w:sz w:val="24"/>
                <w:szCs w:val="24"/>
                <w:highlight w:val="none"/>
                <w:lang w:val="en-US" w:eastAsia="zh-CN"/>
              </w:rPr>
              <w:t>分，</w:t>
            </w:r>
            <w:r>
              <w:rPr>
                <w:rFonts w:hint="eastAsia" w:ascii="宋体" w:hAnsi="宋体" w:cs="宋体"/>
                <w:color w:val="auto"/>
                <w:kern w:val="0"/>
                <w:sz w:val="24"/>
                <w:szCs w:val="24"/>
                <w:highlight w:val="none"/>
                <w:lang w:val="en-US" w:eastAsia="zh-CN"/>
              </w:rPr>
              <w:t>扣完为止</w:t>
            </w:r>
            <w:r>
              <w:rPr>
                <w:rFonts w:hint="eastAsia" w:ascii="宋体" w:hAnsi="宋体" w:eastAsia="宋体" w:cs="宋体"/>
                <w:color w:val="auto"/>
                <w:kern w:val="0"/>
                <w:sz w:val="24"/>
                <w:szCs w:val="24"/>
                <w:highlight w:val="none"/>
                <w:lang w:val="en-US" w:eastAsia="zh-CN"/>
              </w:rPr>
              <w:t>。</w:t>
            </w:r>
          </w:p>
          <w:p w14:paraId="30C2BCCC">
            <w:pPr>
              <w:spacing w:line="500" w:lineRule="exact"/>
              <w:jc w:val="left"/>
              <w:rPr>
                <w:rFonts w:ascii="宋体" w:hAnsi="宋体" w:cs="宋体"/>
                <w:color w:val="auto"/>
                <w:sz w:val="24"/>
                <w:highlight w:val="none"/>
              </w:rPr>
            </w:pPr>
            <w:r>
              <w:rPr>
                <w:rFonts w:hint="default" w:ascii="Times New Roman" w:hAnsi="Times New Roman" w:eastAsia="宋体" w:cs="Times New Roman"/>
                <w:b/>
                <w:bCs/>
                <w:color w:val="auto"/>
                <w:sz w:val="24"/>
                <w:szCs w:val="24"/>
                <w:highlight w:val="none"/>
                <w:lang w:eastAsia="zh-CN"/>
              </w:rPr>
              <w:t>注：负偏离评审依据：</w:t>
            </w:r>
            <w:r>
              <w:rPr>
                <w:rFonts w:hint="eastAsia" w:ascii="Times New Roman" w:eastAsia="宋体" w:cs="Times New Roman"/>
                <w:b/>
                <w:bCs/>
                <w:color w:val="auto"/>
                <w:sz w:val="24"/>
                <w:szCs w:val="24"/>
                <w:highlight w:val="none"/>
                <w:lang w:val="en-US" w:eastAsia="zh-CN"/>
              </w:rPr>
              <w:t>①</w:t>
            </w:r>
            <w:r>
              <w:rPr>
                <w:rFonts w:hint="default" w:ascii="Times New Roman" w:hAnsi="Times New Roman" w:eastAsia="宋体" w:cs="Times New Roman"/>
                <w:b/>
                <w:bCs/>
                <w:color w:val="auto"/>
                <w:sz w:val="24"/>
                <w:szCs w:val="24"/>
                <w:highlight w:val="none"/>
                <w:lang w:val="en-US" w:eastAsia="zh-CN"/>
              </w:rPr>
              <w:t>所</w:t>
            </w:r>
            <w:r>
              <w:rPr>
                <w:rFonts w:hint="eastAsia" w:cs="Times New Roman"/>
                <w:b/>
                <w:bCs/>
                <w:color w:val="auto"/>
                <w:sz w:val="24"/>
                <w:szCs w:val="24"/>
                <w:highlight w:val="none"/>
                <w:lang w:val="en-US" w:eastAsia="zh-CN"/>
              </w:rPr>
              <w:t>提供</w:t>
            </w:r>
            <w:r>
              <w:rPr>
                <w:rFonts w:hint="default" w:ascii="Times New Roman" w:hAnsi="Times New Roman" w:eastAsia="宋体" w:cs="Times New Roman"/>
                <w:b/>
                <w:bCs/>
                <w:color w:val="auto"/>
                <w:sz w:val="24"/>
                <w:szCs w:val="24"/>
                <w:highlight w:val="none"/>
                <w:lang w:val="en-US" w:eastAsia="zh-CN"/>
              </w:rPr>
              <w:t>产品</w:t>
            </w:r>
            <w:r>
              <w:rPr>
                <w:rFonts w:hint="eastAsia" w:cs="Times New Roman"/>
                <w:b/>
                <w:bCs/>
                <w:color w:val="auto"/>
                <w:sz w:val="24"/>
                <w:szCs w:val="24"/>
                <w:highlight w:val="none"/>
                <w:lang w:val="en-US" w:eastAsia="zh-CN"/>
              </w:rPr>
              <w:t>标记为</w:t>
            </w:r>
            <w:r>
              <w:rPr>
                <w:rFonts w:hint="eastAsia" w:asciiTheme="minorEastAsia" w:hAnsiTheme="minorEastAsia" w:eastAsiaTheme="minorEastAsia" w:cstheme="minorEastAsia"/>
                <w:color w:val="auto"/>
                <w:sz w:val="24"/>
                <w:szCs w:val="24"/>
                <w:highlight w:val="none"/>
                <w:lang w:val="en-US" w:eastAsia="zh-CN"/>
              </w:rPr>
              <w:t>▲</w:t>
            </w:r>
            <w:r>
              <w:rPr>
                <w:rFonts w:hint="default" w:ascii="Times New Roman" w:hAnsi="Times New Roman" w:eastAsia="宋体" w:cs="Times New Roman"/>
                <w:b/>
                <w:bCs/>
                <w:color w:val="auto"/>
                <w:sz w:val="24"/>
                <w:szCs w:val="24"/>
                <w:highlight w:val="none"/>
                <w:lang w:val="en-US" w:eastAsia="zh-CN"/>
              </w:rPr>
              <w:t>技术参数低于</w:t>
            </w:r>
            <w:r>
              <w:rPr>
                <w:rFonts w:hint="eastAsia" w:ascii="Times New Roman" w:hAnsi="Times New Roman" w:eastAsia="宋体" w:cs="Times New Roman"/>
                <w:b/>
                <w:bCs/>
                <w:color w:val="auto"/>
                <w:sz w:val="24"/>
                <w:szCs w:val="24"/>
                <w:highlight w:val="none"/>
                <w:lang w:val="en-US" w:eastAsia="zh-CN"/>
              </w:rPr>
              <w:t>招标</w:t>
            </w:r>
            <w:r>
              <w:rPr>
                <w:rFonts w:hint="default" w:ascii="Times New Roman" w:hAnsi="Times New Roman" w:eastAsia="宋体" w:cs="Times New Roman"/>
                <w:b/>
                <w:bCs/>
                <w:color w:val="auto"/>
                <w:sz w:val="24"/>
                <w:szCs w:val="24"/>
                <w:highlight w:val="none"/>
                <w:lang w:val="en-US" w:eastAsia="zh-CN"/>
              </w:rPr>
              <w:t>文件要求的，视为负偏离；</w:t>
            </w:r>
            <w:r>
              <w:rPr>
                <w:rFonts w:hint="eastAsia" w:ascii="Times New Roman" w:eastAsia="宋体" w:cs="Times New Roman"/>
                <w:b/>
                <w:bCs/>
                <w:color w:val="auto"/>
                <w:sz w:val="24"/>
                <w:szCs w:val="24"/>
                <w:highlight w:val="none"/>
                <w:lang w:val="en-US" w:eastAsia="zh-CN"/>
              </w:rPr>
              <w:t>②</w:t>
            </w:r>
            <w:r>
              <w:rPr>
                <w:rFonts w:hint="default" w:ascii="Times New Roman" w:hAnsi="Times New Roman" w:eastAsia="宋体" w:cs="Times New Roman"/>
                <w:b/>
                <w:bCs/>
                <w:color w:val="auto"/>
                <w:sz w:val="24"/>
                <w:szCs w:val="24"/>
                <w:highlight w:val="none"/>
                <w:lang w:val="en-US" w:eastAsia="zh-CN"/>
              </w:rPr>
              <w:t>技术参数响应条款</w:t>
            </w:r>
            <w:r>
              <w:rPr>
                <w:rFonts w:hint="eastAsia" w:ascii="Times New Roman" w:eastAsia="宋体" w:cs="Times New Roman"/>
                <w:b/>
                <w:bCs/>
                <w:color w:val="auto"/>
                <w:sz w:val="24"/>
                <w:szCs w:val="24"/>
                <w:highlight w:val="none"/>
                <w:lang w:val="en-US" w:eastAsia="zh-CN"/>
              </w:rPr>
              <w:t>（以投标文件内技术偏离表为准）</w:t>
            </w:r>
            <w:r>
              <w:rPr>
                <w:rFonts w:hint="default" w:ascii="Times New Roman" w:hAnsi="Times New Roman" w:eastAsia="宋体" w:cs="Times New Roman"/>
                <w:b/>
                <w:bCs/>
                <w:color w:val="auto"/>
                <w:sz w:val="24"/>
                <w:szCs w:val="24"/>
                <w:highlight w:val="none"/>
                <w:lang w:val="en-US" w:eastAsia="zh-CN"/>
              </w:rPr>
              <w:t>与</w:t>
            </w:r>
            <w:r>
              <w:rPr>
                <w:rFonts w:hint="eastAsia" w:ascii="Times New Roman" w:hAnsi="Times New Roman" w:eastAsia="宋体" w:cs="Times New Roman"/>
                <w:b/>
                <w:bCs/>
                <w:color w:val="auto"/>
                <w:sz w:val="24"/>
                <w:szCs w:val="24"/>
                <w:highlight w:val="none"/>
                <w:lang w:val="en-US" w:eastAsia="zh-CN"/>
              </w:rPr>
              <w:t>招标</w:t>
            </w:r>
            <w:r>
              <w:rPr>
                <w:rFonts w:hint="default" w:ascii="Times New Roman" w:hAnsi="Times New Roman" w:eastAsia="宋体" w:cs="Times New Roman"/>
                <w:b/>
                <w:bCs/>
                <w:color w:val="auto"/>
                <w:sz w:val="24"/>
                <w:szCs w:val="24"/>
                <w:highlight w:val="none"/>
                <w:lang w:val="en-US" w:eastAsia="zh-CN"/>
              </w:rPr>
              <w:t>文件对比有缺项、漏项的，视为负偏离；</w:t>
            </w:r>
            <w:r>
              <w:rPr>
                <w:rFonts w:hint="eastAsia" w:ascii="Times New Roman" w:eastAsia="宋体" w:cs="Times New Roman"/>
                <w:b/>
                <w:bCs/>
                <w:color w:val="auto"/>
                <w:sz w:val="24"/>
                <w:szCs w:val="24"/>
                <w:highlight w:val="none"/>
                <w:lang w:val="en-US" w:eastAsia="zh-CN"/>
              </w:rPr>
              <w:t>③</w:t>
            </w:r>
            <w:r>
              <w:rPr>
                <w:rFonts w:hint="eastAsia" w:cs="Times New Roman"/>
                <w:b/>
                <w:bCs/>
                <w:color w:val="auto"/>
                <w:sz w:val="24"/>
                <w:szCs w:val="24"/>
                <w:highlight w:val="none"/>
                <w:lang w:val="en-US" w:eastAsia="zh-CN"/>
              </w:rPr>
              <w:t>投标文件内</w:t>
            </w:r>
            <w:r>
              <w:rPr>
                <w:rFonts w:hint="eastAsia" w:ascii="Times New Roman" w:eastAsia="宋体" w:cs="Times New Roman"/>
                <w:b/>
                <w:bCs/>
                <w:color w:val="auto"/>
                <w:sz w:val="24"/>
                <w:szCs w:val="24"/>
                <w:highlight w:val="none"/>
                <w:lang w:val="en-US" w:eastAsia="zh-CN"/>
              </w:rPr>
              <w:t>技术偏离表完全复制招标文件技术参数的（不涉及具体参数指标的描述性技术要求除外），视为负偏离；④</w:t>
            </w:r>
            <w:r>
              <w:rPr>
                <w:rFonts w:hint="eastAsia" w:ascii="Times New Roman" w:hAnsi="Times New Roman" w:eastAsia="宋体" w:cs="Times New Roman"/>
                <w:b/>
                <w:bCs/>
                <w:color w:val="auto"/>
                <w:sz w:val="24"/>
                <w:szCs w:val="24"/>
                <w:highlight w:val="none"/>
                <w:lang w:val="en-US" w:eastAsia="zh-CN"/>
              </w:rPr>
              <w:t>投标人</w:t>
            </w:r>
            <w:r>
              <w:rPr>
                <w:rFonts w:hint="default" w:ascii="Times New Roman" w:hAnsi="Times New Roman" w:eastAsia="宋体" w:cs="Times New Roman"/>
                <w:b/>
                <w:bCs/>
                <w:color w:val="auto"/>
                <w:sz w:val="24"/>
                <w:szCs w:val="24"/>
                <w:highlight w:val="none"/>
                <w:lang w:val="en-US" w:eastAsia="zh-CN"/>
              </w:rPr>
              <w:t>提供的</w:t>
            </w:r>
            <w:r>
              <w:rPr>
                <w:rFonts w:hint="eastAsia" w:cs="Times New Roman"/>
                <w:b/>
                <w:bCs/>
                <w:color w:val="auto"/>
                <w:sz w:val="24"/>
                <w:szCs w:val="24"/>
                <w:highlight w:val="none"/>
                <w:lang w:val="en-US" w:eastAsia="zh-CN"/>
              </w:rPr>
              <w:t>投标</w:t>
            </w:r>
            <w:r>
              <w:rPr>
                <w:rFonts w:hint="default" w:ascii="Times New Roman" w:hAnsi="Times New Roman" w:eastAsia="宋体" w:cs="Times New Roman"/>
                <w:b/>
                <w:bCs/>
                <w:color w:val="auto"/>
                <w:sz w:val="24"/>
                <w:szCs w:val="24"/>
                <w:highlight w:val="none"/>
                <w:lang w:val="en-US" w:eastAsia="zh-CN"/>
              </w:rPr>
              <w:t>文件中产品技术偏离表、产品技术规格书和产品检测报告内描述的同一产品技术参数响应值不一致的，视为负偏离</w:t>
            </w:r>
            <w:r>
              <w:rPr>
                <w:rFonts w:hint="eastAsia" w:ascii="Times New Roman" w:eastAsia="宋体" w:cs="Times New Roman"/>
                <w:b/>
                <w:bCs/>
                <w:color w:val="auto"/>
                <w:sz w:val="24"/>
                <w:szCs w:val="24"/>
                <w:highlight w:val="none"/>
                <w:lang w:val="en-US" w:eastAsia="zh-CN"/>
              </w:rPr>
              <w:t>。</w:t>
            </w:r>
          </w:p>
        </w:tc>
        <w:tc>
          <w:tcPr>
            <w:tcW w:w="525" w:type="dxa"/>
            <w:vAlign w:val="center"/>
          </w:tcPr>
          <w:p w14:paraId="20738915">
            <w:pPr>
              <w:spacing w:line="500" w:lineRule="exact"/>
              <w:jc w:val="center"/>
              <w:rPr>
                <w:rFonts w:hint="eastAsia" w:ascii="宋体" w:hAnsi="宋体" w:cs="宋体"/>
                <w:color w:val="auto"/>
                <w:sz w:val="24"/>
                <w:highlight w:val="none"/>
                <w:lang w:val="en-US" w:eastAsia="zh-CN"/>
              </w:rPr>
            </w:pPr>
          </w:p>
          <w:p w14:paraId="4D628D30">
            <w:pPr>
              <w:spacing w:line="5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30</w:t>
            </w:r>
          </w:p>
        </w:tc>
      </w:tr>
      <w:tr w14:paraId="4F2899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3" w:hRule="atLeast"/>
          <w:jc w:val="center"/>
        </w:trPr>
        <w:tc>
          <w:tcPr>
            <w:tcW w:w="1817" w:type="dxa"/>
            <w:vAlign w:val="center"/>
          </w:tcPr>
          <w:p w14:paraId="5B5AC752">
            <w:pPr>
              <w:keepNext w:val="0"/>
              <w:keepLines w:val="0"/>
              <w:pageBreakBefore w:val="0"/>
              <w:kinsoku/>
              <w:wordWrap/>
              <w:overflowPunct/>
              <w:topLinePunct w:val="0"/>
              <w:autoSpaceDE/>
              <w:autoSpaceDN/>
              <w:bidi w:val="0"/>
              <w:adjustRightInd/>
              <w:snapToGrid w:val="0"/>
              <w:spacing w:line="50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w:t>
            </w:r>
            <w:r>
              <w:rPr>
                <w:rFonts w:hint="eastAsia" w:ascii="宋体" w:hAnsi="宋体" w:cs="宋体"/>
                <w:color w:val="auto"/>
                <w:sz w:val="24"/>
                <w:szCs w:val="24"/>
                <w:highlight w:val="none"/>
                <w:lang w:eastAsia="zh-CN"/>
              </w:rPr>
              <w:t>实施</w:t>
            </w:r>
          </w:p>
          <w:p w14:paraId="1254AC13">
            <w:pPr>
              <w:spacing w:line="500" w:lineRule="exact"/>
              <w:jc w:val="center"/>
              <w:rPr>
                <w:rFonts w:ascii="宋体" w:hAnsi="宋体" w:cs="宋体"/>
                <w:color w:val="auto"/>
                <w:sz w:val="24"/>
                <w:highlight w:val="none"/>
              </w:rPr>
            </w:pPr>
            <w:r>
              <w:rPr>
                <w:rFonts w:hint="eastAsia" w:ascii="宋体" w:hAnsi="宋体" w:eastAsia="宋体" w:cs="宋体"/>
                <w:color w:val="auto"/>
                <w:sz w:val="24"/>
                <w:szCs w:val="24"/>
                <w:highlight w:val="none"/>
              </w:rPr>
              <w:t>方案</w:t>
            </w:r>
          </w:p>
        </w:tc>
        <w:tc>
          <w:tcPr>
            <w:tcW w:w="6620" w:type="dxa"/>
            <w:vAlign w:val="center"/>
          </w:tcPr>
          <w:p w14:paraId="1CBB757D">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w:t>
            </w:r>
            <w:r>
              <w:rPr>
                <w:rFonts w:hint="eastAsia" w:cs="Times New Roman"/>
                <w:color w:val="auto"/>
                <w:sz w:val="24"/>
                <w:szCs w:val="24"/>
                <w:highlight w:val="none"/>
                <w:lang w:eastAsia="zh-CN"/>
              </w:rPr>
              <w:t>投标人</w:t>
            </w:r>
            <w:r>
              <w:rPr>
                <w:rFonts w:hint="eastAsia" w:ascii="Times New Roman" w:hAnsi="Times New Roman" w:eastAsia="宋体" w:cs="Times New Roman"/>
                <w:color w:val="auto"/>
                <w:sz w:val="24"/>
                <w:szCs w:val="24"/>
                <w:highlight w:val="none"/>
                <w:lang w:eastAsia="zh-CN"/>
              </w:rPr>
              <w:t>提供的项目实施方案进行评分：</w:t>
            </w:r>
          </w:p>
          <w:p w14:paraId="54528E75">
            <w:pPr>
              <w:keepNext w:val="0"/>
              <w:keepLines w:val="0"/>
              <w:pageBreakBefore w:val="0"/>
              <w:widowControl/>
              <w:kinsoku/>
              <w:wordWrap/>
              <w:overflowPunct/>
              <w:topLinePunct w:val="0"/>
              <w:autoSpaceDE/>
              <w:autoSpaceDN/>
              <w:bidi w:val="0"/>
              <w:adjustRightInd/>
              <w:spacing w:line="500" w:lineRule="exact"/>
              <w:rPr>
                <w:rFonts w:hint="eastAsia"/>
                <w:b w:val="0"/>
                <w:bCs w:val="0"/>
                <w:color w:val="auto"/>
                <w:sz w:val="24"/>
                <w:szCs w:val="24"/>
                <w:highlight w:val="none"/>
                <w:lang w:eastAsia="zh-CN"/>
              </w:rPr>
            </w:pPr>
            <w:r>
              <w:rPr>
                <w:rFonts w:hint="eastAsia"/>
                <w:b w:val="0"/>
                <w:bCs w:val="0"/>
                <w:color w:val="auto"/>
                <w:sz w:val="24"/>
                <w:szCs w:val="24"/>
                <w:highlight w:val="none"/>
              </w:rPr>
              <w:t>项目实施方案包括但不限于：</w:t>
            </w:r>
            <w:r>
              <w:rPr>
                <w:rFonts w:hint="eastAsia"/>
                <w:b w:val="0"/>
                <w:bCs w:val="0"/>
                <w:color w:val="auto"/>
                <w:sz w:val="24"/>
                <w:szCs w:val="24"/>
                <w:highlight w:val="none"/>
                <w:lang w:eastAsia="zh-CN"/>
              </w:rPr>
              <w:t>①</w:t>
            </w:r>
            <w:r>
              <w:rPr>
                <w:rFonts w:hint="eastAsia" w:ascii="宋体" w:hAnsi="宋体" w:eastAsia="宋体" w:cs="宋体"/>
                <w:b w:val="0"/>
                <w:bCs w:val="0"/>
                <w:color w:val="auto"/>
                <w:sz w:val="24"/>
                <w:szCs w:val="24"/>
                <w:highlight w:val="none"/>
              </w:rPr>
              <w:t>项目人员安排（包含但不限于主要人员名单及基本情况介绍、在本项目中承担的职责等）、</w:t>
            </w:r>
            <w:r>
              <w:rPr>
                <w:rFonts w:hint="eastAsia" w:ascii="宋体" w:hAnsi="宋体" w:eastAsia="宋体" w:cs="宋体"/>
                <w:b w:val="0"/>
                <w:bCs w:val="0"/>
                <w:color w:val="auto"/>
                <w:sz w:val="24"/>
                <w:szCs w:val="24"/>
                <w:highlight w:val="none"/>
                <w:lang w:eastAsia="zh-CN"/>
              </w:rPr>
              <w:t>②</w:t>
            </w:r>
            <w:r>
              <w:rPr>
                <w:rFonts w:hint="eastAsia" w:ascii="宋体" w:hAnsi="宋体" w:eastAsia="宋体" w:cs="宋体"/>
                <w:b w:val="0"/>
                <w:bCs w:val="0"/>
                <w:color w:val="auto"/>
                <w:sz w:val="24"/>
                <w:szCs w:val="24"/>
                <w:highlight w:val="none"/>
              </w:rPr>
              <w:t>供货方案（包含但不限于产品来源、供货计划、供货时间、包装和运输方式等）、</w:t>
            </w:r>
            <w:r>
              <w:rPr>
                <w:rFonts w:hint="eastAsia" w:ascii="宋体" w:hAnsi="宋体" w:eastAsia="宋体" w:cs="宋体"/>
                <w:b w:val="0"/>
                <w:bCs w:val="0"/>
                <w:color w:val="auto"/>
                <w:sz w:val="24"/>
                <w:szCs w:val="24"/>
                <w:highlight w:val="none"/>
                <w:lang w:eastAsia="zh-CN"/>
              </w:rPr>
              <w:t>③</w:t>
            </w:r>
            <w:r>
              <w:rPr>
                <w:rFonts w:hint="eastAsia" w:ascii="宋体" w:hAnsi="宋体" w:eastAsia="宋体" w:cs="宋体"/>
                <w:b w:val="0"/>
                <w:bCs w:val="0"/>
                <w:color w:val="auto"/>
                <w:sz w:val="24"/>
                <w:szCs w:val="24"/>
                <w:highlight w:val="none"/>
              </w:rPr>
              <w:t>质量管控方案（包括但不限于质量管控的标准、方法和程序等）、</w:t>
            </w:r>
            <w:r>
              <w:rPr>
                <w:rFonts w:hint="eastAsia" w:ascii="宋体" w:hAnsi="宋体" w:eastAsia="宋体" w:cs="宋体"/>
                <w:b w:val="0"/>
                <w:bCs w:val="0"/>
                <w:color w:val="auto"/>
                <w:sz w:val="24"/>
                <w:szCs w:val="24"/>
                <w:highlight w:val="none"/>
                <w:lang w:eastAsia="zh-CN"/>
              </w:rPr>
              <w:t>④</w:t>
            </w:r>
            <w:r>
              <w:rPr>
                <w:rFonts w:hint="eastAsia" w:ascii="宋体" w:hAnsi="宋体" w:eastAsia="宋体" w:cs="宋体"/>
                <w:b w:val="0"/>
                <w:bCs w:val="0"/>
                <w:color w:val="auto"/>
                <w:sz w:val="24"/>
                <w:szCs w:val="24"/>
                <w:highlight w:val="none"/>
              </w:rPr>
              <w:t>测试（调试）方案（包含但不限于人员安排、测试步骤、测试标准等）</w:t>
            </w:r>
            <w:r>
              <w:rPr>
                <w:b w:val="0"/>
                <w:bCs w:val="0"/>
                <w:color w:val="auto"/>
                <w:sz w:val="24"/>
                <w:szCs w:val="24"/>
                <w:highlight w:val="none"/>
              </w:rPr>
              <w:t>等</w:t>
            </w:r>
            <w:r>
              <w:rPr>
                <w:rFonts w:hint="eastAsia"/>
                <w:b w:val="0"/>
                <w:bCs w:val="0"/>
                <w:color w:val="auto"/>
                <w:sz w:val="24"/>
                <w:szCs w:val="24"/>
                <w:highlight w:val="none"/>
              </w:rPr>
              <w:t>4项内容，</w:t>
            </w:r>
            <w:r>
              <w:rPr>
                <w:rFonts w:hint="eastAsia"/>
                <w:b w:val="0"/>
                <w:bCs w:val="0"/>
                <w:color w:val="auto"/>
                <w:sz w:val="24"/>
                <w:szCs w:val="24"/>
                <w:highlight w:val="none"/>
                <w:lang w:eastAsia="zh-CN"/>
              </w:rPr>
              <w:t>全部提供</w:t>
            </w:r>
            <w:r>
              <w:rPr>
                <w:rFonts w:hint="eastAsia"/>
                <w:b w:val="0"/>
                <w:bCs w:val="0"/>
                <w:color w:val="auto"/>
                <w:sz w:val="24"/>
                <w:szCs w:val="24"/>
                <w:highlight w:val="none"/>
              </w:rPr>
              <w:t>得</w:t>
            </w:r>
            <w:r>
              <w:rPr>
                <w:rFonts w:hint="eastAsia"/>
                <w:b w:val="0"/>
                <w:bCs w:val="0"/>
                <w:color w:val="auto"/>
                <w:sz w:val="24"/>
                <w:szCs w:val="24"/>
                <w:highlight w:val="none"/>
                <w:lang w:val="en-US" w:eastAsia="zh-CN"/>
              </w:rPr>
              <w:t>12</w:t>
            </w:r>
            <w:r>
              <w:rPr>
                <w:rFonts w:hint="eastAsia"/>
                <w:b w:val="0"/>
                <w:bCs w:val="0"/>
                <w:color w:val="auto"/>
                <w:sz w:val="24"/>
                <w:szCs w:val="24"/>
                <w:highlight w:val="none"/>
              </w:rPr>
              <w:t>分</w:t>
            </w:r>
            <w:r>
              <w:rPr>
                <w:rFonts w:hint="eastAsia"/>
                <w:b w:val="0"/>
                <w:bCs w:val="0"/>
                <w:color w:val="auto"/>
                <w:sz w:val="24"/>
                <w:szCs w:val="24"/>
                <w:highlight w:val="none"/>
                <w:lang w:eastAsia="zh-CN"/>
              </w:rPr>
              <w:t>。</w:t>
            </w:r>
          </w:p>
          <w:p w14:paraId="648B6B1C">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①每缺少一项方案扣</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分，扣完为止；</w:t>
            </w:r>
          </w:p>
          <w:p w14:paraId="6760A672">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color w:val="auto"/>
                <w:highlight w:val="none"/>
                <w:lang w:val="en-US" w:eastAsia="zh-CN"/>
              </w:rPr>
            </w:pPr>
            <w:r>
              <w:rPr>
                <w:rFonts w:hint="eastAsia" w:ascii="宋体" w:hAnsi="宋体" w:eastAsia="宋体" w:cs="宋体"/>
                <w:b w:val="0"/>
                <w:bCs w:val="0"/>
                <w:color w:val="auto"/>
                <w:sz w:val="24"/>
                <w:szCs w:val="24"/>
                <w:highlight w:val="none"/>
                <w:lang w:val="en-US" w:eastAsia="zh-CN"/>
              </w:rPr>
              <w:t>②方案中有一处存在缺陷的，扣</w:t>
            </w:r>
            <w:r>
              <w:rPr>
                <w:rFonts w:hint="eastAsia" w:ascii="宋体" w:hAnsi="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lang w:val="en-US" w:eastAsia="zh-CN"/>
              </w:rPr>
              <w:t>分，扣完为止；未提供项目组织方案的，此项不得分。</w:t>
            </w:r>
          </w:p>
          <w:p w14:paraId="088124AF">
            <w:pPr>
              <w:spacing w:line="500" w:lineRule="exact"/>
              <w:jc w:val="left"/>
              <w:rPr>
                <w:rFonts w:ascii="宋体" w:hAnsi="宋体" w:cs="宋体"/>
                <w:color w:val="auto"/>
                <w:sz w:val="24"/>
                <w:highlight w:val="none"/>
              </w:rPr>
            </w:pPr>
            <w:r>
              <w:rPr>
                <w:rFonts w:hint="eastAsia" w:ascii="宋体" w:hAnsi="宋体" w:eastAsia="宋体" w:cs="宋体"/>
                <w:b/>
                <w:bCs/>
                <w:color w:val="auto"/>
                <w:sz w:val="24"/>
                <w:szCs w:val="24"/>
                <w:highlight w:val="none"/>
                <w:lang w:val="en-US" w:eastAsia="zh-CN"/>
              </w:rPr>
              <w:t>注：项目组织方案内容存在缺陷按照以下标准评判：①该项内容前后不一致、逻辑错误、内容缺失；②该项内容描述不符合国家相关法律法规、政策文件、规范标准要求；③该项内容阐述的方式方法明显不符合本项目实际情况；④该项内容描述与本项目实际情况不符；⑤该项内容套用其他项目内容。</w:t>
            </w:r>
          </w:p>
        </w:tc>
        <w:tc>
          <w:tcPr>
            <w:tcW w:w="525" w:type="dxa"/>
            <w:vAlign w:val="center"/>
          </w:tcPr>
          <w:p w14:paraId="0F1F72D3">
            <w:pPr>
              <w:pStyle w:val="22"/>
              <w:snapToGrid w:val="0"/>
              <w:spacing w:line="500" w:lineRule="exact"/>
              <w:jc w:val="center"/>
              <w:rPr>
                <w:rFonts w:hint="default" w:hAnsi="宋体" w:eastAsia="宋体" w:cs="宋体"/>
                <w:color w:val="auto"/>
                <w:sz w:val="24"/>
                <w:highlight w:val="none"/>
                <w:lang w:val="en-US" w:eastAsia="zh-CN"/>
              </w:rPr>
            </w:pPr>
            <w:r>
              <w:rPr>
                <w:rFonts w:hint="eastAsia" w:hAnsi="宋体" w:cs="宋体"/>
                <w:color w:val="auto"/>
                <w:sz w:val="24"/>
                <w:highlight w:val="none"/>
                <w:lang w:val="en-US" w:eastAsia="zh-CN"/>
              </w:rPr>
              <w:t>12</w:t>
            </w:r>
          </w:p>
        </w:tc>
      </w:tr>
      <w:tr w14:paraId="0315B4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3" w:hRule="atLeast"/>
          <w:jc w:val="center"/>
        </w:trPr>
        <w:tc>
          <w:tcPr>
            <w:tcW w:w="1817" w:type="dxa"/>
            <w:vAlign w:val="center"/>
          </w:tcPr>
          <w:p w14:paraId="7498BDE8">
            <w:pPr>
              <w:keepNext w:val="0"/>
              <w:keepLines w:val="0"/>
              <w:pageBreakBefore w:val="0"/>
              <w:widowControl/>
              <w:kinsoku/>
              <w:wordWrap/>
              <w:overflowPunct/>
              <w:topLinePunct w:val="0"/>
              <w:autoSpaceDE/>
              <w:autoSpaceDN/>
              <w:bidi w:val="0"/>
              <w:adjustRightInd/>
              <w:spacing w:line="500" w:lineRule="exact"/>
              <w:jc w:val="center"/>
              <w:rPr>
                <w:rFonts w:hint="eastAsia" w:eastAsia="宋体"/>
                <w:b w:val="0"/>
                <w:bCs w:val="0"/>
                <w:color w:val="auto"/>
                <w:sz w:val="24"/>
                <w:szCs w:val="24"/>
                <w:highlight w:val="none"/>
                <w:lang w:val="en-US" w:eastAsia="zh-CN"/>
              </w:rPr>
            </w:pPr>
            <w:r>
              <w:rPr>
                <w:rFonts w:hint="eastAsia" w:eastAsia="宋体"/>
                <w:b w:val="0"/>
                <w:bCs w:val="0"/>
                <w:color w:val="auto"/>
                <w:sz w:val="24"/>
                <w:szCs w:val="24"/>
                <w:highlight w:val="none"/>
                <w:lang w:val="en-US" w:eastAsia="zh-CN"/>
              </w:rPr>
              <w:t>应急预案</w:t>
            </w:r>
          </w:p>
        </w:tc>
        <w:tc>
          <w:tcPr>
            <w:tcW w:w="6620" w:type="dxa"/>
            <w:vAlign w:val="center"/>
          </w:tcPr>
          <w:p w14:paraId="3E907316">
            <w:pPr>
              <w:keepNext w:val="0"/>
              <w:keepLines w:val="0"/>
              <w:pageBreakBefore w:val="0"/>
              <w:widowControl/>
              <w:kinsoku/>
              <w:wordWrap/>
              <w:overflowPunct/>
              <w:topLinePunct w:val="0"/>
              <w:autoSpaceDE/>
              <w:autoSpaceDN/>
              <w:bidi w:val="0"/>
              <w:adjustRightInd/>
              <w:spacing w:line="500" w:lineRule="exact"/>
              <w:rPr>
                <w:rFonts w:hint="eastAsia" w:eastAsia="宋体"/>
                <w:b w:val="0"/>
                <w:bCs w:val="0"/>
                <w:color w:val="auto"/>
                <w:sz w:val="24"/>
                <w:szCs w:val="24"/>
                <w:highlight w:val="none"/>
                <w:lang w:val="en-US" w:eastAsia="zh-CN"/>
              </w:rPr>
            </w:pPr>
            <w:r>
              <w:rPr>
                <w:rFonts w:hint="eastAsia" w:eastAsia="宋体"/>
                <w:b w:val="0"/>
                <w:bCs w:val="0"/>
                <w:color w:val="auto"/>
                <w:sz w:val="24"/>
                <w:szCs w:val="24"/>
                <w:highlight w:val="none"/>
                <w:lang w:val="en-US" w:eastAsia="zh-CN"/>
              </w:rPr>
              <w:t>依据投标人提供的应急预案，方案中指符合采购产品的运输过程中的应急处理措施等方面的全面性、完整性和合理性进行评审，完全满足的得6分，存在缺陷或漏洞不利于项目实施的，每有一项扣1分，扣完为止。</w:t>
            </w:r>
          </w:p>
          <w:p w14:paraId="16B6DE6A">
            <w:pPr>
              <w:keepNext w:val="0"/>
              <w:keepLines w:val="0"/>
              <w:pageBreakBefore w:val="0"/>
              <w:widowControl/>
              <w:kinsoku/>
              <w:wordWrap/>
              <w:overflowPunct/>
              <w:topLinePunct w:val="0"/>
              <w:autoSpaceDE/>
              <w:autoSpaceDN/>
              <w:bidi w:val="0"/>
              <w:adjustRightInd/>
              <w:spacing w:line="500" w:lineRule="exact"/>
              <w:rPr>
                <w:rFonts w:hint="eastAsia" w:eastAsia="宋体"/>
                <w:b w:val="0"/>
                <w:bCs w:val="0"/>
                <w:color w:val="auto"/>
                <w:sz w:val="24"/>
                <w:szCs w:val="24"/>
                <w:highlight w:val="none"/>
                <w:lang w:val="en-US" w:eastAsia="zh-CN"/>
              </w:rPr>
            </w:pPr>
            <w:r>
              <w:rPr>
                <w:rFonts w:hint="eastAsia" w:eastAsia="宋体"/>
                <w:b/>
                <w:bCs/>
                <w:color w:val="auto"/>
                <w:sz w:val="24"/>
                <w:szCs w:val="24"/>
                <w:highlight w:val="none"/>
                <w:lang w:val="en-US" w:eastAsia="zh-CN"/>
              </w:rPr>
              <w:t>注：本评审内容中“存在缺陷或漏洞不利于项目实施的”是指：存在不适用本项目实际情况、内容不完整或缺少关键节点、前后矛盾、涉及的规范及标准错误不可能实现的情形等任意一种情形。</w:t>
            </w:r>
          </w:p>
        </w:tc>
        <w:tc>
          <w:tcPr>
            <w:tcW w:w="525" w:type="dxa"/>
            <w:vAlign w:val="center"/>
          </w:tcPr>
          <w:p w14:paraId="041B96C4">
            <w:pPr>
              <w:pStyle w:val="22"/>
              <w:snapToGrid w:val="0"/>
              <w:spacing w:line="500" w:lineRule="exact"/>
              <w:jc w:val="center"/>
              <w:rPr>
                <w:rFonts w:hint="default" w:hAnsi="宋体" w:cs="宋体"/>
                <w:color w:val="auto"/>
                <w:sz w:val="24"/>
                <w:highlight w:val="none"/>
                <w:lang w:val="en-US" w:eastAsia="zh-CN"/>
              </w:rPr>
            </w:pPr>
            <w:r>
              <w:rPr>
                <w:rFonts w:hint="eastAsia" w:hAnsi="宋体" w:cs="宋体"/>
                <w:color w:val="auto"/>
                <w:sz w:val="24"/>
                <w:highlight w:val="none"/>
                <w:lang w:val="en-US" w:eastAsia="zh-CN"/>
              </w:rPr>
              <w:t>6</w:t>
            </w:r>
          </w:p>
        </w:tc>
      </w:tr>
      <w:tr w14:paraId="6546ED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3" w:hRule="atLeast"/>
          <w:jc w:val="center"/>
        </w:trPr>
        <w:tc>
          <w:tcPr>
            <w:tcW w:w="1817" w:type="dxa"/>
            <w:vAlign w:val="center"/>
          </w:tcPr>
          <w:p w14:paraId="59CD10C8">
            <w:pPr>
              <w:keepNext w:val="0"/>
              <w:keepLines w:val="0"/>
              <w:pageBreakBefore w:val="0"/>
              <w:widowControl/>
              <w:kinsoku/>
              <w:wordWrap/>
              <w:overflowPunct/>
              <w:topLinePunct w:val="0"/>
              <w:autoSpaceDE/>
              <w:autoSpaceDN/>
              <w:bidi w:val="0"/>
              <w:adjustRightInd/>
              <w:spacing w:line="500" w:lineRule="exact"/>
              <w:jc w:val="center"/>
              <w:rPr>
                <w:rFonts w:hint="eastAsia" w:eastAsia="宋体"/>
                <w:b w:val="0"/>
                <w:bCs w:val="0"/>
                <w:color w:val="auto"/>
                <w:sz w:val="24"/>
                <w:szCs w:val="24"/>
                <w:highlight w:val="none"/>
                <w:lang w:val="en-US" w:eastAsia="zh-CN"/>
              </w:rPr>
            </w:pPr>
            <w:r>
              <w:rPr>
                <w:rFonts w:hint="eastAsia" w:eastAsia="宋体"/>
                <w:b w:val="0"/>
                <w:bCs w:val="0"/>
                <w:color w:val="auto"/>
                <w:sz w:val="24"/>
                <w:szCs w:val="24"/>
                <w:highlight w:val="none"/>
                <w:lang w:val="en-US" w:eastAsia="zh-CN"/>
              </w:rPr>
              <w:t>设备检测与维护方案</w:t>
            </w:r>
          </w:p>
        </w:tc>
        <w:tc>
          <w:tcPr>
            <w:tcW w:w="6620" w:type="dxa"/>
            <w:vAlign w:val="center"/>
          </w:tcPr>
          <w:p w14:paraId="524257EE">
            <w:pPr>
              <w:keepNext w:val="0"/>
              <w:keepLines w:val="0"/>
              <w:pageBreakBefore w:val="0"/>
              <w:widowControl/>
              <w:kinsoku/>
              <w:wordWrap/>
              <w:overflowPunct/>
              <w:topLinePunct w:val="0"/>
              <w:autoSpaceDE/>
              <w:autoSpaceDN/>
              <w:bidi w:val="0"/>
              <w:adjustRightInd/>
              <w:spacing w:line="500" w:lineRule="exact"/>
              <w:rPr>
                <w:rFonts w:hint="eastAsia" w:eastAsia="宋体"/>
                <w:b w:val="0"/>
                <w:bCs w:val="0"/>
                <w:color w:val="auto"/>
                <w:sz w:val="24"/>
                <w:szCs w:val="24"/>
                <w:highlight w:val="none"/>
                <w:lang w:val="en-US" w:eastAsia="zh-CN"/>
              </w:rPr>
            </w:pPr>
            <w:r>
              <w:rPr>
                <w:rFonts w:hint="eastAsia" w:eastAsia="宋体"/>
                <w:b w:val="0"/>
                <w:bCs w:val="0"/>
                <w:color w:val="auto"/>
                <w:sz w:val="24"/>
                <w:szCs w:val="24"/>
                <w:highlight w:val="none"/>
                <w:lang w:val="en-US" w:eastAsia="zh-CN"/>
              </w:rPr>
              <w:t>依据投标人提供的设备检测与维护方案，方案中定期对设备性能检测、硬件清洁和更换、设备保养和维护等方面的全面性、完整性和合理性进行评审，完全满足的得4分，存在缺陷或漏洞不利于项目实施的，每有一项扣1分，扣完为止。</w:t>
            </w:r>
          </w:p>
          <w:p w14:paraId="218D5F3E">
            <w:pPr>
              <w:keepNext w:val="0"/>
              <w:keepLines w:val="0"/>
              <w:pageBreakBefore w:val="0"/>
              <w:widowControl/>
              <w:kinsoku/>
              <w:wordWrap/>
              <w:overflowPunct/>
              <w:topLinePunct w:val="0"/>
              <w:autoSpaceDE/>
              <w:autoSpaceDN/>
              <w:bidi w:val="0"/>
              <w:adjustRightInd/>
              <w:spacing w:line="500" w:lineRule="exact"/>
              <w:rPr>
                <w:rFonts w:hint="eastAsia" w:eastAsia="宋体"/>
                <w:b w:val="0"/>
                <w:bCs w:val="0"/>
                <w:color w:val="auto"/>
                <w:sz w:val="24"/>
                <w:szCs w:val="24"/>
                <w:highlight w:val="none"/>
                <w:lang w:val="en-US" w:eastAsia="zh-CN"/>
              </w:rPr>
            </w:pPr>
            <w:r>
              <w:rPr>
                <w:rFonts w:hint="eastAsia" w:eastAsia="宋体"/>
                <w:b/>
                <w:bCs/>
                <w:color w:val="auto"/>
                <w:sz w:val="24"/>
                <w:szCs w:val="24"/>
                <w:highlight w:val="none"/>
                <w:lang w:val="en-US" w:eastAsia="zh-CN"/>
              </w:rPr>
              <w:t>注：本评审内容中“存在缺陷或漏洞不利于项目实施的”是指：存在不适用本项目实际情况、内容不完整或缺少关键节点、前后矛盾、涉及的规范及标准错误不可能实现的情形等任意一种情形。</w:t>
            </w:r>
          </w:p>
        </w:tc>
        <w:tc>
          <w:tcPr>
            <w:tcW w:w="525" w:type="dxa"/>
            <w:vAlign w:val="center"/>
          </w:tcPr>
          <w:p w14:paraId="6B64E220">
            <w:pPr>
              <w:pStyle w:val="22"/>
              <w:snapToGrid w:val="0"/>
              <w:spacing w:line="500" w:lineRule="exact"/>
              <w:jc w:val="center"/>
              <w:rPr>
                <w:rFonts w:hint="default" w:hAnsi="宋体" w:cs="宋体"/>
                <w:color w:val="auto"/>
                <w:sz w:val="24"/>
                <w:highlight w:val="none"/>
                <w:lang w:val="en-US" w:eastAsia="zh-CN"/>
              </w:rPr>
            </w:pPr>
            <w:r>
              <w:rPr>
                <w:rFonts w:hint="eastAsia" w:hAnsi="宋体" w:cs="宋体"/>
                <w:color w:val="auto"/>
                <w:sz w:val="24"/>
                <w:highlight w:val="none"/>
                <w:lang w:val="en-US" w:eastAsia="zh-CN"/>
              </w:rPr>
              <w:t>4</w:t>
            </w:r>
          </w:p>
        </w:tc>
      </w:tr>
      <w:tr w14:paraId="525317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72" w:hRule="atLeast"/>
          <w:jc w:val="center"/>
        </w:trPr>
        <w:tc>
          <w:tcPr>
            <w:tcW w:w="1817" w:type="dxa"/>
            <w:vAlign w:val="center"/>
          </w:tcPr>
          <w:p w14:paraId="297E451C">
            <w:pPr>
              <w:keepNext w:val="0"/>
              <w:keepLines w:val="0"/>
              <w:pageBreakBefore w:val="0"/>
              <w:widowControl/>
              <w:kinsoku/>
              <w:wordWrap/>
              <w:overflowPunct/>
              <w:topLinePunct w:val="0"/>
              <w:autoSpaceDE/>
              <w:autoSpaceDN/>
              <w:bidi w:val="0"/>
              <w:adjustRightInd/>
              <w:spacing w:line="500" w:lineRule="exact"/>
              <w:jc w:val="center"/>
              <w:textAlignment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售后服务</w:t>
            </w:r>
          </w:p>
          <w:p w14:paraId="729E170A">
            <w:pPr>
              <w:widowControl/>
              <w:spacing w:line="500" w:lineRule="exact"/>
              <w:jc w:val="center"/>
              <w:rPr>
                <w:rFonts w:ascii="宋体" w:hAnsi="宋体" w:cs="宋体"/>
                <w:color w:val="auto"/>
                <w:sz w:val="24"/>
                <w:highlight w:val="none"/>
              </w:rPr>
            </w:pPr>
            <w:r>
              <w:rPr>
                <w:rFonts w:hint="eastAsia" w:ascii="宋体" w:hAnsi="宋体" w:eastAsia="宋体" w:cs="宋体"/>
                <w:color w:val="auto"/>
                <w:kern w:val="0"/>
                <w:sz w:val="24"/>
                <w:szCs w:val="24"/>
                <w:highlight w:val="none"/>
              </w:rPr>
              <w:t>方案</w:t>
            </w:r>
          </w:p>
        </w:tc>
        <w:tc>
          <w:tcPr>
            <w:tcW w:w="6620" w:type="dxa"/>
            <w:vAlign w:val="center"/>
          </w:tcPr>
          <w:p w14:paraId="614C78B6">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Times New Roman" w:hAnsi="Times New Roman" w:eastAsia="宋体" w:cs="Times New Roman"/>
                <w:color w:val="auto"/>
                <w:sz w:val="24"/>
                <w:szCs w:val="24"/>
                <w:highlight w:val="none"/>
                <w:lang w:eastAsia="zh-CN"/>
              </w:rPr>
            </w:pPr>
            <w:bookmarkStart w:id="378" w:name="_GoBack"/>
            <w:r>
              <w:rPr>
                <w:rFonts w:hint="eastAsia" w:ascii="Times New Roman" w:hAnsi="Times New Roman" w:eastAsia="宋体" w:cs="Times New Roman"/>
                <w:color w:val="auto"/>
                <w:sz w:val="24"/>
                <w:szCs w:val="24"/>
                <w:highlight w:val="none"/>
                <w:lang w:eastAsia="zh-CN"/>
              </w:rPr>
              <w:t>根据供应商提供的</w:t>
            </w:r>
            <w:r>
              <w:rPr>
                <w:rFonts w:hint="eastAsia" w:cs="Times New Roman"/>
                <w:color w:val="auto"/>
                <w:sz w:val="24"/>
                <w:szCs w:val="24"/>
                <w:highlight w:val="none"/>
                <w:lang w:eastAsia="zh-CN"/>
              </w:rPr>
              <w:t>售后服务</w:t>
            </w:r>
            <w:r>
              <w:rPr>
                <w:rFonts w:hint="eastAsia" w:ascii="Times New Roman" w:hAnsi="Times New Roman" w:eastAsia="宋体" w:cs="Times New Roman"/>
                <w:color w:val="auto"/>
                <w:sz w:val="24"/>
                <w:szCs w:val="24"/>
                <w:highlight w:val="none"/>
                <w:lang w:eastAsia="zh-CN"/>
              </w:rPr>
              <w:t>方案进行评分：</w:t>
            </w:r>
          </w:p>
          <w:p w14:paraId="015766F0">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项目</w:t>
            </w:r>
            <w:r>
              <w:rPr>
                <w:rFonts w:hint="eastAsia" w:cs="Times New Roman"/>
                <w:color w:val="auto"/>
                <w:sz w:val="24"/>
                <w:szCs w:val="24"/>
                <w:highlight w:val="none"/>
                <w:lang w:eastAsia="zh-CN"/>
              </w:rPr>
              <w:t>售后服务</w:t>
            </w:r>
            <w:r>
              <w:rPr>
                <w:rFonts w:hint="eastAsia" w:ascii="Times New Roman" w:hAnsi="Times New Roman" w:eastAsia="宋体" w:cs="Times New Roman"/>
                <w:color w:val="auto"/>
                <w:sz w:val="24"/>
                <w:szCs w:val="24"/>
                <w:highlight w:val="none"/>
                <w:lang w:eastAsia="zh-CN"/>
              </w:rPr>
              <w:t>方案包括但不限于</w:t>
            </w:r>
            <w:r>
              <w:rPr>
                <w:rFonts w:hint="eastAsia" w:ascii="宋体" w:hAnsi="宋体" w:eastAsia="宋体" w:cs="宋体"/>
                <w:color w:val="auto"/>
                <w:sz w:val="24"/>
                <w:szCs w:val="24"/>
                <w:highlight w:val="none"/>
                <w:lang w:val="en-US" w:eastAsia="zh-CN"/>
              </w:rPr>
              <w:t>售后</w:t>
            </w:r>
            <w:r>
              <w:rPr>
                <w:rFonts w:hint="default" w:ascii="宋体" w:hAnsi="宋体" w:eastAsia="宋体" w:cs="宋体"/>
                <w:color w:val="auto"/>
                <w:sz w:val="24"/>
                <w:szCs w:val="24"/>
                <w:highlight w:val="none"/>
                <w:lang w:val="en-US" w:eastAsia="zh-CN"/>
              </w:rPr>
              <w:t>服务承诺</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服务响应方案</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备件（易耗品）供应方案</w:t>
            </w:r>
            <w:r>
              <w:rPr>
                <w:rFonts w:hint="eastAsia" w:ascii="宋体" w:hAnsi="宋体" w:eastAsia="宋体" w:cs="宋体"/>
                <w:color w:val="auto"/>
                <w:sz w:val="24"/>
                <w:szCs w:val="24"/>
                <w:highlight w:val="none"/>
                <w:lang w:val="en-US" w:eastAsia="zh-CN"/>
              </w:rPr>
              <w:t>（含备件价格）、</w:t>
            </w:r>
            <w:r>
              <w:rPr>
                <w:rFonts w:hint="default" w:ascii="宋体" w:hAnsi="宋体" w:eastAsia="宋体" w:cs="宋体"/>
                <w:color w:val="auto"/>
                <w:sz w:val="24"/>
                <w:szCs w:val="24"/>
                <w:highlight w:val="none"/>
                <w:lang w:val="en-US" w:eastAsia="zh-CN"/>
              </w:rPr>
              <w:t>服务人员配备</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故障响应</w:t>
            </w:r>
            <w:r>
              <w:rPr>
                <w:rFonts w:hint="eastAsia" w:ascii="宋体" w:hAnsi="宋体" w:eastAsia="宋体" w:cs="宋体"/>
                <w:color w:val="auto"/>
                <w:sz w:val="24"/>
                <w:szCs w:val="24"/>
                <w:highlight w:val="none"/>
                <w:lang w:val="en-US" w:eastAsia="zh-CN"/>
              </w:rPr>
              <w:t>措施、</w:t>
            </w:r>
            <w:r>
              <w:rPr>
                <w:rFonts w:hint="default" w:ascii="宋体" w:hAnsi="宋体" w:eastAsia="宋体" w:cs="宋体"/>
                <w:color w:val="auto"/>
                <w:sz w:val="24"/>
                <w:szCs w:val="24"/>
                <w:highlight w:val="none"/>
                <w:lang w:val="en-US" w:eastAsia="zh-CN"/>
              </w:rPr>
              <w:t>质保外服务措施</w:t>
            </w:r>
            <w:r>
              <w:rPr>
                <w:rFonts w:hint="default" w:ascii="Times New Roman" w:hAnsi="Times New Roman" w:eastAsia="宋体" w:cs="Times New Roman"/>
                <w:color w:val="auto"/>
                <w:sz w:val="24"/>
                <w:szCs w:val="24"/>
                <w:highlight w:val="none"/>
                <w:lang w:eastAsia="zh-CN"/>
              </w:rPr>
              <w:t>等</w:t>
            </w:r>
            <w:r>
              <w:rPr>
                <w:rFonts w:hint="eastAsia" w:ascii="Times New Roman" w:hAnsi="Times New Roman" w:eastAsia="宋体" w:cs="Times New Roman"/>
                <w:color w:val="auto"/>
                <w:sz w:val="24"/>
                <w:szCs w:val="24"/>
                <w:highlight w:val="none"/>
                <w:lang w:val="en-US" w:eastAsia="zh-CN"/>
              </w:rPr>
              <w:t>6项内容，</w:t>
            </w:r>
            <w:r>
              <w:rPr>
                <w:rFonts w:hint="eastAsia" w:cs="Times New Roman"/>
                <w:color w:val="auto"/>
                <w:sz w:val="24"/>
                <w:szCs w:val="24"/>
                <w:highlight w:val="none"/>
                <w:lang w:eastAsia="zh-CN"/>
              </w:rPr>
              <w:t>全部提供</w:t>
            </w:r>
            <w:r>
              <w:rPr>
                <w:rFonts w:hint="eastAsia" w:ascii="Times New Roman" w:hAnsi="Times New Roman" w:eastAsia="宋体" w:cs="Times New Roman"/>
                <w:color w:val="auto"/>
                <w:sz w:val="24"/>
                <w:szCs w:val="24"/>
                <w:highlight w:val="none"/>
                <w:lang w:eastAsia="zh-CN"/>
              </w:rPr>
              <w:t>得</w:t>
            </w:r>
            <w:r>
              <w:rPr>
                <w:rFonts w:hint="eastAsia" w:cs="Times New Roman"/>
                <w:color w:val="auto"/>
                <w:sz w:val="24"/>
                <w:szCs w:val="24"/>
                <w:highlight w:val="none"/>
                <w:lang w:val="en-US" w:eastAsia="zh-CN"/>
              </w:rPr>
              <w:t>12</w:t>
            </w:r>
            <w:r>
              <w:rPr>
                <w:rFonts w:hint="eastAsia" w:ascii="Times New Roman" w:hAnsi="Times New Roman" w:eastAsia="宋体" w:cs="Times New Roman"/>
                <w:color w:val="auto"/>
                <w:sz w:val="24"/>
                <w:szCs w:val="24"/>
                <w:highlight w:val="none"/>
                <w:lang w:val="en-US" w:eastAsia="zh-CN"/>
              </w:rPr>
              <w:t>分</w:t>
            </w:r>
            <w:r>
              <w:rPr>
                <w:rFonts w:hint="eastAsia" w:cs="Times New Roman"/>
                <w:color w:val="auto"/>
                <w:sz w:val="24"/>
                <w:szCs w:val="24"/>
                <w:highlight w:val="none"/>
                <w:lang w:val="en-US" w:eastAsia="zh-CN"/>
              </w:rPr>
              <w:t>。</w:t>
            </w:r>
          </w:p>
          <w:p w14:paraId="4817657C">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cs="Times New Roman"/>
                <w:color w:val="auto"/>
                <w:sz w:val="24"/>
                <w:szCs w:val="24"/>
                <w:highlight w:val="none"/>
                <w:lang w:val="en-US" w:eastAsia="zh-CN"/>
              </w:rPr>
            </w:pPr>
            <w:r>
              <w:rPr>
                <w:rFonts w:hint="eastAsia" w:cs="Times New Roman"/>
                <w:color w:val="auto"/>
                <w:sz w:val="24"/>
                <w:szCs w:val="24"/>
                <w:highlight w:val="none"/>
                <w:lang w:val="en-US" w:eastAsia="zh-CN"/>
              </w:rPr>
              <w:t>①每缺少一项方案扣2分，扣完为止；</w:t>
            </w:r>
          </w:p>
          <w:p w14:paraId="48AC59EA">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cs="Times New Roman"/>
                <w:color w:val="auto"/>
                <w:sz w:val="24"/>
                <w:szCs w:val="24"/>
                <w:highlight w:val="none"/>
                <w:lang w:val="en-US" w:eastAsia="zh-CN"/>
              </w:rPr>
            </w:pPr>
            <w:r>
              <w:rPr>
                <w:rFonts w:hint="eastAsia" w:cs="Times New Roman"/>
                <w:color w:val="auto"/>
                <w:sz w:val="24"/>
                <w:szCs w:val="24"/>
                <w:highlight w:val="none"/>
                <w:lang w:val="en-US" w:eastAsia="zh-CN"/>
              </w:rPr>
              <w:t>②方案中有一处存在缺陷的，扣1分，扣完为止；未提供项目组织方案的，此项不得分。</w:t>
            </w:r>
          </w:p>
          <w:p w14:paraId="2ACB9238">
            <w:pPr>
              <w:spacing w:line="500" w:lineRule="exact"/>
              <w:jc w:val="left"/>
              <w:rPr>
                <w:rFonts w:ascii="宋体" w:hAnsi="宋体" w:cs="宋体"/>
                <w:color w:val="auto"/>
                <w:sz w:val="24"/>
                <w:highlight w:val="none"/>
              </w:rPr>
            </w:pPr>
            <w:r>
              <w:rPr>
                <w:rFonts w:hint="eastAsia" w:ascii="宋体" w:hAnsi="宋体" w:eastAsia="宋体" w:cs="宋体"/>
                <w:b/>
                <w:bCs/>
                <w:color w:val="auto"/>
                <w:sz w:val="24"/>
                <w:szCs w:val="24"/>
                <w:highlight w:val="none"/>
                <w:lang w:val="en-US" w:eastAsia="zh-CN"/>
              </w:rPr>
              <w:t>注：售后服务方案内容存在缺陷按照以下标准评判：①该项内容前后不一致、逻辑错误、内容缺失；②该项内容描述不符合国家相关法律法规、政策文件、规范标准要求；③该项内容阐述的方式方法明显不符合本项目实际情况；④该项内容描述与本项目实际情况不符；⑤该项内容套用其他项目内容。</w:t>
            </w:r>
            <w:bookmarkEnd w:id="378"/>
          </w:p>
        </w:tc>
        <w:tc>
          <w:tcPr>
            <w:tcW w:w="525" w:type="dxa"/>
            <w:vAlign w:val="center"/>
          </w:tcPr>
          <w:p w14:paraId="25F51419">
            <w:pPr>
              <w:spacing w:line="50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r>
    </w:tbl>
    <w:p w14:paraId="30807B70">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评分完毕，商务技术得分加投标报价得分之和，作为投标人的综合得分（精确到小数点后二位）。</w:t>
      </w:r>
    </w:p>
    <w:p w14:paraId="72B96BB1">
      <w:pPr>
        <w:spacing w:line="500" w:lineRule="exact"/>
        <w:rPr>
          <w:rFonts w:ascii="宋体" w:hAnsi="宋体" w:cs="宋体"/>
          <w:b/>
          <w:bCs/>
          <w:color w:val="auto"/>
          <w:sz w:val="24"/>
          <w:highlight w:val="none"/>
        </w:rPr>
      </w:pPr>
      <w:r>
        <w:rPr>
          <w:rFonts w:hint="eastAsia" w:ascii="宋体" w:hAnsi="宋体" w:cs="宋体"/>
          <w:b/>
          <w:bCs/>
          <w:color w:val="auto"/>
          <w:sz w:val="24"/>
          <w:highlight w:val="none"/>
        </w:rPr>
        <w:t>4.推荐中标候选人名单</w:t>
      </w:r>
    </w:p>
    <w:p w14:paraId="3FD2DA80">
      <w:pPr>
        <w:spacing w:line="500" w:lineRule="exact"/>
        <w:ind w:firstLine="480" w:firstLineChars="200"/>
        <w:rPr>
          <w:rFonts w:ascii="宋体" w:hAnsi="宋体" w:cs="宋体"/>
          <w:color w:val="auto"/>
          <w:sz w:val="24"/>
          <w:highlight w:val="none"/>
        </w:rPr>
      </w:pPr>
      <w:bookmarkStart w:id="296" w:name="_Toc99609763"/>
      <w:bookmarkStart w:id="297" w:name="_Toc99609899"/>
      <w:bookmarkStart w:id="298" w:name="_Toc167252417"/>
      <w:bookmarkStart w:id="299" w:name="_Toc99610035"/>
      <w:bookmarkStart w:id="300" w:name="_Toc99610205"/>
      <w:r>
        <w:rPr>
          <w:rFonts w:hint="eastAsia" w:ascii="宋体" w:hAnsi="宋体" w:cs="宋体"/>
          <w:color w:val="auto"/>
          <w:sz w:val="24"/>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601BB49">
      <w:pPr>
        <w:spacing w:line="500" w:lineRule="exact"/>
        <w:rPr>
          <w:rFonts w:ascii="宋体" w:hAnsi="宋体" w:cs="宋体"/>
          <w:b/>
          <w:bCs/>
          <w:color w:val="auto"/>
          <w:sz w:val="24"/>
          <w:highlight w:val="none"/>
        </w:rPr>
      </w:pPr>
      <w:r>
        <w:rPr>
          <w:rFonts w:hint="eastAsia" w:ascii="宋体" w:hAnsi="宋体" w:cs="宋体"/>
          <w:b/>
          <w:bCs/>
          <w:color w:val="auto"/>
          <w:sz w:val="24"/>
          <w:highlight w:val="none"/>
        </w:rPr>
        <w:t>5.评标报告</w:t>
      </w:r>
    </w:p>
    <w:bookmarkEnd w:id="296"/>
    <w:bookmarkEnd w:id="297"/>
    <w:bookmarkEnd w:id="298"/>
    <w:bookmarkEnd w:id="299"/>
    <w:bookmarkEnd w:id="300"/>
    <w:p w14:paraId="1759A3BB">
      <w:pPr>
        <w:spacing w:line="500" w:lineRule="exact"/>
        <w:ind w:firstLine="480" w:firstLineChars="200"/>
        <w:rPr>
          <w:rFonts w:hint="eastAsia" w:ascii="宋体" w:hAnsi="宋体" w:cs="宋体"/>
          <w:color w:val="auto"/>
          <w:sz w:val="24"/>
          <w:highlight w:val="none"/>
        </w:rPr>
      </w:pPr>
      <w:bookmarkStart w:id="301" w:name="_Toc99609972"/>
      <w:bookmarkStart w:id="302" w:name="_Toc99610143"/>
      <w:bookmarkStart w:id="303" w:name="_Toc99609702"/>
      <w:bookmarkStart w:id="304" w:name="_Toc167460132"/>
      <w:bookmarkStart w:id="305" w:name="_Toc167252482"/>
      <w:bookmarkStart w:id="306" w:name="_Toc99609836"/>
      <w:bookmarkStart w:id="307" w:name="_Toc99610108"/>
      <w:bookmarkStart w:id="308" w:name="_Toc99610278"/>
      <w:r>
        <w:rPr>
          <w:rFonts w:hint="eastAsia" w:ascii="宋体" w:hAnsi="宋体" w:cs="宋体"/>
          <w:color w:val="auto"/>
          <w:sz w:val="24"/>
          <w:highlight w:val="none"/>
        </w:rPr>
        <w:t>评标委员会完成评标后，应出具书面评审报告及中标候选人名单。招标代理机构对评标报告内容及所附文件、表格是否完整、清晰；评标委员会成员签字是否齐全；涂改处是否有小签、计算是否有算术错误；推荐的中标候选人数量是否符合现行法律法规和招标文件规定等内容进行复核。评标报告经形式复核无误后，招标代理机构将在评标结束后2个工作日内将评标报告送招标人确认。</w:t>
      </w:r>
    </w:p>
    <w:p w14:paraId="270D723D">
      <w:pPr>
        <w:pStyle w:val="18"/>
        <w:rPr>
          <w:rFonts w:hint="eastAsia" w:ascii="宋体" w:hAnsi="宋体" w:cs="宋体"/>
          <w:color w:val="auto"/>
          <w:sz w:val="24"/>
          <w:highlight w:val="none"/>
        </w:rPr>
      </w:pPr>
    </w:p>
    <w:p w14:paraId="33BDF87A">
      <w:pPr>
        <w:pStyle w:val="18"/>
        <w:rPr>
          <w:rFonts w:hint="eastAsia" w:ascii="宋体" w:hAnsi="宋体" w:cs="宋体"/>
          <w:color w:val="auto"/>
          <w:sz w:val="24"/>
          <w:highlight w:val="none"/>
        </w:rPr>
      </w:pPr>
    </w:p>
    <w:p w14:paraId="0193D059">
      <w:pPr>
        <w:pStyle w:val="18"/>
        <w:rPr>
          <w:rFonts w:hint="eastAsia" w:ascii="宋体" w:hAnsi="宋体" w:cs="宋体"/>
          <w:color w:val="auto"/>
          <w:sz w:val="24"/>
          <w:highlight w:val="none"/>
        </w:rPr>
      </w:pPr>
    </w:p>
    <w:p w14:paraId="19E19D4F">
      <w:pPr>
        <w:spacing w:afterLines="50" w:line="440" w:lineRule="exact"/>
        <w:ind w:right="119"/>
        <w:jc w:val="center"/>
        <w:outlineLvl w:val="0"/>
        <w:rPr>
          <w:rFonts w:ascii="宋体" w:hAnsi="宋体" w:cs="宋体"/>
          <w:b/>
          <w:bCs/>
          <w:color w:val="auto"/>
          <w:kern w:val="44"/>
          <w:sz w:val="36"/>
          <w:szCs w:val="32"/>
          <w:highlight w:val="none"/>
        </w:rPr>
      </w:pPr>
      <w:bookmarkStart w:id="309" w:name="_Toc148084481"/>
      <w:r>
        <w:rPr>
          <w:rFonts w:hint="eastAsia" w:ascii="宋体" w:hAnsi="宋体" w:cs="宋体"/>
          <w:b/>
          <w:bCs/>
          <w:color w:val="auto"/>
          <w:kern w:val="44"/>
          <w:sz w:val="36"/>
          <w:szCs w:val="32"/>
          <w:highlight w:val="none"/>
        </w:rPr>
        <w:t>第五章 合同条款</w:t>
      </w:r>
      <w:bookmarkEnd w:id="309"/>
    </w:p>
    <w:p w14:paraId="43383401">
      <w:pPr>
        <w:pStyle w:val="157"/>
        <w:spacing w:line="500" w:lineRule="exact"/>
        <w:rPr>
          <w:rFonts w:ascii="宋体" w:hAnsi="宋体" w:cs="仿宋"/>
          <w:color w:val="auto"/>
          <w:sz w:val="24"/>
          <w:szCs w:val="24"/>
          <w:highlight w:val="none"/>
        </w:rPr>
      </w:pPr>
      <w:r>
        <w:rPr>
          <w:rFonts w:hint="eastAsia" w:ascii="宋体" w:hAnsi="宋体" w:cs="仿宋"/>
          <w:color w:val="auto"/>
          <w:sz w:val="24"/>
          <w:szCs w:val="24"/>
          <w:highlight w:val="none"/>
        </w:rPr>
        <w:t xml:space="preserve">甲方（招标人）: </w:t>
      </w:r>
    </w:p>
    <w:p w14:paraId="7D6F34EA">
      <w:pPr>
        <w:pStyle w:val="157"/>
        <w:spacing w:line="500" w:lineRule="exact"/>
        <w:rPr>
          <w:rFonts w:ascii="宋体" w:hAnsi="宋体" w:cs="仿宋"/>
          <w:color w:val="auto"/>
          <w:sz w:val="24"/>
          <w:szCs w:val="24"/>
          <w:highlight w:val="none"/>
        </w:rPr>
      </w:pPr>
      <w:r>
        <w:rPr>
          <w:rFonts w:hint="eastAsia" w:ascii="宋体" w:hAnsi="宋体" w:cs="仿宋"/>
          <w:color w:val="auto"/>
          <w:sz w:val="24"/>
          <w:szCs w:val="24"/>
          <w:highlight w:val="none"/>
        </w:rPr>
        <w:t xml:space="preserve">乙方（中标人）:                                </w:t>
      </w:r>
    </w:p>
    <w:p w14:paraId="0DE41955">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根据</w:t>
      </w:r>
      <w:r>
        <w:rPr>
          <w:rFonts w:hint="eastAsia" w:ascii="宋体" w:hAnsi="宋体" w:cs="仿宋"/>
          <w:snapToGrid w:val="0"/>
          <w:color w:val="auto"/>
          <w:kern w:val="0"/>
          <w:sz w:val="24"/>
          <w:szCs w:val="24"/>
          <w:highlight w:val="none"/>
        </w:rPr>
        <w:t>《中华人民共和国民法典》、</w:t>
      </w:r>
      <w:r>
        <w:rPr>
          <w:rFonts w:hint="eastAsia" w:ascii="宋体" w:hAnsi="宋体" w:cs="仿宋"/>
          <w:color w:val="auto"/>
          <w:sz w:val="24"/>
          <w:szCs w:val="24"/>
          <w:highlight w:val="none"/>
        </w:rPr>
        <w:t>《中华人民共和国政府采购法》等相关法律规定，甲方对项目</w:t>
      </w:r>
      <w:r>
        <w:rPr>
          <w:rFonts w:hint="eastAsia" w:ascii="宋体" w:hAnsi="宋体" w:cs="仿宋"/>
          <w:snapToGrid w:val="0"/>
          <w:color w:val="auto"/>
          <w:kern w:val="0"/>
          <w:sz w:val="24"/>
          <w:szCs w:val="24"/>
          <w:highlight w:val="none"/>
        </w:rPr>
        <w:t>以方式</w:t>
      </w:r>
      <w:r>
        <w:rPr>
          <w:rFonts w:hint="eastAsia" w:ascii="宋体" w:hAnsi="宋体" w:cs="仿宋"/>
          <w:color w:val="auto"/>
          <w:sz w:val="24"/>
          <w:szCs w:val="24"/>
          <w:highlight w:val="none"/>
        </w:rPr>
        <w:t>进行采购（采购项目编号： ），确定乙方为中标人，现依照（招标文件、投标文件、中标通知书）等相关文件的内容，双方达成如下协议：</w:t>
      </w:r>
    </w:p>
    <w:p w14:paraId="31793F5B">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第一条 采购货物清单</w:t>
      </w:r>
    </w:p>
    <w:p w14:paraId="21E939B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货物清单</w:t>
      </w:r>
    </w:p>
    <w:tbl>
      <w:tblPr>
        <w:tblStyle w:val="47"/>
        <w:tblW w:w="906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60"/>
        <w:gridCol w:w="1276"/>
        <w:gridCol w:w="992"/>
        <w:gridCol w:w="850"/>
        <w:gridCol w:w="656"/>
        <w:gridCol w:w="1290"/>
        <w:gridCol w:w="1337"/>
      </w:tblGrid>
      <w:tr w14:paraId="4C281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Borders>
              <w:top w:val="single" w:color="auto" w:sz="4" w:space="0"/>
              <w:left w:val="single" w:color="auto" w:sz="4" w:space="0"/>
              <w:bottom w:val="single" w:color="auto" w:sz="4" w:space="0"/>
              <w:right w:val="single" w:color="auto" w:sz="4" w:space="0"/>
            </w:tcBorders>
            <w:vAlign w:val="center"/>
          </w:tcPr>
          <w:p w14:paraId="691984BF">
            <w:pPr>
              <w:pStyle w:val="182"/>
              <w:autoSpaceDN w:val="0"/>
              <w:adjustRightInd w:val="0"/>
              <w:snapToGrid w:val="0"/>
              <w:spacing w:line="500" w:lineRule="exact"/>
              <w:jc w:val="center"/>
              <w:rPr>
                <w:rFonts w:hAnsi="宋体" w:cs="仿宋"/>
                <w:bCs/>
                <w:color w:val="auto"/>
                <w:sz w:val="24"/>
                <w:szCs w:val="24"/>
                <w:highlight w:val="none"/>
              </w:rPr>
            </w:pPr>
            <w:r>
              <w:rPr>
                <w:rFonts w:hint="eastAsia" w:hAnsi="宋体" w:cs="仿宋"/>
                <w:bCs/>
                <w:color w:val="auto"/>
                <w:sz w:val="24"/>
                <w:szCs w:val="24"/>
                <w:highlight w:val="none"/>
              </w:rPr>
              <w:t>货物名称</w:t>
            </w:r>
          </w:p>
        </w:tc>
        <w:tc>
          <w:tcPr>
            <w:tcW w:w="1276" w:type="dxa"/>
            <w:tcBorders>
              <w:top w:val="single" w:color="auto" w:sz="4" w:space="0"/>
              <w:left w:val="single" w:color="auto" w:sz="4" w:space="0"/>
              <w:bottom w:val="single" w:color="auto" w:sz="4" w:space="0"/>
              <w:right w:val="single" w:color="auto" w:sz="4" w:space="0"/>
            </w:tcBorders>
            <w:vAlign w:val="center"/>
          </w:tcPr>
          <w:p w14:paraId="040E370A">
            <w:pPr>
              <w:pStyle w:val="183"/>
              <w:autoSpaceDN w:val="0"/>
              <w:adjustRightInd w:val="0"/>
              <w:snapToGrid w:val="0"/>
              <w:spacing w:line="500" w:lineRule="exact"/>
              <w:jc w:val="center"/>
              <w:rPr>
                <w:rFonts w:hAnsi="宋体" w:cs="仿宋"/>
                <w:bCs/>
                <w:color w:val="auto"/>
                <w:sz w:val="24"/>
                <w:szCs w:val="24"/>
                <w:highlight w:val="none"/>
              </w:rPr>
            </w:pPr>
            <w:r>
              <w:rPr>
                <w:rFonts w:hint="eastAsia" w:hAnsi="宋体" w:cs="仿宋"/>
                <w:bCs/>
                <w:color w:val="auto"/>
                <w:sz w:val="24"/>
                <w:szCs w:val="24"/>
                <w:highlight w:val="none"/>
              </w:rPr>
              <w:t>品牌</w:t>
            </w:r>
          </w:p>
        </w:tc>
        <w:tc>
          <w:tcPr>
            <w:tcW w:w="992" w:type="dxa"/>
            <w:tcBorders>
              <w:top w:val="single" w:color="auto" w:sz="4" w:space="0"/>
              <w:left w:val="single" w:color="auto" w:sz="4" w:space="0"/>
              <w:bottom w:val="single" w:color="auto" w:sz="4" w:space="0"/>
              <w:right w:val="single" w:color="auto" w:sz="4" w:space="0"/>
            </w:tcBorders>
            <w:vAlign w:val="center"/>
          </w:tcPr>
          <w:p w14:paraId="35CC9BAF">
            <w:pPr>
              <w:pStyle w:val="184"/>
              <w:autoSpaceDN w:val="0"/>
              <w:adjustRightInd w:val="0"/>
              <w:snapToGrid w:val="0"/>
              <w:spacing w:line="500" w:lineRule="exact"/>
              <w:jc w:val="center"/>
              <w:rPr>
                <w:rFonts w:ascii="宋体" w:hAnsi="宋体" w:cs="仿宋"/>
                <w:bCs/>
                <w:color w:val="auto"/>
                <w:sz w:val="24"/>
                <w:szCs w:val="24"/>
                <w:highlight w:val="none"/>
                <w:lang w:eastAsia="zh-CN"/>
              </w:rPr>
            </w:pPr>
            <w:r>
              <w:rPr>
                <w:rFonts w:hint="eastAsia" w:ascii="宋体" w:hAnsi="宋体" w:cs="仿宋"/>
                <w:bCs/>
                <w:color w:val="auto"/>
                <w:sz w:val="24"/>
                <w:szCs w:val="24"/>
                <w:highlight w:val="none"/>
              </w:rPr>
              <w:t>规格</w:t>
            </w:r>
          </w:p>
          <w:p w14:paraId="685CCCDC">
            <w:pPr>
              <w:pStyle w:val="184"/>
              <w:autoSpaceDN w:val="0"/>
              <w:adjustRightInd w:val="0"/>
              <w:snapToGrid w:val="0"/>
              <w:spacing w:line="500" w:lineRule="exact"/>
              <w:jc w:val="center"/>
              <w:rPr>
                <w:rFonts w:ascii="宋体" w:hAnsi="宋体" w:cs="仿宋"/>
                <w:bCs/>
                <w:color w:val="auto"/>
                <w:sz w:val="24"/>
                <w:szCs w:val="24"/>
                <w:highlight w:val="none"/>
              </w:rPr>
            </w:pPr>
            <w:r>
              <w:rPr>
                <w:rFonts w:hint="eastAsia" w:ascii="宋体" w:hAnsi="宋体" w:cs="仿宋"/>
                <w:bCs/>
                <w:color w:val="auto"/>
                <w:sz w:val="24"/>
                <w:szCs w:val="24"/>
                <w:highlight w:val="none"/>
              </w:rPr>
              <w:t>型号</w:t>
            </w:r>
          </w:p>
        </w:tc>
        <w:tc>
          <w:tcPr>
            <w:tcW w:w="850" w:type="dxa"/>
            <w:tcBorders>
              <w:top w:val="single" w:color="auto" w:sz="4" w:space="0"/>
              <w:left w:val="single" w:color="auto" w:sz="4" w:space="0"/>
              <w:bottom w:val="single" w:color="auto" w:sz="4" w:space="0"/>
              <w:right w:val="single" w:color="auto" w:sz="4" w:space="0"/>
            </w:tcBorders>
            <w:vAlign w:val="center"/>
          </w:tcPr>
          <w:p w14:paraId="559BFA24">
            <w:pPr>
              <w:pStyle w:val="185"/>
              <w:autoSpaceDN w:val="0"/>
              <w:adjustRightInd w:val="0"/>
              <w:snapToGrid w:val="0"/>
              <w:spacing w:line="500" w:lineRule="exact"/>
              <w:jc w:val="center"/>
              <w:rPr>
                <w:rFonts w:hAnsi="宋体" w:cs="仿宋"/>
                <w:bCs/>
                <w:color w:val="auto"/>
                <w:sz w:val="24"/>
                <w:szCs w:val="24"/>
                <w:highlight w:val="none"/>
              </w:rPr>
            </w:pPr>
            <w:r>
              <w:rPr>
                <w:rFonts w:hint="eastAsia" w:hAnsi="宋体" w:cs="仿宋"/>
                <w:bCs/>
                <w:color w:val="auto"/>
                <w:sz w:val="24"/>
                <w:szCs w:val="24"/>
                <w:highlight w:val="none"/>
              </w:rPr>
              <w:t>产地</w:t>
            </w:r>
          </w:p>
        </w:tc>
        <w:tc>
          <w:tcPr>
            <w:tcW w:w="656" w:type="dxa"/>
            <w:tcBorders>
              <w:top w:val="single" w:color="auto" w:sz="4" w:space="0"/>
              <w:left w:val="single" w:color="auto" w:sz="4" w:space="0"/>
              <w:bottom w:val="single" w:color="auto" w:sz="4" w:space="0"/>
              <w:right w:val="single" w:color="auto" w:sz="4" w:space="0"/>
            </w:tcBorders>
            <w:vAlign w:val="center"/>
          </w:tcPr>
          <w:p w14:paraId="3E1117E3">
            <w:pPr>
              <w:pStyle w:val="185"/>
              <w:autoSpaceDN w:val="0"/>
              <w:adjustRightInd w:val="0"/>
              <w:snapToGrid w:val="0"/>
              <w:spacing w:line="500" w:lineRule="exact"/>
              <w:jc w:val="center"/>
              <w:rPr>
                <w:rFonts w:hAnsi="宋体" w:cs="仿宋"/>
                <w:bCs/>
                <w:color w:val="auto"/>
                <w:sz w:val="24"/>
                <w:szCs w:val="24"/>
                <w:highlight w:val="none"/>
              </w:rPr>
            </w:pPr>
            <w:r>
              <w:rPr>
                <w:rFonts w:hint="eastAsia" w:hAnsi="宋体" w:cs="仿宋"/>
                <w:bCs/>
                <w:color w:val="auto"/>
                <w:sz w:val="24"/>
                <w:szCs w:val="24"/>
                <w:highlight w:val="none"/>
              </w:rPr>
              <w:t>数量</w:t>
            </w:r>
          </w:p>
        </w:tc>
        <w:tc>
          <w:tcPr>
            <w:tcW w:w="1290" w:type="dxa"/>
            <w:tcBorders>
              <w:top w:val="single" w:color="auto" w:sz="4" w:space="0"/>
              <w:left w:val="single" w:color="auto" w:sz="4" w:space="0"/>
              <w:bottom w:val="single" w:color="auto" w:sz="4" w:space="0"/>
              <w:right w:val="single" w:color="auto" w:sz="4" w:space="0"/>
            </w:tcBorders>
            <w:vAlign w:val="center"/>
          </w:tcPr>
          <w:p w14:paraId="285E54F3">
            <w:pPr>
              <w:pStyle w:val="186"/>
              <w:autoSpaceDN w:val="0"/>
              <w:adjustRightInd w:val="0"/>
              <w:snapToGrid w:val="0"/>
              <w:spacing w:line="500" w:lineRule="exact"/>
              <w:jc w:val="center"/>
              <w:rPr>
                <w:rFonts w:hAnsi="宋体" w:cs="仿宋"/>
                <w:bCs/>
                <w:color w:val="auto"/>
                <w:sz w:val="24"/>
                <w:szCs w:val="24"/>
                <w:highlight w:val="none"/>
              </w:rPr>
            </w:pPr>
            <w:r>
              <w:rPr>
                <w:rFonts w:hint="eastAsia" w:hAnsi="宋体" w:cs="仿宋"/>
                <w:bCs/>
                <w:color w:val="auto"/>
                <w:sz w:val="24"/>
                <w:szCs w:val="24"/>
                <w:highlight w:val="none"/>
              </w:rPr>
              <w:t>单价（元）</w:t>
            </w:r>
          </w:p>
        </w:tc>
        <w:tc>
          <w:tcPr>
            <w:tcW w:w="1337" w:type="dxa"/>
            <w:tcBorders>
              <w:top w:val="single" w:color="auto" w:sz="4" w:space="0"/>
              <w:left w:val="single" w:color="auto" w:sz="4" w:space="0"/>
              <w:bottom w:val="single" w:color="auto" w:sz="4" w:space="0"/>
              <w:right w:val="single" w:color="auto" w:sz="4" w:space="0"/>
            </w:tcBorders>
            <w:vAlign w:val="center"/>
          </w:tcPr>
          <w:p w14:paraId="4E5EF9FB">
            <w:pPr>
              <w:pStyle w:val="187"/>
              <w:autoSpaceDN w:val="0"/>
              <w:adjustRightInd w:val="0"/>
              <w:snapToGrid w:val="0"/>
              <w:spacing w:line="500" w:lineRule="exact"/>
              <w:jc w:val="center"/>
              <w:rPr>
                <w:rFonts w:hAnsi="宋体" w:cs="仿宋"/>
                <w:bCs/>
                <w:color w:val="auto"/>
                <w:sz w:val="24"/>
                <w:szCs w:val="24"/>
                <w:highlight w:val="none"/>
              </w:rPr>
            </w:pPr>
            <w:r>
              <w:rPr>
                <w:rFonts w:hint="eastAsia" w:hAnsi="宋体" w:cs="仿宋"/>
                <w:bCs/>
                <w:color w:val="auto"/>
                <w:sz w:val="24"/>
                <w:szCs w:val="24"/>
                <w:highlight w:val="none"/>
              </w:rPr>
              <w:t>合计（元）</w:t>
            </w:r>
          </w:p>
        </w:tc>
      </w:tr>
      <w:tr w14:paraId="247F30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5" w:hRule="atLeast"/>
          <w:jc w:val="center"/>
        </w:trPr>
        <w:tc>
          <w:tcPr>
            <w:tcW w:w="2660" w:type="dxa"/>
            <w:tcBorders>
              <w:top w:val="single" w:color="auto" w:sz="4" w:space="0"/>
              <w:left w:val="single" w:color="auto" w:sz="4" w:space="0"/>
              <w:bottom w:val="single" w:color="auto" w:sz="4" w:space="0"/>
              <w:right w:val="single" w:color="auto" w:sz="4" w:space="0"/>
            </w:tcBorders>
            <w:vAlign w:val="center"/>
          </w:tcPr>
          <w:p w14:paraId="60308607">
            <w:pPr>
              <w:pStyle w:val="188"/>
              <w:autoSpaceDN w:val="0"/>
              <w:adjustRightInd w:val="0"/>
              <w:snapToGrid w:val="0"/>
              <w:spacing w:line="500" w:lineRule="exact"/>
              <w:jc w:val="center"/>
              <w:rPr>
                <w:rFonts w:hAnsi="宋体" w:cs="仿宋"/>
                <w:bCs/>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7D71FD6F">
            <w:pPr>
              <w:pStyle w:val="189"/>
              <w:autoSpaceDN w:val="0"/>
              <w:adjustRightInd w:val="0"/>
              <w:snapToGrid w:val="0"/>
              <w:spacing w:line="500" w:lineRule="exact"/>
              <w:jc w:val="center"/>
              <w:rPr>
                <w:rFonts w:hAnsi="宋体" w:cs="仿宋"/>
                <w:bCs/>
                <w:color w:val="auto"/>
                <w:sz w:val="24"/>
                <w:szCs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4A980C78">
            <w:pPr>
              <w:pStyle w:val="190"/>
              <w:autoSpaceDN w:val="0"/>
              <w:adjustRightInd w:val="0"/>
              <w:snapToGrid w:val="0"/>
              <w:spacing w:line="500" w:lineRule="exact"/>
              <w:jc w:val="center"/>
              <w:rPr>
                <w:rFonts w:hAnsi="宋体" w:cs="仿宋"/>
                <w:bCs/>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5ED12194">
            <w:pPr>
              <w:pStyle w:val="191"/>
              <w:autoSpaceDN w:val="0"/>
              <w:adjustRightInd w:val="0"/>
              <w:snapToGrid w:val="0"/>
              <w:spacing w:line="500" w:lineRule="exact"/>
              <w:jc w:val="center"/>
              <w:rPr>
                <w:rFonts w:hAnsi="宋体" w:cs="仿宋"/>
                <w:bCs/>
                <w:color w:val="auto"/>
                <w:sz w:val="24"/>
                <w:szCs w:val="24"/>
                <w:highlight w:val="none"/>
              </w:rPr>
            </w:pPr>
          </w:p>
        </w:tc>
        <w:tc>
          <w:tcPr>
            <w:tcW w:w="656" w:type="dxa"/>
            <w:tcBorders>
              <w:top w:val="single" w:color="auto" w:sz="4" w:space="0"/>
              <w:left w:val="single" w:color="auto" w:sz="4" w:space="0"/>
              <w:bottom w:val="single" w:color="auto" w:sz="4" w:space="0"/>
              <w:right w:val="single" w:color="auto" w:sz="4" w:space="0"/>
            </w:tcBorders>
            <w:vAlign w:val="center"/>
          </w:tcPr>
          <w:p w14:paraId="486C9B3D">
            <w:pPr>
              <w:pStyle w:val="191"/>
              <w:autoSpaceDN w:val="0"/>
              <w:adjustRightInd w:val="0"/>
              <w:snapToGrid w:val="0"/>
              <w:spacing w:line="500" w:lineRule="exact"/>
              <w:jc w:val="center"/>
              <w:rPr>
                <w:rFonts w:hAnsi="宋体" w:cs="仿宋"/>
                <w:bCs/>
                <w:color w:val="auto"/>
                <w:sz w:val="24"/>
                <w:szCs w:val="24"/>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088C1EFE">
            <w:pPr>
              <w:pStyle w:val="192"/>
              <w:autoSpaceDN w:val="0"/>
              <w:adjustRightInd w:val="0"/>
              <w:snapToGrid w:val="0"/>
              <w:spacing w:line="500" w:lineRule="exact"/>
              <w:jc w:val="center"/>
              <w:rPr>
                <w:rFonts w:hAnsi="宋体" w:cs="仿宋"/>
                <w:bCs/>
                <w:color w:val="auto"/>
                <w:sz w:val="24"/>
                <w:szCs w:val="24"/>
                <w:highlight w:val="none"/>
              </w:rPr>
            </w:pPr>
          </w:p>
        </w:tc>
        <w:tc>
          <w:tcPr>
            <w:tcW w:w="1337" w:type="dxa"/>
            <w:tcBorders>
              <w:top w:val="single" w:color="auto" w:sz="4" w:space="0"/>
              <w:left w:val="single" w:color="auto" w:sz="4" w:space="0"/>
              <w:bottom w:val="single" w:color="auto" w:sz="4" w:space="0"/>
              <w:right w:val="single" w:color="auto" w:sz="4" w:space="0"/>
            </w:tcBorders>
            <w:vAlign w:val="center"/>
          </w:tcPr>
          <w:p w14:paraId="19854544">
            <w:pPr>
              <w:pStyle w:val="193"/>
              <w:autoSpaceDN w:val="0"/>
              <w:adjustRightInd w:val="0"/>
              <w:snapToGrid w:val="0"/>
              <w:spacing w:line="500" w:lineRule="exact"/>
              <w:jc w:val="center"/>
              <w:rPr>
                <w:rFonts w:hAnsi="宋体" w:cs="仿宋"/>
                <w:bCs/>
                <w:color w:val="auto"/>
                <w:sz w:val="24"/>
                <w:szCs w:val="24"/>
                <w:highlight w:val="none"/>
              </w:rPr>
            </w:pPr>
          </w:p>
        </w:tc>
      </w:tr>
      <w:tr w14:paraId="2415D2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5" w:hRule="atLeast"/>
          <w:jc w:val="center"/>
        </w:trPr>
        <w:tc>
          <w:tcPr>
            <w:tcW w:w="2660" w:type="dxa"/>
            <w:tcBorders>
              <w:top w:val="single" w:color="auto" w:sz="4" w:space="0"/>
              <w:left w:val="single" w:color="auto" w:sz="4" w:space="0"/>
              <w:bottom w:val="single" w:color="auto" w:sz="4" w:space="0"/>
              <w:right w:val="single" w:color="auto" w:sz="4" w:space="0"/>
            </w:tcBorders>
            <w:vAlign w:val="center"/>
          </w:tcPr>
          <w:p w14:paraId="676AF92C">
            <w:pPr>
              <w:pStyle w:val="188"/>
              <w:autoSpaceDN w:val="0"/>
              <w:adjustRightInd w:val="0"/>
              <w:snapToGrid w:val="0"/>
              <w:spacing w:line="500" w:lineRule="exact"/>
              <w:jc w:val="center"/>
              <w:rPr>
                <w:rFonts w:hAnsi="宋体" w:cs="仿宋"/>
                <w:bCs/>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04F43AB5">
            <w:pPr>
              <w:pStyle w:val="189"/>
              <w:autoSpaceDN w:val="0"/>
              <w:adjustRightInd w:val="0"/>
              <w:snapToGrid w:val="0"/>
              <w:spacing w:line="500" w:lineRule="exact"/>
              <w:jc w:val="center"/>
              <w:rPr>
                <w:rFonts w:hAnsi="宋体" w:cs="仿宋"/>
                <w:bCs/>
                <w:color w:val="auto"/>
                <w:sz w:val="24"/>
                <w:szCs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24ED30C7">
            <w:pPr>
              <w:pStyle w:val="190"/>
              <w:autoSpaceDN w:val="0"/>
              <w:adjustRightInd w:val="0"/>
              <w:snapToGrid w:val="0"/>
              <w:spacing w:line="500" w:lineRule="exact"/>
              <w:jc w:val="center"/>
              <w:rPr>
                <w:rFonts w:hAnsi="宋体" w:cs="仿宋"/>
                <w:bCs/>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6614AE6F">
            <w:pPr>
              <w:pStyle w:val="191"/>
              <w:autoSpaceDN w:val="0"/>
              <w:adjustRightInd w:val="0"/>
              <w:snapToGrid w:val="0"/>
              <w:spacing w:line="500" w:lineRule="exact"/>
              <w:jc w:val="center"/>
              <w:rPr>
                <w:rFonts w:hAnsi="宋体" w:cs="仿宋"/>
                <w:bCs/>
                <w:color w:val="auto"/>
                <w:sz w:val="24"/>
                <w:szCs w:val="24"/>
                <w:highlight w:val="none"/>
              </w:rPr>
            </w:pPr>
          </w:p>
        </w:tc>
        <w:tc>
          <w:tcPr>
            <w:tcW w:w="656" w:type="dxa"/>
            <w:tcBorders>
              <w:top w:val="single" w:color="auto" w:sz="4" w:space="0"/>
              <w:left w:val="single" w:color="auto" w:sz="4" w:space="0"/>
              <w:bottom w:val="single" w:color="auto" w:sz="4" w:space="0"/>
              <w:right w:val="single" w:color="auto" w:sz="4" w:space="0"/>
            </w:tcBorders>
            <w:vAlign w:val="center"/>
          </w:tcPr>
          <w:p w14:paraId="545FC32D">
            <w:pPr>
              <w:pStyle w:val="191"/>
              <w:autoSpaceDN w:val="0"/>
              <w:adjustRightInd w:val="0"/>
              <w:snapToGrid w:val="0"/>
              <w:spacing w:line="500" w:lineRule="exact"/>
              <w:jc w:val="center"/>
              <w:rPr>
                <w:rFonts w:hAnsi="宋体" w:cs="仿宋"/>
                <w:bCs/>
                <w:color w:val="auto"/>
                <w:sz w:val="24"/>
                <w:szCs w:val="24"/>
                <w:highlight w:val="none"/>
              </w:rPr>
            </w:pPr>
          </w:p>
        </w:tc>
        <w:tc>
          <w:tcPr>
            <w:tcW w:w="1290" w:type="dxa"/>
            <w:tcBorders>
              <w:top w:val="single" w:color="auto" w:sz="4" w:space="0"/>
              <w:left w:val="single" w:color="auto" w:sz="4" w:space="0"/>
              <w:bottom w:val="single" w:color="auto" w:sz="4" w:space="0"/>
              <w:right w:val="single" w:color="auto" w:sz="4" w:space="0"/>
            </w:tcBorders>
            <w:vAlign w:val="center"/>
          </w:tcPr>
          <w:p w14:paraId="62D0B6C1">
            <w:pPr>
              <w:pStyle w:val="192"/>
              <w:autoSpaceDN w:val="0"/>
              <w:adjustRightInd w:val="0"/>
              <w:snapToGrid w:val="0"/>
              <w:spacing w:line="500" w:lineRule="exact"/>
              <w:jc w:val="center"/>
              <w:rPr>
                <w:rFonts w:hAnsi="宋体" w:cs="仿宋"/>
                <w:bCs/>
                <w:color w:val="auto"/>
                <w:sz w:val="24"/>
                <w:szCs w:val="24"/>
                <w:highlight w:val="none"/>
              </w:rPr>
            </w:pPr>
          </w:p>
        </w:tc>
        <w:tc>
          <w:tcPr>
            <w:tcW w:w="1337" w:type="dxa"/>
            <w:tcBorders>
              <w:top w:val="single" w:color="auto" w:sz="4" w:space="0"/>
              <w:left w:val="single" w:color="auto" w:sz="4" w:space="0"/>
              <w:bottom w:val="single" w:color="auto" w:sz="4" w:space="0"/>
              <w:right w:val="single" w:color="auto" w:sz="4" w:space="0"/>
            </w:tcBorders>
            <w:vAlign w:val="center"/>
          </w:tcPr>
          <w:p w14:paraId="55E7521E">
            <w:pPr>
              <w:pStyle w:val="193"/>
              <w:autoSpaceDN w:val="0"/>
              <w:adjustRightInd w:val="0"/>
              <w:snapToGrid w:val="0"/>
              <w:spacing w:line="500" w:lineRule="exact"/>
              <w:jc w:val="center"/>
              <w:rPr>
                <w:rFonts w:hAnsi="宋体" w:cs="仿宋"/>
                <w:bCs/>
                <w:color w:val="auto"/>
                <w:sz w:val="24"/>
                <w:szCs w:val="24"/>
                <w:highlight w:val="none"/>
              </w:rPr>
            </w:pPr>
          </w:p>
        </w:tc>
      </w:tr>
      <w:tr w14:paraId="6A2A3D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7724" w:type="dxa"/>
            <w:gridSpan w:val="6"/>
            <w:tcBorders>
              <w:top w:val="single" w:color="auto" w:sz="4" w:space="0"/>
              <w:left w:val="single" w:color="auto" w:sz="4" w:space="0"/>
              <w:bottom w:val="single" w:color="auto" w:sz="4" w:space="0"/>
              <w:right w:val="single" w:color="auto" w:sz="4" w:space="0"/>
            </w:tcBorders>
            <w:vAlign w:val="center"/>
          </w:tcPr>
          <w:p w14:paraId="34811907">
            <w:pPr>
              <w:pStyle w:val="194"/>
              <w:autoSpaceDN w:val="0"/>
              <w:adjustRightInd w:val="0"/>
              <w:snapToGrid w:val="0"/>
              <w:spacing w:line="500" w:lineRule="exact"/>
              <w:jc w:val="left"/>
              <w:rPr>
                <w:rFonts w:hAnsi="宋体" w:cs="仿宋"/>
                <w:bCs/>
                <w:color w:val="auto"/>
                <w:sz w:val="24"/>
                <w:szCs w:val="24"/>
                <w:highlight w:val="none"/>
              </w:rPr>
            </w:pPr>
            <w:r>
              <w:rPr>
                <w:rFonts w:hint="eastAsia" w:hAnsi="宋体" w:cs="仿宋"/>
                <w:bCs/>
                <w:color w:val="auto"/>
                <w:sz w:val="24"/>
                <w:szCs w:val="24"/>
                <w:highlight w:val="none"/>
              </w:rPr>
              <w:t>设备总价</w:t>
            </w:r>
          </w:p>
        </w:tc>
        <w:tc>
          <w:tcPr>
            <w:tcW w:w="1337" w:type="dxa"/>
            <w:tcBorders>
              <w:top w:val="single" w:color="auto" w:sz="4" w:space="0"/>
              <w:left w:val="single" w:color="auto" w:sz="4" w:space="0"/>
              <w:bottom w:val="single" w:color="auto" w:sz="4" w:space="0"/>
              <w:right w:val="single" w:color="auto" w:sz="4" w:space="0"/>
            </w:tcBorders>
            <w:vAlign w:val="center"/>
          </w:tcPr>
          <w:p w14:paraId="4C239558">
            <w:pPr>
              <w:pStyle w:val="195"/>
              <w:autoSpaceDN w:val="0"/>
              <w:adjustRightInd w:val="0"/>
              <w:snapToGrid w:val="0"/>
              <w:spacing w:line="500" w:lineRule="exact"/>
              <w:jc w:val="center"/>
              <w:rPr>
                <w:rFonts w:hAnsi="宋体" w:cs="仿宋"/>
                <w:bCs/>
                <w:color w:val="auto"/>
                <w:sz w:val="24"/>
                <w:szCs w:val="24"/>
                <w:highlight w:val="none"/>
              </w:rPr>
            </w:pPr>
          </w:p>
        </w:tc>
      </w:tr>
      <w:tr w14:paraId="55F71C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7724" w:type="dxa"/>
            <w:gridSpan w:val="6"/>
            <w:tcBorders>
              <w:top w:val="single" w:color="auto" w:sz="4" w:space="0"/>
              <w:left w:val="single" w:color="auto" w:sz="4" w:space="0"/>
              <w:bottom w:val="single" w:color="auto" w:sz="4" w:space="0"/>
              <w:right w:val="single" w:color="auto" w:sz="4" w:space="0"/>
            </w:tcBorders>
            <w:vAlign w:val="center"/>
          </w:tcPr>
          <w:p w14:paraId="24ED7E83">
            <w:pPr>
              <w:pStyle w:val="194"/>
              <w:autoSpaceDN w:val="0"/>
              <w:adjustRightInd w:val="0"/>
              <w:snapToGrid w:val="0"/>
              <w:spacing w:line="500" w:lineRule="exact"/>
              <w:jc w:val="left"/>
              <w:rPr>
                <w:rFonts w:hAnsi="宋体" w:cs="仿宋"/>
                <w:bCs/>
                <w:color w:val="auto"/>
                <w:sz w:val="24"/>
                <w:szCs w:val="24"/>
                <w:highlight w:val="none"/>
              </w:rPr>
            </w:pPr>
            <w:r>
              <w:rPr>
                <w:rFonts w:hint="eastAsia" w:hAnsi="宋体" w:cs="仿宋"/>
                <w:bCs/>
                <w:color w:val="auto"/>
                <w:sz w:val="24"/>
                <w:szCs w:val="24"/>
                <w:highlight w:val="none"/>
              </w:rPr>
              <w:t>运保费</w:t>
            </w:r>
          </w:p>
        </w:tc>
        <w:tc>
          <w:tcPr>
            <w:tcW w:w="1337" w:type="dxa"/>
            <w:tcBorders>
              <w:top w:val="single" w:color="auto" w:sz="4" w:space="0"/>
              <w:left w:val="single" w:color="auto" w:sz="4" w:space="0"/>
              <w:bottom w:val="single" w:color="auto" w:sz="4" w:space="0"/>
              <w:right w:val="single" w:color="auto" w:sz="4" w:space="0"/>
            </w:tcBorders>
            <w:vAlign w:val="center"/>
          </w:tcPr>
          <w:p w14:paraId="36D2879E">
            <w:pPr>
              <w:pStyle w:val="195"/>
              <w:autoSpaceDN w:val="0"/>
              <w:adjustRightInd w:val="0"/>
              <w:snapToGrid w:val="0"/>
              <w:spacing w:line="500" w:lineRule="exact"/>
              <w:jc w:val="center"/>
              <w:rPr>
                <w:rFonts w:hAnsi="宋体" w:cs="仿宋"/>
                <w:bCs/>
                <w:color w:val="auto"/>
                <w:sz w:val="24"/>
                <w:szCs w:val="24"/>
                <w:highlight w:val="none"/>
              </w:rPr>
            </w:pPr>
          </w:p>
        </w:tc>
      </w:tr>
      <w:tr w14:paraId="253BFC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7724" w:type="dxa"/>
            <w:gridSpan w:val="6"/>
            <w:tcBorders>
              <w:top w:val="single" w:color="auto" w:sz="4" w:space="0"/>
              <w:left w:val="single" w:color="auto" w:sz="4" w:space="0"/>
              <w:bottom w:val="single" w:color="auto" w:sz="4" w:space="0"/>
              <w:right w:val="single" w:color="auto" w:sz="4" w:space="0"/>
            </w:tcBorders>
            <w:vAlign w:val="center"/>
          </w:tcPr>
          <w:p w14:paraId="1116EB35">
            <w:pPr>
              <w:pStyle w:val="194"/>
              <w:autoSpaceDN w:val="0"/>
              <w:adjustRightInd w:val="0"/>
              <w:snapToGrid w:val="0"/>
              <w:spacing w:line="500" w:lineRule="exact"/>
              <w:jc w:val="left"/>
              <w:rPr>
                <w:rFonts w:hAnsi="宋体" w:cs="仿宋"/>
                <w:bCs/>
                <w:color w:val="auto"/>
                <w:sz w:val="24"/>
                <w:szCs w:val="24"/>
                <w:highlight w:val="none"/>
              </w:rPr>
            </w:pPr>
            <w:r>
              <w:rPr>
                <w:rFonts w:hint="eastAsia" w:hAnsi="宋体" w:cs="仿宋"/>
                <w:bCs/>
                <w:color w:val="auto"/>
                <w:sz w:val="24"/>
                <w:szCs w:val="24"/>
                <w:highlight w:val="none"/>
              </w:rPr>
              <w:t>安装调试费</w:t>
            </w:r>
          </w:p>
        </w:tc>
        <w:tc>
          <w:tcPr>
            <w:tcW w:w="1337" w:type="dxa"/>
            <w:tcBorders>
              <w:top w:val="single" w:color="auto" w:sz="4" w:space="0"/>
              <w:left w:val="single" w:color="auto" w:sz="4" w:space="0"/>
              <w:bottom w:val="single" w:color="auto" w:sz="4" w:space="0"/>
              <w:right w:val="single" w:color="auto" w:sz="4" w:space="0"/>
            </w:tcBorders>
            <w:vAlign w:val="center"/>
          </w:tcPr>
          <w:p w14:paraId="0B63E7FD">
            <w:pPr>
              <w:pStyle w:val="195"/>
              <w:autoSpaceDN w:val="0"/>
              <w:adjustRightInd w:val="0"/>
              <w:snapToGrid w:val="0"/>
              <w:spacing w:line="500" w:lineRule="exact"/>
              <w:jc w:val="center"/>
              <w:rPr>
                <w:rFonts w:hAnsi="宋体" w:cs="仿宋"/>
                <w:bCs/>
                <w:color w:val="auto"/>
                <w:sz w:val="24"/>
                <w:szCs w:val="24"/>
                <w:highlight w:val="none"/>
              </w:rPr>
            </w:pPr>
          </w:p>
        </w:tc>
      </w:tr>
      <w:tr w14:paraId="02AD98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724" w:type="dxa"/>
            <w:gridSpan w:val="6"/>
            <w:tcBorders>
              <w:top w:val="single" w:color="auto" w:sz="4" w:space="0"/>
              <w:left w:val="single" w:color="auto" w:sz="4" w:space="0"/>
              <w:bottom w:val="single" w:color="auto" w:sz="4" w:space="0"/>
              <w:right w:val="single" w:color="auto" w:sz="4" w:space="0"/>
            </w:tcBorders>
            <w:vAlign w:val="center"/>
          </w:tcPr>
          <w:p w14:paraId="486A713B">
            <w:pPr>
              <w:pStyle w:val="194"/>
              <w:autoSpaceDN w:val="0"/>
              <w:adjustRightInd w:val="0"/>
              <w:snapToGrid w:val="0"/>
              <w:spacing w:line="500" w:lineRule="exact"/>
              <w:jc w:val="left"/>
              <w:rPr>
                <w:rFonts w:hAnsi="宋体" w:cs="仿宋"/>
                <w:bCs/>
                <w:color w:val="auto"/>
                <w:sz w:val="24"/>
                <w:szCs w:val="24"/>
                <w:highlight w:val="none"/>
              </w:rPr>
            </w:pPr>
            <w:r>
              <w:rPr>
                <w:rFonts w:hint="eastAsia" w:hAnsi="宋体" w:cs="仿宋"/>
                <w:bCs/>
                <w:color w:val="auto"/>
                <w:sz w:val="24"/>
                <w:szCs w:val="24"/>
                <w:highlight w:val="none"/>
              </w:rPr>
              <w:t xml:space="preserve">合同总价                                                    </w:t>
            </w:r>
          </w:p>
        </w:tc>
        <w:tc>
          <w:tcPr>
            <w:tcW w:w="1337" w:type="dxa"/>
            <w:tcBorders>
              <w:top w:val="single" w:color="auto" w:sz="4" w:space="0"/>
              <w:left w:val="single" w:color="auto" w:sz="4" w:space="0"/>
              <w:bottom w:val="single" w:color="auto" w:sz="4" w:space="0"/>
              <w:right w:val="single" w:color="auto" w:sz="4" w:space="0"/>
            </w:tcBorders>
            <w:vAlign w:val="center"/>
          </w:tcPr>
          <w:p w14:paraId="2F7F83C3">
            <w:pPr>
              <w:pStyle w:val="195"/>
              <w:autoSpaceDN w:val="0"/>
              <w:adjustRightInd w:val="0"/>
              <w:snapToGrid w:val="0"/>
              <w:spacing w:line="500" w:lineRule="exact"/>
              <w:jc w:val="center"/>
              <w:rPr>
                <w:rFonts w:hAnsi="宋体" w:cs="仿宋"/>
                <w:bCs/>
                <w:color w:val="auto"/>
                <w:sz w:val="24"/>
                <w:szCs w:val="24"/>
                <w:highlight w:val="none"/>
              </w:rPr>
            </w:pPr>
          </w:p>
        </w:tc>
      </w:tr>
    </w:tbl>
    <w:p w14:paraId="1975A998">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第二条 合同总价款</w:t>
      </w:r>
    </w:p>
    <w:p w14:paraId="70AFCE66">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甲方以支付总价款（人民币大写）元，接受乙方对上述货物的供货和伴随服务。包括乙方提供货物、包装、运输、货物的保险和储存、检测、验收、安装调试、保修服务、培训、资料及提供的伴随服务等所有成本、费用及税费，甲方（用户）无需再向乙方支付其他任何费用。详见附件分项报价表、设备配置清单和技术偏离表。</w:t>
      </w:r>
    </w:p>
    <w:p w14:paraId="15757C36">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第三条 付款条件</w:t>
      </w:r>
    </w:p>
    <w:p w14:paraId="5DAB42C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（一）本合同以人民币付款。</w:t>
      </w:r>
    </w:p>
    <w:p w14:paraId="7F20927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（二）付款办法：</w:t>
      </w:r>
    </w:p>
    <w:p w14:paraId="3565DD57">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1.乙方向甲方交付履约保证金，签订合同之日起10个工作日内，甲方向乙方支付合同总价</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rPr>
        <w:t>%预付款（金额</w:t>
      </w:r>
      <w:r>
        <w:rPr>
          <w:rFonts w:hint="eastAsia" w:ascii="宋体" w:hAnsi="宋体" w:cs="仿宋"/>
          <w:color w:val="auto"/>
          <w:sz w:val="24"/>
          <w:szCs w:val="24"/>
          <w:highlight w:val="none"/>
          <w:lang w:eastAsia="zh-CN"/>
        </w:rPr>
        <w:t>：</w:t>
      </w:r>
      <w:r>
        <w:rPr>
          <w:rFonts w:hint="eastAsia" w:ascii="宋体" w:hAnsi="宋体" w:cs="仿宋"/>
          <w:color w:val="auto"/>
          <w:sz w:val="24"/>
          <w:szCs w:val="24"/>
          <w:highlight w:val="none"/>
        </w:rPr>
        <w:t>） 。</w:t>
      </w:r>
    </w:p>
    <w:p w14:paraId="2A272A8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2.产品全部到货之日起10个工作日内，甲方向乙方支付合同总价</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rPr>
        <w:t>%合同款（金额</w:t>
      </w:r>
      <w:r>
        <w:rPr>
          <w:rFonts w:hint="eastAsia" w:ascii="宋体" w:hAnsi="宋体" w:cs="仿宋"/>
          <w:color w:val="auto"/>
          <w:sz w:val="24"/>
          <w:szCs w:val="24"/>
          <w:highlight w:val="none"/>
          <w:lang w:eastAsia="zh-CN"/>
        </w:rPr>
        <w:t>：</w:t>
      </w:r>
      <w:r>
        <w:rPr>
          <w:rFonts w:hint="eastAsia" w:ascii="宋体" w:hAnsi="宋体" w:cs="仿宋"/>
          <w:color w:val="auto"/>
          <w:sz w:val="24"/>
          <w:szCs w:val="24"/>
          <w:highlight w:val="none"/>
        </w:rPr>
        <w:t>） 。</w:t>
      </w:r>
    </w:p>
    <w:p w14:paraId="7BF7E4E3">
      <w:pPr>
        <w:pStyle w:val="157"/>
        <w:spacing w:line="500" w:lineRule="exact"/>
        <w:ind w:firstLine="480" w:firstLineChars="200"/>
        <w:jc w:val="left"/>
        <w:rPr>
          <w:rFonts w:ascii="宋体" w:hAnsi="宋体" w:cs="仿宋"/>
          <w:color w:val="auto"/>
          <w:sz w:val="24"/>
          <w:szCs w:val="24"/>
          <w:highlight w:val="none"/>
        </w:rPr>
      </w:pPr>
      <w:r>
        <w:rPr>
          <w:rFonts w:hint="eastAsia" w:ascii="宋体" w:hAnsi="宋体" w:cs="仿宋"/>
          <w:color w:val="auto"/>
          <w:sz w:val="24"/>
          <w:szCs w:val="24"/>
          <w:highlight w:val="none"/>
        </w:rPr>
        <w:t>3.产品全部安装完成之日起10个工作日内，甲方向乙方支付合同总价</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rPr>
        <w:t>%合同款（金额</w:t>
      </w:r>
      <w:r>
        <w:rPr>
          <w:rFonts w:hint="eastAsia" w:ascii="宋体" w:hAnsi="宋体" w:cs="仿宋"/>
          <w:color w:val="auto"/>
          <w:sz w:val="24"/>
          <w:szCs w:val="24"/>
          <w:highlight w:val="none"/>
          <w:lang w:eastAsia="zh-CN"/>
        </w:rPr>
        <w:t>：</w:t>
      </w:r>
      <w:r>
        <w:rPr>
          <w:rFonts w:hint="eastAsia" w:ascii="宋体" w:hAnsi="宋体" w:cs="仿宋"/>
          <w:color w:val="auto"/>
          <w:sz w:val="24"/>
          <w:szCs w:val="24"/>
          <w:highlight w:val="none"/>
        </w:rPr>
        <w:t>） 。</w:t>
      </w:r>
    </w:p>
    <w:p w14:paraId="684F5CD4">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4.产品全部安装完成，并经甲方验收合格后之日起10个工作日内，甲方向乙方支付合同总价</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u w:val="single"/>
          <w:lang w:val="en-US" w:eastAsia="zh-CN"/>
        </w:rPr>
        <w:t xml:space="preserve"> </w:t>
      </w:r>
      <w:r>
        <w:rPr>
          <w:rFonts w:hint="eastAsia" w:ascii="宋体" w:hAnsi="宋体" w:cs="仿宋"/>
          <w:color w:val="auto"/>
          <w:sz w:val="24"/>
          <w:szCs w:val="24"/>
          <w:highlight w:val="none"/>
          <w:u w:val="single"/>
        </w:rPr>
        <w:t xml:space="preserve">  </w:t>
      </w:r>
      <w:r>
        <w:rPr>
          <w:rFonts w:hint="eastAsia" w:ascii="宋体" w:hAnsi="宋体" w:cs="仿宋"/>
          <w:color w:val="auto"/>
          <w:sz w:val="24"/>
          <w:szCs w:val="24"/>
          <w:highlight w:val="none"/>
        </w:rPr>
        <w:t>%合同款（金额</w:t>
      </w:r>
      <w:r>
        <w:rPr>
          <w:rFonts w:hint="eastAsia" w:ascii="宋体" w:hAnsi="宋体" w:cs="仿宋"/>
          <w:color w:val="auto"/>
          <w:sz w:val="24"/>
          <w:szCs w:val="24"/>
          <w:highlight w:val="none"/>
          <w:lang w:eastAsia="zh-CN"/>
        </w:rPr>
        <w:t>：</w:t>
      </w:r>
      <w:r>
        <w:rPr>
          <w:rFonts w:hint="eastAsia" w:ascii="宋体" w:hAnsi="宋体" w:cs="仿宋"/>
          <w:color w:val="auto"/>
          <w:sz w:val="24"/>
          <w:szCs w:val="24"/>
          <w:highlight w:val="none"/>
        </w:rPr>
        <w:t>） 。</w:t>
      </w:r>
    </w:p>
    <w:p w14:paraId="737179D8">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5.因财政集中支付延误时间不计算在内，乙方提交付款单据延迟、缺失及账户信息错误的，甲方有权相应顺延付款期限，且甲方不承担延误付款责任。</w:t>
      </w:r>
    </w:p>
    <w:p w14:paraId="4A8D7B97">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乙方收取货款账户为：</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4"/>
        <w:gridCol w:w="6051"/>
      </w:tblGrid>
      <w:tr w14:paraId="754EE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04" w:type="dxa"/>
            <w:vAlign w:val="center"/>
          </w:tcPr>
          <w:p w14:paraId="0C662E39">
            <w:pPr>
              <w:pStyle w:val="196"/>
              <w:autoSpaceDN w:val="0"/>
              <w:spacing w:line="500" w:lineRule="exact"/>
              <w:jc w:val="center"/>
              <w:rPr>
                <w:rFonts w:ascii="宋体" w:hAnsi="宋体" w:cs="仿宋"/>
                <w:snapToGrid w:val="0"/>
                <w:color w:val="auto"/>
                <w:kern w:val="0"/>
                <w:sz w:val="24"/>
                <w:szCs w:val="24"/>
                <w:highlight w:val="none"/>
              </w:rPr>
            </w:pPr>
            <w:r>
              <w:rPr>
                <w:rFonts w:hint="eastAsia" w:ascii="宋体" w:hAnsi="宋体" w:cs="仿宋"/>
                <w:snapToGrid w:val="0"/>
                <w:color w:val="auto"/>
                <w:kern w:val="0"/>
                <w:sz w:val="24"/>
                <w:szCs w:val="24"/>
                <w:highlight w:val="none"/>
              </w:rPr>
              <w:t>乙方全称</w:t>
            </w:r>
          </w:p>
        </w:tc>
        <w:tc>
          <w:tcPr>
            <w:tcW w:w="6051" w:type="dxa"/>
            <w:vAlign w:val="center"/>
          </w:tcPr>
          <w:p w14:paraId="1281EB31">
            <w:pPr>
              <w:pStyle w:val="196"/>
              <w:autoSpaceDN w:val="0"/>
              <w:spacing w:line="500" w:lineRule="exact"/>
              <w:ind w:firstLine="480" w:firstLineChars="200"/>
              <w:jc w:val="left"/>
              <w:rPr>
                <w:rFonts w:ascii="宋体" w:hAnsi="宋体" w:cs="仿宋"/>
                <w:snapToGrid w:val="0"/>
                <w:color w:val="auto"/>
                <w:kern w:val="0"/>
                <w:sz w:val="24"/>
                <w:szCs w:val="24"/>
                <w:highlight w:val="none"/>
              </w:rPr>
            </w:pPr>
          </w:p>
        </w:tc>
      </w:tr>
      <w:tr w14:paraId="5047E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1804" w:type="dxa"/>
            <w:vAlign w:val="center"/>
          </w:tcPr>
          <w:p w14:paraId="60BF29D6">
            <w:pPr>
              <w:pStyle w:val="196"/>
              <w:autoSpaceDN w:val="0"/>
              <w:spacing w:line="500" w:lineRule="exact"/>
              <w:jc w:val="center"/>
              <w:rPr>
                <w:rFonts w:ascii="宋体" w:hAnsi="宋体" w:cs="仿宋"/>
                <w:snapToGrid w:val="0"/>
                <w:color w:val="auto"/>
                <w:kern w:val="0"/>
                <w:sz w:val="24"/>
                <w:szCs w:val="24"/>
                <w:highlight w:val="none"/>
              </w:rPr>
            </w:pPr>
            <w:r>
              <w:rPr>
                <w:rFonts w:hint="eastAsia" w:ascii="宋体" w:hAnsi="宋体" w:cs="仿宋"/>
                <w:snapToGrid w:val="0"/>
                <w:color w:val="auto"/>
                <w:kern w:val="0"/>
                <w:sz w:val="24"/>
                <w:szCs w:val="24"/>
                <w:highlight w:val="none"/>
              </w:rPr>
              <w:t>开户银行</w:t>
            </w:r>
          </w:p>
        </w:tc>
        <w:tc>
          <w:tcPr>
            <w:tcW w:w="6051" w:type="dxa"/>
            <w:vAlign w:val="center"/>
          </w:tcPr>
          <w:p w14:paraId="6B6657E7">
            <w:pPr>
              <w:pStyle w:val="196"/>
              <w:autoSpaceDN w:val="0"/>
              <w:spacing w:line="500" w:lineRule="exact"/>
              <w:ind w:firstLine="480" w:firstLineChars="200"/>
              <w:jc w:val="left"/>
              <w:rPr>
                <w:rFonts w:ascii="宋体" w:hAnsi="宋体" w:cs="仿宋"/>
                <w:snapToGrid w:val="0"/>
                <w:color w:val="auto"/>
                <w:kern w:val="0"/>
                <w:sz w:val="24"/>
                <w:szCs w:val="24"/>
                <w:highlight w:val="none"/>
              </w:rPr>
            </w:pPr>
          </w:p>
        </w:tc>
      </w:tr>
      <w:tr w14:paraId="276DA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804" w:type="dxa"/>
            <w:vAlign w:val="center"/>
          </w:tcPr>
          <w:p w14:paraId="61A8A699">
            <w:pPr>
              <w:pStyle w:val="196"/>
              <w:autoSpaceDN w:val="0"/>
              <w:spacing w:line="500" w:lineRule="exact"/>
              <w:jc w:val="center"/>
              <w:rPr>
                <w:rFonts w:ascii="宋体" w:hAnsi="宋体" w:cs="仿宋"/>
                <w:snapToGrid w:val="0"/>
                <w:color w:val="auto"/>
                <w:kern w:val="0"/>
                <w:sz w:val="24"/>
                <w:szCs w:val="24"/>
                <w:highlight w:val="none"/>
              </w:rPr>
            </w:pPr>
            <w:r>
              <w:rPr>
                <w:rFonts w:hint="eastAsia" w:ascii="宋体" w:hAnsi="宋体" w:cs="仿宋"/>
                <w:snapToGrid w:val="0"/>
                <w:color w:val="auto"/>
                <w:kern w:val="0"/>
                <w:sz w:val="24"/>
                <w:szCs w:val="24"/>
                <w:highlight w:val="none"/>
              </w:rPr>
              <w:t>账号</w:t>
            </w:r>
          </w:p>
        </w:tc>
        <w:tc>
          <w:tcPr>
            <w:tcW w:w="6051" w:type="dxa"/>
            <w:vAlign w:val="center"/>
          </w:tcPr>
          <w:p w14:paraId="7B9A9750">
            <w:pPr>
              <w:pStyle w:val="196"/>
              <w:autoSpaceDN w:val="0"/>
              <w:spacing w:line="500" w:lineRule="exact"/>
              <w:ind w:firstLine="480" w:firstLineChars="200"/>
              <w:jc w:val="left"/>
              <w:rPr>
                <w:rFonts w:ascii="宋体" w:hAnsi="宋体" w:cs="仿宋"/>
                <w:snapToGrid w:val="0"/>
                <w:color w:val="auto"/>
                <w:kern w:val="0"/>
                <w:sz w:val="24"/>
                <w:szCs w:val="24"/>
                <w:highlight w:val="none"/>
              </w:rPr>
            </w:pPr>
          </w:p>
        </w:tc>
      </w:tr>
    </w:tbl>
    <w:p w14:paraId="515DD4C4">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第四条 履约保证金</w:t>
      </w:r>
    </w:p>
    <w:p w14:paraId="71757E8F">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（一）合同签订之前，乙方须按合同金额的%向甲方交纳履约保证金。如果乙方未按照约定时间交付履约保证金的，甲方有权单方面解除合同。</w:t>
      </w:r>
    </w:p>
    <w:p w14:paraId="5244DF1C">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甲方指定履约保证金收款账户为：</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6"/>
        <w:gridCol w:w="5469"/>
      </w:tblGrid>
      <w:tr w14:paraId="5BE34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86" w:type="dxa"/>
            <w:vAlign w:val="center"/>
          </w:tcPr>
          <w:p w14:paraId="64FAAF56">
            <w:pPr>
              <w:pStyle w:val="197"/>
              <w:autoSpaceDN w:val="0"/>
              <w:spacing w:line="500" w:lineRule="exact"/>
              <w:jc w:val="left"/>
              <w:rPr>
                <w:rFonts w:ascii="宋体" w:hAnsi="宋体" w:cs="仿宋"/>
                <w:snapToGrid w:val="0"/>
                <w:color w:val="auto"/>
                <w:kern w:val="0"/>
                <w:sz w:val="24"/>
                <w:szCs w:val="24"/>
                <w:highlight w:val="none"/>
              </w:rPr>
            </w:pPr>
            <w:r>
              <w:rPr>
                <w:rFonts w:hint="eastAsia" w:ascii="宋体" w:hAnsi="宋体" w:cs="仿宋"/>
                <w:snapToGrid w:val="0"/>
                <w:color w:val="auto"/>
                <w:kern w:val="0"/>
                <w:sz w:val="24"/>
                <w:szCs w:val="24"/>
                <w:highlight w:val="none"/>
              </w:rPr>
              <w:t>收款单位全称</w:t>
            </w:r>
          </w:p>
        </w:tc>
        <w:tc>
          <w:tcPr>
            <w:tcW w:w="5469" w:type="dxa"/>
            <w:vAlign w:val="center"/>
          </w:tcPr>
          <w:p w14:paraId="6B565811">
            <w:pPr>
              <w:pStyle w:val="197"/>
              <w:autoSpaceDN w:val="0"/>
              <w:spacing w:line="500" w:lineRule="exact"/>
              <w:ind w:firstLine="480" w:firstLineChars="200"/>
              <w:jc w:val="left"/>
              <w:rPr>
                <w:rFonts w:ascii="宋体" w:hAnsi="宋体" w:cs="仿宋"/>
                <w:snapToGrid w:val="0"/>
                <w:color w:val="auto"/>
                <w:kern w:val="0"/>
                <w:sz w:val="24"/>
                <w:szCs w:val="24"/>
                <w:highlight w:val="none"/>
              </w:rPr>
            </w:pPr>
          </w:p>
        </w:tc>
      </w:tr>
      <w:tr w14:paraId="6098B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2386" w:type="dxa"/>
            <w:vAlign w:val="center"/>
          </w:tcPr>
          <w:p w14:paraId="71642937">
            <w:pPr>
              <w:pStyle w:val="197"/>
              <w:autoSpaceDN w:val="0"/>
              <w:spacing w:line="500" w:lineRule="exact"/>
              <w:jc w:val="left"/>
              <w:rPr>
                <w:rFonts w:ascii="宋体" w:hAnsi="宋体" w:cs="仿宋"/>
                <w:snapToGrid w:val="0"/>
                <w:color w:val="auto"/>
                <w:kern w:val="0"/>
                <w:sz w:val="24"/>
                <w:szCs w:val="24"/>
                <w:highlight w:val="none"/>
              </w:rPr>
            </w:pPr>
            <w:r>
              <w:rPr>
                <w:rFonts w:hint="eastAsia" w:ascii="宋体" w:hAnsi="宋体" w:cs="仿宋"/>
                <w:snapToGrid w:val="0"/>
                <w:color w:val="auto"/>
                <w:kern w:val="0"/>
                <w:sz w:val="24"/>
                <w:szCs w:val="24"/>
                <w:highlight w:val="none"/>
              </w:rPr>
              <w:t>开户银行</w:t>
            </w:r>
          </w:p>
        </w:tc>
        <w:tc>
          <w:tcPr>
            <w:tcW w:w="5469" w:type="dxa"/>
            <w:vAlign w:val="center"/>
          </w:tcPr>
          <w:p w14:paraId="465418B1">
            <w:pPr>
              <w:pStyle w:val="197"/>
              <w:autoSpaceDN w:val="0"/>
              <w:spacing w:line="500" w:lineRule="exact"/>
              <w:ind w:firstLine="480" w:firstLineChars="200"/>
              <w:jc w:val="left"/>
              <w:rPr>
                <w:rFonts w:ascii="宋体" w:hAnsi="宋体" w:cs="仿宋"/>
                <w:snapToGrid w:val="0"/>
                <w:color w:val="auto"/>
                <w:kern w:val="0"/>
                <w:sz w:val="24"/>
                <w:szCs w:val="24"/>
                <w:highlight w:val="none"/>
              </w:rPr>
            </w:pPr>
          </w:p>
        </w:tc>
      </w:tr>
      <w:tr w14:paraId="3A592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2386" w:type="dxa"/>
            <w:vAlign w:val="center"/>
          </w:tcPr>
          <w:p w14:paraId="39B1730D">
            <w:pPr>
              <w:pStyle w:val="197"/>
              <w:autoSpaceDN w:val="0"/>
              <w:spacing w:line="500" w:lineRule="exact"/>
              <w:jc w:val="left"/>
              <w:rPr>
                <w:rFonts w:ascii="宋体" w:hAnsi="宋体" w:cs="仿宋"/>
                <w:snapToGrid w:val="0"/>
                <w:color w:val="auto"/>
                <w:kern w:val="0"/>
                <w:sz w:val="24"/>
                <w:szCs w:val="24"/>
                <w:highlight w:val="none"/>
              </w:rPr>
            </w:pPr>
            <w:r>
              <w:rPr>
                <w:rFonts w:hint="eastAsia" w:ascii="宋体" w:hAnsi="宋体" w:cs="仿宋"/>
                <w:snapToGrid w:val="0"/>
                <w:color w:val="auto"/>
                <w:kern w:val="0"/>
                <w:sz w:val="24"/>
                <w:szCs w:val="24"/>
                <w:highlight w:val="none"/>
              </w:rPr>
              <w:t>账号</w:t>
            </w:r>
          </w:p>
        </w:tc>
        <w:tc>
          <w:tcPr>
            <w:tcW w:w="5469" w:type="dxa"/>
            <w:vAlign w:val="center"/>
          </w:tcPr>
          <w:p w14:paraId="58FB1379">
            <w:pPr>
              <w:pStyle w:val="197"/>
              <w:autoSpaceDN w:val="0"/>
              <w:spacing w:line="500" w:lineRule="exact"/>
              <w:ind w:firstLine="480" w:firstLineChars="200"/>
              <w:jc w:val="left"/>
              <w:rPr>
                <w:rFonts w:ascii="宋体" w:hAnsi="宋体" w:cs="仿宋"/>
                <w:snapToGrid w:val="0"/>
                <w:color w:val="auto"/>
                <w:kern w:val="0"/>
                <w:sz w:val="24"/>
                <w:szCs w:val="24"/>
                <w:highlight w:val="none"/>
              </w:rPr>
            </w:pPr>
          </w:p>
        </w:tc>
      </w:tr>
    </w:tbl>
    <w:p w14:paraId="6362909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（二）履约保证金以银行保函、银行电汇向甲方提供。</w:t>
      </w:r>
    </w:p>
    <w:p w14:paraId="799385E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（三）履约保证金有效期：/（根据招标文件要求填写）。</w:t>
      </w:r>
    </w:p>
    <w:p w14:paraId="22632F79">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（四）如乙方未能履行合同规定的义务，甲方有权按照本合同的约定从履约保证金中进行相应扣除。乙方应在甲方扣除履约保证金之日起10个工作日内，及时补充扣除部分金额。</w:t>
      </w:r>
    </w:p>
    <w:p w14:paraId="34FD07E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（五）如乙方不履行合同，或履行合同义务不符合约定使得合同目的不能实现，履约保证金不予退还。</w:t>
      </w:r>
    </w:p>
    <w:p w14:paraId="1B127471">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（六）履约保证金在有效期满后，甲方凭乙方提交退款申请，10个工作日内无息退还。</w:t>
      </w:r>
    </w:p>
    <w:p w14:paraId="05C8BF5F">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第五条 包装</w:t>
      </w:r>
    </w:p>
    <w:p w14:paraId="7BFE0144">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（一）除合同另有规定外，乙方提供的全部货物均应按标准保护措施进行包装，这类包装应适应于远距离运输、防潮、防震、防锈和防野蛮装卸，以确保货物安全无损运抵指定交货地点。</w:t>
      </w:r>
    </w:p>
    <w:p w14:paraId="2F643C6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（二）乙方应在包装箱外标明合同名称、合同编号、产品名称、型号，包装箱内随附一份详细装箱单和质量证书。</w:t>
      </w:r>
    </w:p>
    <w:p w14:paraId="01F3BF07">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（三）乙方应承担由于其包装或防护措施不当而引起的货物损坏和丢失的任何损失责任和费用。</w:t>
      </w:r>
    </w:p>
    <w:p w14:paraId="2AA730ED">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第六条 交货时间、地点、交货方法（运输方式）</w:t>
      </w:r>
    </w:p>
    <w:p w14:paraId="5A48DE89">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（一）交货时间：。</w:t>
      </w:r>
    </w:p>
    <w:p w14:paraId="028127D4">
      <w:pPr>
        <w:pStyle w:val="157"/>
        <w:spacing w:line="500" w:lineRule="exact"/>
        <w:ind w:firstLine="480" w:firstLineChars="200"/>
        <w:rPr>
          <w:rFonts w:hint="eastAsia" w:ascii="宋体" w:hAnsi="宋体" w:eastAsia="宋体" w:cs="仿宋"/>
          <w:color w:val="auto"/>
          <w:sz w:val="24"/>
          <w:szCs w:val="24"/>
          <w:highlight w:val="none"/>
          <w:lang w:eastAsia="zh-CN"/>
        </w:rPr>
      </w:pPr>
      <w:r>
        <w:rPr>
          <w:rFonts w:hint="eastAsia" w:ascii="宋体" w:hAnsi="宋体" w:cs="仿宋"/>
          <w:color w:val="auto"/>
          <w:sz w:val="24"/>
          <w:szCs w:val="24"/>
          <w:highlight w:val="none"/>
        </w:rPr>
        <w:t>（二）交货地点：</w:t>
      </w:r>
      <w:r>
        <w:rPr>
          <w:rFonts w:hint="eastAsia" w:ascii="宋体" w:hAnsi="宋体" w:cs="仿宋"/>
          <w:color w:val="auto"/>
          <w:sz w:val="24"/>
          <w:szCs w:val="24"/>
          <w:highlight w:val="none"/>
          <w:lang w:eastAsia="zh-CN"/>
        </w:rPr>
        <w:t>。</w:t>
      </w:r>
    </w:p>
    <w:p w14:paraId="62F4E4DF">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交货方法：由乙方负责采用适合的交通工具将采购货物及其附件运至交货现场并按甲方要求完成卸货，以双方签署设备到货验收签收单为准，交货时应一并交付货物的有关单证。货物从生产厂运至指定地点的运输、劳务及相关保险的办理由乙方负责并承担相应费用。</w:t>
      </w:r>
    </w:p>
    <w:p w14:paraId="0AB47DD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（四）风险责任承担：货物的风险责任和所有权在双方签署设备到货验收签收单/安装调试验收合格报告后由甲方承担和享有，此前的风险责任由乙方承担。</w:t>
      </w:r>
    </w:p>
    <w:p w14:paraId="6D68C51C">
      <w:pPr>
        <w:pStyle w:val="198"/>
        <w:spacing w:line="500" w:lineRule="exact"/>
        <w:rPr>
          <w:rFonts w:ascii="宋体" w:hAnsi="宋体" w:cs="仿宋"/>
          <w:color w:val="auto"/>
          <w:sz w:val="24"/>
          <w:szCs w:val="24"/>
          <w:highlight w:val="none"/>
        </w:rPr>
      </w:pPr>
      <w:r>
        <w:rPr>
          <w:rFonts w:hint="eastAsia" w:ascii="宋体" w:hAnsi="宋体" w:cs="仿宋"/>
          <w:b/>
          <w:bCs/>
          <w:color w:val="auto"/>
          <w:sz w:val="24"/>
          <w:szCs w:val="24"/>
          <w:highlight w:val="none"/>
        </w:rPr>
        <w:t>第七条 货物验收</w:t>
      </w:r>
    </w:p>
    <w:p w14:paraId="454E286B">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（一）货物运至甲方指定地点后，由甲乙双方指派人员按照本合同规定对货物进行验收，乙方应提供交货清单等文件供甲方审查，甲方将按合同清单进行规格、数量、外观的检查。</w:t>
      </w:r>
    </w:p>
    <w:p w14:paraId="16A1F2FC">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二）收货后个工作日内甲乙双方进行到货验收工作。如验收合格，甲方（用户）应及时履行验收手续，双方签署设备到货验收签收单；如验收不合格，甲方（用户）应以书面形式通知乙方原因，乙方收到通知后个工作日内提供解决方案。</w:t>
      </w:r>
    </w:p>
    <w:p w14:paraId="388341FF">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（三）在验收工作中，发现数量不足或有质量、技术等问题，乙方应按照合同要求采取补足、更换或退货等处理措施，并承担由此发生的一切费用和损失。</w:t>
      </w:r>
    </w:p>
    <w:p w14:paraId="2468DA46">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四）涉及设备安装调试的，乙方负责在甲方（用户）配合下完成所供设备安装调试并保证与用户原有设备互联互通，有关技术问题由乙方和制造商协同解决。安装调试后，双方签署设备安装调试验收报告。有关安装调试服务详见附件实施方案。</w:t>
      </w:r>
    </w:p>
    <w:p w14:paraId="0EEEEE76">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五）合同项下货物生产期间，甲方（用户）有权派工作人员到生产厂进行监造、现场抽样和出厂前验核。此次验核不代表甲方（用户）对货物的最终验收。期间相关费用，包括技术交流和技术材料费等由乙方负担。</w:t>
      </w:r>
    </w:p>
    <w:p w14:paraId="0CB525BA">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六）为验核货物内在功能是否完备，甲方（用户）有权组织对货物进行随机抽样，并委托有关检测单位进行检测，该检测结果将作为货物质量的评判依据，相关送检和检测费用由乙方承担。如检测指标不符合招标文件（谈判文件、询价通知书、磋商文件、单一来源）、投标（响应）文件要求的，甲方有权拒收全部此类货物，乙方应按照甲方要求无条件对拒收货物进行更换，并承担由此给甲方造成的工期延误等损失。对乙方可能涉嫌提供虚假材料或虚假响应的行为，甲方有权依法向监管部门反映并追究乙方法律责任。</w:t>
      </w:r>
    </w:p>
    <w:p w14:paraId="37347929">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（七）甲方（用户）认为必要时，对大型或者复杂的货物采购项目，可以邀请国家认可的质量检测机构参加验收工作，相关验收意见作为验收报告的参考资料，相关费用由乙方承担。</w:t>
      </w:r>
    </w:p>
    <w:p w14:paraId="00148198">
      <w:pPr>
        <w:pStyle w:val="199"/>
        <w:spacing w:line="500" w:lineRule="exact"/>
        <w:ind w:firstLine="480" w:firstLineChars="200"/>
        <w:rPr>
          <w:rFonts w:ascii="宋体" w:hAnsi="宋体" w:cs="仿宋"/>
          <w:color w:val="auto"/>
          <w:sz w:val="24"/>
          <w:szCs w:val="24"/>
          <w:highlight w:val="none"/>
          <w:lang w:eastAsia="zh-CN"/>
        </w:rPr>
      </w:pPr>
      <w:r>
        <w:rPr>
          <w:rFonts w:hint="eastAsia" w:ascii="宋体" w:hAnsi="宋体" w:cs="仿宋"/>
          <w:color w:val="auto"/>
          <w:sz w:val="24"/>
          <w:szCs w:val="24"/>
          <w:highlight w:val="none"/>
          <w:lang w:eastAsia="zh-CN"/>
        </w:rPr>
        <w:t>（八）验收标准以双方达成的对质量和技术标准的约定、乙方承诺的质量和技术标准、国家或行业规定的相关质量和技术标准中最高者为准，且应充分满足甲方使用要求。</w:t>
      </w:r>
    </w:p>
    <w:p w14:paraId="7DCDC6E1">
      <w:pPr>
        <w:pStyle w:val="199"/>
        <w:spacing w:line="500" w:lineRule="exact"/>
        <w:rPr>
          <w:rFonts w:ascii="宋体" w:hAnsi="宋体" w:cs="仿宋"/>
          <w:color w:val="auto"/>
          <w:sz w:val="24"/>
          <w:szCs w:val="24"/>
          <w:highlight w:val="none"/>
          <w:lang w:eastAsia="zh-CN"/>
        </w:rPr>
      </w:pPr>
      <w:r>
        <w:rPr>
          <w:rFonts w:hint="eastAsia" w:ascii="宋体" w:hAnsi="宋体" w:cs="仿宋"/>
          <w:b/>
          <w:bCs/>
          <w:color w:val="auto"/>
          <w:sz w:val="24"/>
          <w:szCs w:val="24"/>
          <w:highlight w:val="none"/>
          <w:lang w:eastAsia="zh-CN"/>
        </w:rPr>
        <w:t>第八条 质量保证</w:t>
      </w:r>
    </w:p>
    <w:p w14:paraId="28BC5EA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（一）乙方应保证所供货物为制造生产、原包装、全新未使用过的产品，与投标文件/应答文件承诺一致，并完全符合或高于合同要求的质量、规格和技术性能。</w:t>
      </w:r>
    </w:p>
    <w:p w14:paraId="75B781C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乙方应保证所供货物没有因乙方的行为或疏忽而产生材料或工艺上的缺陷，并保证其货物在正确安装、正常使用和保养条件下，在其使用寿命期内具有满意的性能。在货物最终交付验收后不少于合同规定或乙方承诺（两者以较长的为准）的质量保证期内，本保证保持有效。</w:t>
      </w:r>
    </w:p>
    <w:p w14:paraId="401DEB0C">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如果乙方所供货物质量与合同不符，或证实所供货物是有缺陷的，包括潜在的缺陷或使用不符合要求的材料等，由此引起的全部损失及费用由乙方承担。若以上原因导致或引起甲方（用户）损失及导致或引起第三方受到损害的，全部赔偿责任均应由乙方承担。</w:t>
      </w:r>
    </w:p>
    <w:p w14:paraId="5DB6DBE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（四）在质量保证期内所发现的缺陷，甲方（用户）应尽快以书面形式通知乙方。乙方收到通知后应10日内免费维修或更换有缺陷的货物或部件。</w:t>
      </w:r>
    </w:p>
    <w:p w14:paraId="7FD4F24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（五）乙方在约定的时间内未能弥补缺陷，甲方（用户）可采取必要的补救措施，但其风险和费用将由乙方承担，甲方（用户）根据合同规定对乙方行使的其他权利不受影响。</w:t>
      </w:r>
    </w:p>
    <w:p w14:paraId="58E2D5B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（六）本合同项目所有货物质量保证期为：自双方签署设备到货验收签收单/安装调试验收合格报告之日起计算年。</w:t>
      </w:r>
    </w:p>
    <w:p w14:paraId="2D04145D">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第九条 培训</w:t>
      </w:r>
    </w:p>
    <w:p w14:paraId="79B38B3E">
      <w:pPr>
        <w:pStyle w:val="157"/>
        <w:spacing w:line="500" w:lineRule="exact"/>
        <w:ind w:firstLine="480" w:firstLineChars="200"/>
        <w:rPr>
          <w:rFonts w:ascii="宋体" w:hAnsi="宋体" w:cs="仿宋"/>
          <w:b/>
          <w:bCs/>
          <w:color w:val="auto"/>
          <w:sz w:val="24"/>
          <w:szCs w:val="24"/>
          <w:highlight w:val="none"/>
        </w:rPr>
      </w:pPr>
      <w:r>
        <w:rPr>
          <w:rFonts w:hint="eastAsia" w:ascii="宋体" w:hAnsi="宋体" w:cs="仿宋"/>
          <w:bCs/>
          <w:color w:val="auto"/>
          <w:sz w:val="24"/>
          <w:szCs w:val="24"/>
          <w:highlight w:val="none"/>
        </w:rPr>
        <w:t>本合同所包括的培训详见附件培训方案。</w:t>
      </w:r>
    </w:p>
    <w:p w14:paraId="55725D3A">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第十条 售后服务</w:t>
      </w:r>
    </w:p>
    <w:p w14:paraId="407FC8D0">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（一）投标人（制造商）在质量保证期内免费提供</w:t>
      </w:r>
      <w:r>
        <w:rPr>
          <w:rFonts w:hint="eastAsia" w:ascii="宋体" w:hAnsi="宋体" w:cs="仿宋"/>
          <w:color w:val="auto"/>
          <w:sz w:val="24"/>
          <w:szCs w:val="24"/>
          <w:highlight w:val="none"/>
          <w:u w:val="single"/>
        </w:rPr>
        <w:t>7（5）</w:t>
      </w:r>
      <w:r>
        <w:rPr>
          <w:rFonts w:hint="eastAsia" w:ascii="宋体" w:hAnsi="宋体" w:cs="仿宋"/>
          <w:color w:val="auto"/>
          <w:sz w:val="24"/>
          <w:szCs w:val="24"/>
          <w:highlight w:val="none"/>
        </w:rPr>
        <w:t>*</w:t>
      </w:r>
      <w:r>
        <w:rPr>
          <w:rFonts w:hint="eastAsia" w:ascii="宋体" w:hAnsi="宋体" w:cs="仿宋"/>
          <w:color w:val="auto"/>
          <w:sz w:val="24"/>
          <w:szCs w:val="24"/>
          <w:highlight w:val="none"/>
          <w:u w:val="single"/>
        </w:rPr>
        <w:t>24（8）</w:t>
      </w:r>
      <w:r>
        <w:rPr>
          <w:rFonts w:hint="eastAsia" w:ascii="宋体" w:hAnsi="宋体" w:cs="仿宋"/>
          <w:color w:val="auto"/>
          <w:sz w:val="24"/>
          <w:szCs w:val="24"/>
          <w:highlight w:val="none"/>
        </w:rPr>
        <w:t>小时的技术支持与售后服务，提供专线电话支持服务，小时内响应，保证小时内到达现场并解决故障。</w:t>
      </w:r>
    </w:p>
    <w:p w14:paraId="24B2AC49">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（二）本合同所包含的售后服务，包含制造商售后服务和代理商售后服务，具体见附件技术支持及售后服务方案。</w:t>
      </w:r>
    </w:p>
    <w:p w14:paraId="5F999E1F">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第十一条 违约责任</w:t>
      </w:r>
    </w:p>
    <w:p w14:paraId="1136982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（一）因乙方原因未能按照本合同要求交付合格的货物或提供相关服务的违约责任。</w:t>
      </w:r>
    </w:p>
    <w:p w14:paraId="6307373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对于货物被证实存在缺陷（包括潜在的缺陷）或者不符合合同要求的，或原材料、技术标准、尺寸、颜色等存在质量问题，在合同条款规定的检验、安装、调试、验收和质量保证期内，甲方有权要求退货、退货重新制作、新货替换。乙方应按照甲方意见，用以下一种或几种方式结合解决：</w:t>
      </w:r>
    </w:p>
    <w:p w14:paraId="20B4DFAC">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（1）退货：甲方将货物退回乙方，乙方将合同货款退还给甲方，并承担由此发生的一切损失和费用。</w:t>
      </w:r>
    </w:p>
    <w:p w14:paraId="7D6219D0">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（2）退货重新制作：甲方将货物退回乙方，乙方按照技术标准要求重新制作，并承担由此发生的一切损失和费用。</w:t>
      </w:r>
    </w:p>
    <w:p w14:paraId="247A962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（3）新货替换：乙方用满足技术标准要求的货物替换存在缺陷的产品，承担甲方蒙受的全部损失和费用，并承担由此引发的一切风险，且相应延长所换货物的质量保证期。</w:t>
      </w:r>
    </w:p>
    <w:p w14:paraId="193E5850">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w:t>
      </w:r>
      <w:r>
        <w:rPr>
          <w:rFonts w:hint="eastAsia" w:ascii="宋体" w:hAnsi="宋体" w:cs="仿宋"/>
          <w:bCs/>
          <w:color w:val="auto"/>
          <w:sz w:val="24"/>
          <w:szCs w:val="24"/>
          <w:highlight w:val="none"/>
        </w:rPr>
        <w:t>如果乙方</w:t>
      </w:r>
      <w:r>
        <w:rPr>
          <w:rFonts w:hint="eastAsia" w:ascii="宋体" w:hAnsi="宋体" w:cs="仿宋"/>
          <w:color w:val="auto"/>
          <w:sz w:val="24"/>
          <w:szCs w:val="24"/>
          <w:highlight w:val="none"/>
        </w:rPr>
        <w:t>未在甲方要求的10日内或甲方同意的期限内，按照上述任何一种方式采取补救措施，甲方有权解除合同，扣除全部履约保证金并要求乙方退回甲方已支付的货款，并视损失情况根据《中华人民共和国民法典（合同编）》有关规定追究其相关责任，赔偿甲方（用户）的全部损失。</w:t>
      </w:r>
    </w:p>
    <w:p w14:paraId="3361D9B4">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3.对于未能按合同要求提供服务或被证实未提供应当承担的服务的，甲方有权要求限期整改。无合理理由不进行整改的视为根本违约。</w:t>
      </w:r>
    </w:p>
    <w:p w14:paraId="1512D6F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（二）乙方未按照本合同规定的时间交货和提供服务的违约责任。</w:t>
      </w:r>
    </w:p>
    <w:p w14:paraId="4ED27A8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在履行合同过程中，如果乙方遇到可能妨碍按时交货和提供服务的情形时，应及时以书面形式将延迟的事实、可能延迟的期限和理由通知甲方（用户）。甲方（用户）在收到乙方通知后，应尽快对情况进行评价，并确定是否同意延迟交货时间或延期提供服务，如甲方（用户）不同意延期，乙方仍应当按照约定的时间完成交货义务，如甲方（用户）同意延期，必须以双方签订的补充协议为准。</w:t>
      </w:r>
    </w:p>
    <w:p w14:paraId="6B0C9794">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除甲乙双方另有约定外，如果乙方没有按照合同规定的时间交货和提供服务，甲方有权在不影响合同项下其他补救措施的情况下，要求乙方支付误期赔偿费，或从合同货款、履约保证金中扣除误期赔偿费。赔偿费按每周迟交货物价格或未提供服务费用的百分之零点五（0.5%）计收，直到交货或提供服务为止。但误期赔偿费的最高限额不超过误期货物或服务合同价格的百分之十（10%）。一周按七（7）天计算，不足七（7）天按一周计算。</w:t>
      </w:r>
    </w:p>
    <w:p w14:paraId="3AA61A2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3.出现上述没有按照合同规定的时间交货和提供服务的情形时，甲方也可以选择解除合同，要求乙方退回甲方已支付货款、扣除履约保证金并追究乙方相应违约责任、赔偿甲方（用户）的全部损失。</w:t>
      </w:r>
    </w:p>
    <w:p w14:paraId="64E34AC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4.如合同被全部或部分解除，甲方可依其认为适当的条款和方法购买与未交货类似的货物，乙方应对购买类似货物所超出的那部分费用负责。同时，乙方应继续执行合同中未解除的部分。如乙方违约并经同意延期仍不能履行合同时，甲方有权解除合同，扣除履约保证金，且乙方应赔偿由此给甲方造成的损失。</w:t>
      </w:r>
    </w:p>
    <w:p w14:paraId="2897324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因乙方或乙方工作人员或乙方相关方的作为或不作为行为致使甲方或第三方遭受人员人身伤害或财产损失的，乙方应承担全部赔偿责任，赔偿全部损失，且甲方有权以全部履约保证金作为违约金，解除本合同。</w:t>
      </w:r>
    </w:p>
    <w:p w14:paraId="75D5E9E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（四）在本合同履行过程中，如果有证据证明乙方根本无法履行合同的，甲方可以行使不安抗辩权，有权解除合同，并扣除履约保证金，如因乙方不能履行给甲方造成其他损失的，乙方应继续承担赔偿责任。</w:t>
      </w:r>
    </w:p>
    <w:p w14:paraId="14FEF7E7">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第十二条 异议的期限和方法</w:t>
      </w:r>
    </w:p>
    <w:p w14:paraId="6FC040A8">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（一）异议期限自质量保证期开始之日起3个月内。如果属于产品设计、材料、工艺或其他潜在的质量缺陷，甲方（用户）以书面形式提出异议及其处理意见。</w:t>
      </w:r>
    </w:p>
    <w:p w14:paraId="10C33E80">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（二）乙方接到甲方（用户）书面异议及其处理意见后，应在10日内到甲方（用户）项目现场处理，否则即视为默认甲方（用户）提出的异议和处理意见。</w:t>
      </w:r>
    </w:p>
    <w:p w14:paraId="34B3996D">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第十三条 使用合同文件和资料</w:t>
      </w:r>
    </w:p>
    <w:p w14:paraId="42F300A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没有甲方（用户）事先书面同意，乙方不得将由甲方或代表甲方提供的有关合同或任何合同条文、规格或资料等提供给乙方雇佣于履行本合同以外的任何其他人。即使向本合同的雇员提供，也应注意保密并限于履行本合同必须的范围。</w:t>
      </w:r>
    </w:p>
    <w:p w14:paraId="1C9B6AC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（二）没有甲方（用户）事先书面同意，除了履行本合同之外，乙方不应使用、传播与本合同相关的任何文件、资料。</w:t>
      </w:r>
    </w:p>
    <w:p w14:paraId="6406EAFB">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第十四条 知识产权</w:t>
      </w:r>
    </w:p>
    <w:p w14:paraId="10A6C599">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乙方应保证所提供的货物及服务不侵犯任何第三方的知识产权(专利权、商标权、版权等)及其他任何合法权益。如果甲方（用户）在使用乙方货物或服务的任何一部分过程中，遭致第三方索赔或主张权利的，乙方应当修正以避免侵权。</w:t>
      </w:r>
    </w:p>
    <w:p w14:paraId="6DD82E8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如果甲方（用户）在使用乙方货物或货物的任何一部分过程中，因侵犯第三方合法权益（包括但不限于知识产权）而遭致第三方索赔或主张权利的，乙方将自费为甲方（用户）应诉，并支付法院最终判决的甲方（用户）应支付第三方的一切费用、并赔偿甲方（用户）由此遭受的全部损失及支出的合理费用。</w:t>
      </w:r>
    </w:p>
    <w:p w14:paraId="04B70631">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（三）如乙方提供的货物或服务确实侵犯了第三方合法权益（包括但不限于知识产权）的，甲方有权解除合同，没收履约保证金，要求乙方退回已支付的全部货款，并赔偿甲方的全部损失及支出的合理费用。</w:t>
      </w:r>
    </w:p>
    <w:p w14:paraId="54A0261B">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第十五条 权利瑕疵担保</w:t>
      </w:r>
    </w:p>
    <w:p w14:paraId="53BE66A8">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（一）乙方保证对其所提供的货物享有完全的所有权等合法权利，不存在任何未曾向甲方（用户）透露的担保物权（如抵押权、质押权、留置权等）或其他任何权利负担或争议。</w:t>
      </w:r>
    </w:p>
    <w:p w14:paraId="738A5E81">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（二）乙方应保证所提供的货物免受第三方提出的任何权利主张，如因第三方提出权利主张给甲方（用户）造成损失的，乙方应予以赔偿。</w:t>
      </w:r>
    </w:p>
    <w:p w14:paraId="31AF46CC">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（三）如乙方所提供的货物存在前述担保货物或权利负担，甲方（用户）有权解除合同、没收履约保证金，并要求乙方退还已支付的全部货款，赔偿甲方（用户）的全部损失及支出的合理费用。</w:t>
      </w:r>
    </w:p>
    <w:p w14:paraId="2DF3BD40">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第十六条 不可抗力及其免责</w:t>
      </w:r>
    </w:p>
    <w:p w14:paraId="43C0EC07">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（一）如果乙方因不可抗力而导致合同实施延误或不能履行合同义务时，在不可抗力影响的范围内不应该被没收履约保证金，也不应该承担误期赔偿或终止合同的责任。</w:t>
      </w:r>
    </w:p>
    <w:p w14:paraId="53F8D2E4">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在不可抗力事件发生后，乙方应尽快以书面形式将不可抗力的情况和原因通知甲方，除甲方（用户）书面另行要求外，乙方应尽实际可能继续履行合同义务，以及寻求采取合理的方案履行不受不可抗力影响的其他事项。如果不可抗力事件影响延续超过一百二十天，双方应通过友好协商在合理的时间内就进一步实施合同达成协议。</w:t>
      </w:r>
    </w:p>
    <w:p w14:paraId="5AC0D1B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（三）乙方在延迟履行合同期间由于不可抗力而不能履行合同的，不能被免除责任。</w:t>
      </w:r>
    </w:p>
    <w:p w14:paraId="67BD0F56">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（四）甲方（用户）如遇不可抗力，应尽快以书面形式通知乙方，并尽实际可能履行不受不可抗力影响的其他事项。甲方（用户）不承担因不可抗力不能履行合同所造成的损失。</w:t>
      </w:r>
    </w:p>
    <w:p w14:paraId="2D1F2DE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（五）本条所述的“不可抗力”指那些不能预见、不能避免并不能克服的客观情况，包括但不限于战争、动乱、严重火灾、洪水、台风、地震等及其他双方同意的情况，但不包括违约或疏忽。</w:t>
      </w:r>
    </w:p>
    <w:p w14:paraId="4D1B4D2E">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第十七条 争议的解决</w:t>
      </w:r>
    </w:p>
    <w:p w14:paraId="7C82BDBC">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（一）合同实施或与合同有关的一切争议应通过双方友好协商解决。如果友好协商开始</w:t>
      </w:r>
      <w:r>
        <w:rPr>
          <w:rFonts w:hint="eastAsia" w:ascii="宋体" w:hAnsi="宋体" w:cs="仿宋"/>
          <w:color w:val="auto"/>
          <w:sz w:val="24"/>
          <w:szCs w:val="24"/>
          <w:highlight w:val="none"/>
          <w:u w:val="words"/>
        </w:rPr>
        <w:t>六十天</w:t>
      </w:r>
      <w:r>
        <w:rPr>
          <w:rFonts w:hint="eastAsia" w:ascii="宋体" w:hAnsi="宋体" w:cs="仿宋"/>
          <w:color w:val="auto"/>
          <w:sz w:val="24"/>
          <w:szCs w:val="24"/>
          <w:highlight w:val="none"/>
        </w:rPr>
        <w:t>内还不能解决，争议应提交仲裁。</w:t>
      </w:r>
    </w:p>
    <w:p w14:paraId="4965A84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（二）仲裁应提交</w:t>
      </w:r>
      <w:r>
        <w:rPr>
          <w:rFonts w:hint="eastAsia" w:ascii="宋体" w:hAnsi="宋体" w:cs="仿宋"/>
          <w:color w:val="auto"/>
          <w:sz w:val="24"/>
          <w:szCs w:val="24"/>
          <w:highlight w:val="none"/>
          <w:u w:val="single"/>
        </w:rPr>
        <w:t>仲裁委员会</w:t>
      </w:r>
      <w:r>
        <w:rPr>
          <w:rFonts w:hint="eastAsia" w:ascii="宋体" w:hAnsi="宋体" w:cs="仿宋"/>
          <w:color w:val="auto"/>
          <w:sz w:val="24"/>
          <w:szCs w:val="24"/>
          <w:highlight w:val="none"/>
        </w:rPr>
        <w:t>进行，其仲裁裁决为最终裁决，对双方均有约束力。</w:t>
      </w:r>
    </w:p>
    <w:p w14:paraId="092C6F98">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（三）仲裁费除仲裁机关另有裁决外均应由败诉方负担。</w:t>
      </w:r>
    </w:p>
    <w:p w14:paraId="574D431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（四）在仲裁期间，除正在进行仲裁的部分外，本合同其他部分应继续履行。</w:t>
      </w:r>
    </w:p>
    <w:p w14:paraId="45FF11EB">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第十八条 合同修改或变更</w:t>
      </w:r>
    </w:p>
    <w:p w14:paraId="476A0CE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（一）如无重大变故，甲乙双方不得擅自变更合同。</w:t>
      </w:r>
    </w:p>
    <w:p w14:paraId="124FBAB8">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（二）如确需变更合同，甲乙双方应签署书面变更协议。变更协议为本合同不可分割的一部分。</w:t>
      </w:r>
    </w:p>
    <w:p w14:paraId="10E4B4E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（三）在不改变合同其他条款的前提下，甲方（用户）有权在合同价款10%的范围内追加与合同标的相同的货物或服务，并就此与乙方签订补充合同，乙方不得拒绝。</w:t>
      </w:r>
    </w:p>
    <w:p w14:paraId="131F961C">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第十九条 合同中止</w:t>
      </w:r>
    </w:p>
    <w:p w14:paraId="1A998536">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（一）合同在履行过程中，因采购计划调整，甲方（用户）可以要求中止履行，待计划确定后继续履行。</w:t>
      </w:r>
    </w:p>
    <w:p w14:paraId="4B543B6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（二）合同签订或履行过程中因其他投标人就采购过程或结果提起质疑、投诉、行政复议、行政诉讼的，甲方（用户）认为有必要或财政部责令中止的，应当中止合同的履行。</w:t>
      </w:r>
    </w:p>
    <w:p w14:paraId="2AAAC67B">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第二十条 合同解除</w:t>
      </w:r>
    </w:p>
    <w:p w14:paraId="599AB3B0">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由于合同一方不履行合同或严重违反合同，造成合同部分或全部无法履行时，对方除有权向违约方索赔外，并有权部分或全部解除合同。对于部分解除的合同，违约方除应承担规定的责任外，还应继续履行合同的剩余部分。</w:t>
      </w:r>
    </w:p>
    <w:p w14:paraId="775F33E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（一）因违约解除合同</w:t>
      </w:r>
    </w:p>
    <w:p w14:paraId="2B3F540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1.在甲方（用户）对乙方违约而采取的任何补救措施不受影响的情况下，甲方（用户）可向乙方发出书面违约通知书，提出解除部分或全部合同：</w:t>
      </w:r>
    </w:p>
    <w:p w14:paraId="70BC5486">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（1）如果乙方未能在合同规定的期限或甲方（用户）根据合同条款的规定同意延长的限期内提供部分或全部的货物或服务，达到合同所规定的要求；</w:t>
      </w:r>
    </w:p>
    <w:p w14:paraId="2FE1362C">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（2）如果甲方（用户）发现乙方在本合同的竞争或实施中有欺诈行为。</w:t>
      </w:r>
    </w:p>
    <w:p w14:paraId="7F9D9E0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（3）如果乙方未能履行合同规定的其他任何义务。</w:t>
      </w:r>
    </w:p>
    <w:p w14:paraId="22C784A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2.如果甲方（用户）根据上述规定与乙方全部或部分解除合同，</w:t>
      </w:r>
      <w:r>
        <w:rPr>
          <w:rFonts w:hint="eastAsia" w:ascii="宋体" w:hAnsi="宋体" w:cs="仿宋"/>
          <w:bCs/>
          <w:color w:val="auto"/>
          <w:sz w:val="24"/>
          <w:szCs w:val="24"/>
          <w:highlight w:val="none"/>
        </w:rPr>
        <w:t>甲方（用户）可以依其认为适当的条件和方法购买乙方未能提供的货物或服务，乙方应对甲方购买类似货物或服务所超出的费用负责</w:t>
      </w:r>
      <w:r>
        <w:rPr>
          <w:rFonts w:hint="eastAsia" w:ascii="宋体" w:hAnsi="宋体" w:cs="仿宋"/>
          <w:color w:val="auto"/>
          <w:sz w:val="24"/>
          <w:szCs w:val="24"/>
          <w:highlight w:val="none"/>
        </w:rPr>
        <w:t>。</w:t>
      </w:r>
      <w:r>
        <w:rPr>
          <w:rFonts w:hint="eastAsia" w:ascii="宋体" w:hAnsi="宋体" w:cs="仿宋"/>
          <w:bCs/>
          <w:color w:val="auto"/>
          <w:sz w:val="24"/>
          <w:szCs w:val="24"/>
          <w:highlight w:val="none"/>
        </w:rPr>
        <w:t>同时，乙方应继续执行合同中未解除的部分。</w:t>
      </w:r>
    </w:p>
    <w:p w14:paraId="3A5DA197">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（二）因破产而解除合同</w:t>
      </w:r>
    </w:p>
    <w:p w14:paraId="16C532E3">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1.如果乙方破产或无清偿能力，甲方（用户）可在任何时候以书面形式通知乙方，提出解除合同而不给乙方补偿，并有权要求乙方退回甲方（用户）已支付的合同货款。</w:t>
      </w:r>
    </w:p>
    <w:p w14:paraId="29243EB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2.该解除合同将不损害或影响甲方已经采取或将要采取的任何行动或补救措施的权利。</w:t>
      </w:r>
    </w:p>
    <w:p w14:paraId="364B3CBB">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（三）其他解除合同情况</w:t>
      </w:r>
    </w:p>
    <w:p w14:paraId="70BE7058">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1.若合同继续履行将给甲方造成重大损失的，甲方（用户）可以解除合同而不给予乙方任何补偿。</w:t>
      </w:r>
    </w:p>
    <w:p w14:paraId="161AFB24">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2.乙方在执行合同的过程中发生重大变故，对履行合同有影响的，甲方（用户）可以解除合同而不给予乙方任何补偿。</w:t>
      </w:r>
    </w:p>
    <w:p w14:paraId="6B4E94B5">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3.甲方（用户）因重大变故取消或部分取消原来的采购任务，导致合同全部或部分内容无需继续履行的，可以解除合同而不给予乙方任何补偿。</w:t>
      </w:r>
    </w:p>
    <w:p w14:paraId="0F5544F6">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第二十一条 合同终止</w:t>
      </w:r>
    </w:p>
    <w:p w14:paraId="2FE0529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（一）本合同因下列原因而终止：</w:t>
      </w:r>
    </w:p>
    <w:p w14:paraId="705A259F">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1.本合同正常履行完毕；</w:t>
      </w:r>
    </w:p>
    <w:p w14:paraId="2717DF99">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2.合同双方协议终止本合同的履行；</w:t>
      </w:r>
    </w:p>
    <w:p w14:paraId="48A8327A">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3.不可抗力事件导致本合同无法履行或履行不必要；</w:t>
      </w:r>
    </w:p>
    <w:p w14:paraId="53DDE65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4.任何一方行使解除权，解除本合同；</w:t>
      </w:r>
    </w:p>
    <w:p w14:paraId="567D0D75">
      <w:pPr>
        <w:pStyle w:val="157"/>
        <w:spacing w:line="500" w:lineRule="exact"/>
        <w:ind w:firstLine="480" w:firstLineChars="200"/>
        <w:rPr>
          <w:rFonts w:ascii="宋体" w:hAnsi="宋体" w:cs="仿宋"/>
          <w:color w:val="auto"/>
          <w:sz w:val="24"/>
          <w:szCs w:val="24"/>
          <w:highlight w:val="none"/>
        </w:rPr>
      </w:pPr>
      <w:bookmarkStart w:id="310" w:name="孔子"/>
      <w:bookmarkEnd w:id="310"/>
      <w:r>
        <w:rPr>
          <w:rFonts w:hint="eastAsia" w:ascii="宋体" w:hAnsi="宋体" w:cs="仿宋"/>
          <w:color w:val="auto"/>
          <w:sz w:val="24"/>
          <w:szCs w:val="24"/>
          <w:highlight w:val="none"/>
        </w:rPr>
        <w:t>（二）对本合同终止有过错的一方应赔偿另一方因合同终止而受到的损失。</w:t>
      </w:r>
    </w:p>
    <w:p w14:paraId="06DF0233">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第二十二条 合同转让和分包</w:t>
      </w:r>
    </w:p>
    <w:p w14:paraId="2D5098F2">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（一）除经甲方（用户）事先书面同意外，乙方不得以任何形式将合同分包。</w:t>
      </w:r>
    </w:p>
    <w:p w14:paraId="037B502D">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乙方擅自转包或分包的，甲方有权解除本合同，没收履约保证金，并要求乙方退还已支付的全部货款，赔偿甲方（用户）全部损失及支出的合理费用。</w:t>
      </w:r>
    </w:p>
    <w:p w14:paraId="51084670">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第二十三条 其他</w:t>
      </w:r>
    </w:p>
    <w:p w14:paraId="1A3D7F2E">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中标通知书、中标人的投标文件/应答文件、招标文件/谈判文件/询价通知书/磋商文件/单一来源、合同条款、合同附件（协商、变更的，明确双方权利义务的，以书面形式而表现出来的协议或书面通知或确认书等）是本合同不可分割的部分，与本合同具有同等法律效力。</w:t>
      </w:r>
    </w:p>
    <w:p w14:paraId="432CB98A">
      <w:pPr>
        <w:pStyle w:val="157"/>
        <w:spacing w:line="500" w:lineRule="exact"/>
        <w:rPr>
          <w:rFonts w:ascii="宋体" w:hAnsi="宋体" w:cs="仿宋"/>
          <w:b/>
          <w:bCs/>
          <w:color w:val="auto"/>
          <w:sz w:val="24"/>
          <w:szCs w:val="24"/>
          <w:highlight w:val="none"/>
        </w:rPr>
      </w:pPr>
      <w:r>
        <w:rPr>
          <w:rFonts w:hint="eastAsia" w:ascii="宋体" w:hAnsi="宋体" w:cs="仿宋"/>
          <w:b/>
          <w:bCs/>
          <w:color w:val="auto"/>
          <w:sz w:val="24"/>
          <w:szCs w:val="24"/>
          <w:highlight w:val="none"/>
        </w:rPr>
        <w:t>第二十四条 合同生效</w:t>
      </w:r>
    </w:p>
    <w:p w14:paraId="1B620A56">
      <w:pPr>
        <w:pStyle w:val="157"/>
        <w:spacing w:line="500" w:lineRule="exact"/>
        <w:ind w:firstLine="480" w:firstLineChars="200"/>
        <w:rPr>
          <w:rFonts w:ascii="宋体" w:hAnsi="宋体" w:cs="仿宋"/>
          <w:color w:val="auto"/>
          <w:sz w:val="24"/>
          <w:szCs w:val="24"/>
          <w:highlight w:val="none"/>
        </w:rPr>
      </w:pPr>
      <w:r>
        <w:rPr>
          <w:rFonts w:hint="eastAsia" w:ascii="宋体" w:hAnsi="宋体" w:cs="仿宋"/>
          <w:color w:val="auto"/>
          <w:sz w:val="24"/>
          <w:szCs w:val="24"/>
          <w:highlight w:val="none"/>
        </w:rPr>
        <w:t>本合同一式___份，甲方执___份，乙方执___份；自甲乙双方签字盖章之日起生效。对本合同的任何更改及补充，均需双方共同协商，并以书面形式盖章确认。</w:t>
      </w:r>
    </w:p>
    <w:p w14:paraId="498D5F8E">
      <w:pPr>
        <w:pStyle w:val="157"/>
        <w:spacing w:line="500" w:lineRule="exact"/>
        <w:rPr>
          <w:rFonts w:ascii="宋体" w:hAnsi="宋体" w:cs="仿宋"/>
          <w:color w:val="auto"/>
          <w:sz w:val="24"/>
          <w:szCs w:val="24"/>
          <w:highlight w:val="none"/>
        </w:rPr>
      </w:pPr>
    </w:p>
    <w:p w14:paraId="358FFB29">
      <w:pPr>
        <w:pStyle w:val="157"/>
        <w:spacing w:line="500" w:lineRule="exact"/>
        <w:rPr>
          <w:rFonts w:ascii="宋体" w:hAnsi="宋体" w:cs="仿宋"/>
          <w:color w:val="auto"/>
          <w:sz w:val="24"/>
          <w:szCs w:val="24"/>
          <w:highlight w:val="none"/>
        </w:rPr>
      </w:pPr>
      <w:r>
        <w:rPr>
          <w:rFonts w:hint="eastAsia" w:ascii="宋体" w:hAnsi="宋体" w:cs="仿宋"/>
          <w:color w:val="auto"/>
          <w:sz w:val="24"/>
          <w:szCs w:val="24"/>
          <w:highlight w:val="none"/>
        </w:rPr>
        <w:t>甲方（公章或合同章）：                     乙方（公章或合同章）：</w:t>
      </w:r>
    </w:p>
    <w:p w14:paraId="0CA75DCF">
      <w:pPr>
        <w:pStyle w:val="157"/>
        <w:spacing w:line="500" w:lineRule="exact"/>
        <w:rPr>
          <w:rFonts w:ascii="宋体" w:hAnsi="宋体" w:cs="仿宋"/>
          <w:color w:val="auto"/>
          <w:sz w:val="24"/>
          <w:szCs w:val="24"/>
          <w:highlight w:val="none"/>
        </w:rPr>
      </w:pPr>
    </w:p>
    <w:p w14:paraId="6DEC8C33">
      <w:pPr>
        <w:pStyle w:val="157"/>
        <w:spacing w:line="500" w:lineRule="exact"/>
        <w:rPr>
          <w:rFonts w:ascii="宋体" w:hAnsi="宋体" w:cs="仿宋"/>
          <w:color w:val="auto"/>
          <w:sz w:val="24"/>
          <w:szCs w:val="24"/>
          <w:highlight w:val="none"/>
        </w:rPr>
      </w:pPr>
      <w:r>
        <w:rPr>
          <w:rFonts w:hint="eastAsia" w:ascii="宋体" w:hAnsi="宋体" w:cs="仿宋"/>
          <w:color w:val="auto"/>
          <w:sz w:val="24"/>
          <w:szCs w:val="24"/>
          <w:highlight w:val="none"/>
        </w:rPr>
        <w:t>法定代表人                                法定代表人</w:t>
      </w:r>
    </w:p>
    <w:p w14:paraId="7EF6C21A">
      <w:pPr>
        <w:pStyle w:val="157"/>
        <w:spacing w:line="500" w:lineRule="exact"/>
        <w:rPr>
          <w:rFonts w:ascii="宋体" w:hAnsi="宋体" w:cs="仿宋"/>
          <w:color w:val="auto"/>
          <w:sz w:val="24"/>
          <w:szCs w:val="24"/>
          <w:highlight w:val="none"/>
        </w:rPr>
      </w:pPr>
      <w:r>
        <w:rPr>
          <w:rFonts w:hint="eastAsia" w:ascii="宋体" w:hAnsi="宋体" w:cs="仿宋"/>
          <w:color w:val="auto"/>
          <w:sz w:val="24"/>
          <w:szCs w:val="24"/>
          <w:highlight w:val="none"/>
        </w:rPr>
        <w:t>或授权签字人（签字）：                     或授权签字人（签字）：</w:t>
      </w:r>
    </w:p>
    <w:p w14:paraId="07F0715D">
      <w:pPr>
        <w:pStyle w:val="157"/>
        <w:spacing w:line="500" w:lineRule="exact"/>
        <w:rPr>
          <w:rFonts w:ascii="宋体" w:hAnsi="宋体" w:cs="仿宋"/>
          <w:color w:val="auto"/>
          <w:sz w:val="24"/>
          <w:szCs w:val="24"/>
          <w:highlight w:val="none"/>
        </w:rPr>
      </w:pPr>
    </w:p>
    <w:p w14:paraId="739F5ECA">
      <w:pPr>
        <w:pStyle w:val="200"/>
        <w:spacing w:line="500" w:lineRule="exact"/>
        <w:rPr>
          <w:rFonts w:ascii="宋体" w:hAnsi="宋体" w:cs="仿宋"/>
          <w:color w:val="auto"/>
          <w:sz w:val="24"/>
          <w:highlight w:val="none"/>
        </w:rPr>
      </w:pPr>
      <w:r>
        <w:rPr>
          <w:rFonts w:hint="eastAsia" w:ascii="宋体" w:hAnsi="宋体" w:cs="仿宋"/>
          <w:color w:val="auto"/>
          <w:sz w:val="24"/>
          <w:highlight w:val="none"/>
        </w:rPr>
        <w:t xml:space="preserve">日期： 年  月  日                         日期：   年   月   日    </w:t>
      </w:r>
    </w:p>
    <w:p w14:paraId="69855A8A">
      <w:pPr>
        <w:pStyle w:val="200"/>
        <w:spacing w:line="500" w:lineRule="exact"/>
        <w:rPr>
          <w:rFonts w:ascii="宋体" w:hAnsi="宋体" w:cs="仿宋"/>
          <w:color w:val="auto"/>
          <w:sz w:val="24"/>
          <w:highlight w:val="none"/>
        </w:rPr>
      </w:pPr>
      <w:r>
        <w:rPr>
          <w:rFonts w:hint="eastAsia" w:ascii="宋体" w:hAnsi="宋体" w:cs="仿宋"/>
          <w:color w:val="auto"/>
          <w:sz w:val="24"/>
          <w:highlight w:val="none"/>
        </w:rPr>
        <w:t>联系人:                                    联系人：</w:t>
      </w:r>
    </w:p>
    <w:p w14:paraId="34AE6C64">
      <w:pPr>
        <w:pStyle w:val="200"/>
        <w:spacing w:line="500" w:lineRule="exact"/>
        <w:rPr>
          <w:rFonts w:ascii="宋体" w:hAnsi="宋体" w:cs="仿宋"/>
          <w:color w:val="auto"/>
          <w:sz w:val="24"/>
          <w:highlight w:val="none"/>
        </w:rPr>
      </w:pPr>
      <w:r>
        <w:rPr>
          <w:rFonts w:hint="eastAsia" w:ascii="宋体" w:hAnsi="宋体" w:cs="仿宋"/>
          <w:color w:val="auto"/>
          <w:sz w:val="24"/>
          <w:highlight w:val="none"/>
        </w:rPr>
        <w:t>电话:                                      电话：</w:t>
      </w:r>
    </w:p>
    <w:p w14:paraId="368F67EA">
      <w:pPr>
        <w:pStyle w:val="200"/>
        <w:spacing w:line="500" w:lineRule="exact"/>
        <w:rPr>
          <w:rFonts w:ascii="宋体" w:hAnsi="宋体" w:cs="仿宋"/>
          <w:color w:val="auto"/>
          <w:sz w:val="24"/>
          <w:highlight w:val="none"/>
        </w:rPr>
      </w:pPr>
      <w:r>
        <w:rPr>
          <w:rFonts w:hint="eastAsia" w:ascii="宋体" w:hAnsi="宋体" w:cs="仿宋"/>
          <w:color w:val="auto"/>
          <w:sz w:val="24"/>
          <w:highlight w:val="none"/>
        </w:rPr>
        <w:t>地址：                                     地址：</w:t>
      </w:r>
    </w:p>
    <w:p w14:paraId="234F5762">
      <w:pPr>
        <w:pStyle w:val="12"/>
        <w:rPr>
          <w:color w:val="auto"/>
          <w:highlight w:val="none"/>
        </w:rPr>
      </w:pPr>
    </w:p>
    <w:p w14:paraId="655AE4D3">
      <w:pPr>
        <w:pStyle w:val="12"/>
        <w:rPr>
          <w:color w:val="auto"/>
          <w:highlight w:val="none"/>
        </w:rPr>
      </w:pPr>
    </w:p>
    <w:p w14:paraId="3176E054">
      <w:pPr>
        <w:pStyle w:val="12"/>
        <w:rPr>
          <w:color w:val="auto"/>
          <w:highlight w:val="none"/>
        </w:rPr>
      </w:pPr>
    </w:p>
    <w:p w14:paraId="09334665">
      <w:pPr>
        <w:pStyle w:val="12"/>
        <w:rPr>
          <w:color w:val="auto"/>
          <w:highlight w:val="none"/>
        </w:rPr>
      </w:pPr>
    </w:p>
    <w:p w14:paraId="6C6D90D6">
      <w:pPr>
        <w:pStyle w:val="12"/>
        <w:rPr>
          <w:color w:val="auto"/>
          <w:highlight w:val="none"/>
        </w:rPr>
      </w:pPr>
    </w:p>
    <w:p w14:paraId="3878B1EA">
      <w:pPr>
        <w:pStyle w:val="12"/>
        <w:rPr>
          <w:color w:val="auto"/>
          <w:highlight w:val="none"/>
        </w:rPr>
      </w:pPr>
    </w:p>
    <w:p w14:paraId="4F77F871">
      <w:pPr>
        <w:pStyle w:val="12"/>
        <w:rPr>
          <w:color w:val="auto"/>
          <w:highlight w:val="none"/>
        </w:rPr>
      </w:pPr>
    </w:p>
    <w:p w14:paraId="2FDFBFD8">
      <w:pPr>
        <w:pStyle w:val="12"/>
        <w:rPr>
          <w:color w:val="auto"/>
          <w:highlight w:val="none"/>
        </w:rPr>
      </w:pPr>
    </w:p>
    <w:p w14:paraId="0F831042">
      <w:pPr>
        <w:pStyle w:val="12"/>
        <w:rPr>
          <w:color w:val="auto"/>
          <w:highlight w:val="none"/>
        </w:rPr>
      </w:pPr>
    </w:p>
    <w:p w14:paraId="46AE5F00">
      <w:pPr>
        <w:pStyle w:val="12"/>
        <w:rPr>
          <w:color w:val="auto"/>
          <w:highlight w:val="none"/>
        </w:rPr>
      </w:pPr>
    </w:p>
    <w:p w14:paraId="27A2DBBD">
      <w:pPr>
        <w:pStyle w:val="12"/>
        <w:rPr>
          <w:color w:val="auto"/>
          <w:highlight w:val="none"/>
        </w:rPr>
      </w:pPr>
    </w:p>
    <w:p w14:paraId="5A9EAA89">
      <w:pPr>
        <w:pStyle w:val="12"/>
        <w:rPr>
          <w:color w:val="auto"/>
          <w:highlight w:val="none"/>
        </w:rPr>
      </w:pPr>
    </w:p>
    <w:p w14:paraId="7496C3BC">
      <w:pPr>
        <w:pStyle w:val="12"/>
        <w:rPr>
          <w:color w:val="auto"/>
          <w:highlight w:val="none"/>
        </w:rPr>
      </w:pPr>
    </w:p>
    <w:p w14:paraId="70D4976E">
      <w:pPr>
        <w:pStyle w:val="12"/>
        <w:rPr>
          <w:color w:val="auto"/>
          <w:highlight w:val="none"/>
        </w:rPr>
      </w:pPr>
    </w:p>
    <w:p w14:paraId="32EB2C02">
      <w:pPr>
        <w:pStyle w:val="12"/>
        <w:rPr>
          <w:color w:val="auto"/>
          <w:highlight w:val="none"/>
        </w:rPr>
      </w:pPr>
    </w:p>
    <w:p w14:paraId="4E8472B4">
      <w:pPr>
        <w:pStyle w:val="12"/>
        <w:rPr>
          <w:color w:val="auto"/>
          <w:highlight w:val="none"/>
        </w:rPr>
      </w:pPr>
    </w:p>
    <w:p w14:paraId="1EDFB6DF">
      <w:pPr>
        <w:pStyle w:val="12"/>
        <w:rPr>
          <w:color w:val="auto"/>
          <w:highlight w:val="none"/>
        </w:rPr>
      </w:pPr>
    </w:p>
    <w:p w14:paraId="467E71CD">
      <w:pPr>
        <w:pStyle w:val="12"/>
        <w:rPr>
          <w:color w:val="auto"/>
          <w:highlight w:val="none"/>
        </w:rPr>
      </w:pPr>
    </w:p>
    <w:p w14:paraId="5BEBEFF4">
      <w:pPr>
        <w:pStyle w:val="12"/>
        <w:rPr>
          <w:color w:val="auto"/>
          <w:highlight w:val="none"/>
        </w:rPr>
      </w:pPr>
    </w:p>
    <w:p w14:paraId="4065EFAB">
      <w:pPr>
        <w:spacing w:afterLines="50" w:line="500" w:lineRule="exact"/>
        <w:ind w:right="119"/>
        <w:jc w:val="center"/>
        <w:outlineLvl w:val="0"/>
        <w:rPr>
          <w:rFonts w:hint="eastAsia" w:ascii="宋体" w:hAnsi="宋体" w:cs="宋体"/>
          <w:b/>
          <w:bCs/>
          <w:color w:val="auto"/>
          <w:kern w:val="44"/>
          <w:sz w:val="36"/>
          <w:szCs w:val="32"/>
          <w:highlight w:val="none"/>
        </w:rPr>
        <w:sectPr>
          <w:footerReference r:id="rId11" w:type="default"/>
          <w:pgSz w:w="11907" w:h="16840"/>
          <w:pgMar w:top="1440" w:right="1800" w:bottom="1440" w:left="1800" w:header="851" w:footer="680" w:gutter="0"/>
          <w:cols w:space="720" w:num="1"/>
          <w:docGrid w:type="lines" w:linePitch="286" w:charSpace="0"/>
        </w:sectPr>
      </w:pPr>
      <w:bookmarkStart w:id="311" w:name="_Toc15249"/>
      <w:bookmarkStart w:id="312" w:name="_Toc148084482"/>
    </w:p>
    <w:bookmarkEnd w:id="301"/>
    <w:bookmarkEnd w:id="302"/>
    <w:bookmarkEnd w:id="303"/>
    <w:bookmarkEnd w:id="304"/>
    <w:bookmarkEnd w:id="305"/>
    <w:bookmarkEnd w:id="306"/>
    <w:bookmarkEnd w:id="307"/>
    <w:bookmarkEnd w:id="308"/>
    <w:bookmarkEnd w:id="311"/>
    <w:bookmarkEnd w:id="312"/>
    <w:p w14:paraId="5C35B332">
      <w:pPr>
        <w:pStyle w:val="18"/>
        <w:numPr>
          <w:ilvl w:val="0"/>
          <w:numId w:val="0"/>
        </w:numPr>
        <w:ind w:leftChars="0"/>
        <w:jc w:val="center"/>
        <w:rPr>
          <w:rFonts w:hint="default" w:ascii="宋体" w:hAnsi="宋体" w:cs="宋体"/>
          <w:b/>
          <w:color w:val="auto"/>
          <w:sz w:val="36"/>
          <w:szCs w:val="32"/>
          <w:highlight w:val="none"/>
          <w:lang w:val="en-US" w:eastAsia="zh-CN"/>
        </w:rPr>
      </w:pPr>
      <w:bookmarkStart w:id="313" w:name="_Toc148084483"/>
      <w:r>
        <w:rPr>
          <w:rFonts w:hint="eastAsia" w:ascii="宋体" w:hAnsi="宋体" w:cs="宋体"/>
          <w:b/>
          <w:color w:val="auto"/>
          <w:sz w:val="36"/>
          <w:szCs w:val="32"/>
          <w:highlight w:val="none"/>
          <w:lang w:val="en-US" w:eastAsia="zh-CN"/>
        </w:rPr>
        <w:t>第六章  采购需求</w:t>
      </w:r>
    </w:p>
    <w:p w14:paraId="7FA813CA">
      <w:pPr>
        <w:pStyle w:val="3"/>
        <w:numPr>
          <w:ilvl w:val="0"/>
          <w:numId w:val="5"/>
        </w:numPr>
        <w:bidi w:val="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采购货物名称及数量：</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35"/>
        <w:gridCol w:w="6484"/>
      </w:tblGrid>
      <w:tr w14:paraId="4E39E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1835" w:type="dxa"/>
            <w:vAlign w:val="center"/>
          </w:tcPr>
          <w:p w14:paraId="5D0790F1">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生产线</w:t>
            </w:r>
          </w:p>
        </w:tc>
        <w:tc>
          <w:tcPr>
            <w:tcW w:w="6484" w:type="dxa"/>
            <w:vAlign w:val="center"/>
          </w:tcPr>
          <w:p w14:paraId="3B515F35">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包含设备与数量</w:t>
            </w:r>
          </w:p>
        </w:tc>
      </w:tr>
      <w:tr w14:paraId="4892E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5" w:type="dxa"/>
            <w:vAlign w:val="center"/>
          </w:tcPr>
          <w:p w14:paraId="37E498F5">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一、饺子生产线</w:t>
            </w:r>
          </w:p>
          <w:p w14:paraId="0979E997">
            <w:pPr>
              <w:jc w:val="both"/>
              <w:rPr>
                <w:rFonts w:hint="eastAsia" w:asciiTheme="minorEastAsia" w:hAnsiTheme="minorEastAsia" w:eastAsiaTheme="minorEastAsia" w:cstheme="minorEastAsia"/>
                <w:color w:val="auto"/>
                <w:sz w:val="24"/>
                <w:szCs w:val="24"/>
                <w:highlight w:val="none"/>
                <w:vertAlign w:val="baseline"/>
                <w:lang w:val="en-US" w:eastAsia="zh-CN"/>
              </w:rPr>
            </w:pPr>
          </w:p>
        </w:tc>
        <w:tc>
          <w:tcPr>
            <w:tcW w:w="6484" w:type="dxa"/>
            <w:vAlign w:val="center"/>
          </w:tcPr>
          <w:p w14:paraId="24F58F94">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1.1面处理设备：真空和面机、提升机、全自动压面机，各1台</w:t>
            </w:r>
          </w:p>
          <w:p w14:paraId="00546F75">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1.2菜处理设备：洗菜机2台，切丁机、切菜机、脱水机，各1台</w:t>
            </w:r>
          </w:p>
          <w:p w14:paraId="066BE061">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1.3肉处理：绞肉机，1台</w:t>
            </w:r>
          </w:p>
          <w:p w14:paraId="66210732">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1.4伴馅机，1台</w:t>
            </w:r>
          </w:p>
          <w:p w14:paraId="42CC7B4A">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1.5花边饺子成型机，1台</w:t>
            </w:r>
          </w:p>
          <w:p w14:paraId="57F14D78">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1.6排盘机，1台</w:t>
            </w:r>
          </w:p>
        </w:tc>
      </w:tr>
      <w:tr w14:paraId="72780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5" w:type="dxa"/>
            <w:vAlign w:val="center"/>
          </w:tcPr>
          <w:p w14:paraId="65F94232">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二、薄皮包子机</w:t>
            </w:r>
          </w:p>
        </w:tc>
        <w:tc>
          <w:tcPr>
            <w:tcW w:w="6484" w:type="dxa"/>
            <w:vAlign w:val="center"/>
          </w:tcPr>
          <w:p w14:paraId="5D5D8787">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1.1面处理设备：与饺子生产线共用</w:t>
            </w:r>
          </w:p>
          <w:p w14:paraId="3E06826A">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1.2菜处理设备：与饺子生产线共用</w:t>
            </w:r>
          </w:p>
          <w:p w14:paraId="0A0E8E2B">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1.3肉处理：绞肉机，与饺子生产线共用</w:t>
            </w:r>
          </w:p>
          <w:p w14:paraId="57742093">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1.4伴馅机，1台</w:t>
            </w:r>
          </w:p>
          <w:p w14:paraId="3CAFE42B">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1.5薄皮包子成型机，1台</w:t>
            </w:r>
          </w:p>
          <w:p w14:paraId="6A38DBA9">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lang w:val="en-US" w:eastAsia="zh-CN"/>
              </w:rPr>
              <w:t>1.6排盘机，1台</w:t>
            </w:r>
          </w:p>
        </w:tc>
      </w:tr>
      <w:tr w14:paraId="243B2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5" w:type="dxa"/>
            <w:vAlign w:val="center"/>
          </w:tcPr>
          <w:p w14:paraId="43A77A3A">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三、实验室设备</w:t>
            </w:r>
          </w:p>
          <w:p w14:paraId="09C6D598">
            <w:pPr>
              <w:jc w:val="both"/>
              <w:rPr>
                <w:rFonts w:hint="eastAsia" w:asciiTheme="minorEastAsia" w:hAnsiTheme="minorEastAsia" w:eastAsiaTheme="minorEastAsia" w:cstheme="minorEastAsia"/>
                <w:color w:val="auto"/>
                <w:sz w:val="24"/>
                <w:szCs w:val="24"/>
                <w:highlight w:val="none"/>
                <w:vertAlign w:val="baseline"/>
                <w:lang w:val="en-US" w:eastAsia="zh-CN"/>
              </w:rPr>
            </w:pPr>
          </w:p>
        </w:tc>
        <w:tc>
          <w:tcPr>
            <w:tcW w:w="6484" w:type="dxa"/>
            <w:vAlign w:val="center"/>
          </w:tcPr>
          <w:p w14:paraId="672830F8">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1套，包括多功能食品安全检测仪 、农药残留检测仪 、重金属快速检测仪 、微生物快速检测仪 、 电子天平、显微镜、菌落计数器、恒温培养箱、干燥箱 / 烘箱、个人防护装备（实验服、手套、 口罩、护目镜等）</w:t>
            </w:r>
          </w:p>
        </w:tc>
      </w:tr>
      <w:tr w14:paraId="7C1E6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835" w:type="dxa"/>
            <w:vAlign w:val="center"/>
          </w:tcPr>
          <w:p w14:paraId="46B7FCCB">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lang w:val="en-US" w:eastAsia="zh-CN"/>
              </w:rPr>
              <w:t>四、通用设备</w:t>
            </w:r>
          </w:p>
        </w:tc>
        <w:tc>
          <w:tcPr>
            <w:tcW w:w="6484" w:type="dxa"/>
            <w:vAlign w:val="center"/>
          </w:tcPr>
          <w:p w14:paraId="2BFB806A">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料车15个、推车15台、钢盘510个、硅胶垫510个</w:t>
            </w:r>
          </w:p>
        </w:tc>
      </w:tr>
    </w:tbl>
    <w:p w14:paraId="235E9A18">
      <w:pPr>
        <w:pStyle w:val="3"/>
        <w:numPr>
          <w:ilvl w:val="0"/>
          <w:numId w:val="5"/>
        </w:num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技术参数</w:t>
      </w:r>
    </w:p>
    <w:p w14:paraId="5813F0B9">
      <w:pPr>
        <w:pStyle w:val="4"/>
        <w:keepNext/>
        <w:keepLines/>
        <w:pageBreakBefore w:val="0"/>
        <w:widowControl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2.1饺子生产线</w:t>
      </w:r>
    </w:p>
    <w:p w14:paraId="67687CC2">
      <w:pPr>
        <w:pStyle w:val="2"/>
        <w:keepNext/>
        <w:keepLines/>
        <w:pageBreakBefore w:val="0"/>
        <w:widowControl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2.1.1面处理</w:t>
      </w:r>
    </w:p>
    <w:p w14:paraId="46284259">
      <w:pPr>
        <w:pStyle w:val="5"/>
        <w:keepNext/>
        <w:keepLines/>
        <w:pageBreakBefore w:val="0"/>
        <w:widowControl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2.1.1.1真空和面机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2F000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F23A60A">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0ACD518C">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要求</w:t>
            </w:r>
          </w:p>
        </w:tc>
      </w:tr>
      <w:tr w14:paraId="42F7B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130" w:type="dxa"/>
            <w:vAlign w:val="center"/>
          </w:tcPr>
          <w:p w14:paraId="6416294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752E6553">
            <w:pPr>
              <w:rPr>
                <w:rFonts w:hint="eastAsia" w:asciiTheme="minorEastAsia" w:hAnsiTheme="minorEastAsia" w:eastAsiaTheme="minorEastAsia" w:cstheme="minorEastAsia"/>
                <w:color w:val="auto"/>
                <w:sz w:val="24"/>
                <w:szCs w:val="24"/>
                <w:highlight w:val="none"/>
                <w:vertAlign w:val="baseline"/>
                <w:lang w:val="en-US" w:eastAsia="zh-CN"/>
              </w:rPr>
            </w:pPr>
          </w:p>
        </w:tc>
      </w:tr>
      <w:tr w14:paraId="65B63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4AACFC3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top"/>
          </w:tcPr>
          <w:p w14:paraId="6DA2E025">
            <w:pPr>
              <w:rPr>
                <w:rFonts w:hint="eastAsia" w:asciiTheme="minorEastAsia" w:hAnsiTheme="minorEastAsia" w:eastAsiaTheme="minorEastAsia" w:cstheme="minorEastAsia"/>
                <w:color w:val="auto"/>
                <w:kern w:val="2"/>
                <w:sz w:val="24"/>
                <w:szCs w:val="24"/>
                <w:highlight w:val="none"/>
                <w:vertAlign w:val="baseline"/>
                <w:lang w:val="en-US" w:eastAsia="zh-CN" w:bidi="ar-SA"/>
              </w:rPr>
            </w:pPr>
            <w:r>
              <w:rPr>
                <w:rFonts w:hint="eastAsia" w:asciiTheme="minorEastAsia" w:hAnsiTheme="minorEastAsia" w:eastAsiaTheme="minorEastAsia" w:cstheme="minorEastAsia"/>
                <w:color w:val="auto"/>
                <w:sz w:val="24"/>
                <w:szCs w:val="24"/>
                <w:highlight w:val="none"/>
              </w:rPr>
              <w:t>真空和面机是在负压真空状态下将面粉与水进行搅拌，在真空状态下面粉颗粒中的空气排出，水分可迅速进入面粉颗粒芯部，面粉中的面筋快速形成，既增加了面粉的吸水率，又可以迅速使面团熟化。和好的面团光滑、无气泡、熟化好。</w:t>
            </w:r>
            <w:r>
              <w:rPr>
                <w:rFonts w:hint="eastAsia" w:asciiTheme="minorEastAsia" w:hAnsiTheme="minorEastAsia" w:eastAsiaTheme="minorEastAsia" w:cstheme="minorEastAsia"/>
                <w:color w:val="auto"/>
                <w:spacing w:val="-20"/>
                <w:sz w:val="24"/>
                <w:szCs w:val="24"/>
                <w:highlight w:val="none"/>
              </w:rPr>
              <w:t xml:space="preserve"> </w:t>
            </w:r>
          </w:p>
        </w:tc>
      </w:tr>
      <w:tr w14:paraId="307FA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BCE56A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tcPr>
          <w:p w14:paraId="61561773">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1200X800X1450mm</w:t>
            </w:r>
          </w:p>
        </w:tc>
      </w:tr>
      <w:tr w14:paraId="3F541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2130" w:type="dxa"/>
            <w:vAlign w:val="center"/>
          </w:tcPr>
          <w:p w14:paraId="3A4B29C7">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w:t>
            </w:r>
          </w:p>
          <w:p w14:paraId="30D3A613">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产量▲</w:t>
            </w:r>
          </w:p>
        </w:tc>
        <w:tc>
          <w:tcPr>
            <w:tcW w:w="5724" w:type="dxa"/>
          </w:tcPr>
          <w:p w14:paraId="0E3A0BCC">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板式40转/分钟，棒式22-88转/分钟（变频调速），产能：25-50Kg/次（面粉）；真空度：-0.080MPa</w:t>
            </w:r>
          </w:p>
        </w:tc>
      </w:tr>
      <w:tr w14:paraId="1B539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3BC6328">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tcPr>
          <w:p w14:paraId="423EE6AA">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整机304不锈钢（传动、减速机、真空泵、轴承等除外）</w:t>
            </w:r>
          </w:p>
          <w:p w14:paraId="12EA5098">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面箱及桨叶轴镜面抛光处理</w:t>
            </w:r>
          </w:p>
          <w:p w14:paraId="475F9CE9">
            <w:p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面箱沿宽边设计，箱盖安装宽密封条</w:t>
            </w:r>
          </w:p>
        </w:tc>
      </w:tr>
      <w:tr w14:paraId="49AE8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B997A2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079751F2">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tcPr>
          <w:p w14:paraId="034ABD06">
            <w:pPr>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可依据客户定制不同桨叶形式来满足个性化要求</w:t>
            </w:r>
          </w:p>
          <w:p w14:paraId="272A2850">
            <w:pPr>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2、面箱翻转采用蜗轮蜗杆安全可靠，翻转角度超93度，便于出料与清洗</w:t>
            </w:r>
          </w:p>
          <w:p w14:paraId="13679221">
            <w:pPr>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、箱盖机械开合</w:t>
            </w:r>
          </w:p>
          <w:p w14:paraId="6FD8EFA5">
            <w:pPr>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、桨叶轴由重型齿轮减速机驱动</w:t>
            </w:r>
          </w:p>
          <w:p w14:paraId="474ADFC9">
            <w:pPr>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、轴端密封采用日本设计结构</w:t>
            </w:r>
          </w:p>
          <w:p w14:paraId="52082896">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、采用内置水环真空泵，管路简单，无外设水箱</w:t>
            </w:r>
          </w:p>
        </w:tc>
      </w:tr>
      <w:tr w14:paraId="0C1F9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19E18F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tcPr>
          <w:p w14:paraId="0C812773">
            <w:pPr>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按钮操作和触摸屏双控，既方便操作又可以进行参数设定</w:t>
            </w:r>
          </w:p>
        </w:tc>
      </w:tr>
      <w:tr w14:paraId="71731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130" w:type="dxa"/>
            <w:vAlign w:val="center"/>
          </w:tcPr>
          <w:p w14:paraId="2B66F7AC">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3E3DAC90">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电源：380V/50Hz、三相五线制，9.5 kW；</w:t>
            </w:r>
          </w:p>
        </w:tc>
      </w:tr>
    </w:tbl>
    <w:p w14:paraId="49EA0043">
      <w:pPr>
        <w:rPr>
          <w:rFonts w:hint="eastAsia" w:asciiTheme="minorEastAsia" w:hAnsiTheme="minorEastAsia" w:eastAsiaTheme="minorEastAsia" w:cstheme="minorEastAsia"/>
          <w:color w:val="auto"/>
          <w:sz w:val="24"/>
          <w:szCs w:val="24"/>
          <w:highlight w:val="none"/>
          <w:lang w:val="en-US" w:eastAsia="zh-CN"/>
        </w:rPr>
      </w:pPr>
    </w:p>
    <w:p w14:paraId="6AA90B3B">
      <w:pPr>
        <w:pStyle w:val="5"/>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2.1.1.2提升机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265AD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2130" w:type="dxa"/>
            <w:vAlign w:val="center"/>
          </w:tcPr>
          <w:p w14:paraId="1687C919">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55616E70">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要求</w:t>
            </w:r>
          </w:p>
        </w:tc>
      </w:tr>
      <w:tr w14:paraId="31AF1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130" w:type="dxa"/>
            <w:vAlign w:val="center"/>
          </w:tcPr>
          <w:p w14:paraId="68A65E24">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4D4B90E1">
            <w:pPr>
              <w:rPr>
                <w:rFonts w:hint="eastAsia" w:asciiTheme="minorEastAsia" w:hAnsiTheme="minorEastAsia" w:eastAsiaTheme="minorEastAsia" w:cstheme="minorEastAsia"/>
                <w:color w:val="auto"/>
                <w:sz w:val="24"/>
                <w:szCs w:val="24"/>
                <w:highlight w:val="none"/>
                <w:vertAlign w:val="baseline"/>
                <w:lang w:val="en-US" w:eastAsia="zh-CN"/>
              </w:rPr>
            </w:pPr>
          </w:p>
        </w:tc>
      </w:tr>
      <w:tr w14:paraId="5E34E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4EE384F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5AD77A08">
            <w:pPr>
              <w:numPr>
                <w:ilvl w:val="0"/>
                <w:numId w:val="0"/>
              </w:numPr>
              <w:spacing w:line="360" w:lineRule="auto"/>
              <w:ind w:leftChars="0"/>
              <w:jc w:val="both"/>
              <w:rPr>
                <w:rFonts w:hint="eastAsia" w:asciiTheme="minorEastAsia" w:hAnsiTheme="minorEastAsia" w:eastAsiaTheme="minorEastAsia" w:cstheme="minorEastAsia"/>
                <w:color w:val="auto"/>
                <w:kern w:val="2"/>
                <w:sz w:val="24"/>
                <w:szCs w:val="24"/>
                <w:highlight w:val="none"/>
                <w:vertAlign w:val="baseline"/>
                <w:lang w:val="en-US" w:eastAsia="zh-CN" w:bidi="ar-SA"/>
              </w:rPr>
            </w:pPr>
            <w:r>
              <w:rPr>
                <w:rFonts w:hint="eastAsia" w:asciiTheme="minorEastAsia" w:hAnsiTheme="minorEastAsia" w:eastAsiaTheme="minorEastAsia" w:cstheme="minorEastAsia"/>
                <w:color w:val="auto"/>
                <w:sz w:val="24"/>
                <w:szCs w:val="24"/>
                <w:highlight w:val="none"/>
                <w:lang w:val="en-US" w:eastAsia="zh-CN"/>
              </w:rPr>
              <w:t>主要用于面絮提升</w:t>
            </w:r>
          </w:p>
        </w:tc>
      </w:tr>
      <w:tr w14:paraId="784C4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5416A6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03DD7E34">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rPr>
              <w:t>长×宽×高=3500*870*1600mm（mm）</w:t>
            </w:r>
          </w:p>
        </w:tc>
      </w:tr>
      <w:tr w14:paraId="552FC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6F7B92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3B3BFEE9">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板式40转/分钟，棒式22-88转/分钟（变频调速），产能：25-50Kg/次（面粉）；真空度：-0.080MPa</w:t>
            </w:r>
          </w:p>
        </w:tc>
      </w:tr>
      <w:tr w14:paraId="7B1F4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311506E">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18EB0BA4">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本设备整机采用SUS304不锈钢材质制造，结合国家食品标准进行设计，美观、耐用、不生锈，卫生、对食品无污染；</w:t>
            </w:r>
          </w:p>
        </w:tc>
      </w:tr>
      <w:tr w14:paraId="23722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676261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5DBE6E90">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20420BA6">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输送网带质量好，输送稳定，使用寿命长，清理卫生方便；开关防水，安全可靠；出料更流畅，方便配合流水线使用。</w:t>
            </w:r>
          </w:p>
        </w:tc>
      </w:tr>
      <w:tr w14:paraId="167E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1FE722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26683EA7">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配备变频调速，可根据实际需要调节速度，运行平稳，安全耐用；</w:t>
            </w:r>
          </w:p>
        </w:tc>
      </w:tr>
      <w:tr w14:paraId="60890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2130" w:type="dxa"/>
            <w:vAlign w:val="center"/>
          </w:tcPr>
          <w:p w14:paraId="3A27F38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0F239110">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电源：380V/50Hz、三相五线制，1.5 kW；</w:t>
            </w:r>
          </w:p>
        </w:tc>
      </w:tr>
    </w:tbl>
    <w:p w14:paraId="2E7A4F8F">
      <w:pPr>
        <w:pStyle w:val="5"/>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2.1.1.3全自动压面机</w:t>
      </w:r>
    </w:p>
    <w:p w14:paraId="793A595A">
      <w:pPr>
        <w:rPr>
          <w:rFonts w:hint="eastAsia"/>
          <w:color w:val="auto"/>
          <w:highlight w:val="none"/>
          <w:lang w:val="en-US" w:eastAsia="zh-CN"/>
        </w:rPr>
      </w:pP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027CC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130" w:type="dxa"/>
            <w:vAlign w:val="center"/>
          </w:tcPr>
          <w:p w14:paraId="5F9C4F2F">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1A757595">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547E5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130" w:type="dxa"/>
            <w:vAlign w:val="center"/>
          </w:tcPr>
          <w:p w14:paraId="55E108E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2E97CC57">
            <w:pPr>
              <w:bidi w:val="0"/>
              <w:rPr>
                <w:rFonts w:hint="eastAsia" w:asciiTheme="minorEastAsia" w:hAnsiTheme="minorEastAsia" w:eastAsiaTheme="minorEastAsia" w:cstheme="minorEastAsia"/>
                <w:color w:val="auto"/>
                <w:sz w:val="24"/>
                <w:szCs w:val="24"/>
                <w:highlight w:val="none"/>
                <w:lang w:val="en-US" w:eastAsia="zh-CN"/>
              </w:rPr>
            </w:pPr>
          </w:p>
        </w:tc>
      </w:tr>
      <w:tr w14:paraId="4E0FD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176264D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3A11D3BF">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轧制不同规格厚度的面带，设有自动撒粉装置,面片经切刀切割后,自动输送成卷。 带复合压延，压辊为5组或以上。</w:t>
            </w:r>
          </w:p>
        </w:tc>
      </w:tr>
      <w:tr w14:paraId="3EE0F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B69B70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3624BF72">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长×宽×高=3500*870*1600mm（mm）</w:t>
            </w:r>
          </w:p>
        </w:tc>
      </w:tr>
      <w:tr w14:paraId="07179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D94364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385D4E87">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200-400公斤，面带生产速度12米/分钟（可定制）</w:t>
            </w:r>
          </w:p>
        </w:tc>
      </w:tr>
      <w:tr w14:paraId="1B2E8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64B9FC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689F1256">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304不锈钢，食品级PVC，食品级UHMWPE（传动、减速机、轴承等除外）</w:t>
            </w:r>
            <w:r>
              <w:rPr>
                <w:rFonts w:hint="eastAsia" w:asciiTheme="minorEastAsia" w:hAnsiTheme="minorEastAsia" w:eastAsiaTheme="minorEastAsia" w:cstheme="minorEastAsia"/>
                <w:color w:val="auto"/>
                <w:sz w:val="24"/>
                <w:szCs w:val="24"/>
                <w:highlight w:val="none"/>
                <w:lang w:val="en-US" w:eastAsia="zh-CN"/>
              </w:rPr>
              <w:t>,易于清洗,美观大方</w:t>
            </w:r>
          </w:p>
        </w:tc>
      </w:tr>
      <w:tr w14:paraId="39EA5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3816E568">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3186090E">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5625EE8C">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将熟化后的小面团形成两条面带，并进行压延；</w:t>
            </w:r>
          </w:p>
          <w:p w14:paraId="74B21304">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该机配备自动插面装置，可自动跟随压辊启停，形成的面带紧实；</w:t>
            </w:r>
          </w:p>
          <w:p w14:paraId="4EF3FC2B">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各个电机配置独立变频器，速度可调整；</w:t>
            </w:r>
          </w:p>
        </w:tc>
      </w:tr>
      <w:tr w14:paraId="6E2C1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9DEFD97">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024B8C46">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配备变频调速，可根据实际需要调节速度，运行平稳，安全耐用；每组压辊速度可单独调整，单独控制；</w:t>
            </w:r>
          </w:p>
          <w:p w14:paraId="67A34D55">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该机配备光电传感器，可根据面带松紧启动两组压辊、插面装置；</w:t>
            </w:r>
          </w:p>
        </w:tc>
      </w:tr>
      <w:tr w14:paraId="1435F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2130" w:type="dxa"/>
            <w:vAlign w:val="center"/>
          </w:tcPr>
          <w:p w14:paraId="57BDC41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29D53375">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电源：380V/50Hz、三相五线制，6.25kW；</w:t>
            </w:r>
          </w:p>
        </w:tc>
      </w:tr>
    </w:tbl>
    <w:p w14:paraId="7A433DC3">
      <w:pPr>
        <w:pStyle w:val="2"/>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2.1.2菜处理</w:t>
      </w:r>
    </w:p>
    <w:p w14:paraId="1D0AACED">
      <w:pPr>
        <w:pStyle w:val="5"/>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2.1.2.1洗菜机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0E3E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130" w:type="dxa"/>
          </w:tcPr>
          <w:p w14:paraId="1FC9D86E">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490831FC">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6EC3E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889AA71">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139FD178">
            <w:pPr>
              <w:bidi w:val="0"/>
              <w:rPr>
                <w:rFonts w:hint="eastAsia" w:asciiTheme="minorEastAsia" w:hAnsiTheme="minorEastAsia" w:eastAsiaTheme="minorEastAsia" w:cstheme="minorEastAsia"/>
                <w:color w:val="auto"/>
                <w:sz w:val="24"/>
                <w:szCs w:val="24"/>
                <w:highlight w:val="none"/>
                <w:lang w:val="en-US" w:eastAsia="zh-CN"/>
              </w:rPr>
            </w:pPr>
          </w:p>
        </w:tc>
      </w:tr>
      <w:tr w14:paraId="002EB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6E339C7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5F392CAC">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自动清洗蔬菜、瓜果</w:t>
            </w:r>
          </w:p>
        </w:tc>
      </w:tr>
      <w:tr w14:paraId="08057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1DBCB3F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0ECB2B9B">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清洗机4300*1100*1400mm；风干机4100*1200*1500mm</w:t>
            </w:r>
          </w:p>
        </w:tc>
      </w:tr>
      <w:tr w14:paraId="7B134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3D7C3E1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25B5BA73">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500－800KG/HR；</w:t>
            </w:r>
          </w:p>
        </w:tc>
      </w:tr>
      <w:tr w14:paraId="56154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DE143EC">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070DC272">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SUS304不锈钢制造，2mm厚的不锈钢板。</w:t>
            </w:r>
          </w:p>
        </w:tc>
      </w:tr>
      <w:tr w14:paraId="37750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6F7EA3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59C9E0EB">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4D1DB8B1">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操作安全性：能有效提高操作工的操作安全。</w:t>
            </w:r>
          </w:p>
          <w:p w14:paraId="08232F39">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卫生安全：清洗方便，无卫生死角，能有效避减低设备没法清洗干净而引起食物中毒  </w:t>
            </w:r>
          </w:p>
        </w:tc>
      </w:tr>
      <w:tr w14:paraId="68155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0C282B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7819CD0D">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手动变频调速</w:t>
            </w:r>
          </w:p>
        </w:tc>
      </w:tr>
      <w:tr w14:paraId="73C39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126DDE7C">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78DF819A">
            <w:pPr>
              <w:bidi w:val="0"/>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电源：380V/50Hz、三相五线制，清洗机5kW，风干机8kw</w:t>
            </w:r>
          </w:p>
        </w:tc>
      </w:tr>
    </w:tbl>
    <w:p w14:paraId="5B486CA4">
      <w:pPr>
        <w:rPr>
          <w:rFonts w:hint="eastAsia" w:asciiTheme="minorEastAsia" w:hAnsiTheme="minorEastAsia" w:eastAsiaTheme="minorEastAsia" w:cstheme="minorEastAsia"/>
          <w:color w:val="auto"/>
          <w:sz w:val="24"/>
          <w:szCs w:val="24"/>
          <w:highlight w:val="none"/>
          <w:lang w:val="en-US" w:eastAsia="zh-CN"/>
        </w:rPr>
      </w:pPr>
    </w:p>
    <w:p w14:paraId="0823A079">
      <w:pPr>
        <w:pStyle w:val="5"/>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2.1.2.2切丁机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3F198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130" w:type="dxa"/>
          </w:tcPr>
          <w:p w14:paraId="1FBDFA6F">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20F555B6">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78F0F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130" w:type="dxa"/>
            <w:vAlign w:val="center"/>
          </w:tcPr>
          <w:p w14:paraId="5AD8537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4070228B">
            <w:pPr>
              <w:bidi w:val="0"/>
              <w:rPr>
                <w:rFonts w:hint="eastAsia" w:asciiTheme="minorEastAsia" w:hAnsiTheme="minorEastAsia" w:eastAsiaTheme="minorEastAsia" w:cstheme="minorEastAsia"/>
                <w:color w:val="auto"/>
                <w:sz w:val="24"/>
                <w:szCs w:val="24"/>
                <w:highlight w:val="none"/>
                <w:lang w:val="en-US" w:eastAsia="zh-CN"/>
              </w:rPr>
            </w:pPr>
          </w:p>
        </w:tc>
      </w:tr>
      <w:tr w14:paraId="4FAE1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130" w:type="dxa"/>
            <w:shd w:val="clear" w:color="auto" w:fill="auto"/>
            <w:vAlign w:val="center"/>
          </w:tcPr>
          <w:p w14:paraId="235E457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4E86FFA7">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将白菜、洋葱、南瓜切成小丁 </w:t>
            </w:r>
          </w:p>
        </w:tc>
      </w:tr>
      <w:tr w14:paraId="2891A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19621E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6E99582B">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800*700*1300mm；刀具尺寸：20mm； 机器重量：118KG</w:t>
            </w:r>
          </w:p>
        </w:tc>
      </w:tr>
      <w:tr w14:paraId="0351E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8308454">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586C0815">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500－800KG/HR；</w:t>
            </w:r>
          </w:p>
        </w:tc>
      </w:tr>
      <w:tr w14:paraId="2CD94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CC9DDC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6B9BFEB6">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451D4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532A3A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57D386ED">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05F24491">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操作安全性：设备出料口设有微动开关，出料口门打开或没关好，设备不能启动，能有效提高操作工的操作安全。</w:t>
            </w:r>
          </w:p>
          <w:p w14:paraId="5328730A">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卫生安全：设备入料和出料口以及刀具均可用水冲洗，清洗方便，无卫生死角，能有效避减低设备没法清洗干净而引起食物中毒  </w:t>
            </w:r>
          </w:p>
        </w:tc>
      </w:tr>
      <w:tr w14:paraId="5384D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738FB5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440D7636">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设备出料口设有微动开关，出料口门打开或没关好，设备不能启动，能有效提高操作工的操作安全。</w:t>
            </w:r>
          </w:p>
        </w:tc>
      </w:tr>
      <w:tr w14:paraId="138E1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4327FE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499D0E5F">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电源：380V/50Hz、三相五线制，1kW；</w:t>
            </w:r>
          </w:p>
        </w:tc>
      </w:tr>
      <w:tr w14:paraId="13B88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FCCE00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5、证书要求</w:t>
            </w:r>
          </w:p>
        </w:tc>
        <w:tc>
          <w:tcPr>
            <w:tcW w:w="5724" w:type="dxa"/>
            <w:vAlign w:val="center"/>
          </w:tcPr>
          <w:p w14:paraId="340853D9">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要求提供切丁机的食品接触产品安全认证证书复印件，并加盖公章。   </w:t>
            </w:r>
          </w:p>
        </w:tc>
      </w:tr>
    </w:tbl>
    <w:p w14:paraId="4519A2AC">
      <w:pPr>
        <w:pStyle w:val="5"/>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2.1.2.3切菜机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5FF57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130" w:type="dxa"/>
          </w:tcPr>
          <w:p w14:paraId="1D25CF51">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5D5BE010">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0F6C1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2130" w:type="dxa"/>
            <w:vAlign w:val="center"/>
          </w:tcPr>
          <w:p w14:paraId="16CC56D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52FBB9DC">
            <w:pPr>
              <w:bidi w:val="0"/>
              <w:rPr>
                <w:rFonts w:hint="eastAsia" w:asciiTheme="minorEastAsia" w:hAnsiTheme="minorEastAsia" w:eastAsiaTheme="minorEastAsia" w:cstheme="minorEastAsia"/>
                <w:color w:val="auto"/>
                <w:sz w:val="24"/>
                <w:szCs w:val="24"/>
                <w:highlight w:val="none"/>
                <w:lang w:val="en-US" w:eastAsia="zh-CN"/>
              </w:rPr>
            </w:pPr>
          </w:p>
        </w:tc>
      </w:tr>
      <w:tr w14:paraId="065FA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30" w:type="dxa"/>
            <w:shd w:val="clear" w:color="auto" w:fill="auto"/>
            <w:vAlign w:val="center"/>
          </w:tcPr>
          <w:p w14:paraId="31A0AB90">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48A8F6DD">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将白菜、洋葱、南瓜切成小丁</w:t>
            </w:r>
          </w:p>
        </w:tc>
      </w:tr>
      <w:tr w14:paraId="46E52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187DAD4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45621F71">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机器尺寸：≥975（L）×650（W）×1570（H）（mm）</w:t>
            </w:r>
          </w:p>
          <w:p w14:paraId="543A0EAB">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切割长度：1－60mm(可调)</w:t>
            </w:r>
          </w:p>
          <w:p w14:paraId="30D4BAD1">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机器重量≥130KG</w:t>
            </w:r>
          </w:p>
          <w:p w14:paraId="04213FEF">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皮带宽≥160 mm（最大物料直径）</w:t>
            </w:r>
          </w:p>
        </w:tc>
      </w:tr>
      <w:tr w14:paraId="18B70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72843E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10D10879">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600－1500KG/HR</w:t>
            </w:r>
          </w:p>
        </w:tc>
      </w:tr>
      <w:tr w14:paraId="2FACF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FD68580">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5B54FF6C">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4C810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3FB6DD3">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58BEB78D">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0654BF80">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操作安全性：设备出料口设有微动开关，出料口门打开或没关好，设备不能启动，能有效提高操作工的操作安全。</w:t>
            </w:r>
          </w:p>
          <w:p w14:paraId="554A83C3">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卫生安全：设备入料和出料口以及刀具均可用水冲洗，清洗方便，无卫生死角，能有效避减低设备没法清洗干净而引起食物中毒</w:t>
            </w:r>
          </w:p>
        </w:tc>
      </w:tr>
      <w:tr w14:paraId="22C4F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130" w:type="dxa"/>
            <w:vAlign w:val="center"/>
          </w:tcPr>
          <w:p w14:paraId="1BB4133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4C74D722">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设备出料口设有微动开关，出料口门打开或没关好，设备不能启动，能有效提高操作工的操作安全。</w:t>
            </w:r>
          </w:p>
        </w:tc>
      </w:tr>
      <w:tr w14:paraId="25005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2130" w:type="dxa"/>
            <w:vAlign w:val="center"/>
          </w:tcPr>
          <w:p w14:paraId="42DB4A4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517E27B8">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电源：电源：220V单相，三相五线制，1kW；</w:t>
            </w:r>
          </w:p>
        </w:tc>
      </w:tr>
      <w:tr w14:paraId="0B0B3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2288F68C">
            <w:pPr>
              <w:bidi w:val="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5、证书要求</w:t>
            </w:r>
          </w:p>
        </w:tc>
        <w:tc>
          <w:tcPr>
            <w:tcW w:w="5724" w:type="dxa"/>
            <w:shd w:val="clear" w:color="auto" w:fill="auto"/>
            <w:vAlign w:val="center"/>
          </w:tcPr>
          <w:p w14:paraId="268B69F8">
            <w:pPr>
              <w:bidi w:val="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证明材料要求：提供大型叶菜切菜机的CMA检测报告复印件，所检项目必须符合GB4806.9-2016相关行业标准要求。CMA检测报告复印件和响应文件一并提交，否则视为负偏离。</w:t>
            </w:r>
          </w:p>
        </w:tc>
      </w:tr>
    </w:tbl>
    <w:p w14:paraId="69D5257A">
      <w:pPr>
        <w:rPr>
          <w:rFonts w:hint="eastAsia" w:asciiTheme="minorEastAsia" w:hAnsiTheme="minorEastAsia" w:eastAsiaTheme="minorEastAsia" w:cstheme="minorEastAsia"/>
          <w:color w:val="auto"/>
          <w:sz w:val="24"/>
          <w:szCs w:val="24"/>
          <w:highlight w:val="none"/>
          <w:lang w:val="en-US" w:eastAsia="zh-CN"/>
        </w:rPr>
      </w:pPr>
    </w:p>
    <w:p w14:paraId="6A96728E">
      <w:pPr>
        <w:pStyle w:val="5"/>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2.1.2.4脱水机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359AF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28FEA22">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6F50A128">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699B0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3D2BB92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61C63BE9">
            <w:pPr>
              <w:bidi w:val="0"/>
              <w:rPr>
                <w:rFonts w:hint="eastAsia" w:asciiTheme="minorEastAsia" w:hAnsiTheme="minorEastAsia" w:eastAsiaTheme="minorEastAsia" w:cstheme="minorEastAsia"/>
                <w:color w:val="auto"/>
                <w:sz w:val="24"/>
                <w:szCs w:val="24"/>
                <w:highlight w:val="none"/>
                <w:lang w:val="en-US" w:eastAsia="zh-CN"/>
              </w:rPr>
            </w:pPr>
          </w:p>
        </w:tc>
      </w:tr>
      <w:tr w14:paraId="538CD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130" w:type="dxa"/>
            <w:shd w:val="clear" w:color="auto" w:fill="auto"/>
            <w:vAlign w:val="center"/>
          </w:tcPr>
          <w:p w14:paraId="4BB6A0A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6B95F4E4">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将白菜、洋葱、南瓜切成小丁 </w:t>
            </w:r>
          </w:p>
        </w:tc>
      </w:tr>
      <w:tr w14:paraId="5CDC4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4F3B8B7">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115D0490">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机器尺寸：890(L)×590(W)×910(H)(mm）</w:t>
            </w:r>
          </w:p>
          <w:p w14:paraId="2F1B9B33">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内筒直径：550mm</w:t>
            </w:r>
          </w:p>
        </w:tc>
      </w:tr>
      <w:tr w14:paraId="01AC4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7F0353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385D28A8">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300-500KG/H</w:t>
            </w:r>
          </w:p>
        </w:tc>
      </w:tr>
      <w:tr w14:paraId="54875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BC45C7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3746746A">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3B1EF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F3B0383">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72CF3049">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014E8E9E">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操作简便、噪声低。</w:t>
            </w:r>
          </w:p>
          <w:p w14:paraId="76A77B9D">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操作方便，内筒可以提出来倒料，节约时间。</w:t>
            </w:r>
          </w:p>
        </w:tc>
      </w:tr>
      <w:tr w14:paraId="1CC91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D63344D">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047F36E7">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应用广电传感技术实现了工作时间启动、停止的控制。</w:t>
            </w:r>
          </w:p>
          <w:p w14:paraId="16EFCA91">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可变频调速，时间控制，可实现标准化作业。</w:t>
            </w:r>
          </w:p>
        </w:tc>
      </w:tr>
      <w:tr w14:paraId="13380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3212DD6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26850E16">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电源：220V　单相，三相五线制，1.5kW；</w:t>
            </w:r>
          </w:p>
        </w:tc>
      </w:tr>
      <w:tr w14:paraId="4E2A6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755F121D">
            <w:pPr>
              <w:bidi w:val="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5、证书要求</w:t>
            </w:r>
          </w:p>
        </w:tc>
        <w:tc>
          <w:tcPr>
            <w:tcW w:w="5724" w:type="dxa"/>
            <w:shd w:val="clear" w:color="auto" w:fill="auto"/>
            <w:vAlign w:val="center"/>
          </w:tcPr>
          <w:p w14:paraId="6EA66498">
            <w:pPr>
              <w:bidi w:val="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 xml:space="preserve">要求提供脱水机的食品接触产品安全认证证书复印件，并加盖公章。 </w:t>
            </w:r>
          </w:p>
        </w:tc>
      </w:tr>
    </w:tbl>
    <w:p w14:paraId="273D279E">
      <w:pPr>
        <w:pStyle w:val="2"/>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2.1.3绞肉机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67939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34363E06">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1332E9B2">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068E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8AA1E8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7763804D">
            <w:pPr>
              <w:bidi w:val="0"/>
              <w:rPr>
                <w:rFonts w:hint="eastAsia" w:asciiTheme="minorEastAsia" w:hAnsiTheme="minorEastAsia" w:eastAsiaTheme="minorEastAsia" w:cstheme="minorEastAsia"/>
                <w:color w:val="auto"/>
                <w:sz w:val="24"/>
                <w:szCs w:val="24"/>
                <w:highlight w:val="none"/>
                <w:lang w:val="en-US" w:eastAsia="zh-CN"/>
              </w:rPr>
            </w:pPr>
          </w:p>
        </w:tc>
      </w:tr>
      <w:tr w14:paraId="36070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0CBBA331">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645AD40E">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将鲜肉/冻肉绞成肉沫 </w:t>
            </w:r>
          </w:p>
        </w:tc>
      </w:tr>
      <w:tr w14:paraId="22B05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61980FE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7A0C56CB">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设备尺寸： 865×600×1150mm</w:t>
            </w:r>
          </w:p>
          <w:p w14:paraId="71DE06B5">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孔板范围 ：Φ3-φ26(选配)</w:t>
            </w:r>
          </w:p>
          <w:p w14:paraId="3AB80138">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物料温度 --18℃（破碎块）--鲜肉</w:t>
            </w:r>
          </w:p>
        </w:tc>
      </w:tr>
      <w:tr w14:paraId="64BCA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1C75CFC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6E8DCBD5">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800-1.5T/h(根据孔板大小和原料决定),绞龙转速： 240rpm</w:t>
            </w:r>
          </w:p>
        </w:tc>
      </w:tr>
      <w:tr w14:paraId="73AEB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1794D84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00497844">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14AFC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D1F8C9B">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1DCB59DC">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34475B38">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操作简便、噪声低。</w:t>
            </w:r>
          </w:p>
          <w:p w14:paraId="0B3D9EB6">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操作方便，内筒可以提出来倒料，节约时间。</w:t>
            </w:r>
          </w:p>
        </w:tc>
      </w:tr>
      <w:tr w14:paraId="4E98F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753732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4A072095">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应用广电传感技术实现了工作时间启动、停止的控制。</w:t>
            </w:r>
          </w:p>
          <w:p w14:paraId="3A5ED8FF">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可变频调速，时间控制，可实现标准化作业。</w:t>
            </w:r>
          </w:p>
        </w:tc>
      </w:tr>
      <w:tr w14:paraId="543D0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130" w:type="dxa"/>
            <w:vAlign w:val="center"/>
          </w:tcPr>
          <w:p w14:paraId="136B5F1D">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5ED52185">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vertAlign w:val="baseline"/>
                <w:lang w:val="en-US" w:eastAsia="zh-CN"/>
              </w:rPr>
              <w:t>三相380V 50HZ</w:t>
            </w:r>
            <w:r>
              <w:rPr>
                <w:rFonts w:hint="eastAsia" w:asciiTheme="minorEastAsia" w:hAnsiTheme="minorEastAsia" w:eastAsiaTheme="minorEastAsia" w:cstheme="minorEastAsia"/>
                <w:color w:val="auto"/>
                <w:sz w:val="24"/>
                <w:szCs w:val="24"/>
                <w:highlight w:val="none"/>
                <w:lang w:val="en-US" w:eastAsia="zh-CN"/>
              </w:rPr>
              <w:t>，三相五线制，</w:t>
            </w:r>
            <w:r>
              <w:rPr>
                <w:rFonts w:hint="eastAsia" w:asciiTheme="minorEastAsia" w:hAnsiTheme="minorEastAsia" w:eastAsiaTheme="minorEastAsia" w:cstheme="minorEastAsia"/>
                <w:color w:val="auto"/>
                <w:sz w:val="24"/>
                <w:szCs w:val="24"/>
                <w:highlight w:val="none"/>
                <w:vertAlign w:val="baseline"/>
                <w:lang w:val="en-US" w:eastAsia="zh-CN"/>
              </w:rPr>
              <w:t>7.5kw</w:t>
            </w:r>
            <w:r>
              <w:rPr>
                <w:rFonts w:hint="eastAsia" w:asciiTheme="minorEastAsia" w:hAnsiTheme="minorEastAsia" w:eastAsiaTheme="minorEastAsia" w:cstheme="minorEastAsia"/>
                <w:color w:val="auto"/>
                <w:sz w:val="24"/>
                <w:szCs w:val="24"/>
                <w:highlight w:val="none"/>
                <w:lang w:val="en-US" w:eastAsia="zh-CN"/>
              </w:rPr>
              <w:t>；</w:t>
            </w:r>
          </w:p>
        </w:tc>
      </w:tr>
      <w:tr w14:paraId="19220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shd w:val="clear" w:color="auto" w:fill="auto"/>
            <w:vAlign w:val="center"/>
          </w:tcPr>
          <w:p w14:paraId="40FF8AD4">
            <w:pPr>
              <w:bidi w:val="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5、证书要求</w:t>
            </w:r>
          </w:p>
        </w:tc>
        <w:tc>
          <w:tcPr>
            <w:tcW w:w="5724" w:type="dxa"/>
            <w:shd w:val="clear" w:color="auto" w:fill="auto"/>
            <w:vAlign w:val="center"/>
          </w:tcPr>
          <w:p w14:paraId="4FC4732A">
            <w:pPr>
              <w:bidi w:val="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 xml:space="preserve">要求提供脱水机的食品接触产品安全认证证书复印件，并加盖公章。 </w:t>
            </w:r>
          </w:p>
        </w:tc>
      </w:tr>
    </w:tbl>
    <w:p w14:paraId="106E6ECB">
      <w:pPr>
        <w:pStyle w:val="2"/>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2.1.4伴馅机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0A41A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AFA2150">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4E1651E7">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30263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1D5A3E2">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4B262177">
            <w:pPr>
              <w:bidi w:val="0"/>
              <w:rPr>
                <w:rFonts w:hint="eastAsia" w:asciiTheme="minorEastAsia" w:hAnsiTheme="minorEastAsia" w:eastAsiaTheme="minorEastAsia" w:cstheme="minorEastAsia"/>
                <w:color w:val="auto"/>
                <w:sz w:val="24"/>
                <w:szCs w:val="24"/>
                <w:highlight w:val="none"/>
                <w:lang w:val="en-US" w:eastAsia="zh-CN"/>
              </w:rPr>
            </w:pPr>
          </w:p>
        </w:tc>
      </w:tr>
      <w:tr w14:paraId="61FB1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130" w:type="dxa"/>
            <w:shd w:val="clear" w:color="auto" w:fill="auto"/>
            <w:vAlign w:val="center"/>
          </w:tcPr>
          <w:p w14:paraId="595AEAFB">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36D72982">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水饺馅等物品混合搅伴，使食物均匀及肉类软化作用。</w:t>
            </w:r>
          </w:p>
        </w:tc>
      </w:tr>
      <w:tr w14:paraId="1682D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130" w:type="dxa"/>
            <w:vAlign w:val="center"/>
          </w:tcPr>
          <w:p w14:paraId="60E1978E">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344E40D9">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机器尺寸：1450(L)x680(W)x1120(H)(mm)</w:t>
            </w:r>
          </w:p>
          <w:p w14:paraId="603F1C77">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内槽尺寸：920(L)x410(W)x500(H)(mm)</w:t>
            </w:r>
          </w:p>
        </w:tc>
      </w:tr>
      <w:tr w14:paraId="52E66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46A3378B">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125DFC71">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容量：150L</w:t>
            </w:r>
          </w:p>
        </w:tc>
      </w:tr>
      <w:tr w14:paraId="242A3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1AD7C247">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6D10447B">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6CF25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310CC7C3">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02AF52E8">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07992005">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操作简便、噪声低。</w:t>
            </w:r>
          </w:p>
          <w:p w14:paraId="7D9F5CF3">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操作方便，内筒可以提出来倒料，节约时间。</w:t>
            </w:r>
          </w:p>
        </w:tc>
      </w:tr>
      <w:tr w14:paraId="6E15E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2130" w:type="dxa"/>
            <w:vAlign w:val="center"/>
          </w:tcPr>
          <w:p w14:paraId="6A457243">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5D15E365">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lang w:val="en-US" w:eastAsia="zh-CN"/>
              </w:rPr>
              <w:t>带有开盖安全开关，有效提高了操作安全</w:t>
            </w:r>
          </w:p>
        </w:tc>
      </w:tr>
      <w:tr w14:paraId="4DFD3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2130" w:type="dxa"/>
            <w:vAlign w:val="center"/>
          </w:tcPr>
          <w:p w14:paraId="473EB377">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59F8507F">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vertAlign w:val="baseline"/>
                <w:lang w:val="en-US" w:eastAsia="zh-CN"/>
              </w:rPr>
              <w:t>三相380V 50HZ</w:t>
            </w:r>
            <w:r>
              <w:rPr>
                <w:rFonts w:hint="eastAsia" w:asciiTheme="minorEastAsia" w:hAnsiTheme="minorEastAsia" w:eastAsiaTheme="minorEastAsia" w:cstheme="minorEastAsia"/>
                <w:color w:val="auto"/>
                <w:sz w:val="24"/>
                <w:szCs w:val="24"/>
                <w:highlight w:val="none"/>
                <w:lang w:val="en-US" w:eastAsia="zh-CN"/>
              </w:rPr>
              <w:t>，三相五线制，</w:t>
            </w:r>
            <w:r>
              <w:rPr>
                <w:rFonts w:hint="eastAsia" w:asciiTheme="minorEastAsia" w:hAnsiTheme="minorEastAsia" w:eastAsiaTheme="minorEastAsia" w:cstheme="minorEastAsia"/>
                <w:color w:val="auto"/>
                <w:sz w:val="24"/>
                <w:szCs w:val="24"/>
                <w:highlight w:val="none"/>
                <w:vertAlign w:val="baseline"/>
                <w:lang w:val="en-US" w:eastAsia="zh-CN"/>
              </w:rPr>
              <w:t>1.5kw</w:t>
            </w:r>
            <w:r>
              <w:rPr>
                <w:rFonts w:hint="eastAsia" w:asciiTheme="minorEastAsia" w:hAnsiTheme="minorEastAsia" w:eastAsiaTheme="minorEastAsia" w:cstheme="minorEastAsia"/>
                <w:color w:val="auto"/>
                <w:sz w:val="24"/>
                <w:szCs w:val="24"/>
                <w:highlight w:val="none"/>
                <w:lang w:val="en-US" w:eastAsia="zh-CN"/>
              </w:rPr>
              <w:t>；</w:t>
            </w:r>
          </w:p>
        </w:tc>
      </w:tr>
      <w:tr w14:paraId="544E9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2130" w:type="dxa"/>
            <w:shd w:val="clear" w:color="auto" w:fill="auto"/>
            <w:vAlign w:val="center"/>
          </w:tcPr>
          <w:p w14:paraId="57707F28">
            <w:pPr>
              <w:bidi w:val="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5、证书要求</w:t>
            </w:r>
          </w:p>
        </w:tc>
        <w:tc>
          <w:tcPr>
            <w:tcW w:w="5724" w:type="dxa"/>
            <w:shd w:val="clear" w:color="auto" w:fill="auto"/>
            <w:vAlign w:val="center"/>
          </w:tcPr>
          <w:p w14:paraId="198EABB2">
            <w:pPr>
              <w:bidi w:val="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要求提供本款搅拌机的食品接触产品安全认证证书复印件，并加盖公章。</w:t>
            </w:r>
          </w:p>
        </w:tc>
      </w:tr>
    </w:tbl>
    <w:p w14:paraId="42A8FA68">
      <w:pPr>
        <w:pStyle w:val="2"/>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 2.1.5花边饺子成型机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6911B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tcPr>
          <w:p w14:paraId="7185A6C6">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1D893F23">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68485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6BEF33D">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0D86F234">
            <w:pPr>
              <w:bidi w:val="0"/>
              <w:rPr>
                <w:rFonts w:hint="eastAsia" w:asciiTheme="minorEastAsia" w:hAnsiTheme="minorEastAsia" w:eastAsiaTheme="minorEastAsia" w:cstheme="minorEastAsia"/>
                <w:color w:val="auto"/>
                <w:sz w:val="24"/>
                <w:szCs w:val="24"/>
                <w:highlight w:val="none"/>
                <w:lang w:val="en-US" w:eastAsia="zh-CN"/>
              </w:rPr>
            </w:pPr>
          </w:p>
        </w:tc>
      </w:tr>
      <w:tr w14:paraId="08080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2130" w:type="dxa"/>
            <w:shd w:val="clear" w:color="auto" w:fill="auto"/>
            <w:vAlign w:val="center"/>
          </w:tcPr>
          <w:p w14:paraId="11B609FA">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510A6DD1">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制作16克花边饺子，8-9克的皮，8-10克的馅</w:t>
            </w:r>
          </w:p>
        </w:tc>
      </w:tr>
      <w:tr w14:paraId="37F08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6DB38C3">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64DDF71C">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面带宽度：270mm；气源：≥0.6Mpa；</w:t>
            </w:r>
            <w:r>
              <w:rPr>
                <w:rFonts w:hint="eastAsia" w:asciiTheme="minorEastAsia" w:hAnsiTheme="minorEastAsia" w:eastAsiaTheme="minorEastAsia" w:cstheme="minorEastAsia"/>
                <w:color w:val="auto"/>
                <w:sz w:val="24"/>
                <w:szCs w:val="24"/>
                <w:highlight w:val="none"/>
                <w:lang w:val="en-US" w:eastAsia="zh-CN"/>
              </w:rPr>
              <w:br w:type="textWrapping"/>
            </w:r>
            <w:r>
              <w:rPr>
                <w:rFonts w:hint="eastAsia" w:asciiTheme="minorEastAsia" w:hAnsiTheme="minorEastAsia" w:eastAsiaTheme="minorEastAsia" w:cstheme="minorEastAsia"/>
                <w:color w:val="auto"/>
                <w:sz w:val="24"/>
                <w:szCs w:val="24"/>
                <w:highlight w:val="none"/>
                <w:lang w:val="en-US" w:eastAsia="zh-CN"/>
              </w:rPr>
              <w:t>尺寸：2920*2830*2365mm；重量：1450kg</w:t>
            </w:r>
          </w:p>
        </w:tc>
      </w:tr>
      <w:tr w14:paraId="22729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38C6D8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5545BBCE">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产能：180-200pcs/min</w:t>
            </w:r>
          </w:p>
        </w:tc>
      </w:tr>
      <w:tr w14:paraId="60DFB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7907295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460DD5A2">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107A2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DAE1696">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2EEFDCBB">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5B456419">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1、电器密封均采用整体密封式箱体</w:t>
            </w:r>
          </w:p>
          <w:p w14:paraId="02FE7912">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2、辊切以及机械手吸皮，切刀使用寿命长，结构简单，售后维护简单，输送带使用寿命大大加长</w:t>
            </w:r>
          </w:p>
          <w:p w14:paraId="585D22A0">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3、辊切以及机械手吸皮，整个切皮过程均在输送带</w:t>
            </w:r>
          </w:p>
          <w:p w14:paraId="59EDDDE8">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上，切皮时面皮均在输送带上，这样切皮稳定且调试好以后含水量变化</w:t>
            </w:r>
          </w:p>
        </w:tc>
      </w:tr>
      <w:tr w14:paraId="7D8E6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2130" w:type="dxa"/>
            <w:vAlign w:val="center"/>
          </w:tcPr>
          <w:p w14:paraId="1CAA7277">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1B0F2E7B">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lang w:val="en-US" w:eastAsia="zh-CN"/>
              </w:rPr>
              <w:t>带有开盖安全开关，有效提高了操作安全</w:t>
            </w:r>
          </w:p>
        </w:tc>
      </w:tr>
      <w:tr w14:paraId="30F8A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130" w:type="dxa"/>
            <w:vAlign w:val="center"/>
          </w:tcPr>
          <w:p w14:paraId="17448FA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31D7EEA2">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vertAlign w:val="baseline"/>
                <w:lang w:val="en-US" w:eastAsia="zh-CN"/>
              </w:rPr>
              <w:t xml:space="preserve"> 三相380V 50HZ</w:t>
            </w:r>
            <w:r>
              <w:rPr>
                <w:rFonts w:hint="eastAsia" w:asciiTheme="minorEastAsia" w:hAnsiTheme="minorEastAsia" w:eastAsiaTheme="minorEastAsia" w:cstheme="minorEastAsia"/>
                <w:color w:val="auto"/>
                <w:sz w:val="24"/>
                <w:szCs w:val="24"/>
                <w:highlight w:val="none"/>
                <w:lang w:val="en-US" w:eastAsia="zh-CN"/>
              </w:rPr>
              <w:t>，三相五线制，</w:t>
            </w:r>
            <w:r>
              <w:rPr>
                <w:rFonts w:hint="eastAsia" w:asciiTheme="minorEastAsia" w:hAnsiTheme="minorEastAsia" w:eastAsiaTheme="minorEastAsia" w:cstheme="minorEastAsia"/>
                <w:color w:val="auto"/>
                <w:sz w:val="24"/>
                <w:szCs w:val="24"/>
                <w:highlight w:val="none"/>
                <w:vertAlign w:val="baseline"/>
                <w:lang w:val="en-US" w:eastAsia="zh-CN"/>
              </w:rPr>
              <w:t>13.39kw</w:t>
            </w:r>
            <w:r>
              <w:rPr>
                <w:rFonts w:hint="eastAsia" w:asciiTheme="minorEastAsia" w:hAnsiTheme="minorEastAsia" w:eastAsiaTheme="minorEastAsia" w:cstheme="minorEastAsia"/>
                <w:color w:val="auto"/>
                <w:sz w:val="24"/>
                <w:szCs w:val="24"/>
                <w:highlight w:val="none"/>
                <w:lang w:val="en-US" w:eastAsia="zh-CN"/>
              </w:rPr>
              <w:t>；</w:t>
            </w:r>
          </w:p>
        </w:tc>
      </w:tr>
    </w:tbl>
    <w:p w14:paraId="5883D685">
      <w:pPr>
        <w:pStyle w:val="2"/>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2.1.6排盘机</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5724"/>
      </w:tblGrid>
      <w:tr w14:paraId="6DC7A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2130" w:type="dxa"/>
          </w:tcPr>
          <w:p w14:paraId="7A4A0F87">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5724" w:type="dxa"/>
          </w:tcPr>
          <w:p w14:paraId="770CB543">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4C89D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41A5270">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5724" w:type="dxa"/>
          </w:tcPr>
          <w:p w14:paraId="114C3E25">
            <w:pPr>
              <w:bidi w:val="0"/>
              <w:rPr>
                <w:rFonts w:hint="eastAsia" w:asciiTheme="minorEastAsia" w:hAnsiTheme="minorEastAsia" w:eastAsiaTheme="minorEastAsia" w:cstheme="minorEastAsia"/>
                <w:color w:val="auto"/>
                <w:sz w:val="24"/>
                <w:szCs w:val="24"/>
                <w:highlight w:val="none"/>
                <w:lang w:val="en-US" w:eastAsia="zh-CN"/>
              </w:rPr>
            </w:pPr>
          </w:p>
        </w:tc>
      </w:tr>
      <w:tr w14:paraId="3922A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2130" w:type="dxa"/>
            <w:shd w:val="clear" w:color="auto" w:fill="auto"/>
            <w:vAlign w:val="center"/>
          </w:tcPr>
          <w:p w14:paraId="011814DE">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5724" w:type="dxa"/>
            <w:shd w:val="clear" w:color="auto" w:fill="auto"/>
            <w:vAlign w:val="center"/>
          </w:tcPr>
          <w:p w14:paraId="0CFEB501">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将饺子自动放入钢盘</w:t>
            </w:r>
          </w:p>
        </w:tc>
      </w:tr>
      <w:tr w14:paraId="7BAFE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5E0815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5724" w:type="dxa"/>
            <w:vAlign w:val="center"/>
          </w:tcPr>
          <w:p w14:paraId="070F4F39">
            <w:pPr>
              <w:bidi w:val="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面带宽度：270mm；气源：≥0.6Mpa；</w:t>
            </w:r>
            <w:r>
              <w:rPr>
                <w:rFonts w:hint="eastAsia" w:asciiTheme="minorEastAsia" w:hAnsiTheme="minorEastAsia" w:eastAsiaTheme="minorEastAsia" w:cstheme="minorEastAsia"/>
                <w:color w:val="auto"/>
                <w:sz w:val="24"/>
                <w:szCs w:val="24"/>
                <w:highlight w:val="none"/>
                <w:lang w:val="en-US" w:eastAsia="zh-CN"/>
              </w:rPr>
              <w:br w:type="textWrapping"/>
            </w:r>
            <w:r>
              <w:rPr>
                <w:rFonts w:hint="eastAsia" w:asciiTheme="minorEastAsia" w:hAnsiTheme="minorEastAsia" w:eastAsiaTheme="minorEastAsia" w:cstheme="minorEastAsia"/>
                <w:color w:val="auto"/>
                <w:sz w:val="24"/>
                <w:szCs w:val="24"/>
                <w:highlight w:val="none"/>
                <w:lang w:val="en-US" w:eastAsia="zh-CN"/>
              </w:rPr>
              <w:t>尺寸：1850*1700*1620mm；重量：350Kg</w:t>
            </w:r>
          </w:p>
        </w:tc>
      </w:tr>
      <w:tr w14:paraId="2694E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239F5EB">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5724" w:type="dxa"/>
            <w:vAlign w:val="center"/>
          </w:tcPr>
          <w:p w14:paraId="05D0A813">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排盘能效：</w:t>
            </w:r>
            <w:r>
              <w:rPr>
                <w:rFonts w:hint="eastAsia" w:asciiTheme="minorEastAsia" w:hAnsiTheme="minorEastAsia" w:eastAsiaTheme="minorEastAsia" w:cstheme="minorEastAsia"/>
                <w:color w:val="auto"/>
                <w:sz w:val="24"/>
                <w:szCs w:val="24"/>
                <w:highlight w:val="none"/>
                <w:lang w:val="en-US" w:eastAsia="zh-CN"/>
              </w:rPr>
              <w:tab/>
            </w:r>
            <w:r>
              <w:rPr>
                <w:rFonts w:hint="eastAsia" w:asciiTheme="minorEastAsia" w:hAnsiTheme="minorEastAsia" w:eastAsiaTheme="minorEastAsia" w:cstheme="minorEastAsia"/>
                <w:color w:val="auto"/>
                <w:sz w:val="24"/>
                <w:szCs w:val="24"/>
                <w:highlight w:val="none"/>
                <w:lang w:val="en-US" w:eastAsia="zh-CN"/>
              </w:rPr>
              <w:t>100-300 个/分钟</w:t>
            </w:r>
          </w:p>
        </w:tc>
      </w:tr>
      <w:tr w14:paraId="08BEA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59D7A09E">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5724" w:type="dxa"/>
            <w:vAlign w:val="center"/>
          </w:tcPr>
          <w:p w14:paraId="38EEE5C2">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226CB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0C267D3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3C2EE4A4">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5724" w:type="dxa"/>
            <w:vAlign w:val="center"/>
          </w:tcPr>
          <w:p w14:paraId="363A8CE2">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1、本机采用小中空旋转盘，对面皮输送进行了革新。切皮由原来的冲切方式，改为辊切加机械手吸皮模式，从而大大提升了切刀使用寿命，同时降低了对此部件调试的技术要求，降低机器的维修和使用成本。</w:t>
            </w:r>
          </w:p>
          <w:p w14:paraId="7EEA962B">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2、面皮压制部分为分体式设计，操作使用更便捷。</w:t>
            </w:r>
          </w:p>
          <w:p w14:paraId="36AE7CD6">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3、采用全新的机架设计，让模具下部完全开放。拆卸模具更加方便，设备清洁更加容易。</w:t>
            </w:r>
          </w:p>
          <w:p w14:paraId="4033E01C">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4、采用模块化设计安装，规模化生产大大提高零部件的稳定性，设备性能获得很好的提升。</w:t>
            </w:r>
          </w:p>
          <w:p w14:paraId="36F0F7CC">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5、在机器运行部位之必要的地方均以护罩或安全开关加强了保护，提高了食品机器的安全措施。</w:t>
            </w:r>
          </w:p>
        </w:tc>
      </w:tr>
      <w:tr w14:paraId="68E1D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14:paraId="21307BEE">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5724" w:type="dxa"/>
            <w:vAlign w:val="center"/>
          </w:tcPr>
          <w:p w14:paraId="3415509C">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1、具有良好的人机对话界面，机器操作变得简单、易行。</w:t>
            </w:r>
          </w:p>
          <w:p w14:paraId="46920BA7">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2、采用馅与面皮分别独立控制，采用独立电机提供动力，速度调节方便易行，皮厚度及供馅量调节方便，定量准确。</w:t>
            </w:r>
          </w:p>
          <w:p w14:paraId="4F1205A4">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3、具有人性化的设计，且自动化程度高，工作平稳，定量准确，包馅均匀，制品外观良好。</w:t>
            </w:r>
          </w:p>
          <w:p w14:paraId="00C77C15">
            <w:pPr>
              <w:bidi w:val="0"/>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4、采用伺服驱动，并选用高品质的电气元件，使得控制准确、可靠。</w:t>
            </w:r>
          </w:p>
        </w:tc>
      </w:tr>
      <w:tr w14:paraId="39FAD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130" w:type="dxa"/>
          </w:tcPr>
          <w:p w14:paraId="19A88736">
            <w:pPr>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5724" w:type="dxa"/>
            <w:vAlign w:val="center"/>
          </w:tcPr>
          <w:p w14:paraId="515AC24B">
            <w:pPr>
              <w:bidi w:val="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vertAlign w:val="baseline"/>
                <w:lang w:val="en-US" w:eastAsia="zh-CN"/>
              </w:rPr>
              <w:t>单相</w:t>
            </w:r>
            <w:r>
              <w:rPr>
                <w:rFonts w:hint="eastAsia" w:asciiTheme="minorEastAsia" w:hAnsiTheme="minorEastAsia" w:eastAsiaTheme="minorEastAsia" w:cstheme="minorEastAsia"/>
                <w:color w:val="auto"/>
                <w:sz w:val="24"/>
                <w:szCs w:val="24"/>
                <w:highlight w:val="none"/>
                <w:lang w:val="en-US" w:eastAsia="zh-CN"/>
              </w:rPr>
              <w:t>220V 50Hz，三相五线制，</w:t>
            </w:r>
            <w:r>
              <w:rPr>
                <w:rFonts w:hint="eastAsia" w:asciiTheme="minorEastAsia" w:hAnsiTheme="minorEastAsia" w:eastAsiaTheme="minorEastAsia" w:cstheme="minorEastAsia"/>
                <w:color w:val="auto"/>
                <w:sz w:val="24"/>
                <w:szCs w:val="24"/>
                <w:highlight w:val="none"/>
                <w:vertAlign w:val="baseline"/>
                <w:lang w:val="en-US" w:eastAsia="zh-CN"/>
              </w:rPr>
              <w:t>1.3kw</w:t>
            </w:r>
            <w:r>
              <w:rPr>
                <w:rFonts w:hint="eastAsia" w:asciiTheme="minorEastAsia" w:hAnsiTheme="minorEastAsia" w:eastAsiaTheme="minorEastAsia" w:cstheme="minorEastAsia"/>
                <w:color w:val="auto"/>
                <w:sz w:val="24"/>
                <w:szCs w:val="24"/>
                <w:highlight w:val="none"/>
                <w:lang w:val="en-US" w:eastAsia="zh-CN"/>
              </w:rPr>
              <w:t>；</w:t>
            </w:r>
          </w:p>
        </w:tc>
      </w:tr>
    </w:tbl>
    <w:p w14:paraId="34F9B057">
      <w:pPr>
        <w:pStyle w:val="4"/>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2.2薄皮包子生产线</w:t>
      </w:r>
    </w:p>
    <w:p w14:paraId="6848DCBF">
      <w:pPr>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伴馅机、排盘机的技术要求与饺子生产线中的一样。薄皮包子成型机的技术要求如下：</w:t>
      </w:r>
    </w:p>
    <w:p w14:paraId="58FF6BB4">
      <w:pPr>
        <w:rPr>
          <w:rFonts w:hint="eastAsia" w:asciiTheme="minorEastAsia" w:hAnsiTheme="minorEastAsia" w:eastAsiaTheme="minorEastAsia" w:cstheme="minorEastAsia"/>
          <w:color w:val="auto"/>
          <w:sz w:val="24"/>
          <w:szCs w:val="24"/>
          <w:highlight w:val="none"/>
          <w:lang w:val="en-US" w:eastAsia="zh-CN"/>
        </w:rPr>
      </w:pPr>
    </w:p>
    <w:tbl>
      <w:tblPr>
        <w:tblStyle w:val="48"/>
        <w:tblW w:w="88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6"/>
        <w:gridCol w:w="6464"/>
      </w:tblGrid>
      <w:tr w14:paraId="55AA3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6" w:type="dxa"/>
          </w:tcPr>
          <w:p w14:paraId="3EC85533">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项目</w:t>
            </w:r>
          </w:p>
        </w:tc>
        <w:tc>
          <w:tcPr>
            <w:tcW w:w="6464" w:type="dxa"/>
          </w:tcPr>
          <w:p w14:paraId="1F2102D6">
            <w:pPr>
              <w:bidi w:val="0"/>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要求</w:t>
            </w:r>
          </w:p>
        </w:tc>
      </w:tr>
      <w:tr w14:paraId="466E1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6" w:type="dxa"/>
            <w:vAlign w:val="center"/>
          </w:tcPr>
          <w:p w14:paraId="769BB06F">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1、技术参数</w:t>
            </w:r>
          </w:p>
        </w:tc>
        <w:tc>
          <w:tcPr>
            <w:tcW w:w="6464" w:type="dxa"/>
          </w:tcPr>
          <w:p w14:paraId="78719C04">
            <w:pPr>
              <w:bidi w:val="0"/>
              <w:rPr>
                <w:rFonts w:hint="eastAsia" w:asciiTheme="minorEastAsia" w:hAnsiTheme="minorEastAsia" w:eastAsiaTheme="minorEastAsia" w:cstheme="minorEastAsia"/>
                <w:color w:val="auto"/>
                <w:sz w:val="24"/>
                <w:szCs w:val="24"/>
                <w:highlight w:val="none"/>
                <w:lang w:val="en-US" w:eastAsia="zh-CN"/>
              </w:rPr>
            </w:pPr>
          </w:p>
        </w:tc>
      </w:tr>
      <w:tr w14:paraId="793A1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6" w:type="dxa"/>
            <w:shd w:val="clear" w:color="auto" w:fill="auto"/>
            <w:vAlign w:val="center"/>
          </w:tcPr>
          <w:p w14:paraId="237FD7D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（1）用途与功能▲</w:t>
            </w:r>
          </w:p>
        </w:tc>
        <w:tc>
          <w:tcPr>
            <w:tcW w:w="6464" w:type="dxa"/>
            <w:shd w:val="clear" w:color="auto" w:fill="auto"/>
            <w:vAlign w:val="top"/>
          </w:tcPr>
          <w:p w14:paraId="7EEE0C76">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克数要求：制作其中一种克数：（1）面皮直径10cm圆形，皮12g</w:t>
            </w:r>
            <w:r>
              <w:rPr>
                <w:rFonts w:hint="eastAsia" w:asciiTheme="minorEastAsia" w:hAnsiTheme="minorEastAsia" w:eastAsiaTheme="minorEastAsia" w:cstheme="minorEastAsia"/>
                <w:color w:val="auto"/>
                <w:sz w:val="24"/>
                <w:szCs w:val="24"/>
                <w:highlight w:val="none"/>
                <w:vertAlign w:val="baseline"/>
                <w:lang w:val="en-US" w:eastAsia="zh-CN"/>
              </w:rPr>
              <w:tab/>
            </w:r>
            <w:r>
              <w:rPr>
                <w:rFonts w:hint="eastAsia" w:asciiTheme="minorEastAsia" w:hAnsiTheme="minorEastAsia" w:eastAsiaTheme="minorEastAsia" w:cstheme="minorEastAsia"/>
                <w:color w:val="auto"/>
                <w:sz w:val="24"/>
                <w:szCs w:val="24"/>
                <w:highlight w:val="none"/>
                <w:vertAlign w:val="baseline"/>
                <w:lang w:val="en-US" w:eastAsia="zh-CN"/>
              </w:rPr>
              <w:t>，馅33g，总重45g；（2）皮直径9cm圆形，皮10g，馅26g，总重36g；</w:t>
            </w:r>
          </w:p>
          <w:p w14:paraId="4A51D095">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饺子形状：（如左图边在8mm之内，如右图，红色凸起部分不一定保留）</w:t>
            </w:r>
          </w:p>
          <w:p w14:paraId="061099CD">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drawing>
                <wp:inline distT="0" distB="0" distL="114300" distR="114300">
                  <wp:extent cx="1427480" cy="1554480"/>
                  <wp:effectExtent l="0" t="0" r="1270" b="7620"/>
                  <wp:docPr id="12" name="图片 12" descr="4eb3ccd36629f00851587861969e9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4eb3ccd36629f00851587861969e9d1"/>
                          <pic:cNvPicPr>
                            <a:picLocks noChangeAspect="1"/>
                          </pic:cNvPicPr>
                        </pic:nvPicPr>
                        <pic:blipFill>
                          <a:blip r:embed="rId14"/>
                          <a:srcRect l="25341" t="21386" r="19583" b="33642"/>
                          <a:stretch>
                            <a:fillRect/>
                          </a:stretch>
                        </pic:blipFill>
                        <pic:spPr>
                          <a:xfrm>
                            <a:off x="0" y="0"/>
                            <a:ext cx="1427480" cy="1554480"/>
                          </a:xfrm>
                          <a:prstGeom prst="rect">
                            <a:avLst/>
                          </a:prstGeom>
                        </pic:spPr>
                      </pic:pic>
                    </a:graphicData>
                  </a:graphic>
                </wp:inline>
              </w:drawing>
            </w:r>
            <w:r>
              <w:rPr>
                <w:rFonts w:hint="eastAsia" w:asciiTheme="minorEastAsia" w:hAnsiTheme="minorEastAsia" w:eastAsiaTheme="minorEastAsia" w:cstheme="minorEastAsia"/>
                <w:color w:val="auto"/>
                <w:sz w:val="24"/>
                <w:szCs w:val="24"/>
                <w:highlight w:val="none"/>
              </w:rPr>
              <w:drawing>
                <wp:inline distT="0" distB="0" distL="114300" distR="114300">
                  <wp:extent cx="1969135" cy="1494790"/>
                  <wp:effectExtent l="0" t="0" r="12065" b="10160"/>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pic:cNvPicPr>
                            <a:picLocks noChangeAspect="1"/>
                          </pic:cNvPicPr>
                        </pic:nvPicPr>
                        <pic:blipFill>
                          <a:blip r:embed="rId15"/>
                          <a:stretch>
                            <a:fillRect/>
                          </a:stretch>
                        </pic:blipFill>
                        <pic:spPr>
                          <a:xfrm>
                            <a:off x="0" y="0"/>
                            <a:ext cx="1969135" cy="1494790"/>
                          </a:xfrm>
                          <a:prstGeom prst="rect">
                            <a:avLst/>
                          </a:prstGeom>
                          <a:noFill/>
                          <a:ln>
                            <a:noFill/>
                          </a:ln>
                        </pic:spPr>
                      </pic:pic>
                    </a:graphicData>
                  </a:graphic>
                </wp:inline>
              </w:drawing>
            </w:r>
          </w:p>
        </w:tc>
      </w:tr>
      <w:tr w14:paraId="7C85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6" w:type="dxa"/>
            <w:vAlign w:val="center"/>
          </w:tcPr>
          <w:p w14:paraId="60D33454">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（2）技术规格、尺寸</w:t>
            </w:r>
          </w:p>
        </w:tc>
        <w:tc>
          <w:tcPr>
            <w:tcW w:w="6464" w:type="dxa"/>
          </w:tcPr>
          <w:p w14:paraId="11BF5450">
            <w:pPr>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面带宽度：270mm；气源：≥0.6Mpa；</w:t>
            </w:r>
            <w:r>
              <w:rPr>
                <w:rFonts w:hint="eastAsia" w:asciiTheme="minorEastAsia" w:hAnsiTheme="minorEastAsia" w:eastAsiaTheme="minorEastAsia" w:cstheme="minorEastAsia"/>
                <w:color w:val="auto"/>
                <w:sz w:val="24"/>
                <w:szCs w:val="24"/>
                <w:highlight w:val="none"/>
                <w:lang w:val="en-US" w:eastAsia="zh-CN"/>
              </w:rPr>
              <w:br w:type="textWrapping"/>
            </w:r>
            <w:r>
              <w:rPr>
                <w:rFonts w:hint="eastAsia" w:asciiTheme="minorEastAsia" w:hAnsiTheme="minorEastAsia" w:eastAsiaTheme="minorEastAsia" w:cstheme="minorEastAsia"/>
                <w:color w:val="auto"/>
                <w:sz w:val="24"/>
                <w:szCs w:val="24"/>
                <w:highlight w:val="none"/>
                <w:lang w:val="en-US" w:eastAsia="zh-CN"/>
              </w:rPr>
              <w:t>尺寸：2920*2830*2365mm；重量：1450kg</w:t>
            </w:r>
          </w:p>
        </w:tc>
      </w:tr>
      <w:tr w14:paraId="7C547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2406" w:type="dxa"/>
            <w:vAlign w:val="center"/>
          </w:tcPr>
          <w:p w14:paraId="57B2D1DC">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（3）生产力、产量▲</w:t>
            </w:r>
          </w:p>
        </w:tc>
        <w:tc>
          <w:tcPr>
            <w:tcW w:w="6464" w:type="dxa"/>
          </w:tcPr>
          <w:p w14:paraId="0F6119C8">
            <w:p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产能：180-200pcs/min</w:t>
            </w:r>
          </w:p>
        </w:tc>
      </w:tr>
      <w:tr w14:paraId="5F5BC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2406" w:type="dxa"/>
            <w:vAlign w:val="center"/>
          </w:tcPr>
          <w:p w14:paraId="72565665">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（4）设备材质▲</w:t>
            </w:r>
          </w:p>
        </w:tc>
        <w:tc>
          <w:tcPr>
            <w:tcW w:w="6464" w:type="dxa"/>
          </w:tcPr>
          <w:p w14:paraId="142097F1">
            <w:p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SUS304不锈钢制造（铸件部分除外），卫生，美观，不生锈。</w:t>
            </w:r>
          </w:p>
        </w:tc>
      </w:tr>
      <w:tr w14:paraId="466B7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6" w:type="dxa"/>
            <w:vAlign w:val="center"/>
          </w:tcPr>
          <w:p w14:paraId="37FE5829">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2、工作模式▲</w:t>
            </w:r>
          </w:p>
          <w:p w14:paraId="5ED78639">
            <w:pPr>
              <w:bidi w:val="0"/>
              <w:jc w:val="center"/>
              <w:rPr>
                <w:rFonts w:hint="eastAsia" w:asciiTheme="minorEastAsia" w:hAnsiTheme="minorEastAsia" w:eastAsiaTheme="minorEastAsia" w:cstheme="minorEastAsia"/>
                <w:color w:val="auto"/>
                <w:sz w:val="24"/>
                <w:szCs w:val="24"/>
                <w:highlight w:val="none"/>
                <w:lang w:val="en-US" w:eastAsia="zh-CN"/>
              </w:rPr>
            </w:pPr>
          </w:p>
        </w:tc>
        <w:tc>
          <w:tcPr>
            <w:tcW w:w="6464" w:type="dxa"/>
          </w:tcPr>
          <w:p w14:paraId="730944E8">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1、本机采用小中空旋转盘，对面皮输送进行了革新。切皮由原来的冲切方式，改为辊切加机械手吸皮模式，从而大大提升了切刀使用寿命，同时降低了对此部件调试的技术要求，降低机器的维修和使用成本。</w:t>
            </w:r>
          </w:p>
          <w:p w14:paraId="03802AF2">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2、面皮压制部分为分体式设计，操作使用更便捷。</w:t>
            </w:r>
          </w:p>
          <w:p w14:paraId="6DD83177">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3、采用全新的机架设计，让模具下部完全开放。拆卸模具更加方便，设备清洁更加容易。</w:t>
            </w:r>
          </w:p>
          <w:p w14:paraId="1244F581">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4、采用模块化设计安装，规模化生产大大提高零部件的稳定性，设备性能获得很好的提升。</w:t>
            </w:r>
          </w:p>
          <w:p w14:paraId="24E6D18A">
            <w:pP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5、在机器运行部位之必要的地方均以护罩或安全开关加强了保护，提高了食品机器的安全措施。</w:t>
            </w:r>
          </w:p>
        </w:tc>
      </w:tr>
      <w:tr w14:paraId="65871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6" w:type="dxa"/>
            <w:vAlign w:val="center"/>
          </w:tcPr>
          <w:p w14:paraId="37D759DB">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3、控制</w:t>
            </w:r>
          </w:p>
        </w:tc>
        <w:tc>
          <w:tcPr>
            <w:tcW w:w="6464" w:type="dxa"/>
          </w:tcPr>
          <w:p w14:paraId="0E8E4836">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1、具有良好的人机对话界面，机器操作变得简单、易行。</w:t>
            </w:r>
          </w:p>
          <w:p w14:paraId="66653225">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2、采用馅与面皮分别独立控制，采用独立电机提供动力，速度调节方便易行，皮厚度及供馅量调节方便，定量准确。</w:t>
            </w:r>
          </w:p>
          <w:p w14:paraId="25F5F969">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3、具有人性化的设计，且自动化程度高，工作平稳，定量准确，包馅均匀，制品外观良好。</w:t>
            </w:r>
          </w:p>
          <w:p w14:paraId="2EA5FF7D">
            <w:pPr>
              <w:bidi w:val="0"/>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4、采用伺服驱动，并选用高品质的电气元件，使得控制准确、可靠。</w:t>
            </w:r>
          </w:p>
        </w:tc>
      </w:tr>
      <w:tr w14:paraId="47976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406" w:type="dxa"/>
            <w:vAlign w:val="center"/>
          </w:tcPr>
          <w:p w14:paraId="25EBAD3E">
            <w:pPr>
              <w:bidi w:val="0"/>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4、动力系统</w:t>
            </w:r>
          </w:p>
        </w:tc>
        <w:tc>
          <w:tcPr>
            <w:tcW w:w="6464" w:type="dxa"/>
          </w:tcPr>
          <w:p w14:paraId="755B9C8F">
            <w:pPr>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vertAlign w:val="baseline"/>
                <w:lang w:val="en-US" w:eastAsia="zh-CN"/>
              </w:rPr>
              <w:t>三相380V 50HZ</w:t>
            </w:r>
            <w:r>
              <w:rPr>
                <w:rFonts w:hint="eastAsia" w:asciiTheme="minorEastAsia" w:hAnsiTheme="minorEastAsia" w:eastAsiaTheme="minorEastAsia" w:cstheme="minorEastAsia"/>
                <w:color w:val="auto"/>
                <w:sz w:val="24"/>
                <w:szCs w:val="24"/>
                <w:highlight w:val="none"/>
                <w:lang w:val="en-US" w:eastAsia="zh-CN"/>
              </w:rPr>
              <w:t>，三相五线制，</w:t>
            </w:r>
            <w:r>
              <w:rPr>
                <w:rFonts w:hint="eastAsia" w:asciiTheme="minorEastAsia" w:hAnsiTheme="minorEastAsia" w:eastAsiaTheme="minorEastAsia" w:cstheme="minorEastAsia"/>
                <w:color w:val="auto"/>
                <w:sz w:val="24"/>
                <w:szCs w:val="24"/>
                <w:highlight w:val="none"/>
                <w:vertAlign w:val="baseline"/>
                <w:lang w:val="en-US" w:eastAsia="zh-CN"/>
              </w:rPr>
              <w:t>13.39kw</w:t>
            </w:r>
            <w:r>
              <w:rPr>
                <w:rFonts w:hint="eastAsia" w:asciiTheme="minorEastAsia" w:hAnsiTheme="minorEastAsia" w:eastAsiaTheme="minorEastAsia" w:cstheme="minorEastAsia"/>
                <w:color w:val="auto"/>
                <w:sz w:val="24"/>
                <w:szCs w:val="24"/>
                <w:highlight w:val="none"/>
                <w:lang w:val="en-US" w:eastAsia="zh-CN"/>
              </w:rPr>
              <w:t>；</w:t>
            </w:r>
          </w:p>
        </w:tc>
      </w:tr>
    </w:tbl>
    <w:p w14:paraId="0AC4225E">
      <w:pPr>
        <w:pStyle w:val="4"/>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2.3通用设备</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66"/>
        <w:gridCol w:w="4729"/>
        <w:gridCol w:w="727"/>
      </w:tblGrid>
      <w:tr w14:paraId="3B898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6" w:type="dxa"/>
          </w:tcPr>
          <w:p w14:paraId="1A8B4269">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设备名称</w:t>
            </w:r>
          </w:p>
        </w:tc>
        <w:tc>
          <w:tcPr>
            <w:tcW w:w="4729" w:type="dxa"/>
          </w:tcPr>
          <w:p w14:paraId="3D0AF7DA">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技术要求</w:t>
            </w:r>
          </w:p>
        </w:tc>
        <w:tc>
          <w:tcPr>
            <w:tcW w:w="727" w:type="dxa"/>
          </w:tcPr>
          <w:p w14:paraId="3E1DC254">
            <w:pPr>
              <w:jc w:val="center"/>
              <w:rPr>
                <w:rFonts w:hint="eastAsia" w:asciiTheme="minorEastAsia" w:hAnsiTheme="minorEastAsia" w:eastAsiaTheme="minorEastAsia" w:cstheme="minorEastAsia"/>
                <w:b/>
                <w:bCs/>
                <w:color w:val="auto"/>
                <w:sz w:val="24"/>
                <w:szCs w:val="24"/>
                <w:highlight w:val="none"/>
                <w:vertAlign w:val="baseline"/>
                <w:lang w:val="en-US" w:eastAsia="zh-CN"/>
              </w:rPr>
            </w:pPr>
            <w:r>
              <w:rPr>
                <w:rFonts w:hint="eastAsia" w:asciiTheme="minorEastAsia" w:hAnsiTheme="minorEastAsia" w:eastAsiaTheme="minorEastAsia" w:cstheme="minorEastAsia"/>
                <w:b/>
                <w:bCs/>
                <w:color w:val="auto"/>
                <w:sz w:val="24"/>
                <w:szCs w:val="24"/>
                <w:highlight w:val="none"/>
                <w:vertAlign w:val="baseline"/>
                <w:lang w:val="en-US" w:eastAsia="zh-CN"/>
              </w:rPr>
              <w:t>数量</w:t>
            </w:r>
          </w:p>
        </w:tc>
      </w:tr>
      <w:tr w14:paraId="053B1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6" w:type="dxa"/>
            <w:shd w:val="clear" w:color="auto" w:fill="auto"/>
            <w:vAlign w:val="center"/>
          </w:tcPr>
          <w:p w14:paraId="65CCCD0E">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风淋设备</w:t>
            </w:r>
          </w:p>
          <w:p w14:paraId="2F5D6CDC">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drawing>
                <wp:inline distT="0" distB="0" distL="114300" distR="114300">
                  <wp:extent cx="1800225" cy="2209800"/>
                  <wp:effectExtent l="0" t="0" r="9525" b="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6"/>
                          <a:stretch>
                            <a:fillRect/>
                          </a:stretch>
                        </pic:blipFill>
                        <pic:spPr>
                          <a:xfrm>
                            <a:off x="0" y="0"/>
                            <a:ext cx="1800225" cy="2209800"/>
                          </a:xfrm>
                          <a:prstGeom prst="rect">
                            <a:avLst/>
                          </a:prstGeom>
                          <a:noFill/>
                          <a:ln>
                            <a:noFill/>
                          </a:ln>
                        </pic:spPr>
                      </pic:pic>
                    </a:graphicData>
                  </a:graphic>
                </wp:inline>
              </w:drawing>
            </w:r>
          </w:p>
        </w:tc>
        <w:tc>
          <w:tcPr>
            <w:tcW w:w="4729" w:type="dxa"/>
            <w:shd w:val="clear" w:color="auto" w:fill="auto"/>
            <w:vAlign w:val="center"/>
          </w:tcPr>
          <w:p w14:paraId="3DED24EF">
            <w:pPr>
              <w:jc w:val="both"/>
              <w:rPr>
                <w:rFonts w:hint="eastAsia" w:asciiTheme="minorEastAsia" w:hAnsiTheme="minorEastAsia" w:eastAsiaTheme="minorEastAsia" w:cstheme="minorEastAsia"/>
                <w:color w:val="auto"/>
                <w:kern w:val="2"/>
                <w:sz w:val="24"/>
                <w:szCs w:val="24"/>
                <w:highlight w:val="none"/>
                <w:vertAlign w:val="baseline"/>
                <w:lang w:val="en-US" w:eastAsia="zh-CN" w:bidi="ar-SA"/>
              </w:rPr>
            </w:pPr>
            <w:r>
              <w:rPr>
                <w:rFonts w:hint="eastAsia" w:asciiTheme="minorEastAsia" w:hAnsiTheme="minorEastAsia" w:eastAsiaTheme="minorEastAsia" w:cstheme="minorEastAsia"/>
                <w:color w:val="auto"/>
                <w:sz w:val="24"/>
                <w:szCs w:val="24"/>
                <w:highlight w:val="none"/>
                <w:lang w:val="en-US" w:eastAsia="zh-CN"/>
              </w:rPr>
              <w:t>"风淋室箱体：不锈钢/自动平移门或 90 度定位开门（自动感应门风淋室采用红外感应自动开门系统，方便人员进出）；闭门器（部分风淋室配备，可使门自动关闭） ； 电锁、 门磁（实现门的电子互锁功能 ，防止两门同时打开 ，保证风淋效果） ； 门拉手/风机:为风淋提供动力 ，使空气形成高速气流进行吹淋 ，常见类型有离心风机/过滤器:初效过滤器：过滤空气中较大的尘埃颗粒，如毛发、纤维等，有效保护后续高效过滤器，延长其使用寿命； 高效过滤器（HEPA） ：拦截微小尘埃、细菌等，过滤效率通常可达 99.99% 以上（如钠焰法检测） ，使吹淋空气达到高洁净度 ，满足食品厂卫生要求/喷嘴 : 30mm 直径/控制面板：用于设置风淋时间（一般 0 - 99 秒可调） 、风速等参数，操作简便。</w:t>
            </w:r>
          </w:p>
        </w:tc>
        <w:tc>
          <w:tcPr>
            <w:tcW w:w="727" w:type="dxa"/>
            <w:shd w:val="clear" w:color="auto" w:fill="auto"/>
            <w:vAlign w:val="center"/>
          </w:tcPr>
          <w:p w14:paraId="08917F4F">
            <w:pPr>
              <w:jc w:val="center"/>
              <w:rPr>
                <w:rFonts w:hint="eastAsia" w:asciiTheme="minorEastAsia" w:hAnsiTheme="minorEastAsia" w:eastAsiaTheme="minorEastAsia" w:cstheme="minorEastAsia"/>
                <w:color w:val="auto"/>
                <w:kern w:val="2"/>
                <w:sz w:val="24"/>
                <w:szCs w:val="24"/>
                <w:highlight w:val="none"/>
                <w:vertAlign w:val="baseline"/>
                <w:lang w:val="en-US" w:eastAsia="zh-CN" w:bidi="ar-SA"/>
              </w:rPr>
            </w:pPr>
            <w:r>
              <w:rPr>
                <w:rFonts w:hint="eastAsia" w:asciiTheme="minorEastAsia" w:hAnsiTheme="minorEastAsia" w:eastAsiaTheme="minorEastAsia" w:cstheme="minorEastAsia"/>
                <w:color w:val="auto"/>
                <w:sz w:val="24"/>
                <w:szCs w:val="24"/>
                <w:highlight w:val="none"/>
                <w:vertAlign w:val="baseline"/>
                <w:lang w:val="en-US" w:eastAsia="zh-CN"/>
              </w:rPr>
              <w:t>1</w:t>
            </w:r>
          </w:p>
        </w:tc>
      </w:tr>
      <w:tr w14:paraId="24D87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trPr>
        <w:tc>
          <w:tcPr>
            <w:tcW w:w="3066" w:type="dxa"/>
            <w:shd w:val="clear" w:color="auto" w:fill="auto"/>
            <w:vAlign w:val="center"/>
          </w:tcPr>
          <w:p w14:paraId="21DC4993">
            <w:pPr>
              <w:pStyle w:val="204"/>
              <w:bidi w:val="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3360" behindDoc="0" locked="0" layoutInCell="1" allowOverlap="1">
                  <wp:simplePos x="0" y="0"/>
                  <wp:positionH relativeFrom="column">
                    <wp:posOffset>-6985</wp:posOffset>
                  </wp:positionH>
                  <wp:positionV relativeFrom="paragraph">
                    <wp:posOffset>339725</wp:posOffset>
                  </wp:positionV>
                  <wp:extent cx="1127760" cy="940435"/>
                  <wp:effectExtent l="0" t="0" r="15240" b="12065"/>
                  <wp:wrapTopAndBottom/>
                  <wp:docPr id="3"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8"/>
                          <pic:cNvPicPr>
                            <a:picLocks noChangeAspect="1"/>
                          </pic:cNvPicPr>
                        </pic:nvPicPr>
                        <pic:blipFill>
                          <a:blip r:embed="rId17" r:link="rId18"/>
                          <a:stretch>
                            <a:fillRect/>
                          </a:stretch>
                        </pic:blipFill>
                        <pic:spPr>
                          <a:xfrm>
                            <a:off x="0" y="0"/>
                            <a:ext cx="1127760" cy="940435"/>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rPr>
              <w:t>料车</w:t>
            </w:r>
            <w:r>
              <w:rPr>
                <w:rFonts w:hint="eastAsia" w:asciiTheme="minorEastAsia" w:hAnsiTheme="minorEastAsia" w:eastAsiaTheme="minorEastAsia" w:cstheme="minorEastAsia"/>
                <w:color w:val="auto"/>
                <w:sz w:val="24"/>
                <w:szCs w:val="24"/>
                <w:highlight w:val="none"/>
                <w:lang w:val="en-US" w:eastAsia="zh-CN"/>
              </w:rPr>
              <w:t>LC-200</w:t>
            </w:r>
            <w:r>
              <w:rPr>
                <w:rFonts w:hint="eastAsia" w:asciiTheme="minorEastAsia" w:hAnsiTheme="minorEastAsia" w:eastAsiaTheme="minorEastAsia" w:cstheme="minorEastAsia"/>
                <w:color w:val="auto"/>
                <w:sz w:val="24"/>
                <w:szCs w:val="24"/>
                <w:highlight w:val="none"/>
                <w:lang w:val="en-US" w:eastAsia="zh-CN"/>
              </w:rPr>
              <w:tab/>
            </w:r>
          </w:p>
        </w:tc>
        <w:tc>
          <w:tcPr>
            <w:tcW w:w="4729" w:type="dxa"/>
            <w:shd w:val="clear" w:color="auto" w:fill="auto"/>
            <w:vAlign w:val="center"/>
          </w:tcPr>
          <w:p w14:paraId="5E7A80D6">
            <w:pPr>
              <w:pStyle w:val="204"/>
              <w:bidi w:val="0"/>
              <w:ind w:firstLine="0" w:firstLineChars="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功能：运输馅料</w:t>
            </w:r>
          </w:p>
          <w:p w14:paraId="4D1113B6">
            <w:pPr>
              <w:pStyle w:val="204"/>
              <w:bidi w:val="0"/>
              <w:ind w:firstLine="0" w:firstLineChars="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尺寸：800*700*700mm</w:t>
            </w:r>
          </w:p>
          <w:p w14:paraId="4DAB7BDD">
            <w:pPr>
              <w:pStyle w:val="204"/>
              <w:bidi w:val="0"/>
              <w:ind w:firstLine="0" w:firstLineChars="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量：40KG</w:t>
            </w:r>
          </w:p>
        </w:tc>
        <w:tc>
          <w:tcPr>
            <w:tcW w:w="727" w:type="dxa"/>
            <w:shd w:val="clear" w:color="auto" w:fill="auto"/>
            <w:vAlign w:val="center"/>
          </w:tcPr>
          <w:p w14:paraId="45622EE7">
            <w:pPr>
              <w:pStyle w:val="204"/>
              <w:bidi w:val="0"/>
              <w:ind w:firstLine="0" w:firstLineChars="0"/>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15</w:t>
            </w:r>
          </w:p>
        </w:tc>
      </w:tr>
      <w:tr w14:paraId="2927A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trPr>
        <w:tc>
          <w:tcPr>
            <w:tcW w:w="3066" w:type="dxa"/>
            <w:shd w:val="clear" w:color="auto" w:fill="auto"/>
            <w:vAlign w:val="top"/>
          </w:tcPr>
          <w:p w14:paraId="18F5FC5B">
            <w:pPr>
              <w:rPr>
                <w:rFonts w:hint="eastAsia" w:asciiTheme="minorEastAsia" w:hAnsiTheme="minorEastAsia" w:eastAsiaTheme="minorEastAsia" w:cstheme="minorEastAsia"/>
                <w:color w:val="auto"/>
                <w:kern w:val="2"/>
                <w:sz w:val="24"/>
                <w:szCs w:val="24"/>
                <w:highlight w:val="none"/>
                <w:lang w:val="en-US" w:eastAsia="zh-CN" w:bidi="zh-CN"/>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4384" behindDoc="0" locked="0" layoutInCell="1" allowOverlap="1">
                  <wp:simplePos x="0" y="0"/>
                  <wp:positionH relativeFrom="column">
                    <wp:posOffset>239395</wp:posOffset>
                  </wp:positionH>
                  <wp:positionV relativeFrom="paragraph">
                    <wp:posOffset>221615</wp:posOffset>
                  </wp:positionV>
                  <wp:extent cx="908050" cy="1304925"/>
                  <wp:effectExtent l="0" t="0" r="6350" b="9525"/>
                  <wp:wrapTopAndBottom/>
                  <wp:docPr id="4"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9"/>
                          <pic:cNvPicPr>
                            <a:picLocks noChangeAspect="1"/>
                          </pic:cNvPicPr>
                        </pic:nvPicPr>
                        <pic:blipFill>
                          <a:blip r:embed="rId19"/>
                          <a:stretch>
                            <a:fillRect/>
                          </a:stretch>
                        </pic:blipFill>
                        <pic:spPr>
                          <a:xfrm>
                            <a:off x="0" y="0"/>
                            <a:ext cx="908050" cy="1304925"/>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lang w:val="en-US" w:eastAsia="zh-CN"/>
              </w:rPr>
              <w:t>蒸车</w:t>
            </w:r>
          </w:p>
        </w:tc>
        <w:tc>
          <w:tcPr>
            <w:tcW w:w="4729" w:type="dxa"/>
            <w:shd w:val="clear" w:color="auto" w:fill="auto"/>
            <w:vAlign w:val="center"/>
          </w:tcPr>
          <w:p w14:paraId="2BB4503B">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层数：34</w:t>
            </w:r>
          </w:p>
          <w:p w14:paraId="28E54F11">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尺寸： 910x625x1700mm</w:t>
            </w:r>
          </w:p>
          <w:p w14:paraId="355CC1D3">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盘尺寸：40*60cm</w:t>
            </w:r>
          </w:p>
          <w:p w14:paraId="43817244">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产品材质：加厚不锈钢</w:t>
            </w:r>
          </w:p>
          <w:p w14:paraId="1DE12947">
            <w:pPr>
              <w:ind w:left="0" w:leftChars="0" w:right="0" w:rightChars="0" w:firstLine="0" w:firstLineChars="0"/>
              <w:jc w:val="both"/>
              <w:rPr>
                <w:rFonts w:hint="eastAsia" w:asciiTheme="minorEastAsia" w:hAnsiTheme="minorEastAsia" w:eastAsiaTheme="minorEastAsia" w:cstheme="minorEastAsia"/>
                <w:b w:val="0"/>
                <w:bCs/>
                <w:color w:val="auto"/>
                <w:kern w:val="2"/>
                <w:sz w:val="24"/>
                <w:szCs w:val="24"/>
                <w:highlight w:val="none"/>
                <w:lang w:val="en-US" w:eastAsia="zh-CN" w:bidi="ar-SA"/>
              </w:rPr>
            </w:pPr>
          </w:p>
        </w:tc>
        <w:tc>
          <w:tcPr>
            <w:tcW w:w="727" w:type="dxa"/>
            <w:shd w:val="clear" w:color="auto" w:fill="auto"/>
            <w:vAlign w:val="center"/>
          </w:tcPr>
          <w:p w14:paraId="3684B2BF">
            <w:pPr>
              <w:pStyle w:val="159"/>
              <w:spacing w:before="178"/>
              <w:ind w:left="107" w:leftChars="0" w:right="0" w:rightChars="0"/>
              <w:jc w:val="center"/>
              <w:rPr>
                <w:rFonts w:hint="default" w:asciiTheme="minorEastAsia" w:hAnsiTheme="minorEastAsia" w:eastAsiaTheme="minorEastAsia" w:cstheme="minorEastAsia"/>
                <w:b w:val="0"/>
                <w:bCs/>
                <w:color w:val="auto"/>
                <w:kern w:val="2"/>
                <w:sz w:val="24"/>
                <w:szCs w:val="24"/>
                <w:highlight w:val="none"/>
                <w:lang w:val="en-US" w:eastAsia="zh-CN" w:bidi="zh-CN"/>
              </w:rPr>
            </w:pPr>
            <w:r>
              <w:rPr>
                <w:rFonts w:hint="eastAsia" w:asciiTheme="minorEastAsia" w:hAnsiTheme="minorEastAsia" w:eastAsiaTheme="minorEastAsia" w:cstheme="minorEastAsia"/>
                <w:b w:val="0"/>
                <w:bCs/>
                <w:color w:val="auto"/>
                <w:kern w:val="2"/>
                <w:sz w:val="24"/>
                <w:szCs w:val="24"/>
                <w:highlight w:val="none"/>
                <w:lang w:val="en-US" w:eastAsia="zh-CN" w:bidi="zh-CN"/>
              </w:rPr>
              <w:t>15</w:t>
            </w:r>
          </w:p>
        </w:tc>
      </w:tr>
      <w:tr w14:paraId="68215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6" w:type="dxa"/>
            <w:shd w:val="clear" w:color="auto" w:fill="auto"/>
            <w:vAlign w:val="top"/>
          </w:tcPr>
          <w:p w14:paraId="5EE11ABF">
            <w:pPr>
              <w:pStyle w:val="159"/>
              <w:spacing w:before="105"/>
              <w:ind w:left="107" w:leftChars="0" w:right="0" w:rightChars="0" w:firstLine="0" w:firstLineChars="0"/>
              <w:jc w:val="center"/>
              <w:rPr>
                <w:rFonts w:hint="eastAsia" w:asciiTheme="minorEastAsia" w:hAnsiTheme="minorEastAsia" w:eastAsiaTheme="minorEastAsia" w:cstheme="minorEastAsia"/>
                <w:color w:val="auto"/>
                <w:kern w:val="2"/>
                <w:sz w:val="24"/>
                <w:szCs w:val="24"/>
                <w:highlight w:val="none"/>
                <w:lang w:val="en-US" w:eastAsia="zh-CN" w:bidi="zh-CN"/>
              </w:rPr>
            </w:pPr>
            <w:r>
              <w:rPr>
                <w:rFonts w:hint="eastAsia" w:asciiTheme="minorEastAsia" w:hAnsiTheme="minorEastAsia" w:eastAsiaTheme="minorEastAsia" w:cstheme="minorEastAsia"/>
                <w:color w:val="auto"/>
                <w:sz w:val="24"/>
                <w:szCs w:val="24"/>
                <w:highlight w:val="none"/>
              </w:rPr>
              <w:drawing>
                <wp:anchor distT="0" distB="0" distL="114300" distR="114300" simplePos="0" relativeHeight="251665408" behindDoc="0" locked="0" layoutInCell="1" allowOverlap="1">
                  <wp:simplePos x="0" y="0"/>
                  <wp:positionH relativeFrom="column">
                    <wp:posOffset>280035</wp:posOffset>
                  </wp:positionH>
                  <wp:positionV relativeFrom="paragraph">
                    <wp:posOffset>288925</wp:posOffset>
                  </wp:positionV>
                  <wp:extent cx="1334135" cy="802005"/>
                  <wp:effectExtent l="0" t="0" r="18415" b="17145"/>
                  <wp:wrapTopAndBottom/>
                  <wp:docPr id="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0"/>
                          <pic:cNvPicPr>
                            <a:picLocks noChangeAspect="1"/>
                          </pic:cNvPicPr>
                        </pic:nvPicPr>
                        <pic:blipFill>
                          <a:blip r:embed="rId20"/>
                          <a:stretch>
                            <a:fillRect/>
                          </a:stretch>
                        </pic:blipFill>
                        <pic:spPr>
                          <a:xfrm>
                            <a:off x="0" y="0"/>
                            <a:ext cx="1334135" cy="802005"/>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lang w:val="en-US" w:eastAsia="zh-CN"/>
              </w:rPr>
              <w:t>蒸盘</w:t>
            </w:r>
          </w:p>
        </w:tc>
        <w:tc>
          <w:tcPr>
            <w:tcW w:w="4729" w:type="dxa"/>
            <w:shd w:val="clear" w:color="auto" w:fill="auto"/>
            <w:vAlign w:val="center"/>
          </w:tcPr>
          <w:p w14:paraId="523A722A">
            <w:pPr>
              <w:ind w:left="0" w:leftChars="0" w:right="0" w:rightChars="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材质:304不锈钢</w:t>
            </w:r>
          </w:p>
          <w:p w14:paraId="6B2A7312">
            <w:pPr>
              <w:ind w:left="0" w:leftChars="0" w:right="0" w:rightChars="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重量：1.9KG</w:t>
            </w:r>
          </w:p>
          <w:p w14:paraId="36C30D30">
            <w:pPr>
              <w:ind w:left="0" w:leftChars="0" w:right="0" w:rightChars="0"/>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尺寸: 600x400x20mm</w:t>
            </w:r>
          </w:p>
          <w:p w14:paraId="240781B8">
            <w:pPr>
              <w:ind w:left="0" w:leftChars="0" w:right="0" w:rightChars="0" w:firstLine="0" w:firstLineChars="0"/>
              <w:jc w:val="both"/>
              <w:rPr>
                <w:rFonts w:hint="eastAsia" w:asciiTheme="minorEastAsia" w:hAnsiTheme="minorEastAsia" w:eastAsiaTheme="minorEastAsia" w:cstheme="minorEastAsia"/>
                <w:b w:val="0"/>
                <w:bCs/>
                <w:color w:val="auto"/>
                <w:kern w:val="2"/>
                <w:sz w:val="24"/>
                <w:szCs w:val="24"/>
                <w:highlight w:val="none"/>
                <w:lang w:val="en-US" w:eastAsia="zh-CN" w:bidi="ar-SA"/>
              </w:rPr>
            </w:pPr>
          </w:p>
        </w:tc>
        <w:tc>
          <w:tcPr>
            <w:tcW w:w="727" w:type="dxa"/>
            <w:shd w:val="clear" w:color="auto" w:fill="auto"/>
            <w:vAlign w:val="center"/>
          </w:tcPr>
          <w:p w14:paraId="3ED55730">
            <w:pPr>
              <w:pStyle w:val="159"/>
              <w:spacing w:before="178"/>
              <w:ind w:left="0" w:leftChars="0" w:right="0" w:rightChars="0" w:firstLine="0" w:firstLineChars="0"/>
              <w:jc w:val="center"/>
              <w:rPr>
                <w:rFonts w:hint="default" w:asciiTheme="minorEastAsia" w:hAnsiTheme="minorEastAsia" w:eastAsiaTheme="minorEastAsia" w:cstheme="minorEastAsia"/>
                <w:b w:val="0"/>
                <w:bCs/>
                <w:color w:val="auto"/>
                <w:kern w:val="2"/>
                <w:sz w:val="24"/>
                <w:szCs w:val="24"/>
                <w:highlight w:val="none"/>
                <w:lang w:val="en-US" w:eastAsia="zh-CN" w:bidi="zh-CN"/>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510</w:t>
            </w:r>
          </w:p>
        </w:tc>
      </w:tr>
      <w:tr w14:paraId="4C239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6" w:type="dxa"/>
            <w:shd w:val="clear" w:color="auto" w:fill="auto"/>
            <w:vAlign w:val="top"/>
          </w:tcPr>
          <w:p w14:paraId="117A9135">
            <w:pPr>
              <w:pStyle w:val="204"/>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color w:val="auto"/>
                <w:kern w:val="2"/>
                <w:sz w:val="24"/>
                <w:szCs w:val="24"/>
                <w:highlight w:val="none"/>
                <w:lang w:val="en-US" w:eastAsia="zh-CN" w:bidi="ar-SA"/>
              </w:rPr>
              <w:drawing>
                <wp:anchor distT="0" distB="0" distL="114300" distR="114300" simplePos="0" relativeHeight="251666432" behindDoc="0" locked="0" layoutInCell="1" allowOverlap="1">
                  <wp:simplePos x="0" y="0"/>
                  <wp:positionH relativeFrom="column">
                    <wp:posOffset>115570</wp:posOffset>
                  </wp:positionH>
                  <wp:positionV relativeFrom="paragraph">
                    <wp:posOffset>298450</wp:posOffset>
                  </wp:positionV>
                  <wp:extent cx="939165" cy="1025525"/>
                  <wp:effectExtent l="0" t="0" r="13335" b="3175"/>
                  <wp:wrapTopAndBottom/>
                  <wp:docPr id="8" name="图片 21" descr="c1b5bd489125e10e4af0b0704a6b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1" descr="c1b5bd489125e10e4af0b0704a6b959"/>
                          <pic:cNvPicPr>
                            <a:picLocks noChangeAspect="1"/>
                          </pic:cNvPicPr>
                        </pic:nvPicPr>
                        <pic:blipFill>
                          <a:blip r:embed="rId21"/>
                          <a:stretch>
                            <a:fillRect/>
                          </a:stretch>
                        </pic:blipFill>
                        <pic:spPr>
                          <a:xfrm>
                            <a:off x="0" y="0"/>
                            <a:ext cx="939165" cy="1025525"/>
                          </a:xfrm>
                          <a:prstGeom prst="rect">
                            <a:avLst/>
                          </a:prstGeom>
                          <a:noFill/>
                          <a:ln>
                            <a:noFill/>
                          </a:ln>
                        </pic:spPr>
                      </pic:pic>
                    </a:graphicData>
                  </a:graphic>
                </wp:anchor>
              </w:drawing>
            </w:r>
            <w:r>
              <w:rPr>
                <w:rFonts w:hint="eastAsia" w:asciiTheme="minorEastAsia" w:hAnsiTheme="minorEastAsia" w:eastAsiaTheme="minorEastAsia" w:cstheme="minorEastAsia"/>
                <w:color w:val="auto"/>
                <w:sz w:val="24"/>
                <w:szCs w:val="24"/>
                <w:highlight w:val="none"/>
                <w:lang w:val="en-US" w:eastAsia="zh-CN"/>
              </w:rPr>
              <w:t>硅胶垫</w:t>
            </w:r>
          </w:p>
          <w:p w14:paraId="28A87649">
            <w:pPr>
              <w:pStyle w:val="159"/>
              <w:spacing w:before="105"/>
              <w:ind w:left="107" w:leftChars="0" w:right="0" w:rightChars="0" w:firstLine="0" w:firstLineChars="0"/>
              <w:rPr>
                <w:rFonts w:hint="eastAsia" w:asciiTheme="minorEastAsia" w:hAnsiTheme="minorEastAsia" w:eastAsiaTheme="minorEastAsia" w:cstheme="minorEastAsia"/>
                <w:b/>
                <w:color w:val="auto"/>
                <w:kern w:val="2"/>
                <w:sz w:val="24"/>
                <w:szCs w:val="24"/>
                <w:highlight w:val="none"/>
                <w:lang w:val="en-US" w:eastAsia="zh-CN" w:bidi="ar-SA"/>
              </w:rPr>
            </w:pPr>
          </w:p>
          <w:p w14:paraId="65E2D4D1">
            <w:pPr>
              <w:pStyle w:val="159"/>
              <w:spacing w:before="105"/>
              <w:ind w:left="0" w:leftChars="0" w:right="0" w:rightChars="0" w:firstLine="0" w:firstLineChars="0"/>
              <w:rPr>
                <w:rFonts w:hint="eastAsia" w:asciiTheme="minorEastAsia" w:hAnsiTheme="minorEastAsia" w:eastAsiaTheme="minorEastAsia" w:cstheme="minorEastAsia"/>
                <w:b/>
                <w:color w:val="auto"/>
                <w:kern w:val="2"/>
                <w:sz w:val="24"/>
                <w:szCs w:val="24"/>
                <w:highlight w:val="none"/>
                <w:lang w:val="en-US" w:eastAsia="zh-CN" w:bidi="ar-SA"/>
              </w:rPr>
            </w:pPr>
          </w:p>
        </w:tc>
        <w:tc>
          <w:tcPr>
            <w:tcW w:w="4729" w:type="dxa"/>
            <w:shd w:val="clear" w:color="auto" w:fill="auto"/>
            <w:vAlign w:val="center"/>
          </w:tcPr>
          <w:p w14:paraId="20DF4FEE">
            <w:pPr>
              <w:pStyle w:val="204"/>
              <w:bidi w:val="0"/>
              <w:ind w:firstLine="0" w:firstLineChars="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厚度0.7-0.8mm</w:t>
            </w:r>
          </w:p>
          <w:p w14:paraId="32C1C8F3">
            <w:pPr>
              <w:pStyle w:val="204"/>
              <w:bidi w:val="0"/>
              <w:ind w:firstLine="0" w:firstLineChars="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网孔1mm</w:t>
            </w:r>
          </w:p>
        </w:tc>
        <w:tc>
          <w:tcPr>
            <w:tcW w:w="727" w:type="dxa"/>
            <w:shd w:val="clear" w:color="auto" w:fill="auto"/>
            <w:vAlign w:val="center"/>
          </w:tcPr>
          <w:p w14:paraId="7AB40454">
            <w:pPr>
              <w:pStyle w:val="205"/>
              <w:bidi w:val="0"/>
              <w:ind w:firstLine="0" w:firstLineChars="0"/>
              <w:jc w:val="center"/>
              <w:rPr>
                <w:rFonts w:hint="default"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510</w:t>
            </w:r>
          </w:p>
        </w:tc>
      </w:tr>
    </w:tbl>
    <w:p w14:paraId="1C19925E">
      <w:pPr>
        <w:pStyle w:val="3"/>
        <w:numPr>
          <w:ilvl w:val="0"/>
          <w:numId w:val="5"/>
        </w:numPr>
        <w:bidi w:val="0"/>
        <w:rPr>
          <w:rFonts w:hint="eastAsia" w:asciiTheme="minorEastAsia" w:hAnsiTheme="minorEastAsia" w:eastAsiaTheme="minorEastAsia" w:cstheme="minorEastAsia"/>
          <w:color w:val="auto"/>
          <w:sz w:val="24"/>
          <w:szCs w:val="24"/>
          <w:highlight w:val="none"/>
          <w:lang w:val="en-US" w:eastAsia="zh-CN"/>
        </w:rPr>
        <w:sectPr>
          <w:pgSz w:w="11906" w:h="16838"/>
          <w:pgMar w:top="1440" w:right="1800" w:bottom="1440" w:left="1800" w:header="851" w:footer="992" w:gutter="0"/>
          <w:cols w:space="425" w:num="1"/>
          <w:docGrid w:type="lines" w:linePitch="312" w:charSpace="0"/>
        </w:sectPr>
      </w:pPr>
    </w:p>
    <w:p w14:paraId="0EC7D603">
      <w:pPr>
        <w:pStyle w:val="4"/>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2.4实验室设备</w:t>
      </w:r>
    </w:p>
    <w:tbl>
      <w:tblPr>
        <w:tblStyle w:val="173"/>
        <w:tblW w:w="926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13"/>
        <w:gridCol w:w="1650"/>
        <w:gridCol w:w="2006"/>
        <w:gridCol w:w="4396"/>
      </w:tblGrid>
      <w:tr w14:paraId="5E207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rPr>
        <w:tc>
          <w:tcPr>
            <w:tcW w:w="1213" w:type="dxa"/>
            <w:vAlign w:val="center"/>
          </w:tcPr>
          <w:p w14:paraId="7B05858C">
            <w:pPr>
              <w:pStyle w:val="202"/>
              <w:spacing w:before="201" w:line="185" w:lineRule="auto"/>
              <w:ind w:left="122"/>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设备类别</w:t>
            </w:r>
          </w:p>
        </w:tc>
        <w:tc>
          <w:tcPr>
            <w:tcW w:w="1650" w:type="dxa"/>
            <w:vAlign w:val="center"/>
          </w:tcPr>
          <w:p w14:paraId="711B6AD6">
            <w:pPr>
              <w:pStyle w:val="202"/>
              <w:spacing w:before="201" w:line="185" w:lineRule="auto"/>
              <w:ind w:left="12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设备名称</w:t>
            </w:r>
          </w:p>
        </w:tc>
        <w:tc>
          <w:tcPr>
            <w:tcW w:w="2006" w:type="dxa"/>
            <w:vAlign w:val="center"/>
          </w:tcPr>
          <w:p w14:paraId="04ADDB75">
            <w:pPr>
              <w:pStyle w:val="202"/>
              <w:spacing w:before="208" w:line="181" w:lineRule="auto"/>
              <w:ind w:left="123"/>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用途</w:t>
            </w:r>
          </w:p>
        </w:tc>
        <w:tc>
          <w:tcPr>
            <w:tcW w:w="4396" w:type="dxa"/>
            <w:vAlign w:val="center"/>
          </w:tcPr>
          <w:p w14:paraId="5CD0501C">
            <w:pPr>
              <w:pStyle w:val="202"/>
              <w:spacing w:before="203" w:line="184" w:lineRule="auto"/>
              <w:ind w:left="124"/>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主要参数</w:t>
            </w:r>
          </w:p>
        </w:tc>
      </w:tr>
      <w:tr w14:paraId="32E14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44" w:hRule="atLeast"/>
        </w:trPr>
        <w:tc>
          <w:tcPr>
            <w:tcW w:w="1213" w:type="dxa"/>
            <w:vMerge w:val="restart"/>
            <w:vAlign w:val="center"/>
          </w:tcPr>
          <w:p w14:paraId="2F5AC3C6">
            <w:pPr>
              <w:pStyle w:val="202"/>
              <w:spacing w:before="204" w:line="237" w:lineRule="auto"/>
              <w:ind w:left="118" w:right="139" w:firstLine="2"/>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样品采集与处理设</w:t>
            </w:r>
            <w:r>
              <w:rPr>
                <w:rFonts w:hint="eastAsia" w:asciiTheme="minorEastAsia" w:hAnsiTheme="minorEastAsia" w:eastAsiaTheme="minorEastAsia" w:cstheme="minorEastAsia"/>
                <w:color w:val="auto"/>
                <w:sz w:val="24"/>
                <w:szCs w:val="24"/>
                <w:highlight w:val="none"/>
              </w:rPr>
              <w:t>备</w:t>
            </w:r>
          </w:p>
        </w:tc>
        <w:tc>
          <w:tcPr>
            <w:tcW w:w="1650" w:type="dxa"/>
            <w:vAlign w:val="center"/>
          </w:tcPr>
          <w:p w14:paraId="339ED971">
            <w:pPr>
              <w:pStyle w:val="202"/>
              <w:spacing w:before="160" w:line="241" w:lineRule="auto"/>
              <w:ind w:left="119" w:right="178"/>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采样工具（无菌采样</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袋、采样瓶、采样器</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0"/>
                <w:sz w:val="24"/>
                <w:szCs w:val="24"/>
                <w:highlight w:val="none"/>
              </w:rPr>
              <w:t>等）</w:t>
            </w:r>
          </w:p>
        </w:tc>
        <w:tc>
          <w:tcPr>
            <w:tcW w:w="2006" w:type="dxa"/>
            <w:vAlign w:val="center"/>
          </w:tcPr>
          <w:p w14:paraId="0A338064">
            <w:pPr>
              <w:pStyle w:val="202"/>
              <w:spacing w:before="202" w:line="184" w:lineRule="auto"/>
              <w:ind w:left="12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采集和保存食品样本，确保样本原始性和代表性</w:t>
            </w:r>
          </w:p>
        </w:tc>
        <w:tc>
          <w:tcPr>
            <w:tcW w:w="4396" w:type="dxa"/>
            <w:vAlign w:val="center"/>
          </w:tcPr>
          <w:p w14:paraId="7E78C90B">
            <w:pPr>
              <w:pStyle w:val="202"/>
              <w:spacing w:before="200" w:line="220" w:lineRule="auto"/>
              <w:ind w:left="132" w:right="195" w:hanging="1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无菌采样袋：材质符合食</w:t>
            </w:r>
            <w:r>
              <w:rPr>
                <w:rFonts w:hint="eastAsia" w:asciiTheme="minorEastAsia" w:hAnsiTheme="minorEastAsia" w:eastAsiaTheme="minorEastAsia" w:cstheme="minorEastAsia"/>
                <w:color w:val="auto"/>
                <w:spacing w:val="7"/>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品级标准，尺寸多样，如</w:t>
            </w:r>
            <w:r>
              <w:rPr>
                <w:rFonts w:hint="eastAsia" w:asciiTheme="minorEastAsia" w:hAnsiTheme="minorEastAsia" w:eastAsiaTheme="minorEastAsia" w:cstheme="minorEastAsia"/>
                <w:color w:val="auto"/>
                <w:spacing w:val="-3"/>
                <w:sz w:val="24"/>
                <w:szCs w:val="24"/>
                <w:highlight w:val="none"/>
              </w:rPr>
              <w:t>100mm×</w:t>
            </w:r>
            <w:r>
              <w:rPr>
                <w:rFonts w:hint="eastAsia" w:asciiTheme="minorEastAsia" w:hAnsiTheme="minorEastAsia" w:eastAsiaTheme="minorEastAsia" w:cstheme="minorEastAsia"/>
                <w:color w:val="auto"/>
                <w:spacing w:val="-39"/>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150mm、</w:t>
            </w:r>
            <w:r>
              <w:rPr>
                <w:rFonts w:hint="eastAsia" w:asciiTheme="minorEastAsia" w:hAnsiTheme="minorEastAsia" w:eastAsiaTheme="minorEastAsia" w:cstheme="minorEastAsia"/>
                <w:color w:val="auto"/>
                <w:spacing w:val="-1"/>
                <w:sz w:val="24"/>
                <w:szCs w:val="24"/>
                <w:highlight w:val="none"/>
              </w:rPr>
              <w:t>200mm×300mm 等；采</w:t>
            </w:r>
            <w:r>
              <w:rPr>
                <w:rFonts w:hint="eastAsia" w:asciiTheme="minorEastAsia" w:hAnsiTheme="minorEastAsia" w:eastAsiaTheme="minorEastAsia" w:cstheme="minorEastAsia"/>
                <w:color w:val="auto"/>
                <w:sz w:val="24"/>
                <w:szCs w:val="24"/>
                <w:highlight w:val="none"/>
              </w:rPr>
              <w:t>样瓶：玻璃或塑料材质，</w:t>
            </w:r>
            <w:r>
              <w:rPr>
                <w:rFonts w:hint="eastAsia" w:asciiTheme="minorEastAsia" w:hAnsiTheme="minorEastAsia" w:eastAsiaTheme="minorEastAsia" w:cstheme="minorEastAsia"/>
                <w:color w:val="auto"/>
                <w:spacing w:val="9"/>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容量有 50mL、</w:t>
            </w:r>
            <w:r>
              <w:rPr>
                <w:rFonts w:hint="eastAsia" w:asciiTheme="minorEastAsia" w:hAnsiTheme="minorEastAsia" w:eastAsiaTheme="minorEastAsia" w:cstheme="minorEastAsia"/>
                <w:color w:val="auto"/>
                <w:spacing w:val="-42"/>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100mL、</w:t>
            </w:r>
            <w:r>
              <w:rPr>
                <w:rFonts w:hint="eastAsia" w:asciiTheme="minorEastAsia" w:hAnsiTheme="minorEastAsia" w:eastAsiaTheme="minorEastAsia" w:cstheme="minorEastAsia"/>
                <w:color w:val="auto"/>
                <w:spacing w:val="-1"/>
                <w:sz w:val="24"/>
                <w:szCs w:val="24"/>
                <w:highlight w:val="none"/>
              </w:rPr>
              <w:t>250mL 等；采样器：可根</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据不同采样需求选择，如液体采样器流量范围 0.1 -</w:t>
            </w:r>
            <w:r>
              <w:rPr>
                <w:rFonts w:hint="eastAsia" w:asciiTheme="minorEastAsia" w:hAnsiTheme="minorEastAsia" w:eastAsiaTheme="minorEastAsia" w:cstheme="minorEastAsia"/>
                <w:color w:val="auto"/>
                <w:spacing w:val="6"/>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10mL/min，固体采样器采样头尺寸适配多种物料</w:t>
            </w:r>
          </w:p>
        </w:tc>
      </w:tr>
      <w:tr w14:paraId="402A3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25" w:hRule="atLeast"/>
        </w:trPr>
        <w:tc>
          <w:tcPr>
            <w:tcW w:w="1213" w:type="dxa"/>
            <w:vMerge w:val="continue"/>
            <w:vAlign w:val="center"/>
          </w:tcPr>
          <w:p w14:paraId="25AC7C90">
            <w:pPr>
              <w:jc w:val="both"/>
              <w:rPr>
                <w:rFonts w:hint="eastAsia" w:asciiTheme="minorEastAsia" w:hAnsiTheme="minorEastAsia" w:eastAsiaTheme="minorEastAsia" w:cstheme="minorEastAsia"/>
                <w:color w:val="auto"/>
                <w:sz w:val="24"/>
                <w:szCs w:val="24"/>
                <w:highlight w:val="none"/>
              </w:rPr>
            </w:pPr>
          </w:p>
        </w:tc>
        <w:tc>
          <w:tcPr>
            <w:tcW w:w="1650" w:type="dxa"/>
            <w:vAlign w:val="center"/>
          </w:tcPr>
          <w:p w14:paraId="1458372E">
            <w:pPr>
              <w:pStyle w:val="202"/>
              <w:spacing w:before="208" w:line="182" w:lineRule="auto"/>
              <w:ind w:left="13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电子天平</w:t>
            </w:r>
          </w:p>
        </w:tc>
        <w:tc>
          <w:tcPr>
            <w:tcW w:w="2006" w:type="dxa"/>
            <w:vAlign w:val="center"/>
          </w:tcPr>
          <w:p w14:paraId="4ABA14E7">
            <w:pPr>
              <w:pStyle w:val="202"/>
              <w:spacing w:before="204" w:line="223" w:lineRule="auto"/>
              <w:ind w:left="120" w:right="104"/>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精确称量样品重量，</w:t>
            </w:r>
            <w:r>
              <w:rPr>
                <w:rFonts w:hint="eastAsia" w:asciiTheme="minorEastAsia" w:hAnsiTheme="minorEastAsia" w:eastAsiaTheme="minorEastAsia" w:cstheme="minorEastAsia"/>
                <w:color w:val="auto"/>
                <w:spacing w:val="-3"/>
                <w:sz w:val="24"/>
                <w:szCs w:val="24"/>
                <w:highlight w:val="none"/>
              </w:rPr>
              <w:t>精度一般达 0.</w:t>
            </w:r>
            <w:r>
              <w:rPr>
                <w:rFonts w:hint="eastAsia" w:asciiTheme="minorEastAsia" w:hAnsiTheme="minorEastAsia" w:eastAsiaTheme="minorEastAsia" w:cstheme="minorEastAsia"/>
                <w:color w:val="auto"/>
                <w:spacing w:val="-33"/>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1g 或</w:t>
            </w:r>
            <w:r>
              <w:rPr>
                <w:rFonts w:hint="eastAsia" w:asciiTheme="minorEastAsia" w:hAnsiTheme="minorEastAsia" w:eastAsiaTheme="minorEastAsia" w:cstheme="minorEastAsia"/>
                <w:color w:val="auto"/>
                <w:spacing w:val="-1"/>
                <w:sz w:val="24"/>
                <w:szCs w:val="24"/>
                <w:highlight w:val="none"/>
              </w:rPr>
              <w:t>更高</w:t>
            </w:r>
          </w:p>
        </w:tc>
        <w:tc>
          <w:tcPr>
            <w:tcW w:w="4396" w:type="dxa"/>
            <w:vAlign w:val="center"/>
          </w:tcPr>
          <w:p w14:paraId="57728B53">
            <w:pPr>
              <w:pStyle w:val="202"/>
              <w:spacing w:before="170" w:line="227" w:lineRule="auto"/>
              <w:ind w:left="124" w:right="305" w:firstLine="6"/>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常见精度 0.</w:t>
            </w:r>
            <w:r>
              <w:rPr>
                <w:rFonts w:hint="eastAsia" w:asciiTheme="minorEastAsia" w:hAnsiTheme="minorEastAsia" w:eastAsiaTheme="minorEastAsia" w:cstheme="minorEastAsia"/>
                <w:color w:val="auto"/>
                <w:spacing w:val="-36"/>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1g 的电子天</w:t>
            </w:r>
            <w:r>
              <w:rPr>
                <w:rFonts w:hint="eastAsia" w:asciiTheme="minorEastAsia" w:hAnsiTheme="minorEastAsia" w:eastAsiaTheme="minorEastAsia" w:cstheme="minorEastAsia"/>
                <w:color w:val="auto"/>
                <w:spacing w:val="-1"/>
                <w:sz w:val="24"/>
                <w:szCs w:val="24"/>
                <w:highlight w:val="none"/>
              </w:rPr>
              <w:t>平，称量范围 0 -5000g，重复性误差</w:t>
            </w:r>
            <w:r>
              <w:rPr>
                <w:rFonts w:hint="eastAsia" w:asciiTheme="minorEastAsia" w:hAnsiTheme="minorEastAsia" w:eastAsiaTheme="minorEastAsia" w:cstheme="minorEastAsia"/>
                <w:color w:val="auto"/>
                <w:spacing w:val="-5"/>
                <w:sz w:val="24"/>
                <w:szCs w:val="24"/>
                <w:highlight w:val="none"/>
              </w:rPr>
              <w:t>±0.</w:t>
            </w:r>
            <w:r>
              <w:rPr>
                <w:rFonts w:hint="eastAsia" w:asciiTheme="minorEastAsia" w:hAnsiTheme="minorEastAsia" w:eastAsiaTheme="minorEastAsia" w:cstheme="minorEastAsia"/>
                <w:color w:val="auto"/>
                <w:spacing w:val="-32"/>
                <w:sz w:val="24"/>
                <w:szCs w:val="24"/>
                <w:highlight w:val="none"/>
              </w:rPr>
              <w:t xml:space="preserve"> </w:t>
            </w:r>
            <w:r>
              <w:rPr>
                <w:rFonts w:hint="eastAsia" w:asciiTheme="minorEastAsia" w:hAnsiTheme="minorEastAsia" w:eastAsiaTheme="minorEastAsia" w:cstheme="minorEastAsia"/>
                <w:color w:val="auto"/>
                <w:spacing w:val="-5"/>
                <w:sz w:val="24"/>
                <w:szCs w:val="24"/>
                <w:highlight w:val="none"/>
              </w:rPr>
              <w:t>1g，线性误差 ±0.2g。</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更高精度如 0.001g 的电子天平，称量范围 0 -</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200g，重复性误差±0.001g，线性误差</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±0.002g</w:t>
            </w:r>
          </w:p>
        </w:tc>
      </w:tr>
      <w:tr w14:paraId="4671B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80" w:hRule="atLeast"/>
        </w:trPr>
        <w:tc>
          <w:tcPr>
            <w:tcW w:w="1213" w:type="dxa"/>
            <w:vMerge w:val="continue"/>
            <w:vAlign w:val="center"/>
          </w:tcPr>
          <w:p w14:paraId="5FF45894">
            <w:pPr>
              <w:jc w:val="both"/>
              <w:rPr>
                <w:rFonts w:hint="eastAsia" w:asciiTheme="minorEastAsia" w:hAnsiTheme="minorEastAsia" w:eastAsiaTheme="minorEastAsia" w:cstheme="minorEastAsia"/>
                <w:color w:val="auto"/>
                <w:sz w:val="24"/>
                <w:szCs w:val="24"/>
                <w:highlight w:val="none"/>
              </w:rPr>
            </w:pPr>
          </w:p>
        </w:tc>
        <w:tc>
          <w:tcPr>
            <w:tcW w:w="1650" w:type="dxa"/>
            <w:vAlign w:val="center"/>
          </w:tcPr>
          <w:p w14:paraId="4709641E">
            <w:pPr>
              <w:pStyle w:val="202"/>
              <w:spacing w:before="205" w:line="184" w:lineRule="auto"/>
              <w:ind w:left="12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超声波清洗器</w:t>
            </w:r>
          </w:p>
        </w:tc>
        <w:tc>
          <w:tcPr>
            <w:tcW w:w="2006" w:type="dxa"/>
            <w:vAlign w:val="center"/>
          </w:tcPr>
          <w:p w14:paraId="6C38F616">
            <w:pPr>
              <w:pStyle w:val="202"/>
              <w:spacing w:before="204" w:line="235" w:lineRule="auto"/>
              <w:ind w:left="120" w:right="115" w:firstLine="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清洗检测用的玻璃器</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皿和工具，减少交叉</w:t>
            </w:r>
            <w:r>
              <w:rPr>
                <w:rFonts w:hint="eastAsia" w:asciiTheme="minorEastAsia" w:hAnsiTheme="minorEastAsia" w:eastAsiaTheme="minorEastAsia" w:cstheme="minorEastAsia"/>
                <w:color w:val="auto"/>
                <w:spacing w:val="6"/>
                <w:sz w:val="24"/>
                <w:szCs w:val="24"/>
                <w:highlight w:val="none"/>
              </w:rPr>
              <w:t xml:space="preserve"> </w:t>
            </w:r>
            <w:r>
              <w:rPr>
                <w:rFonts w:hint="eastAsia" w:asciiTheme="minorEastAsia" w:hAnsiTheme="minorEastAsia" w:eastAsiaTheme="minorEastAsia" w:cstheme="minorEastAsia"/>
                <w:color w:val="auto"/>
                <w:sz w:val="24"/>
                <w:szCs w:val="24"/>
                <w:highlight w:val="none"/>
              </w:rPr>
              <w:t>污染</w:t>
            </w:r>
          </w:p>
        </w:tc>
        <w:tc>
          <w:tcPr>
            <w:tcW w:w="4396" w:type="dxa"/>
            <w:vAlign w:val="center"/>
          </w:tcPr>
          <w:p w14:paraId="3D85F256">
            <w:pPr>
              <w:pStyle w:val="202"/>
              <w:spacing w:before="173" w:line="230" w:lineRule="auto"/>
              <w:ind w:left="121" w:right="17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功率 200 - 800W，频率28 - 40kHz，清洗槽尺寸常见300×240×150mm、</w:t>
            </w:r>
            <w:r>
              <w:rPr>
                <w:rFonts w:hint="eastAsia" w:asciiTheme="minorEastAsia" w:hAnsiTheme="minorEastAsia" w:eastAsiaTheme="minorEastAsia" w:cstheme="minorEastAsia"/>
                <w:color w:val="auto"/>
                <w:spacing w:val="9"/>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400×300×150mm 等，容</w:t>
            </w:r>
            <w:r>
              <w:rPr>
                <w:rFonts w:hint="eastAsia" w:asciiTheme="minorEastAsia" w:hAnsiTheme="minorEastAsia" w:eastAsiaTheme="minorEastAsia" w:cstheme="minorEastAsia"/>
                <w:color w:val="auto"/>
                <w:spacing w:val="-4"/>
                <w:sz w:val="24"/>
                <w:szCs w:val="24"/>
                <w:highlight w:val="none"/>
              </w:rPr>
              <w:t>积5-15L</w:t>
            </w:r>
          </w:p>
        </w:tc>
      </w:tr>
      <w:tr w14:paraId="1F7DF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26" w:hRule="atLeast"/>
        </w:trPr>
        <w:tc>
          <w:tcPr>
            <w:tcW w:w="1213" w:type="dxa"/>
            <w:vAlign w:val="center"/>
          </w:tcPr>
          <w:p w14:paraId="1FF374F3">
            <w:pPr>
              <w:pStyle w:val="202"/>
              <w:spacing w:before="205" w:line="185" w:lineRule="auto"/>
              <w:ind w:left="12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核心检测设备</w:t>
            </w:r>
          </w:p>
        </w:tc>
        <w:tc>
          <w:tcPr>
            <w:tcW w:w="1650" w:type="dxa"/>
            <w:vAlign w:val="center"/>
          </w:tcPr>
          <w:p w14:paraId="4EA0FE44">
            <w:pPr>
              <w:pStyle w:val="202"/>
              <w:spacing w:before="207" w:line="239" w:lineRule="auto"/>
              <w:ind w:left="119" w:right="178" w:firstLine="3"/>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多功能食品安全检测</w:t>
            </w:r>
            <w:r>
              <w:rPr>
                <w:rFonts w:hint="eastAsia" w:asciiTheme="minorEastAsia" w:hAnsiTheme="minorEastAsia" w:eastAsiaTheme="minorEastAsia" w:cstheme="minorEastAsia"/>
                <w:color w:val="auto"/>
                <w:spacing w:val="1"/>
                <w:sz w:val="24"/>
                <w:szCs w:val="24"/>
                <w:highlight w:val="none"/>
              </w:rPr>
              <w:t xml:space="preserve"> </w:t>
            </w:r>
            <w:r>
              <w:rPr>
                <w:rFonts w:hint="eastAsia" w:asciiTheme="minorEastAsia" w:hAnsiTheme="minorEastAsia" w:eastAsiaTheme="minorEastAsia" w:cstheme="minorEastAsia"/>
                <w:color w:val="auto"/>
                <w:sz w:val="24"/>
                <w:szCs w:val="24"/>
                <w:highlight w:val="none"/>
              </w:rPr>
              <w:t>仪</w:t>
            </w:r>
          </w:p>
        </w:tc>
        <w:tc>
          <w:tcPr>
            <w:tcW w:w="2006" w:type="dxa"/>
            <w:vAlign w:val="center"/>
          </w:tcPr>
          <w:p w14:paraId="32FFE2BD">
            <w:pPr>
              <w:pStyle w:val="202"/>
              <w:spacing w:before="211" w:line="225" w:lineRule="auto"/>
              <w:ind w:left="121" w:right="11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快速检测农药残留、</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兽药残留、重金属、</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食品添加剂、微生物</w:t>
            </w:r>
            <w:r>
              <w:rPr>
                <w:rFonts w:hint="eastAsia" w:asciiTheme="minorEastAsia" w:hAnsiTheme="minorEastAsia" w:eastAsiaTheme="minorEastAsia" w:cstheme="minorEastAsia"/>
                <w:color w:val="auto"/>
                <w:sz w:val="24"/>
                <w:szCs w:val="24"/>
                <w:highlight w:val="none"/>
              </w:rPr>
              <w:t>污染等项目</w:t>
            </w:r>
          </w:p>
        </w:tc>
        <w:tc>
          <w:tcPr>
            <w:tcW w:w="4396" w:type="dxa"/>
            <w:vAlign w:val="center"/>
          </w:tcPr>
          <w:p w14:paraId="79FA10CA">
            <w:pPr>
              <w:pStyle w:val="202"/>
              <w:spacing w:before="51" w:line="227" w:lineRule="auto"/>
              <w:ind w:left="120" w:right="18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以 FT</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w:t>
            </w:r>
            <w:r>
              <w:rPr>
                <w:rFonts w:hint="eastAsia" w:asciiTheme="minorEastAsia" w:hAnsiTheme="minorEastAsia" w:eastAsiaTheme="minorEastAsia" w:cstheme="minorEastAsia"/>
                <w:color w:val="auto"/>
                <w:spacing w:val="12"/>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G2400</w:t>
            </w:r>
            <w:r>
              <w:rPr>
                <w:rFonts w:hint="eastAsia" w:asciiTheme="minorEastAsia" w:hAnsiTheme="minorEastAsia" w:eastAsiaTheme="minorEastAsia" w:cstheme="minorEastAsia"/>
                <w:color w:val="auto"/>
                <w:spacing w:val="6"/>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为例，主</w:t>
            </w:r>
            <w:r>
              <w:rPr>
                <w:rFonts w:hint="eastAsia" w:asciiTheme="minorEastAsia" w:hAnsiTheme="minorEastAsia" w:eastAsiaTheme="minorEastAsia" w:cstheme="minorEastAsia"/>
                <w:color w:val="auto"/>
                <w:spacing w:val="-1"/>
                <w:sz w:val="24"/>
                <w:szCs w:val="24"/>
                <w:highlight w:val="none"/>
              </w:rPr>
              <w:t>控芯片采用 ARM Cortex -</w:t>
            </w:r>
            <w:r>
              <w:rPr>
                <w:rFonts w:hint="eastAsia" w:asciiTheme="minorEastAsia" w:hAnsiTheme="minorEastAsia" w:eastAsiaTheme="minorEastAsia" w:cstheme="minorEastAsia"/>
                <w:color w:val="auto"/>
                <w:spacing w:val="12"/>
                <w:sz w:val="24"/>
                <w:szCs w:val="24"/>
                <w:highlight w:val="none"/>
              </w:rPr>
              <w:t xml:space="preserve"> </w:t>
            </w:r>
            <w:r>
              <w:rPr>
                <w:rFonts w:hint="eastAsia" w:asciiTheme="minorEastAsia" w:hAnsiTheme="minorEastAsia" w:eastAsiaTheme="minorEastAsia" w:cstheme="minorEastAsia"/>
                <w:color w:val="auto"/>
                <w:sz w:val="24"/>
                <w:szCs w:val="24"/>
                <w:highlight w:val="none"/>
              </w:rPr>
              <w:t>A7，RK3288/4 核处理</w:t>
            </w:r>
            <w:r>
              <w:rPr>
                <w:rFonts w:hint="eastAsia" w:asciiTheme="minorEastAsia" w:hAnsiTheme="minorEastAsia" w:eastAsiaTheme="minorEastAsia" w:cstheme="minorEastAsia"/>
                <w:color w:val="auto"/>
                <w:spacing w:val="-2"/>
                <w:sz w:val="24"/>
                <w:szCs w:val="24"/>
                <w:highlight w:val="none"/>
              </w:rPr>
              <w:t>器，主频</w:t>
            </w:r>
            <w:r>
              <w:rPr>
                <w:rFonts w:hint="eastAsia" w:asciiTheme="minorEastAsia" w:hAnsiTheme="minorEastAsia" w:eastAsiaTheme="minorEastAsia" w:cstheme="minorEastAsia"/>
                <w:color w:val="auto"/>
                <w:spacing w:val="19"/>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1.88Ghz。显示</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方式为10 英寸液晶触摸</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屏，交直流两用，直流</w:t>
            </w:r>
            <w:r>
              <w:rPr>
                <w:rFonts w:hint="eastAsia" w:asciiTheme="minorEastAsia" w:hAnsiTheme="minorEastAsia" w:eastAsiaTheme="minorEastAsia" w:cstheme="minorEastAsia"/>
                <w:color w:val="auto"/>
                <w:spacing w:val="-2"/>
                <w:sz w:val="24"/>
                <w:szCs w:val="24"/>
                <w:highlight w:val="none"/>
              </w:rPr>
              <w:t>12V 供电，可配 6ah 大容</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量充电锂电池。</w:t>
            </w:r>
            <w:r>
              <w:rPr>
                <w:rFonts w:hint="eastAsia" w:asciiTheme="minorEastAsia" w:hAnsiTheme="minorEastAsia" w:eastAsiaTheme="minorEastAsia" w:cstheme="minorEastAsia"/>
                <w:color w:val="auto"/>
                <w:spacing w:val="-45"/>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四波长冷</w:t>
            </w:r>
            <w:r>
              <w:rPr>
                <w:rFonts w:hint="eastAsia" w:asciiTheme="minorEastAsia" w:hAnsiTheme="minorEastAsia" w:eastAsiaTheme="minorEastAsia" w:cstheme="minorEastAsia"/>
                <w:color w:val="auto"/>
                <w:sz w:val="24"/>
                <w:szCs w:val="24"/>
                <w:highlight w:val="none"/>
              </w:rPr>
              <w:t xml:space="preserve">  光源，24 个检测通道，</w:t>
            </w:r>
            <w:r>
              <w:rPr>
                <w:rFonts w:hint="eastAsia" w:asciiTheme="minorEastAsia" w:hAnsiTheme="minorEastAsia" w:eastAsiaTheme="minorEastAsia" w:cstheme="minorEastAsia"/>
                <w:color w:val="auto"/>
                <w:spacing w:val="-1"/>
                <w:sz w:val="24"/>
                <w:szCs w:val="24"/>
                <w:highlight w:val="none"/>
              </w:rPr>
              <w:t>每个通道均配置 410、520、590、630nm 波长</w:t>
            </w:r>
            <w:r>
              <w:rPr>
                <w:rFonts w:hint="eastAsia" w:asciiTheme="minorEastAsia" w:hAnsiTheme="minorEastAsia" w:eastAsiaTheme="minorEastAsia" w:cstheme="minorEastAsia"/>
                <w:color w:val="auto"/>
                <w:sz w:val="24"/>
                <w:szCs w:val="24"/>
                <w:highlight w:val="none"/>
              </w:rPr>
              <w:t xml:space="preserve">光源，标配专业的光路切 </w:t>
            </w:r>
            <w:r>
              <w:rPr>
                <w:rFonts w:hint="eastAsia" w:asciiTheme="minorEastAsia" w:hAnsiTheme="minorEastAsia" w:eastAsiaTheme="minorEastAsia" w:cstheme="minorEastAsia"/>
                <w:color w:val="auto"/>
                <w:spacing w:val="-1"/>
                <w:sz w:val="24"/>
                <w:szCs w:val="24"/>
                <w:highlight w:val="none"/>
              </w:rPr>
              <w:t>换装置，可实现最多 64</w:t>
            </w:r>
            <w:r>
              <w:rPr>
                <w:rFonts w:hint="eastAsia" w:asciiTheme="minorEastAsia" w:hAnsiTheme="minorEastAsia" w:eastAsiaTheme="minorEastAsia" w:cstheme="minorEastAsia"/>
                <w:color w:val="auto"/>
                <w:spacing w:val="2"/>
                <w:sz w:val="24"/>
                <w:szCs w:val="24"/>
                <w:highlight w:val="none"/>
              </w:rPr>
              <w:t xml:space="preserve">   </w:t>
            </w:r>
            <w:r>
              <w:rPr>
                <w:rFonts w:hint="eastAsia" w:asciiTheme="minorEastAsia" w:hAnsiTheme="minorEastAsia" w:eastAsiaTheme="minorEastAsia" w:cstheme="minorEastAsia"/>
                <w:color w:val="auto"/>
                <w:sz w:val="24"/>
                <w:szCs w:val="24"/>
                <w:highlight w:val="none"/>
              </w:rPr>
              <w:t>波长。检测项目众多，如 农残检出下限抑制率</w:t>
            </w:r>
            <w:r>
              <w:rPr>
                <w:rFonts w:hint="eastAsia" w:asciiTheme="minorEastAsia" w:hAnsiTheme="minorEastAsia" w:eastAsiaTheme="minorEastAsia" w:cstheme="minorEastAsia"/>
                <w:color w:val="auto"/>
                <w:spacing w:val="-1"/>
                <w:sz w:val="24"/>
                <w:szCs w:val="24"/>
                <w:highlight w:val="none"/>
              </w:rPr>
              <w:t>5%，检测范围抑制率 (0 -</w:t>
            </w:r>
            <w:r>
              <w:rPr>
                <w:rFonts w:hint="eastAsia" w:asciiTheme="minorEastAsia" w:hAnsiTheme="minorEastAsia" w:eastAsiaTheme="minorEastAsia" w:cstheme="minorEastAsia"/>
                <w:color w:val="auto"/>
                <w:spacing w:val="-2"/>
                <w:sz w:val="24"/>
                <w:szCs w:val="24"/>
                <w:highlight w:val="none"/>
              </w:rPr>
              <w:t>100)%；甲醛检出下限</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1mg/kg，检测范围 (0 -</w:t>
            </w:r>
            <w:r>
              <w:rPr>
                <w:rFonts w:hint="eastAsia" w:asciiTheme="minorEastAsia" w:hAnsiTheme="minorEastAsia" w:eastAsiaTheme="minorEastAsia" w:cstheme="minorEastAsia"/>
                <w:color w:val="auto"/>
                <w:spacing w:val="-4"/>
                <w:sz w:val="24"/>
                <w:szCs w:val="24"/>
                <w:highlight w:val="none"/>
              </w:rPr>
              <w:t>100)</w:t>
            </w:r>
            <w:r>
              <w:rPr>
                <w:rFonts w:hint="eastAsia" w:asciiTheme="minorEastAsia" w:hAnsiTheme="minorEastAsia" w:eastAsiaTheme="minorEastAsia" w:cstheme="minorEastAsia"/>
                <w:color w:val="auto"/>
                <w:spacing w:val="21"/>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mg/kg 等</w:t>
            </w:r>
          </w:p>
        </w:tc>
      </w:tr>
    </w:tbl>
    <w:p w14:paraId="5B5E3AF3">
      <w:pPr>
        <w:rPr>
          <w:rFonts w:hint="eastAsia" w:asciiTheme="minorEastAsia" w:hAnsiTheme="minorEastAsia" w:eastAsiaTheme="minorEastAsia" w:cstheme="minorEastAsia"/>
          <w:color w:val="auto"/>
          <w:sz w:val="24"/>
          <w:szCs w:val="24"/>
          <w:highlight w:val="none"/>
        </w:rPr>
      </w:pPr>
    </w:p>
    <w:p w14:paraId="40F0849B">
      <w:pPr>
        <w:rPr>
          <w:rFonts w:hint="eastAsia" w:asciiTheme="minorEastAsia" w:hAnsiTheme="minorEastAsia" w:eastAsiaTheme="minorEastAsia" w:cstheme="minorEastAsia"/>
          <w:color w:val="auto"/>
          <w:sz w:val="24"/>
          <w:szCs w:val="24"/>
          <w:highlight w:val="none"/>
        </w:rPr>
        <w:sectPr>
          <w:pgSz w:w="11906" w:h="16839"/>
          <w:pgMar w:top="1431" w:right="1317" w:bottom="0" w:left="1317" w:header="0" w:footer="0" w:gutter="0"/>
          <w:cols w:space="720" w:num="1"/>
        </w:sectPr>
      </w:pPr>
    </w:p>
    <w:tbl>
      <w:tblPr>
        <w:tblStyle w:val="173"/>
        <w:tblpPr w:leftFromText="180" w:rightFromText="180" w:vertAnchor="text" w:horzAnchor="page" w:tblpXSpec="center" w:tblpY="100"/>
        <w:tblOverlap w:val="never"/>
        <w:tblW w:w="9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67"/>
        <w:gridCol w:w="1838"/>
        <w:gridCol w:w="1819"/>
        <w:gridCol w:w="4341"/>
      </w:tblGrid>
      <w:tr w14:paraId="589C8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48" w:hRule="atLeast"/>
          <w:jc w:val="center"/>
        </w:trPr>
        <w:tc>
          <w:tcPr>
            <w:tcW w:w="1267" w:type="dxa"/>
            <w:vAlign w:val="center"/>
          </w:tcPr>
          <w:p w14:paraId="1D9C6F73">
            <w:pPr>
              <w:jc w:val="both"/>
              <w:rPr>
                <w:rFonts w:hint="eastAsia" w:asciiTheme="minorEastAsia" w:hAnsiTheme="minorEastAsia" w:eastAsiaTheme="minorEastAsia" w:cstheme="minorEastAsia"/>
                <w:color w:val="auto"/>
                <w:sz w:val="24"/>
                <w:szCs w:val="24"/>
                <w:highlight w:val="none"/>
              </w:rPr>
            </w:pPr>
          </w:p>
        </w:tc>
        <w:tc>
          <w:tcPr>
            <w:tcW w:w="1838" w:type="dxa"/>
            <w:vAlign w:val="center"/>
          </w:tcPr>
          <w:p w14:paraId="52EAA375">
            <w:pPr>
              <w:pStyle w:val="202"/>
              <w:spacing w:before="206" w:line="183" w:lineRule="auto"/>
              <w:ind w:left="11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微生物快速检测仪</w:t>
            </w:r>
          </w:p>
        </w:tc>
        <w:tc>
          <w:tcPr>
            <w:tcW w:w="1819" w:type="dxa"/>
            <w:vAlign w:val="center"/>
          </w:tcPr>
          <w:p w14:paraId="64B3B2F5">
            <w:pPr>
              <w:pStyle w:val="202"/>
              <w:spacing w:before="202" w:line="233" w:lineRule="auto"/>
              <w:ind w:left="121" w:right="11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快速检测食品中的细</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菌、霉菌等微生物含</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量，评估食品卫生状</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z w:val="24"/>
                <w:szCs w:val="24"/>
                <w:highlight w:val="none"/>
              </w:rPr>
              <w:t>况</w:t>
            </w:r>
          </w:p>
        </w:tc>
        <w:tc>
          <w:tcPr>
            <w:tcW w:w="4341" w:type="dxa"/>
            <w:vAlign w:val="center"/>
          </w:tcPr>
          <w:p w14:paraId="5F65711C">
            <w:pPr>
              <w:pStyle w:val="202"/>
              <w:spacing w:before="207" w:line="227" w:lineRule="auto"/>
              <w:ind w:left="120" w:right="147" w:firstLine="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检测原理有 ATP 生物发光法、荧光定量 PCR 法等。ATP 生物发光法检测</w:t>
            </w:r>
            <w:r>
              <w:rPr>
                <w:rFonts w:hint="eastAsia" w:asciiTheme="minorEastAsia" w:hAnsiTheme="minorEastAsia" w:eastAsiaTheme="minorEastAsia" w:cstheme="minorEastAsia"/>
                <w:color w:val="auto"/>
                <w:spacing w:val="11"/>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时间</w:t>
            </w:r>
            <w:r>
              <w:rPr>
                <w:rFonts w:hint="eastAsia" w:asciiTheme="minorEastAsia" w:hAnsiTheme="minorEastAsia" w:eastAsiaTheme="minorEastAsia" w:cstheme="minorEastAsia"/>
                <w:color w:val="auto"/>
                <w:spacing w:val="25"/>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1 - 2min，检测灵敏</w:t>
            </w:r>
            <w:r>
              <w:rPr>
                <w:rFonts w:hint="eastAsia" w:asciiTheme="minorEastAsia" w:hAnsiTheme="minorEastAsia" w:eastAsiaTheme="minorEastAsia" w:cstheme="minorEastAsia"/>
                <w:color w:val="auto"/>
                <w:spacing w:val="-4"/>
                <w:sz w:val="24"/>
                <w:szCs w:val="24"/>
                <w:highlight w:val="none"/>
              </w:rPr>
              <w:t>度10 -</w:t>
            </w:r>
            <w:r>
              <w:rPr>
                <w:rFonts w:hint="eastAsia" w:asciiTheme="minorEastAsia" w:hAnsiTheme="minorEastAsia" w:eastAsiaTheme="minorEastAsia" w:cstheme="minorEastAsia"/>
                <w:color w:val="auto"/>
                <w:spacing w:val="26"/>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1000RLU（相对</w:t>
            </w:r>
            <w:r>
              <w:rPr>
                <w:rFonts w:hint="eastAsia" w:asciiTheme="minorEastAsia" w:hAnsiTheme="minorEastAsia" w:eastAsiaTheme="minorEastAsia" w:cstheme="minorEastAsia"/>
                <w:color w:val="auto"/>
                <w:spacing w:val="-1"/>
                <w:sz w:val="24"/>
                <w:szCs w:val="24"/>
                <w:highlight w:val="none"/>
              </w:rPr>
              <w:t>光单位</w:t>
            </w:r>
            <w:r>
              <w:rPr>
                <w:rFonts w:hint="eastAsia" w:asciiTheme="minorEastAsia" w:hAnsiTheme="minorEastAsia" w:eastAsiaTheme="minorEastAsia" w:cstheme="minorEastAsia"/>
                <w:color w:val="auto"/>
                <w:spacing w:val="3"/>
                <w:sz w:val="24"/>
                <w:szCs w:val="24"/>
                <w:highlight w:val="none"/>
              </w:rPr>
              <w:t>）；</w:t>
            </w:r>
            <w:r>
              <w:rPr>
                <w:rFonts w:hint="eastAsia" w:asciiTheme="minorEastAsia" w:hAnsiTheme="minorEastAsia" w:eastAsiaTheme="minorEastAsia" w:cstheme="minorEastAsia"/>
                <w:color w:val="auto"/>
                <w:spacing w:val="-1"/>
                <w:sz w:val="24"/>
                <w:szCs w:val="24"/>
                <w:highlight w:val="none"/>
              </w:rPr>
              <w:t>荧光定量</w:t>
            </w:r>
            <w:r>
              <w:rPr>
                <w:rFonts w:hint="eastAsia" w:asciiTheme="minorEastAsia" w:hAnsiTheme="minorEastAsia" w:eastAsiaTheme="minorEastAsia" w:cstheme="minorEastAsia"/>
                <w:color w:val="auto"/>
                <w:spacing w:val="-2"/>
                <w:sz w:val="24"/>
                <w:szCs w:val="24"/>
                <w:highlight w:val="none"/>
              </w:rPr>
              <w:t>PCR 法可检测多种微生</w:t>
            </w:r>
            <w:r>
              <w:rPr>
                <w:rFonts w:hint="eastAsia" w:asciiTheme="minorEastAsia" w:hAnsiTheme="minorEastAsia" w:eastAsiaTheme="minorEastAsia" w:cstheme="minorEastAsia"/>
                <w:color w:val="auto"/>
                <w:spacing w:val="-1"/>
                <w:sz w:val="24"/>
                <w:szCs w:val="24"/>
                <w:highlight w:val="none"/>
              </w:rPr>
              <w:t>物，检测时间 30 -</w:t>
            </w:r>
            <w:r>
              <w:rPr>
                <w:rFonts w:hint="eastAsia" w:asciiTheme="minorEastAsia" w:hAnsiTheme="minorEastAsia" w:eastAsiaTheme="minorEastAsia" w:cstheme="minorEastAsia"/>
                <w:color w:val="auto"/>
                <w:spacing w:val="12"/>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60min</w:t>
            </w:r>
          </w:p>
        </w:tc>
      </w:tr>
      <w:tr w14:paraId="103A9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02" w:hRule="atLeast"/>
          <w:jc w:val="center"/>
        </w:trPr>
        <w:tc>
          <w:tcPr>
            <w:tcW w:w="1267" w:type="dxa"/>
            <w:vMerge w:val="restart"/>
            <w:vAlign w:val="center"/>
          </w:tcPr>
          <w:p w14:paraId="5C2551D9">
            <w:pPr>
              <w:pStyle w:val="202"/>
              <w:spacing w:before="203" w:line="185" w:lineRule="auto"/>
              <w:ind w:left="12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辅助设备</w:t>
            </w:r>
          </w:p>
        </w:tc>
        <w:tc>
          <w:tcPr>
            <w:tcW w:w="1838" w:type="dxa"/>
            <w:vAlign w:val="center"/>
          </w:tcPr>
          <w:p w14:paraId="0C54902F">
            <w:pPr>
              <w:pStyle w:val="202"/>
              <w:spacing w:before="170" w:line="231" w:lineRule="auto"/>
              <w:ind w:left="123"/>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冰箱 / 冷藏柜</w:t>
            </w:r>
          </w:p>
        </w:tc>
        <w:tc>
          <w:tcPr>
            <w:tcW w:w="1819" w:type="dxa"/>
            <w:vAlign w:val="center"/>
          </w:tcPr>
          <w:p w14:paraId="5AB28335">
            <w:pPr>
              <w:pStyle w:val="202"/>
              <w:spacing w:before="202" w:line="229" w:lineRule="auto"/>
              <w:ind w:left="121" w:right="11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保存待检样品和检测</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试剂，保持其稳定性</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和有效性（冷藏 2 -</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5"/>
                <w:sz w:val="24"/>
                <w:szCs w:val="24"/>
                <w:highlight w:val="none"/>
              </w:rPr>
              <w:t>8℃</w:t>
            </w:r>
            <w:r>
              <w:rPr>
                <w:rFonts w:hint="eastAsia" w:asciiTheme="minorEastAsia" w:hAnsiTheme="minorEastAsia" w:eastAsiaTheme="minorEastAsia" w:cstheme="minorEastAsia"/>
                <w:color w:val="auto"/>
                <w:spacing w:val="-22"/>
                <w:sz w:val="24"/>
                <w:szCs w:val="24"/>
                <w:highlight w:val="none"/>
              </w:rPr>
              <w:t xml:space="preserve"> </w:t>
            </w:r>
            <w:r>
              <w:rPr>
                <w:rFonts w:hint="eastAsia" w:asciiTheme="minorEastAsia" w:hAnsiTheme="minorEastAsia" w:eastAsiaTheme="minorEastAsia" w:cstheme="minorEastAsia"/>
                <w:color w:val="auto"/>
                <w:spacing w:val="-5"/>
                <w:sz w:val="24"/>
                <w:szCs w:val="24"/>
                <w:highlight w:val="none"/>
              </w:rPr>
              <w:t>,</w:t>
            </w:r>
            <w:r>
              <w:rPr>
                <w:rFonts w:hint="eastAsia" w:asciiTheme="minorEastAsia" w:hAnsiTheme="minorEastAsia" w:eastAsiaTheme="minorEastAsia" w:cstheme="minorEastAsia"/>
                <w:color w:val="auto"/>
                <w:spacing w:val="39"/>
                <w:sz w:val="24"/>
                <w:szCs w:val="24"/>
                <w:highlight w:val="none"/>
              </w:rPr>
              <w:t xml:space="preserve"> </w:t>
            </w:r>
            <w:r>
              <w:rPr>
                <w:rFonts w:hint="eastAsia" w:asciiTheme="minorEastAsia" w:hAnsiTheme="minorEastAsia" w:eastAsiaTheme="minorEastAsia" w:cstheme="minorEastAsia"/>
                <w:color w:val="auto"/>
                <w:spacing w:val="-5"/>
                <w:sz w:val="24"/>
                <w:szCs w:val="24"/>
                <w:highlight w:val="none"/>
              </w:rPr>
              <w:t>冷冻 -</w:t>
            </w:r>
            <w:r>
              <w:rPr>
                <w:rFonts w:hint="eastAsia" w:asciiTheme="minorEastAsia" w:hAnsiTheme="minorEastAsia" w:eastAsiaTheme="minorEastAsia" w:cstheme="minorEastAsia"/>
                <w:color w:val="auto"/>
                <w:spacing w:val="21"/>
                <w:sz w:val="24"/>
                <w:szCs w:val="24"/>
                <w:highlight w:val="none"/>
              </w:rPr>
              <w:t xml:space="preserve"> </w:t>
            </w:r>
            <w:r>
              <w:rPr>
                <w:rFonts w:hint="eastAsia" w:asciiTheme="minorEastAsia" w:hAnsiTheme="minorEastAsia" w:eastAsiaTheme="minorEastAsia" w:cstheme="minorEastAsia"/>
                <w:color w:val="auto"/>
                <w:spacing w:val="-5"/>
                <w:sz w:val="24"/>
                <w:szCs w:val="24"/>
                <w:highlight w:val="none"/>
              </w:rPr>
              <w:t>18℃以</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0"/>
                <w:sz w:val="24"/>
                <w:szCs w:val="24"/>
                <w:highlight w:val="none"/>
              </w:rPr>
              <w:t>下）</w:t>
            </w:r>
          </w:p>
        </w:tc>
        <w:tc>
          <w:tcPr>
            <w:tcW w:w="4341" w:type="dxa"/>
            <w:vAlign w:val="center"/>
          </w:tcPr>
          <w:p w14:paraId="6AFB3EDF">
            <w:pPr>
              <w:pStyle w:val="202"/>
              <w:spacing w:before="171" w:line="227" w:lineRule="auto"/>
              <w:ind w:left="124"/>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冷藏柜：容积</w:t>
            </w:r>
            <w:r>
              <w:rPr>
                <w:rFonts w:hint="eastAsia" w:asciiTheme="minorEastAsia" w:hAnsiTheme="minorEastAsia" w:eastAsiaTheme="minorEastAsia" w:cstheme="minorEastAsia"/>
                <w:color w:val="auto"/>
                <w:spacing w:val="30"/>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100 -</w:t>
            </w:r>
            <w:r>
              <w:rPr>
                <w:rFonts w:hint="eastAsia" w:asciiTheme="minorEastAsia" w:hAnsiTheme="minorEastAsia" w:eastAsiaTheme="minorEastAsia" w:cstheme="minorEastAsia"/>
                <w:color w:val="auto"/>
                <w:spacing w:val="-1"/>
                <w:sz w:val="24"/>
                <w:szCs w:val="24"/>
                <w:highlight w:val="none"/>
              </w:rPr>
              <w:t>500L，温度范围 2 -</w:t>
            </w:r>
            <w:r>
              <w:rPr>
                <w:rFonts w:hint="eastAsia" w:asciiTheme="minorEastAsia" w:hAnsiTheme="minorEastAsia" w:eastAsiaTheme="minorEastAsia" w:cstheme="minorEastAsia"/>
                <w:color w:val="auto"/>
                <w:spacing w:val="-3"/>
                <w:sz w:val="24"/>
                <w:szCs w:val="24"/>
                <w:highlight w:val="none"/>
              </w:rPr>
              <w:t>8℃</w:t>
            </w:r>
            <w:r>
              <w:rPr>
                <w:rFonts w:hint="eastAsia" w:asciiTheme="minorEastAsia" w:hAnsiTheme="minorEastAsia" w:eastAsiaTheme="minorEastAsia" w:cstheme="minorEastAsia"/>
                <w:color w:val="auto"/>
                <w:spacing w:val="-19"/>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w:t>
            </w:r>
            <w:r>
              <w:rPr>
                <w:rFonts w:hint="eastAsia" w:asciiTheme="minorEastAsia" w:hAnsiTheme="minorEastAsia" w:eastAsiaTheme="minorEastAsia" w:cstheme="minorEastAsia"/>
                <w:color w:val="auto"/>
                <w:spacing w:val="36"/>
                <w:w w:val="10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波动范围 ±1℃。冷</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冻柜：容积 50 - 300L，</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6"/>
                <w:sz w:val="24"/>
                <w:szCs w:val="24"/>
                <w:highlight w:val="none"/>
              </w:rPr>
              <w:t>温度范围 -</w:t>
            </w:r>
            <w:r>
              <w:rPr>
                <w:rFonts w:hint="eastAsia" w:asciiTheme="minorEastAsia" w:hAnsiTheme="minorEastAsia" w:eastAsiaTheme="minorEastAsia" w:cstheme="minorEastAsia"/>
                <w:color w:val="auto"/>
                <w:spacing w:val="33"/>
                <w:w w:val="101"/>
                <w:sz w:val="24"/>
                <w:szCs w:val="24"/>
                <w:highlight w:val="none"/>
              </w:rPr>
              <w:t xml:space="preserve"> </w:t>
            </w:r>
            <w:r>
              <w:rPr>
                <w:rFonts w:hint="eastAsia" w:asciiTheme="minorEastAsia" w:hAnsiTheme="minorEastAsia" w:eastAsiaTheme="minorEastAsia" w:cstheme="minorEastAsia"/>
                <w:color w:val="auto"/>
                <w:spacing w:val="-6"/>
                <w:sz w:val="24"/>
                <w:szCs w:val="24"/>
                <w:highlight w:val="none"/>
              </w:rPr>
              <w:t>18 -</w:t>
            </w:r>
            <w:r>
              <w:rPr>
                <w:rFonts w:hint="eastAsia" w:asciiTheme="minorEastAsia" w:hAnsiTheme="minorEastAsia" w:eastAsiaTheme="minorEastAsia" w:cstheme="minorEastAsia"/>
                <w:color w:val="auto"/>
                <w:spacing w:val="4"/>
                <w:sz w:val="24"/>
                <w:szCs w:val="24"/>
                <w:highlight w:val="none"/>
              </w:rPr>
              <w:t xml:space="preserve"> </w:t>
            </w:r>
            <w:r>
              <w:rPr>
                <w:rFonts w:hint="eastAsia" w:asciiTheme="minorEastAsia" w:hAnsiTheme="minorEastAsia" w:eastAsiaTheme="minorEastAsia" w:cstheme="minorEastAsia"/>
                <w:color w:val="auto"/>
                <w:spacing w:val="-6"/>
                <w:sz w:val="24"/>
                <w:szCs w:val="24"/>
                <w:highlight w:val="none"/>
              </w:rPr>
              <w:t>-</w:t>
            </w:r>
            <w:r>
              <w:rPr>
                <w:rFonts w:hint="eastAsia" w:asciiTheme="minorEastAsia" w:hAnsiTheme="minorEastAsia" w:eastAsiaTheme="minorEastAsia" w:cstheme="minorEastAsia"/>
                <w:color w:val="auto"/>
                <w:spacing w:val="9"/>
                <w:sz w:val="24"/>
                <w:szCs w:val="24"/>
                <w:highlight w:val="none"/>
              </w:rPr>
              <w:t xml:space="preserve"> </w:t>
            </w:r>
            <w:r>
              <w:rPr>
                <w:rFonts w:hint="eastAsia" w:asciiTheme="minorEastAsia" w:hAnsiTheme="minorEastAsia" w:eastAsiaTheme="minorEastAsia" w:cstheme="minorEastAsia"/>
                <w:color w:val="auto"/>
                <w:spacing w:val="-6"/>
                <w:sz w:val="24"/>
                <w:szCs w:val="24"/>
                <w:highlight w:val="none"/>
              </w:rPr>
              <w:t>25℃ ,</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波动范围 ±2℃</w:t>
            </w:r>
          </w:p>
        </w:tc>
      </w:tr>
      <w:tr w14:paraId="7FB01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78" w:hRule="atLeast"/>
          <w:jc w:val="center"/>
        </w:trPr>
        <w:tc>
          <w:tcPr>
            <w:tcW w:w="1267" w:type="dxa"/>
            <w:vMerge w:val="continue"/>
            <w:vAlign w:val="center"/>
          </w:tcPr>
          <w:p w14:paraId="1BC48EFD">
            <w:pPr>
              <w:jc w:val="both"/>
              <w:rPr>
                <w:rFonts w:hint="eastAsia" w:asciiTheme="minorEastAsia" w:hAnsiTheme="minorEastAsia" w:eastAsiaTheme="minorEastAsia" w:cstheme="minorEastAsia"/>
                <w:color w:val="auto"/>
                <w:sz w:val="24"/>
                <w:szCs w:val="24"/>
                <w:highlight w:val="none"/>
              </w:rPr>
            </w:pPr>
          </w:p>
        </w:tc>
        <w:tc>
          <w:tcPr>
            <w:tcW w:w="1838" w:type="dxa"/>
            <w:vAlign w:val="center"/>
          </w:tcPr>
          <w:p w14:paraId="64A914FC">
            <w:pPr>
              <w:pStyle w:val="202"/>
              <w:spacing w:before="205" w:line="184" w:lineRule="auto"/>
              <w:ind w:left="11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恒温培养箱</w:t>
            </w:r>
          </w:p>
        </w:tc>
        <w:tc>
          <w:tcPr>
            <w:tcW w:w="1819" w:type="dxa"/>
            <w:vAlign w:val="center"/>
          </w:tcPr>
          <w:p w14:paraId="2C7EA53F">
            <w:pPr>
              <w:pStyle w:val="202"/>
              <w:spacing w:before="203" w:line="230" w:lineRule="auto"/>
              <w:ind w:left="124" w:right="115" w:firstLine="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为微生物培养提供适</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宜温度环境</w:t>
            </w:r>
            <w:r>
              <w:rPr>
                <w:rFonts w:hint="eastAsia" w:asciiTheme="minorEastAsia" w:hAnsiTheme="minorEastAsia" w:eastAsiaTheme="minorEastAsia" w:cstheme="minorEastAsia"/>
                <w:color w:val="auto"/>
                <w:spacing w:val="-2"/>
                <w:sz w:val="24"/>
                <w:szCs w:val="24"/>
                <w:highlight w:val="none"/>
              </w:rPr>
              <w:t>30 -</w:t>
            </w:r>
            <w:r>
              <w:rPr>
                <w:rFonts w:hint="eastAsia" w:asciiTheme="minorEastAsia" w:hAnsiTheme="minorEastAsia" w:eastAsiaTheme="minorEastAsia" w:cstheme="minorEastAsia"/>
                <w:color w:val="auto"/>
                <w:spacing w:val="9"/>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37℃</w:t>
            </w:r>
            <w:r>
              <w:rPr>
                <w:rFonts w:hint="eastAsia" w:asciiTheme="minorEastAsia" w:hAnsiTheme="minorEastAsia" w:eastAsiaTheme="minorEastAsia" w:cstheme="minorEastAsia"/>
                <w:color w:val="auto"/>
                <w:spacing w:val="-38"/>
                <w:sz w:val="24"/>
                <w:szCs w:val="24"/>
                <w:highlight w:val="none"/>
              </w:rPr>
              <w:t xml:space="preserve"> </w:t>
            </w:r>
          </w:p>
        </w:tc>
        <w:tc>
          <w:tcPr>
            <w:tcW w:w="4341" w:type="dxa"/>
            <w:vAlign w:val="center"/>
          </w:tcPr>
          <w:p w14:paraId="7C8705D8">
            <w:pPr>
              <w:pStyle w:val="202"/>
              <w:spacing w:before="171" w:line="232" w:lineRule="auto"/>
              <w:ind w:left="122"/>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温度范围室温 +</w:t>
            </w:r>
            <w:r>
              <w:rPr>
                <w:rFonts w:hint="eastAsia" w:asciiTheme="minorEastAsia" w:hAnsiTheme="minorEastAsia" w:eastAsiaTheme="minorEastAsia" w:cstheme="minorEastAsia"/>
                <w:color w:val="auto"/>
                <w:spacing w:val="11"/>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5</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w:t>
            </w:r>
            <w:r>
              <w:rPr>
                <w:rFonts w:hint="eastAsia" w:asciiTheme="minorEastAsia" w:hAnsiTheme="minorEastAsia" w:eastAsiaTheme="minorEastAsia" w:cstheme="minorEastAsia"/>
                <w:color w:val="auto"/>
                <w:spacing w:val="-4"/>
                <w:sz w:val="24"/>
                <w:szCs w:val="24"/>
                <w:highlight w:val="none"/>
              </w:rPr>
              <w:t>65℃</w:t>
            </w:r>
            <w:r>
              <w:rPr>
                <w:rFonts w:hint="eastAsia" w:asciiTheme="minorEastAsia" w:hAnsiTheme="minorEastAsia" w:eastAsiaTheme="minorEastAsia" w:cstheme="minorEastAsia"/>
                <w:color w:val="auto"/>
                <w:spacing w:val="-18"/>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w:t>
            </w:r>
            <w:r>
              <w:rPr>
                <w:rFonts w:hint="eastAsia" w:asciiTheme="minorEastAsia" w:hAnsiTheme="minorEastAsia" w:eastAsiaTheme="minorEastAsia" w:cstheme="minorEastAsia"/>
                <w:color w:val="auto"/>
                <w:spacing w:val="36"/>
                <w:w w:val="101"/>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温度均匀性</w:t>
            </w:r>
            <w:r>
              <w:rPr>
                <w:rFonts w:hint="eastAsia" w:asciiTheme="minorEastAsia" w:hAnsiTheme="minorEastAsia" w:eastAsiaTheme="minorEastAsia" w:cstheme="minorEastAsia"/>
                <w:color w:val="auto"/>
                <w:spacing w:val="-3"/>
                <w:sz w:val="24"/>
                <w:szCs w:val="24"/>
                <w:highlight w:val="none"/>
              </w:rPr>
              <w:t>±1℃</w:t>
            </w:r>
            <w:r>
              <w:rPr>
                <w:rFonts w:hint="eastAsia" w:asciiTheme="minorEastAsia" w:hAnsiTheme="minorEastAsia" w:eastAsiaTheme="minorEastAsia" w:cstheme="minorEastAsia"/>
                <w:color w:val="auto"/>
                <w:spacing w:val="-2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w:t>
            </w:r>
            <w:r>
              <w:rPr>
                <w:rFonts w:hint="eastAsia" w:asciiTheme="minorEastAsia" w:hAnsiTheme="minorEastAsia" w:eastAsiaTheme="minorEastAsia" w:cstheme="minorEastAsia"/>
                <w:color w:val="auto"/>
                <w:spacing w:val="35"/>
                <w:w w:val="10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容积有 30L、60L、</w:t>
            </w:r>
            <w:r>
              <w:rPr>
                <w:rFonts w:hint="eastAsia" w:asciiTheme="minorEastAsia" w:hAnsiTheme="minorEastAsia" w:eastAsiaTheme="minorEastAsia" w:cstheme="minorEastAsia"/>
                <w:color w:val="auto"/>
                <w:spacing w:val="-3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100L 等多种规格</w:t>
            </w:r>
          </w:p>
        </w:tc>
      </w:tr>
      <w:tr w14:paraId="77920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78" w:hRule="atLeast"/>
          <w:jc w:val="center"/>
        </w:trPr>
        <w:tc>
          <w:tcPr>
            <w:tcW w:w="1267" w:type="dxa"/>
            <w:vMerge w:val="continue"/>
            <w:vAlign w:val="center"/>
          </w:tcPr>
          <w:p w14:paraId="2B5E30F1">
            <w:pPr>
              <w:jc w:val="both"/>
              <w:rPr>
                <w:rFonts w:hint="eastAsia" w:asciiTheme="minorEastAsia" w:hAnsiTheme="minorEastAsia" w:eastAsiaTheme="minorEastAsia" w:cstheme="minorEastAsia"/>
                <w:color w:val="auto"/>
                <w:sz w:val="24"/>
                <w:szCs w:val="24"/>
                <w:highlight w:val="none"/>
              </w:rPr>
            </w:pPr>
          </w:p>
        </w:tc>
        <w:tc>
          <w:tcPr>
            <w:tcW w:w="1838" w:type="dxa"/>
            <w:vAlign w:val="center"/>
          </w:tcPr>
          <w:p w14:paraId="5C1F9C73">
            <w:pPr>
              <w:pStyle w:val="202"/>
              <w:spacing w:before="169" w:line="233" w:lineRule="auto"/>
              <w:ind w:left="120" w:leftChars="0"/>
              <w:jc w:val="both"/>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1"/>
                <w:sz w:val="24"/>
                <w:szCs w:val="24"/>
                <w:highlight w:val="none"/>
              </w:rPr>
              <w:t>干燥箱 / 烘箱</w:t>
            </w:r>
          </w:p>
        </w:tc>
        <w:tc>
          <w:tcPr>
            <w:tcW w:w="1819" w:type="dxa"/>
            <w:vAlign w:val="center"/>
          </w:tcPr>
          <w:p w14:paraId="402BC512">
            <w:pPr>
              <w:pStyle w:val="202"/>
              <w:spacing w:before="206" w:line="234" w:lineRule="auto"/>
              <w:ind w:left="123" w:leftChars="0" w:right="104" w:rightChars="0"/>
              <w:jc w:val="both"/>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z w:val="24"/>
                <w:szCs w:val="24"/>
                <w:highlight w:val="none"/>
              </w:rPr>
              <w:t>用于样品干燥处理，</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去除水分对检测结果</w:t>
            </w:r>
            <w:r>
              <w:rPr>
                <w:rFonts w:hint="eastAsia" w:asciiTheme="minorEastAsia" w:hAnsiTheme="minorEastAsia" w:eastAsiaTheme="minorEastAsia" w:cstheme="minorEastAsia"/>
                <w:color w:val="auto"/>
                <w:spacing w:val="2"/>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的影响</w:t>
            </w:r>
          </w:p>
        </w:tc>
        <w:tc>
          <w:tcPr>
            <w:tcW w:w="4341" w:type="dxa"/>
            <w:vAlign w:val="center"/>
          </w:tcPr>
          <w:p w14:paraId="0F92F90A">
            <w:pPr>
              <w:pStyle w:val="202"/>
              <w:spacing w:before="169" w:line="232" w:lineRule="auto"/>
              <w:ind w:left="122"/>
              <w:jc w:val="both"/>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3"/>
                <w:sz w:val="24"/>
                <w:szCs w:val="24"/>
                <w:highlight w:val="none"/>
              </w:rPr>
              <w:t>温度范围室温 +</w:t>
            </w:r>
            <w:r>
              <w:rPr>
                <w:rFonts w:hint="eastAsia" w:asciiTheme="minorEastAsia" w:hAnsiTheme="minorEastAsia" w:eastAsiaTheme="minorEastAsia" w:cstheme="minorEastAsia"/>
                <w:color w:val="auto"/>
                <w:spacing w:val="24"/>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10</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w:t>
            </w:r>
            <w:r>
              <w:rPr>
                <w:rFonts w:hint="eastAsia" w:asciiTheme="minorEastAsia" w:hAnsiTheme="minorEastAsia" w:eastAsiaTheme="minorEastAsia" w:cstheme="minorEastAsia"/>
                <w:color w:val="auto"/>
                <w:spacing w:val="-4"/>
                <w:sz w:val="24"/>
                <w:szCs w:val="24"/>
                <w:highlight w:val="none"/>
              </w:rPr>
              <w:t>250℃</w:t>
            </w:r>
            <w:r>
              <w:rPr>
                <w:rFonts w:hint="eastAsia" w:asciiTheme="minorEastAsia" w:hAnsiTheme="minorEastAsia" w:eastAsiaTheme="minorEastAsia" w:cstheme="minorEastAsia"/>
                <w:color w:val="auto"/>
                <w:spacing w:val="-19"/>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w:t>
            </w:r>
            <w:r>
              <w:rPr>
                <w:rFonts w:hint="eastAsia" w:asciiTheme="minorEastAsia" w:hAnsiTheme="minorEastAsia" w:eastAsiaTheme="minorEastAsia" w:cstheme="minorEastAsia"/>
                <w:color w:val="auto"/>
                <w:spacing w:val="37"/>
                <w:w w:val="101"/>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温度波动 ±1℃</w:t>
            </w:r>
            <w:r>
              <w:rPr>
                <w:rFonts w:hint="eastAsia" w:asciiTheme="minorEastAsia" w:hAnsiTheme="minorEastAsia" w:eastAsiaTheme="minorEastAsia" w:cstheme="minorEastAsia"/>
                <w:color w:val="auto"/>
                <w:spacing w:val="-24"/>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内胆尺寸根据容积有多</w:t>
            </w:r>
            <w:r>
              <w:rPr>
                <w:rFonts w:hint="eastAsia" w:asciiTheme="minorEastAsia" w:hAnsiTheme="minorEastAsia" w:eastAsiaTheme="minorEastAsia" w:cstheme="minorEastAsia"/>
                <w:color w:val="auto"/>
                <w:spacing w:val="-1"/>
                <w:sz w:val="24"/>
                <w:szCs w:val="24"/>
                <w:highlight w:val="none"/>
              </w:rPr>
              <w:t>种，如 300×300×300mm</w:t>
            </w:r>
            <w:r>
              <w:rPr>
                <w:rFonts w:hint="eastAsia" w:asciiTheme="minorEastAsia" w:hAnsiTheme="minorEastAsia" w:eastAsiaTheme="minorEastAsia" w:cstheme="minorEastAsia"/>
                <w:color w:val="auto"/>
                <w:spacing w:val="10"/>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（对应 30L 容积）</w:t>
            </w:r>
          </w:p>
        </w:tc>
      </w:tr>
      <w:tr w14:paraId="1E9D8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78" w:hRule="atLeast"/>
          <w:jc w:val="center"/>
        </w:trPr>
        <w:tc>
          <w:tcPr>
            <w:tcW w:w="1267" w:type="dxa"/>
            <w:vMerge w:val="continue"/>
            <w:vAlign w:val="center"/>
          </w:tcPr>
          <w:p w14:paraId="260861C4">
            <w:pPr>
              <w:jc w:val="both"/>
              <w:rPr>
                <w:rFonts w:hint="eastAsia" w:asciiTheme="minorEastAsia" w:hAnsiTheme="minorEastAsia" w:eastAsiaTheme="minorEastAsia" w:cstheme="minorEastAsia"/>
                <w:color w:val="auto"/>
                <w:sz w:val="24"/>
                <w:szCs w:val="24"/>
                <w:highlight w:val="none"/>
              </w:rPr>
            </w:pPr>
          </w:p>
        </w:tc>
        <w:tc>
          <w:tcPr>
            <w:tcW w:w="1838" w:type="dxa"/>
            <w:vAlign w:val="center"/>
          </w:tcPr>
          <w:p w14:paraId="3BAB5CC1">
            <w:pPr>
              <w:pStyle w:val="202"/>
              <w:spacing w:before="203" w:line="184" w:lineRule="auto"/>
              <w:ind w:left="121" w:leftChars="0"/>
              <w:jc w:val="both"/>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2"/>
                <w:sz w:val="24"/>
                <w:szCs w:val="24"/>
                <w:highlight w:val="none"/>
              </w:rPr>
              <w:t>显微镜</w:t>
            </w:r>
          </w:p>
        </w:tc>
        <w:tc>
          <w:tcPr>
            <w:tcW w:w="1819" w:type="dxa"/>
            <w:vAlign w:val="center"/>
          </w:tcPr>
          <w:p w14:paraId="1B942973">
            <w:pPr>
              <w:pStyle w:val="202"/>
              <w:spacing w:before="203" w:line="184" w:lineRule="auto"/>
              <w:ind w:left="12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观察细菌形态和动</w:t>
            </w:r>
          </w:p>
          <w:p w14:paraId="439B39EC">
            <w:pPr>
              <w:pStyle w:val="202"/>
              <w:spacing w:before="67" w:line="232" w:lineRule="auto"/>
              <w:ind w:left="121" w:leftChars="0" w:right="115" w:rightChars="0" w:firstLine="1" w:firstLineChars="0"/>
              <w:jc w:val="both"/>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1"/>
                <w:sz w:val="24"/>
                <w:szCs w:val="24"/>
                <w:highlight w:val="none"/>
              </w:rPr>
              <w:t>力、微生物和微小物</w:t>
            </w:r>
            <w:r>
              <w:rPr>
                <w:rFonts w:hint="eastAsia" w:asciiTheme="minorEastAsia" w:hAnsiTheme="minorEastAsia" w:eastAsiaTheme="minorEastAsia" w:cstheme="minorEastAsia"/>
                <w:color w:val="auto"/>
                <w:spacing w:val="3"/>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品结构，辅助微生物</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检测（一般放大倍数</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100 -</w:t>
            </w:r>
            <w:r>
              <w:rPr>
                <w:rFonts w:hint="eastAsia" w:asciiTheme="minorEastAsia" w:hAnsiTheme="minorEastAsia" w:eastAsiaTheme="minorEastAsia" w:cstheme="minorEastAsia"/>
                <w:color w:val="auto"/>
                <w:spacing w:val="28"/>
                <w:w w:val="101"/>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1000 倍）</w:t>
            </w:r>
          </w:p>
        </w:tc>
        <w:tc>
          <w:tcPr>
            <w:tcW w:w="4341" w:type="dxa"/>
            <w:vAlign w:val="center"/>
          </w:tcPr>
          <w:p w14:paraId="5DBF3689">
            <w:pPr>
              <w:pStyle w:val="202"/>
              <w:spacing w:before="168" w:line="227" w:lineRule="auto"/>
              <w:ind w:left="120" w:right="185" w:firstLine="31"/>
              <w:jc w:val="both"/>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5"/>
                <w:sz w:val="24"/>
                <w:szCs w:val="24"/>
                <w:highlight w:val="none"/>
              </w:rPr>
              <w:t>目镜放大倍数</w:t>
            </w:r>
            <w:r>
              <w:rPr>
                <w:rFonts w:hint="eastAsia" w:asciiTheme="minorEastAsia" w:hAnsiTheme="minorEastAsia" w:eastAsiaTheme="minorEastAsia" w:cstheme="minorEastAsia"/>
                <w:color w:val="auto"/>
                <w:spacing w:val="21"/>
                <w:sz w:val="24"/>
                <w:szCs w:val="24"/>
                <w:highlight w:val="none"/>
              </w:rPr>
              <w:t xml:space="preserve"> </w:t>
            </w:r>
            <w:r>
              <w:rPr>
                <w:rFonts w:hint="eastAsia" w:asciiTheme="minorEastAsia" w:hAnsiTheme="minorEastAsia" w:eastAsiaTheme="minorEastAsia" w:cstheme="minorEastAsia"/>
                <w:color w:val="auto"/>
                <w:spacing w:val="-5"/>
                <w:sz w:val="24"/>
                <w:szCs w:val="24"/>
                <w:highlight w:val="none"/>
              </w:rPr>
              <w:t>10X，物镜</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放大倍数有 4X、</w:t>
            </w:r>
            <w:r>
              <w:rPr>
                <w:rFonts w:hint="eastAsia" w:asciiTheme="minorEastAsia" w:hAnsiTheme="minorEastAsia" w:eastAsiaTheme="minorEastAsia" w:cstheme="minorEastAsia"/>
                <w:color w:val="auto"/>
                <w:spacing w:val="-3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10X、</w:t>
            </w:r>
            <w:r>
              <w:rPr>
                <w:rFonts w:hint="eastAsia" w:asciiTheme="minorEastAsia" w:hAnsiTheme="minorEastAsia" w:eastAsiaTheme="minorEastAsia" w:cstheme="minorEastAsia"/>
                <w:color w:val="auto"/>
                <w:spacing w:val="-2"/>
                <w:sz w:val="24"/>
                <w:szCs w:val="24"/>
                <w:highlight w:val="none"/>
              </w:rPr>
              <w:t>40X、</w:t>
            </w:r>
            <w:r>
              <w:rPr>
                <w:rFonts w:hint="eastAsia" w:asciiTheme="minorEastAsia" w:hAnsiTheme="minorEastAsia" w:eastAsiaTheme="minorEastAsia" w:cstheme="minorEastAsia"/>
                <w:color w:val="auto"/>
                <w:spacing w:val="-41"/>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100X，总放大倍数</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40 -</w:t>
            </w:r>
            <w:r>
              <w:rPr>
                <w:rFonts w:hint="eastAsia" w:asciiTheme="minorEastAsia" w:hAnsiTheme="minorEastAsia" w:eastAsiaTheme="minorEastAsia" w:cstheme="minorEastAsia"/>
                <w:color w:val="auto"/>
                <w:spacing w:val="30"/>
                <w:w w:val="10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1000 倍，配备</w:t>
            </w:r>
            <w:r>
              <w:rPr>
                <w:rFonts w:hint="eastAsia" w:asciiTheme="minorEastAsia" w:hAnsiTheme="minorEastAsia" w:eastAsiaTheme="minorEastAsia" w:cstheme="minorEastAsia"/>
                <w:color w:val="auto"/>
                <w:spacing w:val="1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LED</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光源，亮度可调节</w:t>
            </w:r>
          </w:p>
        </w:tc>
      </w:tr>
      <w:tr w14:paraId="7D19F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78" w:hRule="atLeast"/>
          <w:jc w:val="center"/>
        </w:trPr>
        <w:tc>
          <w:tcPr>
            <w:tcW w:w="1267" w:type="dxa"/>
            <w:vMerge w:val="continue"/>
            <w:vAlign w:val="center"/>
          </w:tcPr>
          <w:p w14:paraId="2FFDF4AC">
            <w:pPr>
              <w:jc w:val="both"/>
              <w:rPr>
                <w:rFonts w:hint="eastAsia" w:asciiTheme="minorEastAsia" w:hAnsiTheme="minorEastAsia" w:eastAsiaTheme="minorEastAsia" w:cstheme="minorEastAsia"/>
                <w:color w:val="auto"/>
                <w:sz w:val="24"/>
                <w:szCs w:val="24"/>
                <w:highlight w:val="none"/>
              </w:rPr>
            </w:pPr>
          </w:p>
        </w:tc>
        <w:tc>
          <w:tcPr>
            <w:tcW w:w="1838" w:type="dxa"/>
            <w:vAlign w:val="center"/>
          </w:tcPr>
          <w:p w14:paraId="67B2F1AA">
            <w:pPr>
              <w:pStyle w:val="202"/>
              <w:spacing w:before="204" w:line="183" w:lineRule="auto"/>
              <w:ind w:left="122" w:leftChars="0"/>
              <w:jc w:val="both"/>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1"/>
                <w:sz w:val="24"/>
                <w:szCs w:val="24"/>
                <w:highlight w:val="none"/>
              </w:rPr>
              <w:t>菌落计数器</w:t>
            </w:r>
          </w:p>
        </w:tc>
        <w:tc>
          <w:tcPr>
            <w:tcW w:w="1819" w:type="dxa"/>
            <w:vAlign w:val="center"/>
          </w:tcPr>
          <w:p w14:paraId="7B11789E">
            <w:pPr>
              <w:pStyle w:val="202"/>
              <w:spacing w:before="200" w:line="235" w:lineRule="auto"/>
              <w:ind w:left="120" w:leftChars="0" w:right="115" w:rightChars="0"/>
              <w:jc w:val="both"/>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1"/>
                <w:sz w:val="24"/>
                <w:szCs w:val="24"/>
                <w:highlight w:val="none"/>
              </w:rPr>
              <w:t>数字显示式自动细菌</w:t>
            </w:r>
            <w:r>
              <w:rPr>
                <w:rFonts w:hint="eastAsia" w:asciiTheme="minorEastAsia" w:hAnsiTheme="minorEastAsia" w:eastAsiaTheme="minorEastAsia" w:cstheme="minorEastAsia"/>
                <w:color w:val="auto"/>
                <w:spacing w:val="6"/>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检验仪器，统计和分</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析微生物菌落数量</w:t>
            </w:r>
          </w:p>
        </w:tc>
        <w:tc>
          <w:tcPr>
            <w:tcW w:w="4341" w:type="dxa"/>
            <w:vAlign w:val="center"/>
          </w:tcPr>
          <w:p w14:paraId="1D166CD9">
            <w:pPr>
              <w:pStyle w:val="202"/>
              <w:spacing w:before="165" w:line="233" w:lineRule="auto"/>
              <w:ind w:left="121" w:leftChars="0" w:right="184" w:rightChars="0"/>
              <w:jc w:val="both"/>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1"/>
                <w:sz w:val="24"/>
                <w:szCs w:val="24"/>
                <w:highlight w:val="none"/>
              </w:rPr>
              <w:t>计数范围 0 - 999，精度</w:t>
            </w:r>
            <w:r>
              <w:rPr>
                <w:rFonts w:hint="eastAsia" w:asciiTheme="minorEastAsia" w:hAnsiTheme="minorEastAsia" w:eastAsiaTheme="minorEastAsia" w:cstheme="minorEastAsia"/>
                <w:color w:val="auto"/>
                <w:spacing w:val="2"/>
                <w:sz w:val="24"/>
                <w:szCs w:val="24"/>
                <w:highlight w:val="none"/>
              </w:rPr>
              <w:t xml:space="preserve">   </w:t>
            </w:r>
            <w:r>
              <w:rPr>
                <w:rFonts w:hint="eastAsia" w:asciiTheme="minorEastAsia" w:hAnsiTheme="minorEastAsia" w:eastAsiaTheme="minorEastAsia" w:cstheme="minorEastAsia"/>
                <w:color w:val="auto"/>
                <w:sz w:val="24"/>
                <w:szCs w:val="24"/>
                <w:highlight w:val="none"/>
              </w:rPr>
              <w:t>±1%，光源亮度可调节，</w:t>
            </w:r>
            <w:r>
              <w:rPr>
                <w:rFonts w:hint="eastAsia" w:asciiTheme="minorEastAsia" w:hAnsiTheme="minorEastAsia" w:eastAsiaTheme="minorEastAsia" w:cstheme="minorEastAsia"/>
                <w:color w:val="auto"/>
                <w:spacing w:val="10"/>
                <w:sz w:val="24"/>
                <w:szCs w:val="24"/>
                <w:highlight w:val="none"/>
              </w:rPr>
              <w:t xml:space="preserve"> </w:t>
            </w:r>
            <w:r>
              <w:rPr>
                <w:rFonts w:hint="eastAsia" w:asciiTheme="minorEastAsia" w:hAnsiTheme="minorEastAsia" w:eastAsiaTheme="minorEastAsia" w:cstheme="minorEastAsia"/>
                <w:color w:val="auto"/>
                <w:sz w:val="24"/>
                <w:szCs w:val="24"/>
                <w:highlight w:val="none"/>
              </w:rPr>
              <w:t>可自动识别菌落并计数，</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也可手动辅助计数</w:t>
            </w:r>
          </w:p>
        </w:tc>
      </w:tr>
    </w:tbl>
    <w:p w14:paraId="758BD868">
      <w:pPr>
        <w:spacing w:line="91" w:lineRule="auto"/>
        <w:rPr>
          <w:rFonts w:hint="eastAsia" w:asciiTheme="minorEastAsia" w:hAnsiTheme="minorEastAsia" w:eastAsiaTheme="minorEastAsia" w:cstheme="minorEastAsia"/>
          <w:color w:val="auto"/>
          <w:sz w:val="24"/>
          <w:szCs w:val="24"/>
          <w:highlight w:val="none"/>
        </w:rPr>
      </w:pPr>
    </w:p>
    <w:p w14:paraId="64C5A231">
      <w:pPr>
        <w:rPr>
          <w:rFonts w:hint="eastAsia" w:asciiTheme="minorEastAsia" w:hAnsiTheme="minorEastAsia" w:eastAsiaTheme="minorEastAsia" w:cstheme="minorEastAsia"/>
          <w:color w:val="auto"/>
          <w:sz w:val="24"/>
          <w:szCs w:val="24"/>
          <w:highlight w:val="none"/>
        </w:rPr>
      </w:pPr>
    </w:p>
    <w:p w14:paraId="48950815">
      <w:pPr>
        <w:rPr>
          <w:rFonts w:hint="eastAsia" w:asciiTheme="minorEastAsia" w:hAnsiTheme="minorEastAsia" w:eastAsiaTheme="minorEastAsia" w:cstheme="minorEastAsia"/>
          <w:color w:val="auto"/>
          <w:sz w:val="24"/>
          <w:szCs w:val="24"/>
          <w:highlight w:val="none"/>
        </w:rPr>
        <w:sectPr>
          <w:pgSz w:w="11906" w:h="16839"/>
          <w:pgMar w:top="1431" w:right="1317" w:bottom="0" w:left="1317" w:header="0" w:footer="0" w:gutter="0"/>
          <w:cols w:space="720" w:num="1"/>
        </w:sectPr>
      </w:pPr>
    </w:p>
    <w:p w14:paraId="3C9A7D2C">
      <w:pPr>
        <w:spacing w:line="91" w:lineRule="auto"/>
        <w:rPr>
          <w:rFonts w:hint="eastAsia" w:asciiTheme="minorEastAsia" w:hAnsiTheme="minorEastAsia" w:eastAsiaTheme="minorEastAsia" w:cstheme="minorEastAsia"/>
          <w:color w:val="auto"/>
          <w:sz w:val="24"/>
          <w:szCs w:val="24"/>
          <w:highlight w:val="none"/>
        </w:rPr>
      </w:pPr>
    </w:p>
    <w:tbl>
      <w:tblPr>
        <w:tblStyle w:val="173"/>
        <w:tblW w:w="9265" w:type="dxa"/>
        <w:tblInd w:w="2" w:type="dxa"/>
        <w:tblBorders>
          <w:top w:val="single" w:color="DEE0E3" w:sz="2" w:space="0"/>
          <w:left w:val="single" w:color="DEE0E3" w:sz="2" w:space="0"/>
          <w:bottom w:val="single" w:color="DEE0E3" w:sz="2" w:space="0"/>
          <w:right w:val="single" w:color="DEE0E3" w:sz="2" w:space="0"/>
          <w:insideH w:val="single" w:color="DEE0E3" w:sz="2" w:space="0"/>
          <w:insideV w:val="single" w:color="DEE0E3" w:sz="2" w:space="0"/>
        </w:tblBorders>
        <w:tblLayout w:type="fixed"/>
        <w:tblCellMar>
          <w:top w:w="0" w:type="dxa"/>
          <w:left w:w="0" w:type="dxa"/>
          <w:bottom w:w="0" w:type="dxa"/>
          <w:right w:w="0" w:type="dxa"/>
        </w:tblCellMar>
      </w:tblPr>
      <w:tblGrid>
        <w:gridCol w:w="1700"/>
        <w:gridCol w:w="2081"/>
        <w:gridCol w:w="1950"/>
        <w:gridCol w:w="3534"/>
      </w:tblGrid>
      <w:tr w14:paraId="0C21C01E">
        <w:tblPrEx>
          <w:tblBorders>
            <w:top w:val="single" w:color="DEE0E3" w:sz="2" w:space="0"/>
            <w:left w:val="single" w:color="DEE0E3" w:sz="2" w:space="0"/>
            <w:bottom w:val="single" w:color="DEE0E3" w:sz="2" w:space="0"/>
            <w:right w:val="single" w:color="DEE0E3" w:sz="2" w:space="0"/>
            <w:insideH w:val="single" w:color="DEE0E3" w:sz="2" w:space="0"/>
            <w:insideV w:val="single" w:color="DEE0E3" w:sz="2" w:space="0"/>
          </w:tblBorders>
          <w:tblCellMar>
            <w:top w:w="0" w:type="dxa"/>
            <w:left w:w="0" w:type="dxa"/>
            <w:bottom w:w="0" w:type="dxa"/>
            <w:right w:w="0" w:type="dxa"/>
          </w:tblCellMar>
        </w:tblPrEx>
        <w:trPr>
          <w:trHeight w:val="2208" w:hRule="atLeast"/>
        </w:trPr>
        <w:tc>
          <w:tcPr>
            <w:tcW w:w="1700" w:type="dxa"/>
            <w:vMerge w:val="restart"/>
            <w:tcBorders>
              <w:top w:val="single" w:color="auto" w:sz="4" w:space="0"/>
              <w:left w:val="single" w:color="auto" w:sz="4" w:space="0"/>
              <w:bottom w:val="single" w:color="auto" w:sz="4" w:space="0"/>
              <w:right w:val="single" w:color="auto" w:sz="4" w:space="0"/>
            </w:tcBorders>
            <w:vAlign w:val="center"/>
          </w:tcPr>
          <w:p w14:paraId="6430399F">
            <w:pPr>
              <w:pStyle w:val="202"/>
              <w:spacing w:before="204" w:line="236" w:lineRule="auto"/>
              <w:ind w:left="129" w:right="139" w:hanging="1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数据处理与安全保</w:t>
            </w:r>
            <w:r>
              <w:rPr>
                <w:rFonts w:hint="eastAsia" w:asciiTheme="minorEastAsia" w:hAnsiTheme="minorEastAsia" w:eastAsiaTheme="minorEastAsia" w:cstheme="minorEastAsia"/>
                <w:color w:val="auto"/>
                <w:spacing w:val="6"/>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障设备</w:t>
            </w:r>
          </w:p>
        </w:tc>
        <w:tc>
          <w:tcPr>
            <w:tcW w:w="2081" w:type="dxa"/>
            <w:tcBorders>
              <w:top w:val="single" w:color="auto" w:sz="4" w:space="0"/>
              <w:left w:val="single" w:color="auto" w:sz="4" w:space="0"/>
              <w:bottom w:val="single" w:color="auto" w:sz="4" w:space="0"/>
              <w:right w:val="single" w:color="auto" w:sz="4" w:space="0"/>
            </w:tcBorders>
            <w:vAlign w:val="center"/>
          </w:tcPr>
          <w:p w14:paraId="37FF13E5">
            <w:pPr>
              <w:pStyle w:val="202"/>
              <w:spacing w:before="204" w:line="237" w:lineRule="auto"/>
              <w:ind w:left="119" w:right="178" w:firstLine="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计算机与数据处理软</w:t>
            </w:r>
            <w:r>
              <w:rPr>
                <w:rFonts w:hint="eastAsia" w:asciiTheme="minorEastAsia" w:hAnsiTheme="minorEastAsia" w:eastAsiaTheme="minorEastAsia" w:cstheme="minorEastAsia"/>
                <w:color w:val="auto"/>
                <w:spacing w:val="4"/>
                <w:sz w:val="24"/>
                <w:szCs w:val="24"/>
                <w:highlight w:val="none"/>
              </w:rPr>
              <w:t xml:space="preserve"> </w:t>
            </w:r>
            <w:r>
              <w:rPr>
                <w:rFonts w:hint="eastAsia" w:asciiTheme="minorEastAsia" w:hAnsiTheme="minorEastAsia" w:eastAsiaTheme="minorEastAsia" w:cstheme="minorEastAsia"/>
                <w:color w:val="auto"/>
                <w:sz w:val="24"/>
                <w:szCs w:val="24"/>
                <w:highlight w:val="none"/>
              </w:rPr>
              <w:t>件</w:t>
            </w:r>
          </w:p>
        </w:tc>
        <w:tc>
          <w:tcPr>
            <w:tcW w:w="1950" w:type="dxa"/>
            <w:tcBorders>
              <w:top w:val="single" w:color="auto" w:sz="4" w:space="0"/>
              <w:left w:val="single" w:color="auto" w:sz="4" w:space="0"/>
              <w:bottom w:val="single" w:color="auto" w:sz="4" w:space="0"/>
              <w:right w:val="single" w:color="auto" w:sz="4" w:space="0"/>
            </w:tcBorders>
            <w:vAlign w:val="center"/>
          </w:tcPr>
          <w:p w14:paraId="35657CF4">
            <w:pPr>
              <w:pStyle w:val="202"/>
              <w:spacing w:before="207" w:line="234" w:lineRule="auto"/>
              <w:ind w:left="120" w:right="115" w:firstLine="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录入、处理和分析检</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测数据，生成检测报</w:t>
            </w:r>
            <w:r>
              <w:rPr>
                <w:rFonts w:hint="eastAsia" w:asciiTheme="minorEastAsia" w:hAnsiTheme="minorEastAsia" w:eastAsiaTheme="minorEastAsia" w:cstheme="minorEastAsia"/>
                <w:color w:val="auto"/>
                <w:sz w:val="24"/>
                <w:szCs w:val="24"/>
                <w:highlight w:val="none"/>
              </w:rPr>
              <w:t>告</w:t>
            </w:r>
          </w:p>
        </w:tc>
        <w:tc>
          <w:tcPr>
            <w:tcW w:w="3534" w:type="dxa"/>
            <w:tcBorders>
              <w:top w:val="single" w:color="auto" w:sz="4" w:space="0"/>
              <w:left w:val="single" w:color="auto" w:sz="4" w:space="0"/>
              <w:bottom w:val="single" w:color="auto" w:sz="4" w:space="0"/>
              <w:right w:val="single" w:color="auto" w:sz="4" w:space="0"/>
            </w:tcBorders>
            <w:vAlign w:val="center"/>
          </w:tcPr>
          <w:p w14:paraId="73C5744E">
            <w:pPr>
              <w:pStyle w:val="202"/>
              <w:spacing w:before="170" w:line="227" w:lineRule="auto"/>
              <w:ind w:left="120" w:right="120" w:firstLine="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计算机配置 i5 及以上处理</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z w:val="24"/>
                <w:szCs w:val="24"/>
                <w:highlight w:val="none"/>
              </w:rPr>
              <w:t>器，8GB 及以上内存，</w:t>
            </w:r>
            <w:r>
              <w:rPr>
                <w:rFonts w:hint="eastAsia" w:asciiTheme="minorEastAsia" w:hAnsiTheme="minorEastAsia" w:eastAsiaTheme="minorEastAsia" w:cstheme="minorEastAsia"/>
                <w:color w:val="auto"/>
                <w:spacing w:val="-1"/>
                <w:sz w:val="24"/>
                <w:szCs w:val="24"/>
                <w:highlight w:val="none"/>
              </w:rPr>
              <w:t>500GB 及以上硬盘。数</w:t>
            </w:r>
            <w:r>
              <w:rPr>
                <w:rFonts w:hint="eastAsia" w:asciiTheme="minorEastAsia" w:hAnsiTheme="minorEastAsia" w:eastAsiaTheme="minorEastAsia" w:cstheme="minorEastAsia"/>
                <w:color w:val="auto"/>
                <w:spacing w:val="4"/>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据处理软件具备数据录入、统计分析、报告生成</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等功能，可兼容多种检测</w:t>
            </w:r>
            <w:r>
              <w:rPr>
                <w:rFonts w:hint="eastAsia" w:asciiTheme="minorEastAsia" w:hAnsiTheme="minorEastAsia" w:eastAsiaTheme="minorEastAsia" w:cstheme="minorEastAsia"/>
                <w:color w:val="auto"/>
                <w:spacing w:val="9"/>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设备数据格式</w:t>
            </w:r>
          </w:p>
        </w:tc>
      </w:tr>
      <w:tr w14:paraId="21D39438">
        <w:tblPrEx>
          <w:tblBorders>
            <w:top w:val="single" w:color="DEE0E3" w:sz="2" w:space="0"/>
            <w:left w:val="single" w:color="DEE0E3" w:sz="2" w:space="0"/>
            <w:bottom w:val="single" w:color="DEE0E3" w:sz="2" w:space="0"/>
            <w:right w:val="single" w:color="DEE0E3" w:sz="2" w:space="0"/>
            <w:insideH w:val="single" w:color="DEE0E3" w:sz="2" w:space="0"/>
            <w:insideV w:val="single" w:color="DEE0E3" w:sz="2" w:space="0"/>
          </w:tblBorders>
          <w:tblCellMar>
            <w:top w:w="0" w:type="dxa"/>
            <w:left w:w="0" w:type="dxa"/>
            <w:bottom w:w="0" w:type="dxa"/>
            <w:right w:w="0" w:type="dxa"/>
          </w:tblCellMar>
        </w:tblPrEx>
        <w:trPr>
          <w:trHeight w:val="2475" w:hRule="atLeast"/>
        </w:trPr>
        <w:tc>
          <w:tcPr>
            <w:tcW w:w="1700" w:type="dxa"/>
            <w:vMerge w:val="continue"/>
            <w:tcBorders>
              <w:top w:val="single" w:color="auto" w:sz="4" w:space="0"/>
              <w:left w:val="single" w:color="auto" w:sz="4" w:space="0"/>
              <w:bottom w:val="single" w:color="auto" w:sz="4" w:space="0"/>
              <w:right w:val="single" w:color="auto" w:sz="4" w:space="0"/>
            </w:tcBorders>
            <w:vAlign w:val="center"/>
          </w:tcPr>
          <w:p w14:paraId="26CE2374">
            <w:pPr>
              <w:jc w:val="both"/>
              <w:rPr>
                <w:rFonts w:hint="eastAsia" w:asciiTheme="minorEastAsia" w:hAnsiTheme="minorEastAsia" w:eastAsiaTheme="minorEastAsia" w:cstheme="minorEastAsia"/>
                <w:color w:val="auto"/>
                <w:sz w:val="24"/>
                <w:szCs w:val="24"/>
                <w:highlight w:val="none"/>
              </w:rPr>
            </w:pPr>
          </w:p>
        </w:tc>
        <w:tc>
          <w:tcPr>
            <w:tcW w:w="2081" w:type="dxa"/>
            <w:tcBorders>
              <w:top w:val="single" w:color="auto" w:sz="4" w:space="0"/>
              <w:left w:val="single" w:color="auto" w:sz="4" w:space="0"/>
              <w:bottom w:val="single" w:color="auto" w:sz="4" w:space="0"/>
              <w:right w:val="single" w:color="auto" w:sz="4" w:space="0"/>
            </w:tcBorders>
            <w:vAlign w:val="center"/>
          </w:tcPr>
          <w:p w14:paraId="639B01D1">
            <w:pPr>
              <w:pStyle w:val="202"/>
              <w:spacing w:before="206" w:line="183" w:lineRule="auto"/>
              <w:ind w:left="11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打印机</w:t>
            </w:r>
          </w:p>
        </w:tc>
        <w:tc>
          <w:tcPr>
            <w:tcW w:w="1950" w:type="dxa"/>
            <w:tcBorders>
              <w:top w:val="single" w:color="auto" w:sz="4" w:space="0"/>
              <w:left w:val="single" w:color="auto" w:sz="4" w:space="0"/>
              <w:bottom w:val="single" w:color="auto" w:sz="4" w:space="0"/>
              <w:right w:val="single" w:color="auto" w:sz="4" w:space="0"/>
            </w:tcBorders>
            <w:vAlign w:val="center"/>
          </w:tcPr>
          <w:p w14:paraId="5EF345AD">
            <w:pPr>
              <w:pStyle w:val="202"/>
              <w:spacing w:before="206" w:line="238" w:lineRule="auto"/>
              <w:ind w:left="121" w:right="11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打印检测报告，便于存档和公示</w:t>
            </w:r>
          </w:p>
        </w:tc>
        <w:tc>
          <w:tcPr>
            <w:tcW w:w="3534" w:type="dxa"/>
            <w:tcBorders>
              <w:top w:val="single" w:color="auto" w:sz="4" w:space="0"/>
              <w:left w:val="single" w:color="auto" w:sz="4" w:space="0"/>
              <w:bottom w:val="single" w:color="auto" w:sz="4" w:space="0"/>
              <w:right w:val="single" w:color="auto" w:sz="4" w:space="0"/>
            </w:tcBorders>
            <w:vAlign w:val="center"/>
          </w:tcPr>
          <w:p w14:paraId="0DC3EE85">
            <w:pPr>
              <w:pStyle w:val="202"/>
              <w:spacing w:before="173" w:line="227" w:lineRule="auto"/>
              <w:ind w:left="120" w:right="172" w:firstLine="4"/>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热敏打印机打印速度 30 -</w:t>
            </w:r>
            <w:r>
              <w:rPr>
                <w:rFonts w:hint="eastAsia" w:asciiTheme="minorEastAsia" w:hAnsiTheme="minorEastAsia" w:eastAsiaTheme="minorEastAsia" w:cstheme="minorEastAsia"/>
                <w:color w:val="auto"/>
                <w:spacing w:val="3"/>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150mm/s，打印宽度 48 -</w:t>
            </w:r>
            <w:r>
              <w:rPr>
                <w:rFonts w:hint="eastAsia" w:asciiTheme="minorEastAsia" w:hAnsiTheme="minorEastAsia" w:eastAsiaTheme="minorEastAsia" w:cstheme="minorEastAsia"/>
                <w:color w:val="auto"/>
                <w:spacing w:val="10"/>
                <w:sz w:val="24"/>
                <w:szCs w:val="24"/>
                <w:highlight w:val="none"/>
              </w:rPr>
              <w:t xml:space="preserve"> </w:t>
            </w:r>
            <w:r>
              <w:rPr>
                <w:rFonts w:hint="eastAsia" w:asciiTheme="minorEastAsia" w:hAnsiTheme="minorEastAsia" w:eastAsiaTheme="minorEastAsia" w:cstheme="minorEastAsia"/>
                <w:color w:val="auto"/>
                <w:sz w:val="24"/>
                <w:szCs w:val="24"/>
                <w:highlight w:val="none"/>
              </w:rPr>
              <w:t>80mm。激光打印机打印</w:t>
            </w:r>
            <w:r>
              <w:rPr>
                <w:rFonts w:hint="eastAsia" w:asciiTheme="minorEastAsia" w:hAnsiTheme="minorEastAsia" w:eastAsiaTheme="minorEastAsia" w:cstheme="minorEastAsia"/>
                <w:color w:val="auto"/>
                <w:spacing w:val="-2"/>
                <w:sz w:val="24"/>
                <w:szCs w:val="24"/>
                <w:highlight w:val="none"/>
              </w:rPr>
              <w:t>速度10- 30页/分钟，</w:t>
            </w:r>
            <w:r>
              <w:rPr>
                <w:rFonts w:hint="eastAsia" w:asciiTheme="minorEastAsia" w:hAnsiTheme="minorEastAsia" w:eastAsiaTheme="minorEastAsia" w:cstheme="minorEastAsia"/>
                <w:color w:val="auto"/>
                <w:spacing w:val="-1"/>
                <w:sz w:val="24"/>
                <w:szCs w:val="24"/>
                <w:highlight w:val="none"/>
              </w:rPr>
              <w:t>分辨率600×600dpi 及以</w:t>
            </w:r>
            <w:r>
              <w:rPr>
                <w:rFonts w:hint="eastAsia" w:asciiTheme="minorEastAsia" w:hAnsiTheme="minorEastAsia" w:eastAsiaTheme="minorEastAsia" w:cstheme="minorEastAsia"/>
                <w:color w:val="auto"/>
                <w:sz w:val="24"/>
                <w:szCs w:val="24"/>
                <w:highlight w:val="none"/>
              </w:rPr>
              <w:t>上</w:t>
            </w:r>
          </w:p>
        </w:tc>
      </w:tr>
      <w:tr w14:paraId="09D15421">
        <w:tblPrEx>
          <w:tblBorders>
            <w:top w:val="single" w:color="DEE0E3" w:sz="2" w:space="0"/>
            <w:left w:val="single" w:color="DEE0E3" w:sz="2" w:space="0"/>
            <w:bottom w:val="single" w:color="DEE0E3" w:sz="2" w:space="0"/>
            <w:right w:val="single" w:color="DEE0E3" w:sz="2" w:space="0"/>
            <w:insideH w:val="single" w:color="DEE0E3" w:sz="2" w:space="0"/>
            <w:insideV w:val="single" w:color="DEE0E3" w:sz="2" w:space="0"/>
          </w:tblBorders>
          <w:tblCellMar>
            <w:top w:w="0" w:type="dxa"/>
            <w:left w:w="0" w:type="dxa"/>
            <w:bottom w:w="0" w:type="dxa"/>
            <w:right w:w="0" w:type="dxa"/>
          </w:tblCellMar>
        </w:tblPrEx>
        <w:trPr>
          <w:trHeight w:val="2359" w:hRule="atLeast"/>
        </w:trPr>
        <w:tc>
          <w:tcPr>
            <w:tcW w:w="1700" w:type="dxa"/>
            <w:vMerge w:val="continue"/>
            <w:tcBorders>
              <w:top w:val="single" w:color="auto" w:sz="4" w:space="0"/>
              <w:left w:val="single" w:color="auto" w:sz="4" w:space="0"/>
              <w:bottom w:val="single" w:color="auto" w:sz="4" w:space="0"/>
              <w:right w:val="single" w:color="auto" w:sz="4" w:space="0"/>
            </w:tcBorders>
            <w:vAlign w:val="center"/>
          </w:tcPr>
          <w:p w14:paraId="323E0F04">
            <w:pPr>
              <w:jc w:val="both"/>
              <w:rPr>
                <w:rFonts w:hint="eastAsia" w:asciiTheme="minorEastAsia" w:hAnsiTheme="minorEastAsia" w:eastAsiaTheme="minorEastAsia" w:cstheme="minorEastAsia"/>
                <w:color w:val="auto"/>
                <w:sz w:val="24"/>
                <w:szCs w:val="24"/>
                <w:highlight w:val="none"/>
              </w:rPr>
            </w:pPr>
          </w:p>
        </w:tc>
        <w:tc>
          <w:tcPr>
            <w:tcW w:w="2081" w:type="dxa"/>
            <w:tcBorders>
              <w:top w:val="single" w:color="auto" w:sz="4" w:space="0"/>
              <w:left w:val="single" w:color="auto" w:sz="4" w:space="0"/>
              <w:bottom w:val="single" w:color="auto" w:sz="4" w:space="0"/>
              <w:right w:val="single" w:color="auto" w:sz="4" w:space="0"/>
            </w:tcBorders>
            <w:vAlign w:val="center"/>
          </w:tcPr>
          <w:p w14:paraId="7B71DE99">
            <w:pPr>
              <w:pStyle w:val="202"/>
              <w:spacing w:before="166"/>
              <w:ind w:left="120" w:right="178" w:hanging="1"/>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个人防护装备（实验</w:t>
            </w:r>
            <w:r>
              <w:rPr>
                <w:rFonts w:hint="eastAsia" w:asciiTheme="minorEastAsia" w:hAnsiTheme="minorEastAsia" w:eastAsiaTheme="minorEastAsia" w:cstheme="minorEastAsia"/>
                <w:color w:val="auto"/>
                <w:spacing w:val="5"/>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服、手套、</w:t>
            </w:r>
            <w:r>
              <w:rPr>
                <w:rFonts w:hint="eastAsia" w:asciiTheme="minorEastAsia" w:hAnsiTheme="minorEastAsia" w:eastAsiaTheme="minorEastAsia" w:cstheme="minorEastAsia"/>
                <w:color w:val="auto"/>
                <w:spacing w:val="-43"/>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口罩、护</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目镜等）</w:t>
            </w:r>
          </w:p>
        </w:tc>
        <w:tc>
          <w:tcPr>
            <w:tcW w:w="1950" w:type="dxa"/>
            <w:tcBorders>
              <w:top w:val="single" w:color="auto" w:sz="4" w:space="0"/>
              <w:left w:val="single" w:color="auto" w:sz="4" w:space="0"/>
              <w:bottom w:val="single" w:color="auto" w:sz="4" w:space="0"/>
              <w:right w:val="single" w:color="auto" w:sz="4" w:space="0"/>
            </w:tcBorders>
            <w:vAlign w:val="center"/>
          </w:tcPr>
          <w:p w14:paraId="784EB3D4">
            <w:pPr>
              <w:pStyle w:val="202"/>
              <w:spacing w:before="206" w:line="184" w:lineRule="auto"/>
              <w:ind w:left="12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确保实验人员安全</w:t>
            </w:r>
          </w:p>
        </w:tc>
        <w:tc>
          <w:tcPr>
            <w:tcW w:w="3534" w:type="dxa"/>
            <w:tcBorders>
              <w:top w:val="single" w:color="auto" w:sz="4" w:space="0"/>
              <w:left w:val="single" w:color="auto" w:sz="4" w:space="0"/>
              <w:bottom w:val="single" w:color="auto" w:sz="4" w:space="0"/>
              <w:right w:val="single" w:color="auto" w:sz="4" w:space="0"/>
            </w:tcBorders>
            <w:vAlign w:val="center"/>
          </w:tcPr>
          <w:p w14:paraId="7A87FB2F">
            <w:pPr>
              <w:pStyle w:val="202"/>
              <w:spacing w:before="202" w:line="227" w:lineRule="auto"/>
              <w:ind w:left="120" w:right="159" w:firstLine="2"/>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实验服材质为棉质或无纺</w:t>
            </w:r>
            <w:r>
              <w:rPr>
                <w:rFonts w:hint="eastAsia" w:asciiTheme="minorEastAsia" w:hAnsiTheme="minorEastAsia" w:eastAsiaTheme="minorEastAsia" w:cstheme="minorEastAsia"/>
                <w:color w:val="auto"/>
                <w:sz w:val="24"/>
                <w:szCs w:val="24"/>
                <w:highlight w:val="none"/>
              </w:rPr>
              <w:t>布，尺寸齐全；手套有丁腈手套、乳胶手套等，厚</w:t>
            </w:r>
            <w:r>
              <w:rPr>
                <w:rFonts w:hint="eastAsia" w:asciiTheme="minorEastAsia" w:hAnsiTheme="minorEastAsia" w:eastAsiaTheme="minorEastAsia" w:cstheme="minorEastAsia"/>
                <w:color w:val="auto"/>
                <w:spacing w:val="-1"/>
                <w:sz w:val="24"/>
                <w:szCs w:val="24"/>
                <w:highlight w:val="none"/>
              </w:rPr>
              <w:t>度0.08-0.3mm；口罩为</w:t>
            </w:r>
            <w:r>
              <w:rPr>
                <w:rFonts w:hint="eastAsia" w:asciiTheme="minorEastAsia" w:hAnsiTheme="minorEastAsia" w:eastAsiaTheme="minorEastAsia" w:cstheme="minorEastAsia"/>
                <w:color w:val="auto"/>
                <w:spacing w:val="-3"/>
                <w:sz w:val="24"/>
                <w:szCs w:val="24"/>
                <w:highlight w:val="none"/>
              </w:rPr>
              <w:t>医用外科口罩或 N95口</w:t>
            </w:r>
            <w:r>
              <w:rPr>
                <w:rFonts w:hint="eastAsia" w:asciiTheme="minorEastAsia" w:hAnsiTheme="minorEastAsia" w:eastAsiaTheme="minorEastAsia" w:cstheme="minorEastAsia"/>
                <w:color w:val="auto"/>
                <w:spacing w:val="1"/>
                <w:sz w:val="24"/>
                <w:szCs w:val="24"/>
                <w:highlight w:val="none"/>
              </w:rPr>
              <w:t>罩；护目镜视野清晰，防</w:t>
            </w:r>
            <w:r>
              <w:rPr>
                <w:rFonts w:hint="eastAsia" w:asciiTheme="minorEastAsia" w:hAnsiTheme="minorEastAsia" w:eastAsiaTheme="minorEastAsia" w:cstheme="minorEastAsia"/>
                <w:color w:val="auto"/>
                <w:spacing w:val="-1"/>
                <w:sz w:val="24"/>
                <w:szCs w:val="24"/>
                <w:highlight w:val="none"/>
              </w:rPr>
              <w:t>冲击性能良好</w:t>
            </w:r>
          </w:p>
        </w:tc>
      </w:tr>
    </w:tbl>
    <w:p w14:paraId="170F2236">
      <w:pPr>
        <w:pStyle w:val="3"/>
        <w:numPr>
          <w:ilvl w:val="0"/>
          <w:numId w:val="0"/>
        </w:numPr>
        <w:bidi w:val="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三、商务要求</w:t>
      </w:r>
    </w:p>
    <w:p w14:paraId="09E7D4E0">
      <w:pPr>
        <w:pStyle w:val="4"/>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3.1、</w:t>
      </w:r>
      <w:r>
        <w:rPr>
          <w:rFonts w:hint="eastAsia" w:asciiTheme="minorEastAsia" w:hAnsiTheme="minorEastAsia" w:eastAsiaTheme="minorEastAsia" w:cstheme="minorEastAsia"/>
          <w:color w:val="auto"/>
          <w:sz w:val="24"/>
          <w:szCs w:val="24"/>
          <w:highlight w:val="none"/>
        </w:rPr>
        <w:t>合同履约期限</w:t>
      </w:r>
    </w:p>
    <w:p w14:paraId="03890084">
      <w:pPr>
        <w:pageBreakBefore w:val="0"/>
        <w:widowControl w:val="0"/>
        <w:kinsoku/>
        <w:wordWrap/>
        <w:overflowPunct w:val="0"/>
        <w:topLinePunct w:val="0"/>
        <w:autoSpaceDE w:val="0"/>
        <w:autoSpaceDN w:val="0"/>
        <w:bidi w:val="0"/>
        <w:adjustRightInd/>
        <w:snapToGrid/>
        <w:spacing w:line="500" w:lineRule="exact"/>
        <w:ind w:firstLine="480" w:firstLineChars="200"/>
        <w:textAlignment w:val="auto"/>
        <w:outlineLvl w:val="1"/>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bCs/>
          <w:color w:val="auto"/>
          <w:sz w:val="24"/>
          <w:highlight w:val="none"/>
          <w:lang w:val="zh-CN"/>
        </w:rPr>
        <w:t>自收到中标通知书</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val="zh-CN"/>
        </w:rPr>
        <w:t>天内完成供货；供货完成后2天内完成安装部署工作</w:t>
      </w:r>
      <w:r>
        <w:rPr>
          <w:rFonts w:hint="eastAsia" w:asciiTheme="minorEastAsia" w:hAnsiTheme="minorEastAsia" w:eastAsiaTheme="minorEastAsia" w:cstheme="minorEastAsia"/>
          <w:color w:val="auto"/>
          <w:sz w:val="24"/>
          <w:szCs w:val="24"/>
          <w:highlight w:val="none"/>
        </w:rPr>
        <w:t>。</w:t>
      </w:r>
    </w:p>
    <w:p w14:paraId="4FFACAD6">
      <w:pPr>
        <w:pStyle w:val="4"/>
        <w:bidi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3.2、</w:t>
      </w:r>
      <w:r>
        <w:rPr>
          <w:rFonts w:hint="eastAsia" w:asciiTheme="minorEastAsia" w:hAnsiTheme="minorEastAsia" w:eastAsiaTheme="minorEastAsia" w:cstheme="minorEastAsia"/>
          <w:color w:val="auto"/>
          <w:sz w:val="24"/>
          <w:szCs w:val="24"/>
          <w:highlight w:val="none"/>
        </w:rPr>
        <w:t>交货地点</w:t>
      </w:r>
    </w:p>
    <w:p w14:paraId="37EB6A04">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招标</w:t>
      </w:r>
      <w:r>
        <w:rPr>
          <w:rFonts w:hint="eastAsia" w:asciiTheme="minorEastAsia" w:hAnsiTheme="minorEastAsia" w:eastAsiaTheme="minorEastAsia" w:cstheme="minorEastAsia"/>
          <w:color w:val="auto"/>
          <w:sz w:val="24"/>
          <w:szCs w:val="24"/>
          <w:highlight w:val="none"/>
        </w:rPr>
        <w:t>人指定地点。</w:t>
      </w:r>
    </w:p>
    <w:p w14:paraId="6F21649F">
      <w:pPr>
        <w:pStyle w:val="4"/>
        <w:bidi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3.3、售后服务要求</w:t>
      </w:r>
    </w:p>
    <w:p w14:paraId="1D47BF0F">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 xml:space="preserve">3.3.1.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乙方进行相应的技术培训，培训地点主要在货物安装现场或由甲方安排。 </w:t>
      </w:r>
    </w:p>
    <w:p w14:paraId="6463C03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3.3.2.质量保证期为：</w:t>
      </w:r>
      <w:r>
        <w:rPr>
          <w:rFonts w:hint="eastAsia" w:asciiTheme="minorEastAsia" w:hAnsiTheme="minorEastAsia" w:eastAsiaTheme="minorEastAsia" w:cstheme="minorEastAsia"/>
          <w:color w:val="auto"/>
          <w:sz w:val="24"/>
          <w:szCs w:val="24"/>
          <w:highlight w:val="none"/>
        </w:rPr>
        <w:t>质保期</w:t>
      </w:r>
      <w:r>
        <w:rPr>
          <w:rFonts w:hint="eastAsia" w:asciiTheme="minorEastAsia" w:hAnsiTheme="minorEastAsia" w:eastAsiaTheme="minorEastAsia" w:cstheme="minorEastAsia"/>
          <w:b w:val="0"/>
          <w:bCs w:val="0"/>
          <w:color w:val="auto"/>
          <w:sz w:val="24"/>
          <w:szCs w:val="24"/>
          <w:highlight w:val="none"/>
          <w:lang w:val="en-US" w:eastAsia="zh-CN"/>
        </w:rPr>
        <w:t>4年，易损件包括在质保范围。</w:t>
      </w:r>
    </w:p>
    <w:p w14:paraId="0CD3DD59">
      <w:pPr>
        <w:pStyle w:val="67"/>
        <w:keepNext w:val="0"/>
        <w:keepLines w:val="0"/>
        <w:pageBreakBefore w:val="0"/>
        <w:widowControl w:val="0"/>
        <w:numPr>
          <w:ilvl w:val="0"/>
          <w:numId w:val="0"/>
        </w:numPr>
        <w:tabs>
          <w:tab w:val="left" w:pos="426"/>
        </w:tabs>
        <w:kinsoku/>
        <w:wordWrap/>
        <w:overflowPunct/>
        <w:topLinePunct w:val="0"/>
        <w:autoSpaceDE/>
        <w:autoSpaceDN/>
        <w:bidi w:val="0"/>
        <w:adjustRightInd/>
        <w:snapToGrid/>
        <w:spacing w:line="40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3.3.3.质量保证期内，乙方负责对其提供的货物整机进行维修和系统维护，不再收取任何费用， 但不可抗力（如火灾、雷击及人为因素等）造成的故障除外。</w:t>
      </w:r>
      <w:r>
        <w:rPr>
          <w:rFonts w:hint="eastAsia" w:asciiTheme="minorEastAsia" w:hAnsiTheme="minorEastAsia" w:eastAsiaTheme="minorEastAsia" w:cstheme="minorEastAsia"/>
          <w:color w:val="auto"/>
          <w:sz w:val="24"/>
          <w:szCs w:val="24"/>
          <w:highlight w:val="none"/>
        </w:rPr>
        <w:t>质保期后只收取材料成本费，软件终身免费升级维修</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bidi="ar"/>
        </w:rPr>
        <w:t>提供定期维修保养服务</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kern w:val="0"/>
          <w:sz w:val="24"/>
          <w:szCs w:val="24"/>
          <w:highlight w:val="none"/>
          <w:lang w:val="en-US" w:eastAsia="zh-CN" w:bidi="ar"/>
        </w:rPr>
        <w:t xml:space="preserve"> </w:t>
      </w:r>
    </w:p>
    <w:p w14:paraId="38F5468B">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 xml:space="preserve">3.4.7.保修期后的货物维护由双方协商再定。 </w:t>
      </w:r>
    </w:p>
    <w:p w14:paraId="4C816A14">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3.4.9</w:t>
      </w:r>
      <w:r>
        <w:rPr>
          <w:rFonts w:hint="eastAsia" w:asciiTheme="minorEastAsia" w:hAnsiTheme="minorEastAsia" w:eastAsiaTheme="minorEastAsia" w:cstheme="minorEastAsia"/>
          <w:color w:val="auto"/>
          <w:sz w:val="24"/>
          <w:szCs w:val="24"/>
          <w:highlight w:val="none"/>
        </w:rPr>
        <w:t>、技术文件：提供全套的</w:t>
      </w:r>
      <w:r>
        <w:rPr>
          <w:rFonts w:hint="eastAsia" w:asciiTheme="minorEastAsia" w:hAnsiTheme="minorEastAsia" w:eastAsiaTheme="minorEastAsia" w:cstheme="minorEastAsia"/>
          <w:color w:val="auto"/>
          <w:sz w:val="24"/>
          <w:szCs w:val="24"/>
          <w:highlight w:val="none"/>
          <w:lang w:val="en-US" w:eastAsia="zh-CN"/>
        </w:rPr>
        <w:t>说明书/</w:t>
      </w:r>
      <w:r>
        <w:rPr>
          <w:rFonts w:hint="eastAsia" w:asciiTheme="minorEastAsia" w:hAnsiTheme="minorEastAsia" w:eastAsiaTheme="minorEastAsia" w:cstheme="minorEastAsia"/>
          <w:color w:val="auto"/>
          <w:sz w:val="24"/>
          <w:szCs w:val="24"/>
          <w:highlight w:val="none"/>
        </w:rPr>
        <w:t>操作手册及维修手册、光盘等，如有密码，则密码开放。</w:t>
      </w:r>
    </w:p>
    <w:p w14:paraId="1495DB4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3.4.10.</w:t>
      </w:r>
      <w:r>
        <w:rPr>
          <w:rFonts w:hint="eastAsia" w:asciiTheme="minorEastAsia" w:hAnsiTheme="minorEastAsia" w:eastAsiaTheme="minorEastAsia" w:cstheme="minorEastAsia"/>
          <w:color w:val="auto"/>
          <w:sz w:val="24"/>
          <w:szCs w:val="24"/>
          <w:highlight w:val="none"/>
        </w:rPr>
        <w:t>如有密码，</w:t>
      </w:r>
      <w:r>
        <w:rPr>
          <w:rFonts w:hint="eastAsia" w:asciiTheme="minorEastAsia" w:hAnsiTheme="minorEastAsia" w:eastAsiaTheme="minorEastAsia" w:cstheme="minorEastAsia"/>
          <w:color w:val="auto"/>
          <w:kern w:val="0"/>
          <w:sz w:val="24"/>
          <w:szCs w:val="24"/>
          <w:highlight w:val="none"/>
          <w:lang w:val="en-US" w:eastAsia="zh-CN" w:bidi="ar"/>
        </w:rPr>
        <w:t>免费</w:t>
      </w:r>
      <w:r>
        <w:rPr>
          <w:rFonts w:hint="eastAsia" w:asciiTheme="minorEastAsia" w:hAnsiTheme="minorEastAsia" w:eastAsiaTheme="minorEastAsia" w:cstheme="minorEastAsia"/>
          <w:color w:val="auto"/>
          <w:kern w:val="0"/>
          <w:sz w:val="24"/>
          <w:szCs w:val="24"/>
          <w:highlight w:val="none"/>
          <w:lang w:bidi="ar"/>
        </w:rPr>
        <w:t>提供</w:t>
      </w:r>
      <w:r>
        <w:rPr>
          <w:rFonts w:hint="eastAsia" w:asciiTheme="minorEastAsia" w:hAnsiTheme="minorEastAsia" w:eastAsiaTheme="minorEastAsia" w:cstheme="minorEastAsia"/>
          <w:color w:val="auto"/>
          <w:sz w:val="24"/>
          <w:szCs w:val="24"/>
          <w:highlight w:val="none"/>
        </w:rPr>
        <w:t>。</w:t>
      </w:r>
    </w:p>
    <w:p w14:paraId="405E627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3.4.11.</w:t>
      </w:r>
      <w:r>
        <w:rPr>
          <w:rFonts w:hint="eastAsia" w:asciiTheme="minorEastAsia" w:hAnsiTheme="minorEastAsia" w:eastAsiaTheme="minorEastAsia" w:cstheme="minorEastAsia"/>
          <w:color w:val="auto"/>
          <w:kern w:val="0"/>
          <w:sz w:val="24"/>
          <w:szCs w:val="24"/>
          <w:highlight w:val="none"/>
          <w:lang w:bidi="ar"/>
        </w:rPr>
        <w:t>维修工具</w:t>
      </w:r>
      <w:r>
        <w:rPr>
          <w:rFonts w:hint="eastAsia" w:asciiTheme="minorEastAsia" w:hAnsiTheme="minorEastAsia" w:eastAsiaTheme="minorEastAsia" w:cstheme="minorEastAsia"/>
          <w:color w:val="auto"/>
          <w:kern w:val="0"/>
          <w:sz w:val="24"/>
          <w:szCs w:val="24"/>
          <w:highlight w:val="none"/>
          <w:lang w:val="en-US" w:eastAsia="zh-CN" w:bidi="ar"/>
        </w:rPr>
        <w:t>:</w:t>
      </w:r>
      <w:r>
        <w:rPr>
          <w:rFonts w:hint="eastAsia" w:asciiTheme="minorEastAsia" w:hAnsiTheme="minorEastAsia" w:eastAsiaTheme="minorEastAsia" w:cstheme="minorEastAsia"/>
          <w:color w:val="auto"/>
          <w:kern w:val="0"/>
          <w:sz w:val="24"/>
          <w:szCs w:val="24"/>
          <w:highlight w:val="none"/>
          <w:lang w:bidi="ar"/>
        </w:rPr>
        <w:t>如需特殊工具，提供专业工具一套</w:t>
      </w:r>
      <w:r>
        <w:rPr>
          <w:rFonts w:hint="eastAsia" w:asciiTheme="minorEastAsia" w:hAnsiTheme="minorEastAsia" w:eastAsiaTheme="minorEastAsia" w:cstheme="minorEastAsia"/>
          <w:color w:val="auto"/>
          <w:kern w:val="0"/>
          <w:sz w:val="24"/>
          <w:szCs w:val="24"/>
          <w:highlight w:val="none"/>
          <w:lang w:val="en-US" w:eastAsia="zh-CN" w:bidi="ar"/>
        </w:rPr>
        <w:t>.</w:t>
      </w:r>
    </w:p>
    <w:p w14:paraId="398FA830">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3.4.12.维修支持：维修配件供应时间≥8年</w:t>
      </w:r>
    </w:p>
    <w:p w14:paraId="68AEC9CA">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3.4.14.预防性维护：质保期内提供定期维修保养服务</w:t>
      </w:r>
    </w:p>
    <w:p w14:paraId="0771458C">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3.4.15.提供系统终生免费软件升级服务</w:t>
      </w:r>
    </w:p>
    <w:p w14:paraId="47412A3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82" w:firstLineChars="200"/>
        <w:textAlignment w:val="auto"/>
        <w:outlineLvl w:val="9"/>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3.5验收：</w:t>
      </w:r>
    </w:p>
    <w:p w14:paraId="030F96E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3.5.1本项目最终验收（项目安装调试完成并稳定运行）期限：</w:t>
      </w:r>
      <w:r>
        <w:rPr>
          <w:rFonts w:hint="eastAsia" w:asciiTheme="minorEastAsia" w:hAnsiTheme="minorEastAsia" w:eastAsiaTheme="minorEastAsia" w:cstheme="minorEastAsia"/>
          <w:color w:val="auto"/>
          <w:sz w:val="24"/>
          <w:szCs w:val="24"/>
          <w:highlight w:val="none"/>
        </w:rPr>
        <w:t>合同签订后</w:t>
      </w:r>
      <w:r>
        <w:rPr>
          <w:rFonts w:hint="eastAsia" w:asciiTheme="minorEastAsia" w:hAnsiTheme="minorEastAsia" w:eastAsiaTheme="minorEastAsia" w:cstheme="minorEastAsia"/>
          <w:color w:val="auto"/>
          <w:sz w:val="24"/>
          <w:szCs w:val="24"/>
          <w:highlight w:val="none"/>
          <w:lang w:val="en-US" w:eastAsia="zh-CN"/>
        </w:rPr>
        <w:t>10日历日</w:t>
      </w:r>
      <w:r>
        <w:rPr>
          <w:rFonts w:hint="eastAsia" w:asciiTheme="minorEastAsia" w:hAnsiTheme="minorEastAsia" w:eastAsiaTheme="minorEastAsia" w:cstheme="minorEastAsia"/>
          <w:color w:val="auto"/>
          <w:sz w:val="24"/>
          <w:szCs w:val="24"/>
          <w:highlight w:val="none"/>
        </w:rPr>
        <w:t>完成</w:t>
      </w:r>
      <w:r>
        <w:rPr>
          <w:rFonts w:hint="eastAsia" w:asciiTheme="minorEastAsia" w:hAnsiTheme="minorEastAsia" w:eastAsiaTheme="minorEastAsia" w:cstheme="minorEastAsia"/>
          <w:color w:val="auto"/>
          <w:sz w:val="24"/>
          <w:szCs w:val="24"/>
          <w:highlight w:val="none"/>
          <w:lang w:val="en-US" w:eastAsia="zh-CN"/>
        </w:rPr>
        <w:t>供货、安装、调试、培训、验收</w:t>
      </w:r>
      <w:r>
        <w:rPr>
          <w:rFonts w:hint="eastAsia" w:asciiTheme="minorEastAsia" w:hAnsiTheme="minorEastAsia" w:eastAsiaTheme="minorEastAsia" w:cstheme="minorEastAsia"/>
          <w:color w:val="auto"/>
          <w:sz w:val="24"/>
          <w:szCs w:val="24"/>
          <w:highlight w:val="none"/>
        </w:rPr>
        <w:t>等工作</w:t>
      </w:r>
      <w:r>
        <w:rPr>
          <w:rFonts w:hint="eastAsia" w:asciiTheme="minorEastAsia" w:hAnsiTheme="minorEastAsia" w:eastAsiaTheme="minorEastAsia" w:cstheme="minorEastAsia"/>
          <w:color w:val="auto"/>
          <w:kern w:val="0"/>
          <w:sz w:val="24"/>
          <w:szCs w:val="24"/>
          <w:highlight w:val="none"/>
          <w:lang w:val="en-US" w:eastAsia="zh-CN" w:bidi="ar"/>
        </w:rPr>
        <w:t xml:space="preserve">。 </w:t>
      </w:r>
    </w:p>
    <w:p w14:paraId="2AE74442">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 xml:space="preserve">3.5.2.货物和系统调试验收的标准：按行业通行标准、厂方出厂标准和乙方投标文件的承诺。 </w:t>
      </w:r>
    </w:p>
    <w:p w14:paraId="7D69B5F1">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 xml:space="preserve">3.5.3.如根据项目实施情况需要分阶段验收，则双方分阶段签署《验收报告》。 </w:t>
      </w:r>
    </w:p>
    <w:p w14:paraId="2FD35440">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3.5.4.如果合同双方对《验收报告》有分歧，双方须于出现分歧后</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7 </w:t>
      </w:r>
      <w:r>
        <w:rPr>
          <w:rFonts w:hint="eastAsia" w:asciiTheme="minorEastAsia" w:hAnsiTheme="minorEastAsia" w:eastAsiaTheme="minorEastAsia" w:cstheme="minorEastAsia"/>
          <w:color w:val="auto"/>
          <w:kern w:val="0"/>
          <w:sz w:val="24"/>
          <w:szCs w:val="24"/>
          <w:highlight w:val="none"/>
          <w:lang w:val="en-US" w:eastAsia="zh-CN" w:bidi="ar"/>
        </w:rPr>
        <w:t>天内给对方书面声明，以陈述己方的理由及要求，并附有关证据。分歧应通过协商解决。</w:t>
      </w:r>
    </w:p>
    <w:p w14:paraId="62BD3CDC">
      <w:pPr>
        <w:keepNext w:val="0"/>
        <w:keepLines w:val="0"/>
        <w:pageBreakBefore w:val="0"/>
        <w:widowControl w:val="0"/>
        <w:kinsoku/>
        <w:wordWrap/>
        <w:overflowPunct/>
        <w:topLinePunct w:val="0"/>
        <w:autoSpaceDE/>
        <w:autoSpaceDN/>
        <w:bidi w:val="0"/>
        <w:adjustRightInd/>
        <w:snapToGrid/>
        <w:spacing w:line="400" w:lineRule="exact"/>
        <w:ind w:left="0" w:leftChars="0" w:firstLine="482"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注1：投标人在响应采购需求时，应提供产品技术支持资料。技术支持资料形式：以制造商公开发布的印刷资料（彩页说明、或加盖公章的技术白皮书）或检测机构出具的检测报告或产品注册证内容为准。若制造商公开发布的印刷资料与检测机构出具的检测报告不一致，以检测机构出具的检测报告为准。如投标人未就“技术参数”进行响应或未提供的所投产品的技术支持资料或提供的技术支持资料与所投产品不一致或不能体现招标文件的技术要求的，评标委员会将不予承认。由此产生的评标风险，由投标人自行承担。</w:t>
      </w:r>
    </w:p>
    <w:p w14:paraId="6F6FE919">
      <w:pPr>
        <w:pStyle w:val="18"/>
        <w:widowControl w:val="0"/>
        <w:numPr>
          <w:ilvl w:val="0"/>
          <w:numId w:val="0"/>
        </w:numPr>
        <w:snapToGrid w:val="0"/>
        <w:spacing w:line="360" w:lineRule="auto"/>
        <w:jc w:val="center"/>
        <w:rPr>
          <w:rFonts w:hint="eastAsia" w:asciiTheme="minorEastAsia" w:hAnsiTheme="minorEastAsia" w:eastAsiaTheme="minorEastAsia" w:cstheme="minorEastAsia"/>
          <w:b/>
          <w:color w:val="auto"/>
          <w:sz w:val="24"/>
          <w:szCs w:val="24"/>
          <w:highlight w:val="none"/>
          <w:lang w:val="en-US" w:eastAsia="zh-CN"/>
        </w:rPr>
        <w:sectPr>
          <w:pgSz w:w="11907" w:h="16840"/>
          <w:pgMar w:top="1440" w:right="1803" w:bottom="1440" w:left="1803" w:header="851" w:footer="680" w:gutter="0"/>
          <w:cols w:space="0" w:num="1"/>
          <w:rtlGutter w:val="0"/>
          <w:docGrid w:type="lines" w:linePitch="286" w:charSpace="0"/>
        </w:sectPr>
      </w:pPr>
    </w:p>
    <w:p w14:paraId="1222029A">
      <w:pPr>
        <w:spacing w:line="440" w:lineRule="exact"/>
        <w:jc w:val="center"/>
        <w:outlineLvl w:val="0"/>
        <w:rPr>
          <w:rFonts w:ascii="宋体" w:hAnsi="宋体" w:cs="宋体"/>
          <w:b/>
          <w:color w:val="auto"/>
          <w:sz w:val="36"/>
          <w:szCs w:val="32"/>
          <w:highlight w:val="none"/>
        </w:rPr>
      </w:pPr>
      <w:r>
        <w:rPr>
          <w:rFonts w:hint="eastAsia" w:ascii="宋体" w:hAnsi="宋体" w:cs="宋体"/>
          <w:b/>
          <w:color w:val="auto"/>
          <w:sz w:val="36"/>
          <w:szCs w:val="32"/>
          <w:highlight w:val="none"/>
        </w:rPr>
        <w:t>第七章 投标文件格式</w:t>
      </w:r>
      <w:bookmarkEnd w:id="313"/>
    </w:p>
    <w:p w14:paraId="327B3EA1">
      <w:pPr>
        <w:pStyle w:val="12"/>
        <w:rPr>
          <w:color w:val="auto"/>
          <w:highlight w:val="none"/>
        </w:rPr>
      </w:pPr>
    </w:p>
    <w:p w14:paraId="3EA8F389">
      <w:pPr>
        <w:pStyle w:val="12"/>
        <w:spacing w:line="500" w:lineRule="exact"/>
        <w:jc w:val="center"/>
        <w:rPr>
          <w:rFonts w:ascii="宋体" w:hAnsi="宋体" w:eastAsia="宋体" w:cs="宋体"/>
          <w:b/>
          <w:color w:val="auto"/>
          <w:sz w:val="24"/>
          <w:szCs w:val="24"/>
          <w:highlight w:val="none"/>
        </w:rPr>
      </w:pPr>
      <w:bookmarkStart w:id="314" w:name="_Toc8072"/>
      <w:bookmarkStart w:id="315" w:name="_Toc11410"/>
      <w:bookmarkStart w:id="316" w:name="_Toc15957"/>
      <w:bookmarkStart w:id="317" w:name="_Toc11116"/>
      <w:r>
        <w:rPr>
          <w:rFonts w:hint="eastAsia" w:ascii="宋体" w:hAnsi="宋体" w:eastAsia="宋体" w:cs="宋体"/>
          <w:b/>
          <w:color w:val="auto"/>
          <w:sz w:val="24"/>
          <w:szCs w:val="24"/>
          <w:highlight w:val="none"/>
        </w:rPr>
        <w:t>投标人编制文件须知</w:t>
      </w:r>
    </w:p>
    <w:p w14:paraId="5904992C">
      <w:pPr>
        <w:pStyle w:val="12"/>
        <w:spacing w:line="500" w:lineRule="exact"/>
        <w:ind w:firstLine="480" w:firstLineChars="200"/>
        <w:rPr>
          <w:rFonts w:ascii="宋体" w:hAnsi="宋体" w:eastAsia="宋体" w:cs="仿宋"/>
          <w:color w:val="auto"/>
          <w:spacing w:val="0"/>
          <w:sz w:val="24"/>
          <w:szCs w:val="24"/>
          <w:highlight w:val="none"/>
        </w:rPr>
      </w:pPr>
      <w:r>
        <w:rPr>
          <w:rFonts w:ascii="宋体" w:hAnsi="宋体" w:eastAsia="宋体" w:cs="仿宋"/>
          <w:color w:val="auto"/>
          <w:spacing w:val="0"/>
          <w:sz w:val="24"/>
          <w:szCs w:val="24"/>
          <w:highlight w:val="none"/>
        </w:rPr>
        <w:t>1</w:t>
      </w:r>
      <w:r>
        <w:rPr>
          <w:rFonts w:hint="eastAsia" w:ascii="宋体" w:hAnsi="宋体" w:eastAsia="宋体" w:cs="仿宋"/>
          <w:color w:val="auto"/>
          <w:spacing w:val="0"/>
          <w:sz w:val="24"/>
          <w:szCs w:val="24"/>
          <w:highlight w:val="none"/>
        </w:rPr>
        <w:t>.投标人按照本部分的顺序编制投标文件（资格证明文件）、投标文件（商务技术文件），编制中涉及格式资料的，应按照本部分提供的内容和格式（所有表格的格式可扩展）填写提交。</w:t>
      </w:r>
    </w:p>
    <w:p w14:paraId="3E6C5B76">
      <w:pPr>
        <w:pStyle w:val="12"/>
        <w:spacing w:line="500" w:lineRule="exact"/>
        <w:ind w:firstLine="480" w:firstLineChars="200"/>
        <w:rPr>
          <w:rFonts w:ascii="宋体" w:hAnsi="宋体" w:eastAsia="宋体" w:cs="仿宋"/>
          <w:color w:val="auto"/>
          <w:spacing w:val="0"/>
          <w:sz w:val="24"/>
          <w:szCs w:val="24"/>
          <w:highlight w:val="none"/>
        </w:rPr>
      </w:pPr>
      <w:r>
        <w:rPr>
          <w:rFonts w:ascii="宋体" w:hAnsi="宋体" w:eastAsia="宋体" w:cs="仿宋"/>
          <w:color w:val="auto"/>
          <w:spacing w:val="0"/>
          <w:sz w:val="24"/>
          <w:szCs w:val="24"/>
          <w:highlight w:val="none"/>
        </w:rPr>
        <w:t>2</w:t>
      </w:r>
      <w:r>
        <w:rPr>
          <w:rFonts w:hint="eastAsia" w:ascii="宋体" w:hAnsi="宋体" w:eastAsia="宋体" w:cs="仿宋"/>
          <w:color w:val="auto"/>
          <w:spacing w:val="0"/>
          <w:sz w:val="24"/>
          <w:szCs w:val="24"/>
          <w:highlight w:val="none"/>
        </w:rPr>
        <w:t>.对于招标文件中标记了“实质性格式”文件的，投标人不得改变格式中给定的文字所表达的含义，不得删减格式中的实质性内容，不得自行添加与格式中给定的文字内容相矛盾的内容，不得对应当填写的空格不填写或不实质性响应，否则</w:t>
      </w:r>
      <w:r>
        <w:rPr>
          <w:rFonts w:hint="eastAsia" w:ascii="宋体" w:hAnsi="宋体" w:eastAsia="宋体" w:cs="宋体"/>
          <w:b/>
          <w:color w:val="auto"/>
          <w:sz w:val="24"/>
          <w:szCs w:val="24"/>
          <w:highlight w:val="none"/>
        </w:rPr>
        <w:t>投标无效</w:t>
      </w:r>
      <w:r>
        <w:rPr>
          <w:rFonts w:hint="eastAsia" w:ascii="宋体" w:hAnsi="宋体" w:eastAsia="宋体" w:cs="宋体"/>
          <w:color w:val="auto"/>
          <w:sz w:val="24"/>
          <w:szCs w:val="24"/>
          <w:highlight w:val="none"/>
        </w:rPr>
        <w:t>。</w:t>
      </w:r>
      <w:r>
        <w:rPr>
          <w:rFonts w:hint="eastAsia" w:ascii="宋体" w:hAnsi="宋体" w:eastAsia="宋体" w:cs="仿宋"/>
          <w:color w:val="auto"/>
          <w:spacing w:val="0"/>
          <w:sz w:val="24"/>
          <w:szCs w:val="24"/>
          <w:highlight w:val="none"/>
        </w:rPr>
        <w:t>未标记“实质性格式”的文件和招标文件未提供格式的内容，可由投标人自行编写。</w:t>
      </w:r>
    </w:p>
    <w:p w14:paraId="2ADBD3C3">
      <w:pPr>
        <w:pStyle w:val="12"/>
        <w:spacing w:line="500" w:lineRule="exact"/>
        <w:ind w:firstLine="480" w:firstLineChars="200"/>
        <w:rPr>
          <w:rFonts w:ascii="宋体" w:hAnsi="宋体" w:eastAsia="宋体" w:cs="仿宋"/>
          <w:color w:val="auto"/>
          <w:spacing w:val="0"/>
          <w:sz w:val="24"/>
          <w:szCs w:val="24"/>
          <w:highlight w:val="none"/>
        </w:rPr>
      </w:pPr>
      <w:r>
        <w:rPr>
          <w:rFonts w:ascii="宋体" w:hAnsi="宋体" w:eastAsia="宋体" w:cs="仿宋"/>
          <w:color w:val="auto"/>
          <w:spacing w:val="0"/>
          <w:sz w:val="24"/>
          <w:szCs w:val="24"/>
          <w:highlight w:val="none"/>
        </w:rPr>
        <w:t>3</w:t>
      </w:r>
      <w:r>
        <w:rPr>
          <w:rFonts w:hint="eastAsia" w:ascii="宋体" w:hAnsi="宋体" w:eastAsia="宋体" w:cs="仿宋"/>
          <w:color w:val="auto"/>
          <w:spacing w:val="0"/>
          <w:sz w:val="24"/>
          <w:szCs w:val="24"/>
          <w:highlight w:val="none"/>
        </w:rPr>
        <w:t>.全部声明和问题的回答及所附材料必须是真实的、准确的和完整的。</w:t>
      </w:r>
    </w:p>
    <w:p w14:paraId="49A273D5">
      <w:pPr>
        <w:pStyle w:val="12"/>
        <w:rPr>
          <w:color w:val="auto"/>
          <w:highlight w:val="none"/>
        </w:rPr>
      </w:pPr>
    </w:p>
    <w:p w14:paraId="235DB54F">
      <w:pPr>
        <w:pStyle w:val="12"/>
        <w:rPr>
          <w:color w:val="auto"/>
          <w:highlight w:val="none"/>
        </w:rPr>
      </w:pPr>
    </w:p>
    <w:p w14:paraId="21CE34DC">
      <w:pPr>
        <w:pStyle w:val="12"/>
        <w:rPr>
          <w:color w:val="auto"/>
          <w:highlight w:val="none"/>
        </w:rPr>
      </w:pPr>
    </w:p>
    <w:p w14:paraId="013C8C51">
      <w:pPr>
        <w:pStyle w:val="12"/>
        <w:rPr>
          <w:color w:val="auto"/>
          <w:highlight w:val="none"/>
        </w:rPr>
      </w:pPr>
    </w:p>
    <w:p w14:paraId="5C7A99E2">
      <w:pPr>
        <w:pStyle w:val="12"/>
        <w:rPr>
          <w:color w:val="auto"/>
          <w:highlight w:val="none"/>
        </w:rPr>
      </w:pPr>
    </w:p>
    <w:p w14:paraId="7EE0C59C">
      <w:pPr>
        <w:pStyle w:val="12"/>
        <w:rPr>
          <w:color w:val="auto"/>
          <w:highlight w:val="none"/>
        </w:rPr>
      </w:pPr>
    </w:p>
    <w:p w14:paraId="19BB38A3">
      <w:pPr>
        <w:pStyle w:val="12"/>
        <w:rPr>
          <w:color w:val="auto"/>
          <w:highlight w:val="none"/>
        </w:rPr>
      </w:pPr>
    </w:p>
    <w:p w14:paraId="541A6772">
      <w:pPr>
        <w:pStyle w:val="12"/>
        <w:rPr>
          <w:color w:val="auto"/>
          <w:highlight w:val="none"/>
        </w:rPr>
      </w:pPr>
    </w:p>
    <w:p w14:paraId="0750C96A">
      <w:pPr>
        <w:pStyle w:val="12"/>
        <w:rPr>
          <w:color w:val="auto"/>
          <w:highlight w:val="none"/>
        </w:rPr>
      </w:pPr>
    </w:p>
    <w:p w14:paraId="52E36D82">
      <w:pPr>
        <w:pStyle w:val="12"/>
        <w:rPr>
          <w:color w:val="auto"/>
          <w:highlight w:val="none"/>
        </w:rPr>
      </w:pPr>
    </w:p>
    <w:p w14:paraId="1BDC894A">
      <w:pPr>
        <w:pStyle w:val="12"/>
        <w:rPr>
          <w:color w:val="auto"/>
          <w:highlight w:val="none"/>
        </w:rPr>
      </w:pPr>
    </w:p>
    <w:p w14:paraId="261694CA">
      <w:pPr>
        <w:pStyle w:val="12"/>
        <w:rPr>
          <w:color w:val="auto"/>
          <w:highlight w:val="none"/>
        </w:rPr>
      </w:pPr>
    </w:p>
    <w:p w14:paraId="51966DE1">
      <w:pPr>
        <w:pStyle w:val="12"/>
        <w:rPr>
          <w:color w:val="auto"/>
          <w:highlight w:val="none"/>
        </w:rPr>
      </w:pPr>
    </w:p>
    <w:p w14:paraId="395BDB6B">
      <w:pPr>
        <w:pStyle w:val="12"/>
        <w:rPr>
          <w:color w:val="auto"/>
          <w:highlight w:val="none"/>
        </w:rPr>
      </w:pPr>
    </w:p>
    <w:p w14:paraId="7FDBF439">
      <w:pPr>
        <w:tabs>
          <w:tab w:val="left" w:pos="2999"/>
        </w:tabs>
        <w:spacing w:line="500" w:lineRule="exact"/>
        <w:jc w:val="center"/>
        <w:outlineLvl w:val="0"/>
        <w:rPr>
          <w:rFonts w:ascii="宋体" w:hAnsi="宋体" w:cs="宋体"/>
          <w:color w:val="auto"/>
          <w:sz w:val="32"/>
          <w:highlight w:val="none"/>
        </w:rPr>
      </w:pPr>
      <w:bookmarkStart w:id="318" w:name="_Toc148084484"/>
      <w:bookmarkStart w:id="319" w:name="_Toc141870341"/>
      <w:bookmarkStart w:id="320" w:name="_Toc141969805"/>
      <w:r>
        <w:rPr>
          <w:rFonts w:hint="eastAsia" w:ascii="宋体" w:hAnsi="宋体" w:cs="宋体"/>
          <w:color w:val="auto"/>
          <w:sz w:val="32"/>
          <w:highlight w:val="none"/>
        </w:rPr>
        <w:t>投标文件封面示例（非实质性格式）</w:t>
      </w:r>
    </w:p>
    <w:p w14:paraId="4D80F742">
      <w:pPr>
        <w:tabs>
          <w:tab w:val="left" w:pos="2999"/>
        </w:tabs>
        <w:spacing w:before="15" w:line="360" w:lineRule="auto"/>
        <w:jc w:val="center"/>
        <w:outlineLvl w:val="0"/>
        <w:rPr>
          <w:rFonts w:ascii="宋体" w:hAnsi="宋体" w:cs="宋体"/>
          <w:color w:val="auto"/>
          <w:sz w:val="32"/>
          <w:highlight w:val="none"/>
        </w:rPr>
      </w:pPr>
    </w:p>
    <w:p w14:paraId="03A902D4">
      <w:pPr>
        <w:tabs>
          <w:tab w:val="left" w:pos="2999"/>
        </w:tabs>
        <w:spacing w:before="15" w:line="360" w:lineRule="auto"/>
        <w:jc w:val="center"/>
        <w:outlineLvl w:val="0"/>
        <w:rPr>
          <w:rFonts w:ascii="宋体" w:hAnsi="宋体" w:cs="宋体"/>
          <w:color w:val="auto"/>
          <w:sz w:val="32"/>
          <w:highlight w:val="none"/>
        </w:rPr>
      </w:pPr>
      <w:r>
        <w:rPr>
          <w:rFonts w:hint="eastAsia" w:ascii="宋体" w:hAnsi="宋体" w:cs="宋体"/>
          <w:color w:val="auto"/>
          <w:sz w:val="32"/>
          <w:highlight w:val="none"/>
        </w:rPr>
        <w:t>（项目名称）</w:t>
      </w:r>
      <w:bookmarkEnd w:id="314"/>
      <w:bookmarkEnd w:id="315"/>
      <w:bookmarkEnd w:id="316"/>
      <w:bookmarkEnd w:id="317"/>
      <w:bookmarkEnd w:id="318"/>
      <w:bookmarkEnd w:id="319"/>
      <w:bookmarkEnd w:id="320"/>
    </w:p>
    <w:p w14:paraId="540805C9">
      <w:pPr>
        <w:tabs>
          <w:tab w:val="left" w:pos="2999"/>
        </w:tabs>
        <w:spacing w:before="15" w:line="360" w:lineRule="auto"/>
        <w:jc w:val="center"/>
        <w:outlineLvl w:val="0"/>
        <w:rPr>
          <w:rFonts w:ascii="宋体" w:hAnsi="宋体" w:cs="宋体"/>
          <w:color w:val="auto"/>
          <w:sz w:val="32"/>
          <w:highlight w:val="none"/>
        </w:rPr>
      </w:pPr>
      <w:bookmarkStart w:id="321" w:name="_Toc31980"/>
      <w:bookmarkStart w:id="322" w:name="_Toc141969806"/>
      <w:bookmarkStart w:id="323" w:name="_Toc22708"/>
      <w:bookmarkStart w:id="324" w:name="_Toc148084485"/>
      <w:bookmarkStart w:id="325" w:name="_Toc31681"/>
      <w:bookmarkStart w:id="326" w:name="_Toc7719"/>
      <w:bookmarkStart w:id="327" w:name="_Toc141870342"/>
      <w:r>
        <w:rPr>
          <w:rFonts w:hint="eastAsia" w:ascii="宋体" w:hAnsi="宋体" w:cs="宋体"/>
          <w:color w:val="auto"/>
          <w:sz w:val="32"/>
          <w:highlight w:val="none"/>
        </w:rPr>
        <w:t>（项目编号）</w:t>
      </w:r>
      <w:bookmarkEnd w:id="321"/>
      <w:bookmarkEnd w:id="322"/>
      <w:bookmarkEnd w:id="323"/>
      <w:bookmarkEnd w:id="324"/>
      <w:bookmarkEnd w:id="325"/>
      <w:bookmarkEnd w:id="326"/>
      <w:bookmarkEnd w:id="327"/>
    </w:p>
    <w:p w14:paraId="786871DC">
      <w:pPr>
        <w:pStyle w:val="12"/>
        <w:rPr>
          <w:color w:val="auto"/>
          <w:highlight w:val="none"/>
        </w:rPr>
      </w:pPr>
    </w:p>
    <w:p w14:paraId="5A8DE057">
      <w:pPr>
        <w:pStyle w:val="12"/>
        <w:rPr>
          <w:color w:val="auto"/>
          <w:highlight w:val="none"/>
        </w:rPr>
      </w:pPr>
    </w:p>
    <w:p w14:paraId="49858C01">
      <w:pPr>
        <w:pStyle w:val="12"/>
        <w:rPr>
          <w:color w:val="auto"/>
          <w:highlight w:val="none"/>
        </w:rPr>
      </w:pPr>
    </w:p>
    <w:p w14:paraId="0CAEB805">
      <w:pPr>
        <w:pStyle w:val="12"/>
        <w:rPr>
          <w:color w:val="auto"/>
          <w:highlight w:val="none"/>
        </w:rPr>
      </w:pPr>
    </w:p>
    <w:p w14:paraId="54EB7EDF">
      <w:pPr>
        <w:pStyle w:val="12"/>
        <w:rPr>
          <w:color w:val="auto"/>
          <w:highlight w:val="none"/>
        </w:rPr>
      </w:pPr>
    </w:p>
    <w:p w14:paraId="42A95978">
      <w:pPr>
        <w:pStyle w:val="12"/>
        <w:rPr>
          <w:color w:val="auto"/>
          <w:highlight w:val="none"/>
        </w:rPr>
      </w:pPr>
    </w:p>
    <w:p w14:paraId="63A55FDE">
      <w:pPr>
        <w:pStyle w:val="12"/>
        <w:rPr>
          <w:color w:val="auto"/>
          <w:highlight w:val="none"/>
        </w:rPr>
      </w:pPr>
    </w:p>
    <w:p w14:paraId="188C6DEF">
      <w:pPr>
        <w:pStyle w:val="12"/>
        <w:jc w:val="center"/>
        <w:rPr>
          <w:rFonts w:ascii="宋体" w:hAnsi="宋体" w:eastAsia="宋体"/>
          <w:b/>
          <w:color w:val="auto"/>
          <w:sz w:val="84"/>
          <w:szCs w:val="84"/>
          <w:highlight w:val="none"/>
        </w:rPr>
      </w:pPr>
      <w:r>
        <w:rPr>
          <w:rFonts w:hint="eastAsia" w:ascii="宋体" w:hAnsi="宋体" w:eastAsia="宋体"/>
          <w:b/>
          <w:color w:val="auto"/>
          <w:sz w:val="84"/>
          <w:szCs w:val="84"/>
          <w:highlight w:val="none"/>
        </w:rPr>
        <w:t>投标文件</w:t>
      </w:r>
    </w:p>
    <w:p w14:paraId="72B4992E">
      <w:pPr>
        <w:pStyle w:val="12"/>
        <w:rPr>
          <w:color w:val="auto"/>
          <w:highlight w:val="none"/>
        </w:rPr>
      </w:pPr>
    </w:p>
    <w:p w14:paraId="01A36938">
      <w:pPr>
        <w:rPr>
          <w:color w:val="auto"/>
          <w:highlight w:val="none"/>
        </w:rPr>
      </w:pPr>
    </w:p>
    <w:p w14:paraId="252EF746">
      <w:pPr>
        <w:tabs>
          <w:tab w:val="left" w:pos="2999"/>
        </w:tabs>
        <w:spacing w:before="15"/>
        <w:ind w:left="1880" w:firstLine="1405" w:firstLineChars="500"/>
        <w:rPr>
          <w:rFonts w:ascii="宋体" w:hAnsi="宋体" w:cs="宋体"/>
          <w:b/>
          <w:bCs/>
          <w:color w:val="auto"/>
          <w:sz w:val="28"/>
          <w:highlight w:val="none"/>
        </w:rPr>
      </w:pPr>
    </w:p>
    <w:p w14:paraId="23EBB577">
      <w:pPr>
        <w:pStyle w:val="12"/>
        <w:rPr>
          <w:color w:val="auto"/>
          <w:highlight w:val="none"/>
        </w:rPr>
      </w:pPr>
    </w:p>
    <w:p w14:paraId="18649E80">
      <w:pPr>
        <w:tabs>
          <w:tab w:val="left" w:pos="2999"/>
        </w:tabs>
        <w:spacing w:before="15"/>
        <w:ind w:left="1880"/>
        <w:jc w:val="center"/>
        <w:rPr>
          <w:rFonts w:ascii="宋体" w:hAnsi="宋体" w:cs="宋体"/>
          <w:color w:val="auto"/>
          <w:sz w:val="28"/>
          <w:highlight w:val="none"/>
        </w:rPr>
      </w:pPr>
    </w:p>
    <w:p w14:paraId="6507AA59">
      <w:pPr>
        <w:tabs>
          <w:tab w:val="left" w:pos="2999"/>
        </w:tabs>
        <w:spacing w:before="15"/>
        <w:ind w:left="1880"/>
        <w:jc w:val="center"/>
        <w:rPr>
          <w:rFonts w:ascii="宋体" w:hAnsi="宋体" w:cs="宋体"/>
          <w:color w:val="auto"/>
          <w:sz w:val="28"/>
          <w:highlight w:val="none"/>
        </w:rPr>
      </w:pPr>
    </w:p>
    <w:p w14:paraId="6A9D5C94">
      <w:pPr>
        <w:pStyle w:val="12"/>
        <w:rPr>
          <w:color w:val="auto"/>
          <w:highlight w:val="none"/>
        </w:rPr>
      </w:pPr>
    </w:p>
    <w:p w14:paraId="0B70A12F">
      <w:pPr>
        <w:tabs>
          <w:tab w:val="left" w:pos="7095"/>
          <w:tab w:val="left" w:pos="7535"/>
        </w:tabs>
        <w:spacing w:line="357" w:lineRule="auto"/>
        <w:ind w:left="1201" w:right="141"/>
        <w:rPr>
          <w:rFonts w:ascii="宋体" w:hAnsi="宋体" w:cs="宋体"/>
          <w:color w:val="auto"/>
          <w:sz w:val="24"/>
          <w:highlight w:val="none"/>
        </w:rPr>
      </w:pPr>
      <w:r>
        <w:rPr>
          <w:rFonts w:hint="eastAsia" w:ascii="宋体" w:hAnsi="宋体" w:cs="宋体"/>
          <w:color w:val="auto"/>
          <w:sz w:val="24"/>
          <w:highlight w:val="none"/>
        </w:rPr>
        <w:t>投标人：</w:t>
      </w:r>
      <w:r>
        <w:rPr>
          <w:rFonts w:hint="eastAsia" w:ascii="宋体" w:hAnsi="宋体" w:cs="宋体"/>
          <w:color w:val="auto"/>
          <w:sz w:val="24"/>
          <w:highlight w:val="none"/>
          <w:u w:val="single"/>
        </w:rPr>
        <w:t xml:space="preserve">                                 （</w:t>
      </w:r>
      <w:r>
        <w:rPr>
          <w:rFonts w:hint="eastAsia" w:ascii="宋体" w:hAnsi="宋体" w:cs="宋体"/>
          <w:color w:val="auto"/>
          <w:spacing w:val="-1"/>
          <w:sz w:val="24"/>
          <w:highlight w:val="none"/>
          <w:u w:val="single"/>
        </w:rPr>
        <w:t>盖章</w:t>
      </w:r>
      <w:r>
        <w:rPr>
          <w:rFonts w:hint="eastAsia" w:ascii="宋体" w:hAnsi="宋体" w:cs="宋体"/>
          <w:color w:val="auto"/>
          <w:sz w:val="24"/>
          <w:highlight w:val="none"/>
          <w:u w:val="single"/>
        </w:rPr>
        <w:t>）</w:t>
      </w:r>
    </w:p>
    <w:p w14:paraId="7DB26A77">
      <w:pPr>
        <w:tabs>
          <w:tab w:val="left" w:pos="6345"/>
          <w:tab w:val="left" w:pos="7535"/>
        </w:tabs>
        <w:spacing w:line="357" w:lineRule="auto"/>
        <w:ind w:left="1201" w:right="141"/>
        <w:rPr>
          <w:rFonts w:ascii="宋体" w:hAnsi="宋体" w:cs="宋体"/>
          <w:color w:val="auto"/>
          <w:spacing w:val="-1"/>
          <w:sz w:val="24"/>
          <w:highlight w:val="none"/>
        </w:rPr>
      </w:pPr>
      <w:r>
        <w:rPr>
          <w:rFonts w:hint="eastAsia" w:ascii="宋体" w:hAnsi="宋体" w:cs="宋体"/>
          <w:color w:val="auto"/>
          <w:sz w:val="24"/>
          <w:highlight w:val="none"/>
        </w:rPr>
        <w:t>法定代表人（单位负责人）或其授权委托人：</w:t>
      </w:r>
      <w:r>
        <w:rPr>
          <w:rFonts w:hint="eastAsia" w:ascii="宋体" w:hAnsi="宋体" w:cs="宋体"/>
          <w:color w:val="auto"/>
          <w:sz w:val="24"/>
          <w:highlight w:val="none"/>
          <w:u w:val="single"/>
        </w:rPr>
        <w:t xml:space="preserve"> （签字或盖章）</w:t>
      </w:r>
    </w:p>
    <w:p w14:paraId="155ED494">
      <w:pPr>
        <w:tabs>
          <w:tab w:val="left" w:pos="6942"/>
          <w:tab w:val="left" w:pos="7535"/>
        </w:tabs>
        <w:spacing w:line="357" w:lineRule="auto"/>
        <w:ind w:left="1201" w:right="141"/>
        <w:rPr>
          <w:rFonts w:ascii="宋体" w:hAnsi="宋体" w:cs="宋体"/>
          <w:color w:val="auto"/>
          <w:spacing w:val="-1"/>
          <w:sz w:val="24"/>
          <w:highlight w:val="none"/>
          <w:u w:val="single"/>
        </w:rPr>
      </w:pPr>
      <w:r>
        <w:rPr>
          <w:rFonts w:hint="eastAsia" w:ascii="宋体" w:hAnsi="宋体" w:cs="宋体"/>
          <w:color w:val="auto"/>
          <w:spacing w:val="-1"/>
          <w:sz w:val="24"/>
          <w:highlight w:val="none"/>
        </w:rPr>
        <w:t>联系人：</w:t>
      </w:r>
    </w:p>
    <w:p w14:paraId="57BE233F">
      <w:pPr>
        <w:tabs>
          <w:tab w:val="left" w:pos="6942"/>
          <w:tab w:val="left" w:pos="7535"/>
        </w:tabs>
        <w:spacing w:line="357" w:lineRule="auto"/>
        <w:ind w:left="1201" w:right="141"/>
        <w:rPr>
          <w:rFonts w:ascii="宋体" w:hAnsi="宋体" w:cs="宋体"/>
          <w:color w:val="auto"/>
          <w:sz w:val="24"/>
          <w:highlight w:val="none"/>
        </w:rPr>
      </w:pPr>
      <w:r>
        <w:rPr>
          <w:rFonts w:hint="eastAsia" w:ascii="宋体" w:hAnsi="宋体" w:cs="宋体"/>
          <w:color w:val="auto"/>
          <w:spacing w:val="-1"/>
          <w:sz w:val="24"/>
          <w:highlight w:val="none"/>
        </w:rPr>
        <w:t>联系电话：</w:t>
      </w:r>
    </w:p>
    <w:p w14:paraId="15AC4DDE">
      <w:pPr>
        <w:tabs>
          <w:tab w:val="left" w:pos="3611"/>
          <w:tab w:val="left" w:pos="4626"/>
          <w:tab w:val="left" w:pos="5642"/>
        </w:tabs>
        <w:spacing w:before="15"/>
        <w:ind w:left="2877"/>
        <w:rPr>
          <w:rFonts w:ascii="宋体" w:hAnsi="宋体" w:cs="宋体"/>
          <w:color w:val="auto"/>
          <w:sz w:val="24"/>
          <w:highlight w:val="none"/>
        </w:rPr>
      </w:pPr>
      <w:r>
        <w:rPr>
          <w:rFonts w:hint="eastAsia" w:ascii="宋体" w:hAnsi="宋体" w:cs="宋体"/>
          <w:color w:val="auto"/>
          <w:sz w:val="24"/>
          <w:highlight w:val="none"/>
          <w:u w:val="single"/>
        </w:rPr>
        <w:tab/>
      </w:r>
      <w:r>
        <w:rPr>
          <w:rFonts w:hint="eastAsia" w:ascii="宋体" w:hAnsi="宋体" w:cs="宋体"/>
          <w:color w:val="auto"/>
          <w:sz w:val="24"/>
          <w:highlight w:val="none"/>
        </w:rPr>
        <w:t>年</w:t>
      </w:r>
      <w:r>
        <w:rPr>
          <w:rFonts w:hint="eastAsia" w:ascii="宋体" w:hAnsi="宋体" w:cs="宋体"/>
          <w:color w:val="auto"/>
          <w:sz w:val="24"/>
          <w:highlight w:val="none"/>
          <w:u w:val="single"/>
        </w:rPr>
        <w:tab/>
      </w:r>
      <w:r>
        <w:rPr>
          <w:rFonts w:hint="eastAsia" w:ascii="宋体" w:hAnsi="宋体" w:cs="宋体"/>
          <w:color w:val="auto"/>
          <w:sz w:val="24"/>
          <w:highlight w:val="none"/>
        </w:rPr>
        <w:t>月</w:t>
      </w:r>
      <w:r>
        <w:rPr>
          <w:rFonts w:hint="eastAsia" w:ascii="宋体" w:hAnsi="宋体" w:cs="宋体"/>
          <w:color w:val="auto"/>
          <w:sz w:val="24"/>
          <w:highlight w:val="none"/>
          <w:u w:val="single"/>
        </w:rPr>
        <w:tab/>
      </w:r>
      <w:r>
        <w:rPr>
          <w:rFonts w:hint="eastAsia" w:ascii="宋体" w:hAnsi="宋体" w:cs="宋体"/>
          <w:color w:val="auto"/>
          <w:sz w:val="24"/>
          <w:highlight w:val="none"/>
        </w:rPr>
        <w:t>日</w:t>
      </w:r>
    </w:p>
    <w:p w14:paraId="7D4EE84A">
      <w:pPr>
        <w:tabs>
          <w:tab w:val="left" w:pos="2999"/>
        </w:tabs>
        <w:spacing w:line="500" w:lineRule="exact"/>
        <w:jc w:val="center"/>
        <w:outlineLvl w:val="0"/>
        <w:rPr>
          <w:rFonts w:hint="eastAsia" w:ascii="宋体" w:hAnsi="宋体" w:eastAsia="宋体" w:cs="宋体"/>
          <w:color w:val="auto"/>
          <w:sz w:val="32"/>
          <w:highlight w:val="none"/>
          <w:lang w:eastAsia="zh-CN"/>
        </w:rPr>
      </w:pPr>
      <w:r>
        <w:rPr>
          <w:rFonts w:hint="eastAsia" w:ascii="宋体" w:hAnsi="宋体" w:eastAsia="宋体" w:cs="宋体"/>
          <w:color w:val="auto"/>
          <w:sz w:val="32"/>
          <w:highlight w:val="none"/>
          <w:lang w:eastAsia="zh-CN"/>
        </w:rPr>
        <w:t>资格证明文件部分</w:t>
      </w:r>
    </w:p>
    <w:p w14:paraId="7FF45E58">
      <w:pPr>
        <w:spacing w:before="78" w:line="500" w:lineRule="exact"/>
        <w:ind w:right="-57"/>
        <w:rPr>
          <w:rFonts w:ascii="宋体" w:hAnsi="宋体"/>
          <w:b/>
          <w:bCs/>
          <w:color w:val="auto"/>
          <w:spacing w:val="-1"/>
          <w:sz w:val="28"/>
          <w:highlight w:val="none"/>
        </w:rPr>
      </w:pPr>
      <w:r>
        <w:rPr>
          <w:rFonts w:hint="eastAsia" w:ascii="宋体" w:hAnsi="宋体"/>
          <w:b/>
          <w:bCs/>
          <w:color w:val="auto"/>
          <w:spacing w:val="-1"/>
          <w:sz w:val="28"/>
          <w:highlight w:val="none"/>
        </w:rPr>
        <w:t>一</w:t>
      </w:r>
      <w:r>
        <w:rPr>
          <w:rFonts w:ascii="宋体" w:hAnsi="宋体"/>
          <w:b/>
          <w:bCs/>
          <w:color w:val="auto"/>
          <w:spacing w:val="-1"/>
          <w:sz w:val="28"/>
          <w:highlight w:val="none"/>
        </w:rPr>
        <w:t>.满足《中华人民共和国政府采购法》第二十二条规定的证明材料：</w:t>
      </w:r>
    </w:p>
    <w:p w14:paraId="3BC1B34A">
      <w:pPr>
        <w:spacing w:before="78" w:line="500" w:lineRule="exact"/>
        <w:ind w:left="57" w:right="941" w:firstLine="892" w:firstLineChars="400"/>
        <w:rPr>
          <w:rFonts w:ascii="宋体" w:hAnsi="宋体"/>
          <w:b/>
          <w:bCs/>
          <w:color w:val="auto"/>
          <w:spacing w:val="-6"/>
          <w:sz w:val="24"/>
          <w:highlight w:val="none"/>
        </w:rPr>
      </w:pPr>
      <w:r>
        <w:rPr>
          <w:rFonts w:hint="eastAsia" w:ascii="宋体" w:hAnsi="宋体"/>
          <w:b/>
          <w:bCs/>
          <w:color w:val="auto"/>
          <w:spacing w:val="-9"/>
          <w:sz w:val="24"/>
          <w:highlight w:val="none"/>
        </w:rPr>
        <w:t>1</w:t>
      </w:r>
      <w:r>
        <w:rPr>
          <w:rFonts w:ascii="宋体" w:hAnsi="宋体"/>
          <w:b/>
          <w:bCs/>
          <w:color w:val="auto"/>
          <w:spacing w:val="-9"/>
          <w:sz w:val="24"/>
          <w:highlight w:val="none"/>
        </w:rPr>
        <w:t>.1</w:t>
      </w:r>
      <w:r>
        <w:rPr>
          <w:rFonts w:hint="eastAsia" w:ascii="宋体" w:hAnsi="宋体"/>
          <w:b/>
          <w:bCs/>
          <w:color w:val="auto"/>
          <w:spacing w:val="-9"/>
          <w:sz w:val="24"/>
          <w:highlight w:val="none"/>
        </w:rPr>
        <w:t>具有独立承担民事责任的能力</w:t>
      </w:r>
    </w:p>
    <w:p w14:paraId="542CFEC4">
      <w:pPr>
        <w:spacing w:before="78" w:line="500" w:lineRule="exact"/>
        <w:ind w:left="57" w:right="941" w:firstLine="444" w:firstLineChars="200"/>
        <w:rPr>
          <w:rFonts w:hint="eastAsia" w:ascii="宋体" w:hAnsi="宋体"/>
          <w:color w:val="auto"/>
          <w:spacing w:val="-9"/>
          <w:sz w:val="24"/>
          <w:highlight w:val="none"/>
        </w:rPr>
      </w:pPr>
      <w:r>
        <w:rPr>
          <w:rFonts w:hint="eastAsia" w:ascii="宋体" w:hAnsi="宋体"/>
          <w:color w:val="auto"/>
          <w:spacing w:val="-9"/>
          <w:sz w:val="24"/>
          <w:highlight w:val="none"/>
        </w:rPr>
        <w:t>供应商为企业（包括合伙企业）的，应提供有效的“营业执照”；</w:t>
      </w:r>
    </w:p>
    <w:p w14:paraId="218D9806">
      <w:pPr>
        <w:spacing w:before="78" w:line="500" w:lineRule="exact"/>
        <w:ind w:left="57" w:right="941" w:firstLine="444" w:firstLineChars="200"/>
        <w:rPr>
          <w:rFonts w:hint="eastAsia" w:ascii="宋体" w:hAnsi="宋体"/>
          <w:color w:val="auto"/>
          <w:spacing w:val="-9"/>
          <w:sz w:val="24"/>
          <w:highlight w:val="none"/>
        </w:rPr>
      </w:pPr>
      <w:r>
        <w:rPr>
          <w:rFonts w:hint="eastAsia" w:ascii="宋体" w:hAnsi="宋体"/>
          <w:color w:val="auto"/>
          <w:spacing w:val="-9"/>
          <w:sz w:val="24"/>
          <w:highlight w:val="none"/>
        </w:rPr>
        <w:t>供应商为事业单位的，应提供有效的“事业单位法人证书”；</w:t>
      </w:r>
    </w:p>
    <w:p w14:paraId="07C76398">
      <w:pPr>
        <w:spacing w:before="78" w:line="500" w:lineRule="exact"/>
        <w:ind w:left="57" w:right="941" w:firstLine="444" w:firstLineChars="200"/>
        <w:rPr>
          <w:rFonts w:hint="eastAsia" w:ascii="宋体" w:hAnsi="宋体"/>
          <w:color w:val="auto"/>
          <w:spacing w:val="-9"/>
          <w:sz w:val="24"/>
          <w:highlight w:val="none"/>
        </w:rPr>
      </w:pPr>
      <w:r>
        <w:rPr>
          <w:rFonts w:hint="eastAsia" w:ascii="宋体" w:hAnsi="宋体"/>
          <w:color w:val="auto"/>
          <w:spacing w:val="-9"/>
          <w:sz w:val="24"/>
          <w:highlight w:val="none"/>
        </w:rPr>
        <w:t>供应商是非企业机构的，应提供有效的“执业许可证”、“登记证书”等证明文件；</w:t>
      </w:r>
    </w:p>
    <w:p w14:paraId="5377F7C8">
      <w:pPr>
        <w:spacing w:before="78" w:line="500" w:lineRule="exact"/>
        <w:ind w:left="57" w:right="941" w:firstLine="444" w:firstLineChars="200"/>
        <w:rPr>
          <w:rFonts w:hint="eastAsia" w:ascii="宋体" w:hAnsi="宋体"/>
          <w:color w:val="auto"/>
          <w:spacing w:val="-9"/>
          <w:sz w:val="24"/>
          <w:highlight w:val="none"/>
        </w:rPr>
      </w:pPr>
      <w:r>
        <w:rPr>
          <w:rFonts w:hint="eastAsia" w:ascii="宋体" w:hAnsi="宋体"/>
          <w:color w:val="auto"/>
          <w:spacing w:val="-9"/>
          <w:sz w:val="24"/>
          <w:highlight w:val="none"/>
        </w:rPr>
        <w:t>供应商是个体工商户的，应提供有效的“个体工商户营业执照”；</w:t>
      </w:r>
    </w:p>
    <w:p w14:paraId="1D3ADF0A">
      <w:pPr>
        <w:spacing w:before="78" w:line="500" w:lineRule="exact"/>
        <w:ind w:left="57" w:right="941" w:firstLine="444" w:firstLineChars="200"/>
        <w:rPr>
          <w:rFonts w:ascii="宋体" w:hAnsi="宋体"/>
          <w:color w:val="auto"/>
          <w:spacing w:val="-9"/>
          <w:sz w:val="24"/>
          <w:highlight w:val="none"/>
        </w:rPr>
      </w:pPr>
      <w:r>
        <w:rPr>
          <w:rFonts w:hint="eastAsia" w:ascii="宋体" w:hAnsi="宋体"/>
          <w:color w:val="auto"/>
          <w:spacing w:val="-9"/>
          <w:sz w:val="24"/>
          <w:highlight w:val="none"/>
        </w:rPr>
        <w:t>供应商是自然人的，应提供有效的自然人身份证明。</w:t>
      </w:r>
    </w:p>
    <w:p w14:paraId="728474F3">
      <w:pPr>
        <w:spacing w:before="78" w:line="500" w:lineRule="exact"/>
        <w:ind w:left="57" w:right="941" w:firstLine="444" w:firstLineChars="200"/>
        <w:rPr>
          <w:rFonts w:ascii="宋体" w:hAnsi="宋体"/>
          <w:color w:val="auto"/>
          <w:spacing w:val="-9"/>
          <w:sz w:val="24"/>
          <w:highlight w:val="none"/>
        </w:rPr>
      </w:pPr>
    </w:p>
    <w:p w14:paraId="2D9CC211">
      <w:pPr>
        <w:spacing w:before="78" w:line="500" w:lineRule="exact"/>
        <w:ind w:left="57" w:right="941" w:firstLine="444" w:firstLineChars="200"/>
        <w:rPr>
          <w:rFonts w:ascii="宋体" w:hAnsi="宋体"/>
          <w:color w:val="auto"/>
          <w:spacing w:val="-9"/>
          <w:sz w:val="24"/>
          <w:highlight w:val="none"/>
        </w:rPr>
      </w:pPr>
    </w:p>
    <w:p w14:paraId="74A5EA2A">
      <w:pPr>
        <w:spacing w:before="78" w:line="500" w:lineRule="exact"/>
        <w:ind w:left="57" w:right="941" w:firstLine="444" w:firstLineChars="200"/>
        <w:rPr>
          <w:rFonts w:ascii="宋体" w:hAnsi="宋体"/>
          <w:color w:val="auto"/>
          <w:spacing w:val="-9"/>
          <w:sz w:val="24"/>
          <w:highlight w:val="none"/>
        </w:rPr>
      </w:pPr>
    </w:p>
    <w:p w14:paraId="5B938BFB">
      <w:pPr>
        <w:spacing w:before="78" w:line="500" w:lineRule="exact"/>
        <w:ind w:left="57" w:right="941" w:firstLine="444" w:firstLineChars="200"/>
        <w:rPr>
          <w:rFonts w:ascii="宋体" w:hAnsi="宋体"/>
          <w:color w:val="auto"/>
          <w:spacing w:val="-9"/>
          <w:sz w:val="24"/>
          <w:highlight w:val="none"/>
        </w:rPr>
      </w:pPr>
    </w:p>
    <w:p w14:paraId="42D23BED">
      <w:pPr>
        <w:spacing w:before="78" w:line="500" w:lineRule="exact"/>
        <w:ind w:left="57" w:right="941" w:firstLine="444" w:firstLineChars="200"/>
        <w:rPr>
          <w:rFonts w:ascii="宋体" w:hAnsi="宋体"/>
          <w:color w:val="auto"/>
          <w:spacing w:val="-9"/>
          <w:sz w:val="24"/>
          <w:highlight w:val="none"/>
        </w:rPr>
      </w:pPr>
    </w:p>
    <w:p w14:paraId="158F8996">
      <w:pPr>
        <w:spacing w:before="78" w:line="500" w:lineRule="exact"/>
        <w:ind w:right="941"/>
        <w:rPr>
          <w:rFonts w:ascii="宋体" w:hAnsi="宋体"/>
          <w:color w:val="auto"/>
          <w:spacing w:val="-9"/>
          <w:sz w:val="24"/>
          <w:highlight w:val="none"/>
        </w:rPr>
      </w:pPr>
    </w:p>
    <w:p w14:paraId="3EAD37CC">
      <w:pPr>
        <w:spacing w:before="78" w:line="500" w:lineRule="exact"/>
        <w:ind w:left="57" w:right="941" w:firstLine="444" w:firstLineChars="200"/>
        <w:rPr>
          <w:rFonts w:ascii="宋体" w:hAnsi="宋体"/>
          <w:color w:val="auto"/>
          <w:spacing w:val="-9"/>
          <w:sz w:val="24"/>
          <w:highlight w:val="none"/>
        </w:rPr>
      </w:pPr>
    </w:p>
    <w:p w14:paraId="2685C78C">
      <w:pPr>
        <w:spacing w:before="78" w:line="500" w:lineRule="exact"/>
        <w:ind w:left="57" w:right="941" w:firstLine="444" w:firstLineChars="200"/>
        <w:rPr>
          <w:rFonts w:ascii="宋体" w:hAnsi="宋体"/>
          <w:color w:val="auto"/>
          <w:spacing w:val="-9"/>
          <w:sz w:val="24"/>
          <w:highlight w:val="none"/>
        </w:rPr>
      </w:pPr>
    </w:p>
    <w:p w14:paraId="0695C0C1">
      <w:pPr>
        <w:spacing w:before="78" w:line="500" w:lineRule="exact"/>
        <w:ind w:left="57" w:right="941" w:firstLine="444" w:firstLineChars="200"/>
        <w:rPr>
          <w:rFonts w:ascii="宋体" w:hAnsi="宋体"/>
          <w:color w:val="auto"/>
          <w:spacing w:val="-9"/>
          <w:sz w:val="24"/>
          <w:highlight w:val="none"/>
        </w:rPr>
      </w:pPr>
    </w:p>
    <w:p w14:paraId="0A8A0ED6">
      <w:pPr>
        <w:spacing w:before="78" w:line="500" w:lineRule="exact"/>
        <w:ind w:left="57" w:right="941" w:firstLine="444" w:firstLineChars="200"/>
        <w:rPr>
          <w:rFonts w:ascii="宋体" w:hAnsi="宋体"/>
          <w:color w:val="auto"/>
          <w:spacing w:val="-9"/>
          <w:sz w:val="24"/>
          <w:highlight w:val="none"/>
        </w:rPr>
      </w:pPr>
    </w:p>
    <w:p w14:paraId="75692885">
      <w:pPr>
        <w:spacing w:before="78" w:line="500" w:lineRule="exact"/>
        <w:ind w:left="57" w:right="941" w:firstLine="444" w:firstLineChars="200"/>
        <w:rPr>
          <w:rFonts w:ascii="宋体" w:hAnsi="宋体"/>
          <w:color w:val="auto"/>
          <w:spacing w:val="-9"/>
          <w:sz w:val="24"/>
          <w:highlight w:val="none"/>
        </w:rPr>
      </w:pPr>
    </w:p>
    <w:p w14:paraId="0FD2A584">
      <w:pPr>
        <w:spacing w:before="78" w:line="500" w:lineRule="exact"/>
        <w:ind w:left="57" w:right="941" w:firstLine="444" w:firstLineChars="200"/>
        <w:rPr>
          <w:rFonts w:ascii="宋体" w:hAnsi="宋体"/>
          <w:color w:val="auto"/>
          <w:spacing w:val="-9"/>
          <w:sz w:val="24"/>
          <w:highlight w:val="none"/>
        </w:rPr>
      </w:pPr>
    </w:p>
    <w:p w14:paraId="1AF77BDE">
      <w:pPr>
        <w:spacing w:before="78" w:line="500" w:lineRule="exact"/>
        <w:ind w:left="57" w:right="941" w:firstLine="444" w:firstLineChars="200"/>
        <w:rPr>
          <w:rFonts w:ascii="宋体" w:hAnsi="宋体"/>
          <w:color w:val="auto"/>
          <w:spacing w:val="-9"/>
          <w:sz w:val="24"/>
          <w:highlight w:val="none"/>
        </w:rPr>
      </w:pPr>
    </w:p>
    <w:p w14:paraId="28289944">
      <w:pPr>
        <w:spacing w:before="78" w:line="500" w:lineRule="exact"/>
        <w:ind w:left="57" w:right="941" w:firstLine="444" w:firstLineChars="200"/>
        <w:rPr>
          <w:rFonts w:ascii="宋体" w:hAnsi="宋体"/>
          <w:color w:val="auto"/>
          <w:spacing w:val="-9"/>
          <w:sz w:val="24"/>
          <w:highlight w:val="none"/>
        </w:rPr>
      </w:pPr>
    </w:p>
    <w:p w14:paraId="4F655309">
      <w:pPr>
        <w:spacing w:before="78" w:line="500" w:lineRule="exact"/>
        <w:ind w:left="57" w:right="941" w:firstLine="444" w:firstLineChars="200"/>
        <w:rPr>
          <w:rFonts w:ascii="宋体" w:hAnsi="宋体"/>
          <w:color w:val="auto"/>
          <w:spacing w:val="-9"/>
          <w:sz w:val="24"/>
          <w:highlight w:val="none"/>
        </w:rPr>
      </w:pPr>
    </w:p>
    <w:p w14:paraId="127933FE">
      <w:pPr>
        <w:spacing w:line="500" w:lineRule="exact"/>
        <w:ind w:right="941" w:firstLine="446" w:firstLineChars="200"/>
        <w:rPr>
          <w:rFonts w:hint="eastAsia" w:ascii="宋体" w:hAnsi="宋体" w:eastAsia="宋体"/>
          <w:b/>
          <w:bCs/>
          <w:color w:val="auto"/>
          <w:spacing w:val="-9"/>
          <w:sz w:val="24"/>
          <w:highlight w:val="none"/>
          <w:lang w:eastAsia="zh-CN"/>
        </w:rPr>
      </w:pPr>
      <w:r>
        <w:rPr>
          <w:rFonts w:hint="eastAsia" w:ascii="宋体" w:hAnsi="宋体"/>
          <w:b/>
          <w:bCs/>
          <w:color w:val="auto"/>
          <w:spacing w:val="-9"/>
          <w:sz w:val="24"/>
          <w:highlight w:val="none"/>
        </w:rPr>
        <w:t>1</w:t>
      </w:r>
      <w:r>
        <w:rPr>
          <w:rFonts w:ascii="宋体" w:hAnsi="宋体"/>
          <w:b/>
          <w:bCs/>
          <w:color w:val="auto"/>
          <w:spacing w:val="-9"/>
          <w:sz w:val="24"/>
          <w:highlight w:val="none"/>
        </w:rPr>
        <w:t>.2</w:t>
      </w:r>
      <w:r>
        <w:rPr>
          <w:rFonts w:hint="eastAsia" w:ascii="宋体" w:hAnsi="宋体"/>
          <w:b/>
          <w:bCs/>
          <w:color w:val="auto"/>
          <w:spacing w:val="-9"/>
          <w:sz w:val="24"/>
          <w:highlight w:val="none"/>
        </w:rPr>
        <w:t>具有良好的商业信誉和健全的财务会计制度；具有履行合同所必需的设备和专业技术能力；有依法缴纳税收和社会保障资金的良好记录；参加政府采购活动前三年内，在经营活动中没有重大违法记录；法律、行政法规规定的</w:t>
      </w:r>
      <w:r>
        <w:rPr>
          <w:rFonts w:hint="eastAsia" w:ascii="宋体" w:hAnsi="宋体"/>
          <w:b/>
          <w:bCs/>
          <w:color w:val="auto"/>
          <w:spacing w:val="-9"/>
          <w:sz w:val="24"/>
          <w:highlight w:val="none"/>
          <w:lang w:eastAsia="zh-CN"/>
        </w:rPr>
        <w:t>其他条件</w:t>
      </w:r>
    </w:p>
    <w:p w14:paraId="45E2C52F">
      <w:pPr>
        <w:spacing w:line="500" w:lineRule="exact"/>
        <w:jc w:val="center"/>
        <w:outlineLvl w:val="0"/>
        <w:rPr>
          <w:rFonts w:ascii="宋体" w:hAnsi="宋体"/>
          <w:b/>
          <w:bCs/>
          <w:color w:val="auto"/>
          <w:sz w:val="24"/>
          <w:highlight w:val="none"/>
        </w:rPr>
      </w:pPr>
      <w:bookmarkStart w:id="328" w:name="_Toc4126"/>
      <w:bookmarkStart w:id="329" w:name="_Toc18025"/>
      <w:bookmarkStart w:id="330" w:name="_Toc26396"/>
      <w:bookmarkStart w:id="331" w:name="_Toc23420"/>
      <w:bookmarkStart w:id="332" w:name="_Toc141969808"/>
      <w:bookmarkStart w:id="333" w:name="_Toc148084487"/>
      <w:bookmarkStart w:id="334" w:name="_Toc26655"/>
      <w:bookmarkStart w:id="335" w:name="_Toc1905"/>
      <w:bookmarkStart w:id="336" w:name="_Toc20802"/>
      <w:bookmarkStart w:id="337" w:name="_Toc27152"/>
      <w:bookmarkStart w:id="338" w:name="_Toc23364"/>
      <w:bookmarkStart w:id="339" w:name="_Toc149300465"/>
      <w:bookmarkStart w:id="340" w:name="_Toc12593"/>
      <w:bookmarkStart w:id="341" w:name="_Toc141870344"/>
      <w:bookmarkStart w:id="342" w:name="_Toc9119"/>
      <w:bookmarkStart w:id="343" w:name="_Toc149300689"/>
      <w:bookmarkStart w:id="344" w:name="_Toc28853"/>
      <w:r>
        <w:rPr>
          <w:rFonts w:hint="eastAsia" w:ascii="宋体" w:hAnsi="宋体"/>
          <w:b/>
          <w:bCs/>
          <w:color w:val="auto"/>
          <w:sz w:val="24"/>
          <w:highlight w:val="none"/>
        </w:rPr>
        <w:t>供应商资格、信用</w:t>
      </w:r>
      <w:r>
        <w:rPr>
          <w:rFonts w:ascii="宋体" w:hAnsi="宋体"/>
          <w:b/>
          <w:bCs/>
          <w:color w:val="auto"/>
          <w:sz w:val="24"/>
          <w:highlight w:val="none"/>
        </w:rPr>
        <w:t>声明函</w:t>
      </w:r>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r>
        <w:rPr>
          <w:rFonts w:ascii="宋体" w:hAnsi="宋体"/>
          <w:b/>
          <w:bCs/>
          <w:color w:val="auto"/>
          <w:spacing w:val="-9"/>
          <w:sz w:val="24"/>
          <w:highlight w:val="none"/>
        </w:rPr>
        <w:t>（实质性格式）</w:t>
      </w:r>
    </w:p>
    <w:p w14:paraId="21187FB5">
      <w:pPr>
        <w:spacing w:line="500" w:lineRule="exact"/>
        <w:rPr>
          <w:rFonts w:ascii="宋体" w:hAnsi="宋体"/>
          <w:color w:val="auto"/>
          <w:sz w:val="24"/>
          <w:highlight w:val="none"/>
        </w:rPr>
      </w:pPr>
      <w:r>
        <w:rPr>
          <w:rFonts w:ascii="宋体" w:hAnsi="宋体"/>
          <w:color w:val="auto"/>
          <w:sz w:val="24"/>
          <w:highlight w:val="none"/>
          <w:u w:val="single"/>
        </w:rPr>
        <w:t>致：新疆天合新动力工程管理有限公司</w:t>
      </w:r>
    </w:p>
    <w:p w14:paraId="07070C16">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为维护公平、公正、公开的政府采购市场秩序，树立诚实守信的政府采购供应商形象，我单位(本人)就参加</w:t>
      </w:r>
      <w:r>
        <w:rPr>
          <w:rFonts w:ascii="宋体" w:hAnsi="宋体"/>
          <w:color w:val="auto"/>
          <w:sz w:val="24"/>
          <w:highlight w:val="none"/>
        </w:rPr>
        <w:t>本次项目投标</w:t>
      </w:r>
      <w:r>
        <w:rPr>
          <w:rFonts w:hint="eastAsia" w:ascii="宋体" w:hAnsi="宋体"/>
          <w:color w:val="auto"/>
          <w:sz w:val="24"/>
          <w:highlight w:val="none"/>
        </w:rPr>
        <w:t>自愿作出以下承诺：</w:t>
      </w:r>
    </w:p>
    <w:p w14:paraId="593ABEA7">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一、我单位(本人)自愿参加本次政府采购活动，严格遵守《中华人民共和国政府采购法》及相关法律法规，依法诚信经营，无条件遵守本次政府采购活动的各项规定。我单位(本人)郑重承诺，我单位(本人)符合《中华人民共和国政府采购法》第二十二条规定和采购文件、本承诺书的条件：</w:t>
      </w:r>
    </w:p>
    <w:p w14:paraId="0DE811A4">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(一)具有独立承担民事责任的能力；</w:t>
      </w:r>
    </w:p>
    <w:p w14:paraId="09B97893">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(二)具有良好的商业信誉和健全的财务会计制度；</w:t>
      </w:r>
    </w:p>
    <w:p w14:paraId="4340A04D">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(三)具有履行合同所必需的设备和专业技术能力；</w:t>
      </w:r>
    </w:p>
    <w:p w14:paraId="54D5A2D8">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(四)有依法缴纳税收和社会保障资金的良好记录；</w:t>
      </w:r>
    </w:p>
    <w:p w14:paraId="7E8E16DE">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(五)参加政府采购活动前三年内，在经营活动中没有重大违法记录；</w:t>
      </w:r>
    </w:p>
    <w:p w14:paraId="43BC967C">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(六)未被列入经营异常名录或者严重违法失信名单、失信被执行人、重大税收违法案件当事人名单、政府采购严重违法失信行为记录名单；</w:t>
      </w:r>
    </w:p>
    <w:p w14:paraId="17674C9B">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(七)未被相关监管部门作出行政处罚且尚在处罚有效期内；</w:t>
      </w:r>
    </w:p>
    <w:p w14:paraId="370E46EE">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(八)未曾作出虚假采购承诺；</w:t>
      </w:r>
    </w:p>
    <w:p w14:paraId="2B7B7C5C">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(九)符合法律、行政法规规定的其他条件。</w:t>
      </w:r>
    </w:p>
    <w:p w14:paraId="7066E400">
      <w:pPr>
        <w:spacing w:line="500" w:lineRule="exact"/>
        <w:ind w:firstLine="480" w:firstLineChars="200"/>
        <w:rPr>
          <w:rFonts w:ascii="宋体" w:hAnsi="宋体"/>
          <w:color w:val="auto"/>
          <w:sz w:val="24"/>
          <w:highlight w:val="none"/>
        </w:rPr>
      </w:pPr>
      <w:r>
        <w:rPr>
          <w:rFonts w:hint="eastAsia" w:ascii="宋体" w:hAnsi="宋体"/>
          <w:color w:val="auto"/>
          <w:sz w:val="24"/>
          <w:highlight w:val="none"/>
        </w:rPr>
        <w:t>（十）</w:t>
      </w:r>
      <w:r>
        <w:rPr>
          <w:rFonts w:ascii="宋体" w:hAnsi="宋体"/>
          <w:color w:val="auto"/>
          <w:sz w:val="24"/>
          <w:highlight w:val="none"/>
        </w:rPr>
        <w:t>我单位不属于政府采购法律、行政法规规定的公益一类事业单位、或使用事业编制且由财政拨款保障的群团组织(仅适用于政府购买服务项目)。</w:t>
      </w:r>
    </w:p>
    <w:p w14:paraId="00C8F1AC">
      <w:pPr>
        <w:pStyle w:val="12"/>
        <w:spacing w:line="500" w:lineRule="exact"/>
        <w:rPr>
          <w:rFonts w:ascii="宋体" w:hAnsi="宋体" w:eastAsia="宋体"/>
          <w:color w:val="auto"/>
          <w:sz w:val="24"/>
          <w:szCs w:val="24"/>
          <w:highlight w:val="none"/>
        </w:rPr>
      </w:pPr>
      <w:r>
        <w:rPr>
          <w:rFonts w:hint="eastAsia" w:ascii="宋体" w:hAnsi="宋体" w:eastAsia="宋体"/>
          <w:color w:val="auto"/>
          <w:spacing w:val="0"/>
          <w:sz w:val="24"/>
          <w:szCs w:val="24"/>
          <w:highlight w:val="none"/>
        </w:rPr>
        <w:t>二、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3AE8A42E">
      <w:pPr>
        <w:spacing w:line="500" w:lineRule="exact"/>
        <w:ind w:right="1584"/>
        <w:rPr>
          <w:rFonts w:ascii="宋体" w:hAnsi="宋体" w:cs="仿宋"/>
          <w:color w:val="auto"/>
          <w:sz w:val="24"/>
          <w:highlight w:val="none"/>
          <w:lang w:val="zh-CN"/>
        </w:rPr>
      </w:pPr>
      <w:r>
        <w:rPr>
          <w:rFonts w:hint="eastAsia" w:ascii="宋体" w:hAnsi="宋体" w:cs="仿宋"/>
          <w:color w:val="auto"/>
          <w:sz w:val="24"/>
          <w:highlight w:val="none"/>
          <w:lang w:val="zh-CN"/>
        </w:rPr>
        <w:t>供应商：（盖供应商公章）</w:t>
      </w:r>
    </w:p>
    <w:p w14:paraId="378C6CC2">
      <w:pPr>
        <w:spacing w:line="500" w:lineRule="exact"/>
        <w:ind w:right="576"/>
        <w:rPr>
          <w:rFonts w:ascii="宋体" w:hAnsi="宋体" w:cs="仿宋"/>
          <w:color w:val="auto"/>
          <w:sz w:val="24"/>
          <w:highlight w:val="none"/>
          <w:lang w:val="zh-CN"/>
        </w:rPr>
      </w:pPr>
      <w:r>
        <w:rPr>
          <w:rFonts w:hint="eastAsia" w:ascii="宋体" w:hAnsi="宋体" w:cs="仿宋"/>
          <w:color w:val="auto"/>
          <w:sz w:val="24"/>
          <w:highlight w:val="none"/>
          <w:lang w:val="zh-CN"/>
        </w:rPr>
        <w:t>法定代表人或授权委托人：（签字或盖章）</w:t>
      </w:r>
    </w:p>
    <w:p w14:paraId="09DD1069">
      <w:pPr>
        <w:spacing w:line="500" w:lineRule="exact"/>
        <w:ind w:right="576"/>
        <w:rPr>
          <w:rFonts w:ascii="宋体" w:hAnsi="宋体" w:cs="仿宋"/>
          <w:color w:val="auto"/>
          <w:sz w:val="24"/>
          <w:highlight w:val="none"/>
          <w:lang w:val="zh-CN"/>
        </w:rPr>
      </w:pPr>
      <w:r>
        <w:rPr>
          <w:rFonts w:hint="eastAsia" w:ascii="宋体" w:hAnsi="宋体" w:cs="仿宋"/>
          <w:color w:val="auto"/>
          <w:sz w:val="24"/>
          <w:highlight w:val="none"/>
          <w:lang w:val="zh-CN"/>
        </w:rPr>
        <w:t>日期：   年   月    日</w:t>
      </w:r>
    </w:p>
    <w:p w14:paraId="6CFA1A56">
      <w:pPr>
        <w:pStyle w:val="12"/>
        <w:spacing w:line="500" w:lineRule="exact"/>
        <w:rPr>
          <w:rFonts w:ascii="仿宋" w:hAnsi="仿宋" w:eastAsia="仿宋" w:cs="仿宋"/>
          <w:color w:val="auto"/>
          <w:szCs w:val="28"/>
          <w:highlight w:val="none"/>
        </w:rPr>
      </w:pPr>
    </w:p>
    <w:p w14:paraId="79C887B1">
      <w:pPr>
        <w:pStyle w:val="12"/>
        <w:spacing w:line="500" w:lineRule="exact"/>
        <w:rPr>
          <w:rFonts w:ascii="仿宋" w:hAnsi="仿宋" w:eastAsia="仿宋" w:cs="仿宋"/>
          <w:color w:val="auto"/>
          <w:szCs w:val="28"/>
          <w:highlight w:val="none"/>
        </w:rPr>
      </w:pPr>
    </w:p>
    <w:p w14:paraId="69462D27">
      <w:pPr>
        <w:pStyle w:val="12"/>
        <w:spacing w:line="500" w:lineRule="exact"/>
        <w:rPr>
          <w:rFonts w:ascii="仿宋" w:hAnsi="仿宋" w:eastAsia="仿宋" w:cs="仿宋"/>
          <w:color w:val="auto"/>
          <w:szCs w:val="28"/>
          <w:highlight w:val="none"/>
        </w:rPr>
      </w:pPr>
    </w:p>
    <w:p w14:paraId="5119FD97">
      <w:pPr>
        <w:pStyle w:val="12"/>
        <w:spacing w:line="500" w:lineRule="exact"/>
        <w:rPr>
          <w:rFonts w:ascii="仿宋" w:hAnsi="仿宋" w:eastAsia="仿宋" w:cs="仿宋"/>
          <w:color w:val="auto"/>
          <w:szCs w:val="28"/>
          <w:highlight w:val="none"/>
        </w:rPr>
      </w:pPr>
    </w:p>
    <w:p w14:paraId="60ECBF7A">
      <w:pPr>
        <w:pStyle w:val="12"/>
        <w:spacing w:line="500" w:lineRule="exact"/>
        <w:rPr>
          <w:rFonts w:ascii="仿宋" w:hAnsi="仿宋" w:eastAsia="仿宋" w:cs="仿宋"/>
          <w:color w:val="auto"/>
          <w:szCs w:val="28"/>
          <w:highlight w:val="none"/>
        </w:rPr>
      </w:pPr>
    </w:p>
    <w:p w14:paraId="0DA06233">
      <w:pPr>
        <w:pStyle w:val="12"/>
        <w:spacing w:line="500" w:lineRule="exact"/>
        <w:rPr>
          <w:rFonts w:ascii="仿宋" w:hAnsi="仿宋" w:eastAsia="仿宋" w:cs="仿宋"/>
          <w:color w:val="auto"/>
          <w:szCs w:val="28"/>
          <w:highlight w:val="none"/>
        </w:rPr>
      </w:pPr>
    </w:p>
    <w:p w14:paraId="46415BA6">
      <w:pPr>
        <w:pStyle w:val="12"/>
        <w:spacing w:line="500" w:lineRule="exact"/>
        <w:rPr>
          <w:rFonts w:ascii="仿宋" w:hAnsi="仿宋" w:eastAsia="仿宋" w:cs="仿宋"/>
          <w:color w:val="auto"/>
          <w:szCs w:val="28"/>
          <w:highlight w:val="none"/>
        </w:rPr>
      </w:pPr>
    </w:p>
    <w:p w14:paraId="5D417093">
      <w:pPr>
        <w:pStyle w:val="12"/>
        <w:spacing w:line="500" w:lineRule="exact"/>
        <w:rPr>
          <w:rFonts w:ascii="仿宋" w:hAnsi="仿宋" w:eastAsia="仿宋" w:cs="仿宋"/>
          <w:color w:val="auto"/>
          <w:szCs w:val="28"/>
          <w:highlight w:val="none"/>
        </w:rPr>
      </w:pPr>
    </w:p>
    <w:p w14:paraId="4325B6FF">
      <w:pPr>
        <w:pStyle w:val="12"/>
        <w:spacing w:line="500" w:lineRule="exact"/>
        <w:rPr>
          <w:rFonts w:ascii="仿宋" w:hAnsi="仿宋" w:eastAsia="仿宋" w:cs="仿宋"/>
          <w:color w:val="auto"/>
          <w:szCs w:val="28"/>
          <w:highlight w:val="none"/>
        </w:rPr>
      </w:pPr>
    </w:p>
    <w:p w14:paraId="6E7C031C">
      <w:pPr>
        <w:pStyle w:val="12"/>
        <w:spacing w:line="500" w:lineRule="exact"/>
        <w:rPr>
          <w:rFonts w:ascii="仿宋" w:hAnsi="仿宋" w:eastAsia="仿宋" w:cs="仿宋"/>
          <w:color w:val="auto"/>
          <w:szCs w:val="28"/>
          <w:highlight w:val="none"/>
        </w:rPr>
      </w:pPr>
    </w:p>
    <w:p w14:paraId="5C9BBC0A">
      <w:pPr>
        <w:pStyle w:val="12"/>
        <w:spacing w:line="500" w:lineRule="exact"/>
        <w:rPr>
          <w:rFonts w:ascii="仿宋" w:hAnsi="仿宋" w:eastAsia="仿宋" w:cs="仿宋"/>
          <w:color w:val="auto"/>
          <w:szCs w:val="28"/>
          <w:highlight w:val="none"/>
        </w:rPr>
      </w:pPr>
    </w:p>
    <w:p w14:paraId="2D0AC017">
      <w:pPr>
        <w:pStyle w:val="12"/>
        <w:spacing w:line="500" w:lineRule="exact"/>
        <w:rPr>
          <w:rFonts w:ascii="仿宋" w:hAnsi="仿宋" w:eastAsia="仿宋" w:cs="仿宋"/>
          <w:color w:val="auto"/>
          <w:szCs w:val="28"/>
          <w:highlight w:val="none"/>
        </w:rPr>
      </w:pPr>
    </w:p>
    <w:p w14:paraId="10283643">
      <w:pPr>
        <w:pStyle w:val="12"/>
        <w:spacing w:line="500" w:lineRule="exact"/>
        <w:rPr>
          <w:rFonts w:ascii="仿宋" w:hAnsi="仿宋" w:eastAsia="仿宋" w:cs="仿宋"/>
          <w:color w:val="auto"/>
          <w:szCs w:val="28"/>
          <w:highlight w:val="none"/>
        </w:rPr>
      </w:pPr>
    </w:p>
    <w:p w14:paraId="27AFA87F">
      <w:pPr>
        <w:pStyle w:val="12"/>
        <w:spacing w:line="500" w:lineRule="exact"/>
        <w:rPr>
          <w:rFonts w:ascii="仿宋" w:hAnsi="仿宋" w:eastAsia="仿宋" w:cs="仿宋"/>
          <w:color w:val="auto"/>
          <w:szCs w:val="28"/>
          <w:highlight w:val="none"/>
        </w:rPr>
      </w:pPr>
    </w:p>
    <w:p w14:paraId="0BA3CD5D">
      <w:pPr>
        <w:pStyle w:val="12"/>
        <w:spacing w:line="500" w:lineRule="exact"/>
        <w:rPr>
          <w:rFonts w:ascii="仿宋" w:hAnsi="仿宋" w:eastAsia="仿宋" w:cs="仿宋"/>
          <w:color w:val="auto"/>
          <w:szCs w:val="28"/>
          <w:highlight w:val="none"/>
        </w:rPr>
      </w:pPr>
    </w:p>
    <w:p w14:paraId="2BF0AC82">
      <w:pPr>
        <w:pStyle w:val="12"/>
        <w:spacing w:line="500" w:lineRule="exact"/>
        <w:rPr>
          <w:rFonts w:ascii="仿宋" w:hAnsi="仿宋" w:eastAsia="仿宋" w:cs="仿宋"/>
          <w:color w:val="auto"/>
          <w:szCs w:val="28"/>
          <w:highlight w:val="none"/>
        </w:rPr>
      </w:pPr>
    </w:p>
    <w:p w14:paraId="184F2C4F">
      <w:pPr>
        <w:pStyle w:val="12"/>
        <w:spacing w:line="500" w:lineRule="exact"/>
        <w:rPr>
          <w:rFonts w:ascii="仿宋" w:hAnsi="仿宋" w:eastAsia="仿宋" w:cs="仿宋"/>
          <w:color w:val="auto"/>
          <w:szCs w:val="28"/>
          <w:highlight w:val="none"/>
        </w:rPr>
      </w:pPr>
    </w:p>
    <w:p w14:paraId="79C016B4">
      <w:pPr>
        <w:pStyle w:val="12"/>
        <w:spacing w:line="500" w:lineRule="exact"/>
        <w:rPr>
          <w:rFonts w:ascii="仿宋" w:hAnsi="仿宋" w:eastAsia="仿宋" w:cs="仿宋"/>
          <w:color w:val="auto"/>
          <w:szCs w:val="28"/>
          <w:highlight w:val="none"/>
        </w:rPr>
      </w:pPr>
    </w:p>
    <w:p w14:paraId="6A80E682">
      <w:pPr>
        <w:pStyle w:val="12"/>
        <w:spacing w:line="500" w:lineRule="exact"/>
        <w:rPr>
          <w:rFonts w:ascii="仿宋" w:hAnsi="仿宋" w:eastAsia="仿宋" w:cs="仿宋"/>
          <w:color w:val="auto"/>
          <w:szCs w:val="28"/>
          <w:highlight w:val="none"/>
        </w:rPr>
      </w:pPr>
    </w:p>
    <w:p w14:paraId="6BA8D9BD">
      <w:pPr>
        <w:pStyle w:val="12"/>
        <w:spacing w:line="500" w:lineRule="exact"/>
        <w:rPr>
          <w:rFonts w:ascii="仿宋" w:hAnsi="仿宋" w:eastAsia="仿宋" w:cs="仿宋"/>
          <w:color w:val="auto"/>
          <w:szCs w:val="28"/>
          <w:highlight w:val="none"/>
        </w:rPr>
      </w:pPr>
    </w:p>
    <w:p w14:paraId="2E500D73">
      <w:pPr>
        <w:widowControl/>
        <w:spacing w:line="500" w:lineRule="exact"/>
        <w:outlineLvl w:val="0"/>
        <w:rPr>
          <w:rFonts w:ascii="宋体" w:hAnsi="宋体"/>
          <w:b/>
          <w:color w:val="auto"/>
          <w:sz w:val="28"/>
          <w:szCs w:val="28"/>
          <w:highlight w:val="none"/>
        </w:rPr>
      </w:pPr>
      <w:bookmarkStart w:id="345" w:name="_Toc99609807"/>
      <w:bookmarkStart w:id="346" w:name="_Toc99610249"/>
      <w:bookmarkStart w:id="347" w:name="_Toc99610079"/>
      <w:bookmarkStart w:id="348" w:name="_Toc141870343"/>
      <w:bookmarkStart w:id="349" w:name="_Toc141969807"/>
      <w:bookmarkStart w:id="350" w:name="_Toc99609943"/>
      <w:bookmarkStart w:id="351" w:name="_Toc148084486"/>
      <w:bookmarkStart w:id="352" w:name="_Toc167252506"/>
      <w:r>
        <w:rPr>
          <w:rFonts w:hint="eastAsia" w:ascii="宋体" w:hAnsi="宋体" w:cs="仿宋"/>
          <w:b/>
          <w:bCs/>
          <w:color w:val="auto"/>
          <w:sz w:val="28"/>
          <w:szCs w:val="28"/>
          <w:highlight w:val="none"/>
        </w:rPr>
        <w:t>二、</w:t>
      </w:r>
      <w:r>
        <w:rPr>
          <w:rFonts w:hint="eastAsia" w:ascii="宋体" w:hAnsi="宋体"/>
          <w:b/>
          <w:color w:val="auto"/>
          <w:sz w:val="28"/>
          <w:szCs w:val="28"/>
          <w:highlight w:val="none"/>
        </w:rPr>
        <w:t>落实政府采购政策需满足的资格要求（如有）</w:t>
      </w:r>
    </w:p>
    <w:tbl>
      <w:tblPr>
        <w:tblStyle w:val="4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8517"/>
      </w:tblGrid>
      <w:tr w14:paraId="0AE7E4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9288" w:type="dxa"/>
          </w:tcPr>
          <w:p w14:paraId="627BC165">
            <w:pPr>
              <w:widowControl/>
              <w:spacing w:line="500" w:lineRule="exact"/>
              <w:jc w:val="center"/>
              <w:outlineLvl w:val="0"/>
              <w:rPr>
                <w:rFonts w:ascii="宋体" w:hAnsi="宋体"/>
                <w:b/>
                <w:color w:val="auto"/>
                <w:sz w:val="24"/>
                <w:highlight w:val="none"/>
              </w:rPr>
            </w:pPr>
            <w:r>
              <w:rPr>
                <w:rFonts w:hint="eastAsia" w:ascii="宋体" w:hAnsi="宋体"/>
                <w:b/>
                <w:color w:val="auto"/>
                <w:sz w:val="24"/>
                <w:highlight w:val="none"/>
              </w:rPr>
              <w:t>中小企业证明文件说明</w:t>
            </w:r>
          </w:p>
          <w:p w14:paraId="0CFE5D9D">
            <w:pPr>
              <w:widowControl/>
              <w:spacing w:line="500" w:lineRule="exact"/>
              <w:jc w:val="center"/>
              <w:outlineLvl w:val="0"/>
              <w:rPr>
                <w:rFonts w:ascii="宋体" w:hAnsi="宋体"/>
                <w:b/>
                <w:color w:val="auto"/>
                <w:sz w:val="24"/>
                <w:highlight w:val="none"/>
              </w:rPr>
            </w:pPr>
            <w:r>
              <w:rPr>
                <w:rFonts w:hint="eastAsia" w:ascii="宋体" w:hAnsi="宋体"/>
                <w:b/>
                <w:color w:val="auto"/>
                <w:sz w:val="18"/>
                <w:szCs w:val="18"/>
                <w:highlight w:val="none"/>
              </w:rPr>
              <w:t>（编制资格证明文件时可删除本说明）</w:t>
            </w:r>
          </w:p>
        </w:tc>
      </w:tr>
      <w:tr w14:paraId="074BC4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9288" w:type="dxa"/>
          </w:tcPr>
          <w:p w14:paraId="3D293379">
            <w:pPr>
              <w:widowControl/>
              <w:spacing w:line="500" w:lineRule="exact"/>
              <w:ind w:firstLine="480" w:firstLineChars="200"/>
              <w:outlineLvl w:val="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w:t>
            </w:r>
            <w:r>
              <w:rPr>
                <w:rFonts w:hint="eastAsia" w:ascii="宋体" w:hAnsi="宋体"/>
                <w:b/>
                <w:color w:val="auto"/>
                <w:sz w:val="24"/>
                <w:highlight w:val="none"/>
              </w:rPr>
              <w:t>如本项目不专门面向中小企业预留采购份额</w:t>
            </w:r>
            <w:r>
              <w:rPr>
                <w:rFonts w:hint="eastAsia" w:ascii="宋体" w:hAnsi="宋体"/>
                <w:color w:val="auto"/>
                <w:sz w:val="24"/>
                <w:highlight w:val="none"/>
              </w:rPr>
              <w:t>，资格证明文件部分</w:t>
            </w:r>
            <w:r>
              <w:rPr>
                <w:rFonts w:hint="eastAsia" w:ascii="宋体" w:hAnsi="宋体"/>
                <w:b/>
                <w:bCs/>
                <w:color w:val="auto"/>
                <w:sz w:val="24"/>
                <w:highlight w:val="none"/>
              </w:rPr>
              <w:t>无需</w:t>
            </w:r>
            <w:r>
              <w:rPr>
                <w:rFonts w:hint="eastAsia" w:ascii="宋体" w:hAnsi="宋体"/>
                <w:color w:val="auto"/>
                <w:sz w:val="24"/>
                <w:highlight w:val="none"/>
              </w:rPr>
              <w:t>提供《中小企业声明函》或《残疾人福利性单位声明函》或由省级以上监狱管理局、戒毒管理局（含新疆生产建设兵团）出具的属于监狱企业的证明文件；</w:t>
            </w:r>
            <w:r>
              <w:rPr>
                <w:rFonts w:hint="eastAsia" w:ascii="宋体" w:hAnsi="宋体"/>
                <w:b/>
                <w:color w:val="auto"/>
                <w:sz w:val="24"/>
                <w:highlight w:val="none"/>
              </w:rPr>
              <w:t>供应商如具有上述证明文件，建议在商务技术文件中提供。</w:t>
            </w:r>
          </w:p>
          <w:p w14:paraId="135B1C4E">
            <w:pPr>
              <w:widowControl/>
              <w:spacing w:line="500" w:lineRule="exact"/>
              <w:ind w:firstLine="480" w:firstLineChars="200"/>
              <w:outlineLvl w:val="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2</w:t>
            </w:r>
            <w:r>
              <w:rPr>
                <w:rFonts w:hint="eastAsia" w:ascii="宋体" w:hAnsi="宋体"/>
                <w:color w:val="auto"/>
                <w:sz w:val="24"/>
                <w:highlight w:val="none"/>
              </w:rPr>
              <w:t>）</w:t>
            </w:r>
            <w:r>
              <w:rPr>
                <w:rFonts w:hint="eastAsia" w:ascii="宋体" w:hAnsi="宋体" w:eastAsia="宋体" w:cs="宋体"/>
                <w:color w:val="auto"/>
                <w:sz w:val="24"/>
                <w:highlight w:val="none"/>
              </w:rPr>
              <w:t>★</w:t>
            </w:r>
            <w:r>
              <w:rPr>
                <w:rFonts w:hint="eastAsia" w:ascii="宋体" w:hAnsi="宋体"/>
                <w:b/>
                <w:color w:val="auto"/>
                <w:sz w:val="24"/>
                <w:highlight w:val="none"/>
              </w:rPr>
              <w:t>如本项目专门面向中小企业采购</w:t>
            </w:r>
            <w:r>
              <w:rPr>
                <w:rFonts w:hint="eastAsia" w:ascii="宋体" w:hAnsi="宋体"/>
                <w:color w:val="auto"/>
                <w:sz w:val="24"/>
                <w:highlight w:val="none"/>
              </w:rPr>
              <w:t>，投标文件中须提供《中小企业声明函》或《残疾人福利性单位声明函》或由省级以上监狱管理局、戒毒管理局（含新疆生产建设兵团）出具的属于监狱企业的证明文件，</w:t>
            </w:r>
            <w:r>
              <w:rPr>
                <w:rFonts w:hint="eastAsia" w:ascii="宋体" w:hAnsi="宋体"/>
                <w:b/>
                <w:color w:val="auto"/>
                <w:sz w:val="24"/>
                <w:highlight w:val="none"/>
              </w:rPr>
              <w:t>且建议在资格证明文件部分提供。</w:t>
            </w:r>
          </w:p>
          <w:p w14:paraId="1C11114F">
            <w:pPr>
              <w:widowControl/>
              <w:spacing w:line="500" w:lineRule="exact"/>
              <w:ind w:firstLine="480" w:firstLineChars="200"/>
              <w:outlineLvl w:val="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3</w:t>
            </w:r>
            <w:r>
              <w:rPr>
                <w:rFonts w:hint="eastAsia" w:ascii="宋体" w:hAnsi="宋体"/>
                <w:color w:val="auto"/>
                <w:sz w:val="24"/>
                <w:highlight w:val="none"/>
              </w:rPr>
              <w:t>）</w:t>
            </w:r>
            <w:r>
              <w:rPr>
                <w:rFonts w:hint="eastAsia" w:ascii="宋体" w:hAnsi="宋体"/>
                <w:b/>
                <w:color w:val="auto"/>
                <w:sz w:val="24"/>
                <w:highlight w:val="none"/>
              </w:rPr>
              <w:t>如本项目预留部分采购项目预算专门面向中小企业采购，</w:t>
            </w:r>
            <w:r>
              <w:rPr>
                <w:rFonts w:hint="eastAsia" w:ascii="宋体" w:hAnsi="宋体"/>
                <w:color w:val="auto"/>
                <w:sz w:val="24"/>
                <w:highlight w:val="none"/>
              </w:rPr>
              <w:t>且要求获得采购合同的供应商将采购项目中的一定比例分包给一家或者多家中小企业的，投标文件中除须提供《中小企业声明函》或《残疾人福利性单位声明函》或由省级以上监狱管理局、戒毒管理局（含新疆生产建设兵团）出具的属于监狱企业的证明文件，还须同时提供《拟分包情况说明》及《分包意向协议》，</w:t>
            </w:r>
            <w:r>
              <w:rPr>
                <w:rFonts w:hint="eastAsia" w:ascii="宋体" w:hAnsi="宋体"/>
                <w:b/>
                <w:color w:val="auto"/>
                <w:sz w:val="24"/>
                <w:highlight w:val="none"/>
              </w:rPr>
              <w:t>且建议在资格证明文件部分提供。</w:t>
            </w:r>
          </w:p>
          <w:p w14:paraId="66A3DE0C">
            <w:pPr>
              <w:widowControl/>
              <w:spacing w:line="500" w:lineRule="exact"/>
              <w:ind w:firstLine="480" w:firstLineChars="200"/>
              <w:outlineLvl w:val="0"/>
              <w:rPr>
                <w:rFonts w:ascii="宋体" w:hAnsi="宋体"/>
                <w:b/>
                <w:color w:val="auto"/>
                <w:sz w:val="24"/>
                <w:highlight w:val="none"/>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w:t>
            </w:r>
            <w:r>
              <w:rPr>
                <w:rFonts w:hint="eastAsia" w:ascii="宋体" w:hAnsi="宋体"/>
                <w:b/>
                <w:color w:val="auto"/>
                <w:sz w:val="24"/>
                <w:highlight w:val="none"/>
              </w:rPr>
              <w:t>如本项目预留部分采购项目预算专门面向中小企业采购，</w:t>
            </w:r>
            <w:r>
              <w:rPr>
                <w:rFonts w:hint="eastAsia" w:ascii="宋体" w:hAnsi="宋体"/>
                <w:color w:val="auto"/>
                <w:sz w:val="24"/>
                <w:highlight w:val="none"/>
              </w:rPr>
              <w:t>且要求供应商以联合体形式参加采购活动，投标文件中除须提供《中小企业声明函》或《残疾人福利性单位声明函》或由省级以上监狱管理局、戒毒管理局（含新疆生产建设兵团）出具的属于监狱企业的证明文件，还须同时提供《联合协议》；</w:t>
            </w:r>
            <w:r>
              <w:rPr>
                <w:rFonts w:hint="eastAsia" w:ascii="宋体" w:hAnsi="宋体"/>
                <w:b/>
                <w:color w:val="auto"/>
                <w:sz w:val="24"/>
                <w:highlight w:val="none"/>
              </w:rPr>
              <w:t>上述文件建议在资格证明文件部分提供</w:t>
            </w:r>
            <w:r>
              <w:rPr>
                <w:rFonts w:hint="eastAsia" w:ascii="宋体" w:hAnsi="宋体"/>
                <w:color w:val="auto"/>
                <w:sz w:val="24"/>
                <w:highlight w:val="none"/>
              </w:rPr>
              <w:t>。（</w:t>
            </w:r>
            <w:r>
              <w:rPr>
                <w:rFonts w:ascii="宋体" w:hAnsi="宋体"/>
                <w:color w:val="auto"/>
                <w:sz w:val="24"/>
                <w:highlight w:val="none"/>
              </w:rPr>
              <w:t>5</w:t>
            </w:r>
            <w:r>
              <w:rPr>
                <w:rFonts w:hint="eastAsia" w:ascii="宋体" w:hAnsi="宋体"/>
                <w:color w:val="auto"/>
                <w:sz w:val="24"/>
                <w:highlight w:val="none"/>
              </w:rPr>
              <w:t>）中小企业声明函填写注意事项</w:t>
            </w:r>
            <w:r>
              <w:rPr>
                <w:rFonts w:ascii="宋体" w:hAnsi="宋体"/>
                <w:color w:val="auto"/>
                <w:sz w:val="24"/>
                <w:highlight w:val="none"/>
              </w:rPr>
              <w:t>1</w:t>
            </w:r>
            <w:r>
              <w:rPr>
                <w:rFonts w:hint="eastAsia" w:ascii="宋体" w:hAnsi="宋体"/>
                <w:color w:val="auto"/>
                <w:sz w:val="24"/>
                <w:highlight w:val="none"/>
              </w:rPr>
              <w:t>）《中小企业声明函》由参加政府采购活动的</w:t>
            </w:r>
            <w:r>
              <w:rPr>
                <w:rFonts w:hint="eastAsia" w:ascii="宋体" w:hAnsi="宋体"/>
                <w:b/>
                <w:color w:val="auto"/>
                <w:sz w:val="24"/>
                <w:highlight w:val="none"/>
              </w:rPr>
              <w:t>投标人出具</w:t>
            </w:r>
            <w:r>
              <w:rPr>
                <w:rFonts w:hint="eastAsia" w:ascii="宋体" w:hAnsi="宋体"/>
                <w:color w:val="auto"/>
                <w:sz w:val="24"/>
                <w:highlight w:val="none"/>
              </w:rPr>
              <w:t>。联合体投标的，《中小企业声明函》可由牵头人出具。</w:t>
            </w:r>
            <w:r>
              <w:rPr>
                <w:rFonts w:ascii="宋体" w:hAnsi="宋体"/>
                <w:color w:val="auto"/>
                <w:sz w:val="24"/>
                <w:highlight w:val="none"/>
              </w:rPr>
              <w:t>2</w:t>
            </w:r>
            <w:r>
              <w:rPr>
                <w:rFonts w:hint="eastAsia" w:ascii="宋体" w:hAnsi="宋体"/>
                <w:color w:val="auto"/>
                <w:sz w:val="24"/>
                <w:highlight w:val="none"/>
              </w:rPr>
              <w:t>）对于联合体中由中小企业承担的部分，或者分包给中小企业的部分，必须全部由中小企业制造、承建或者承接。供应商应当在声明函“标的名称”部分标明联合体中中小企业承担的具体内容或者中小企业的具体分包内容。</w:t>
            </w:r>
            <w:r>
              <w:rPr>
                <w:rFonts w:ascii="宋体" w:hAnsi="宋体"/>
                <w:color w:val="auto"/>
                <w:sz w:val="24"/>
                <w:highlight w:val="none"/>
              </w:rPr>
              <w:t>3</w:t>
            </w:r>
            <w:r>
              <w:rPr>
                <w:rFonts w:hint="eastAsia" w:ascii="宋体" w:hAnsi="宋体"/>
                <w:color w:val="auto"/>
                <w:sz w:val="24"/>
                <w:highlight w:val="none"/>
              </w:rPr>
              <w:t>）对于多标的采购项目，投标人应充分、准确地了解所提供货物的制造企业、提供服务的承接企业信息。</w:t>
            </w:r>
            <w:r>
              <w:rPr>
                <w:rFonts w:hint="eastAsia" w:ascii="宋体" w:hAnsi="宋体"/>
                <w:b/>
                <w:color w:val="auto"/>
                <w:sz w:val="24"/>
                <w:highlight w:val="none"/>
              </w:rPr>
              <w:t>对相关情况了解不清楚的，不建议填报本声明函。</w:t>
            </w:r>
          </w:p>
          <w:p w14:paraId="01FDA52B">
            <w:pPr>
              <w:widowControl/>
              <w:spacing w:line="500" w:lineRule="exact"/>
              <w:ind w:firstLine="480" w:firstLineChars="200"/>
              <w:outlineLvl w:val="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6</w:t>
            </w:r>
            <w:r>
              <w:rPr>
                <w:rFonts w:hint="eastAsia" w:ascii="宋体" w:hAnsi="宋体"/>
                <w:color w:val="auto"/>
                <w:sz w:val="24"/>
                <w:highlight w:val="none"/>
              </w:rPr>
              <w:t>）温馨提示：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本项目中小企业划分标准所属行业详见第二章《投标人须知前附表》，如在该程序中未找到本项目文件规定的中小企业划分标准所属行业，则按照《关于印发中小企业划型标准规定的通知（工信部联企业﹝2011﹞300 号）》及本项目文件规定的中小企业划分标准所属行业执行。</w:t>
            </w:r>
          </w:p>
        </w:tc>
      </w:tr>
    </w:tbl>
    <w:p w14:paraId="01F0FE38">
      <w:pPr>
        <w:pStyle w:val="12"/>
        <w:rPr>
          <w:color w:val="auto"/>
          <w:highlight w:val="none"/>
        </w:rPr>
      </w:pPr>
    </w:p>
    <w:p w14:paraId="1D397ECA">
      <w:pPr>
        <w:pStyle w:val="12"/>
        <w:rPr>
          <w:color w:val="auto"/>
          <w:highlight w:val="none"/>
        </w:rPr>
      </w:pPr>
    </w:p>
    <w:p w14:paraId="25AE1FF2">
      <w:pPr>
        <w:pStyle w:val="12"/>
        <w:rPr>
          <w:color w:val="auto"/>
          <w:highlight w:val="none"/>
        </w:rPr>
      </w:pPr>
    </w:p>
    <w:p w14:paraId="4A5B47DD">
      <w:pPr>
        <w:pStyle w:val="12"/>
        <w:rPr>
          <w:color w:val="auto"/>
          <w:highlight w:val="none"/>
        </w:rPr>
      </w:pPr>
    </w:p>
    <w:p w14:paraId="6984ED0D">
      <w:pPr>
        <w:pStyle w:val="12"/>
        <w:rPr>
          <w:color w:val="auto"/>
          <w:highlight w:val="none"/>
        </w:rPr>
      </w:pPr>
    </w:p>
    <w:p w14:paraId="1E441001">
      <w:pPr>
        <w:pStyle w:val="12"/>
        <w:rPr>
          <w:color w:val="auto"/>
          <w:highlight w:val="none"/>
        </w:rPr>
      </w:pPr>
    </w:p>
    <w:p w14:paraId="4A4A4F80">
      <w:pPr>
        <w:pStyle w:val="12"/>
        <w:rPr>
          <w:color w:val="auto"/>
          <w:highlight w:val="none"/>
        </w:rPr>
      </w:pPr>
    </w:p>
    <w:p w14:paraId="09445AC9">
      <w:pPr>
        <w:pStyle w:val="12"/>
        <w:rPr>
          <w:color w:val="auto"/>
          <w:highlight w:val="none"/>
        </w:rPr>
      </w:pPr>
    </w:p>
    <w:p w14:paraId="3888C1B9">
      <w:pPr>
        <w:pStyle w:val="12"/>
        <w:rPr>
          <w:color w:val="auto"/>
          <w:highlight w:val="none"/>
        </w:rPr>
      </w:pPr>
    </w:p>
    <w:p w14:paraId="589F93F0">
      <w:pPr>
        <w:pStyle w:val="12"/>
        <w:rPr>
          <w:color w:val="auto"/>
          <w:highlight w:val="none"/>
        </w:rPr>
      </w:pPr>
    </w:p>
    <w:p w14:paraId="301DA550">
      <w:pPr>
        <w:pStyle w:val="12"/>
        <w:rPr>
          <w:color w:val="auto"/>
          <w:highlight w:val="none"/>
        </w:rPr>
      </w:pPr>
    </w:p>
    <w:p w14:paraId="12EBCE80">
      <w:pPr>
        <w:pStyle w:val="12"/>
        <w:rPr>
          <w:color w:val="auto"/>
          <w:highlight w:val="none"/>
        </w:rPr>
      </w:pPr>
    </w:p>
    <w:p w14:paraId="3A591F6A">
      <w:pPr>
        <w:pStyle w:val="12"/>
        <w:rPr>
          <w:color w:val="auto"/>
          <w:highlight w:val="none"/>
        </w:rPr>
      </w:pPr>
    </w:p>
    <w:p w14:paraId="139AAAAC">
      <w:pPr>
        <w:pStyle w:val="12"/>
        <w:rPr>
          <w:color w:val="auto"/>
          <w:highlight w:val="none"/>
        </w:rPr>
      </w:pPr>
    </w:p>
    <w:p w14:paraId="2CC724C4">
      <w:pPr>
        <w:pStyle w:val="12"/>
        <w:rPr>
          <w:color w:val="auto"/>
          <w:highlight w:val="none"/>
        </w:rPr>
      </w:pPr>
    </w:p>
    <w:p w14:paraId="1A3973B5">
      <w:pPr>
        <w:pStyle w:val="12"/>
        <w:rPr>
          <w:color w:val="auto"/>
          <w:highlight w:val="none"/>
        </w:rPr>
      </w:pPr>
    </w:p>
    <w:p w14:paraId="1955FC30">
      <w:pPr>
        <w:pStyle w:val="67"/>
        <w:widowControl/>
        <w:numPr>
          <w:ilvl w:val="0"/>
          <w:numId w:val="6"/>
        </w:numPr>
        <w:spacing w:line="500" w:lineRule="exact"/>
        <w:ind w:firstLineChars="0"/>
        <w:jc w:val="center"/>
        <w:outlineLvl w:val="0"/>
        <w:rPr>
          <w:rFonts w:ascii="宋体" w:hAnsi="宋体" w:cs="仿宋"/>
          <w:b/>
          <w:bCs/>
          <w:color w:val="auto"/>
          <w:sz w:val="28"/>
          <w:szCs w:val="24"/>
          <w:highlight w:val="none"/>
        </w:rPr>
      </w:pPr>
      <w:r>
        <w:rPr>
          <w:rFonts w:hint="eastAsia" w:ascii="宋体" w:hAnsi="宋体" w:cs="仿宋"/>
          <w:b/>
          <w:bCs/>
          <w:color w:val="auto"/>
          <w:sz w:val="28"/>
          <w:szCs w:val="24"/>
          <w:highlight w:val="none"/>
        </w:rPr>
        <w:t>中小企业声明函（货物）</w:t>
      </w:r>
      <w:r>
        <w:rPr>
          <w:rFonts w:ascii="宋体" w:hAnsi="宋体"/>
          <w:b/>
          <w:bCs/>
          <w:color w:val="auto"/>
          <w:spacing w:val="-9"/>
          <w:sz w:val="28"/>
          <w:szCs w:val="24"/>
          <w:highlight w:val="none"/>
        </w:rPr>
        <w:t>（实质性格式）</w:t>
      </w:r>
    </w:p>
    <w:p w14:paraId="3E5BCB52">
      <w:pPr>
        <w:widowControl/>
        <w:spacing w:line="500" w:lineRule="exact"/>
        <w:ind w:firstLine="480" w:firstLineChars="200"/>
        <w:jc w:val="left"/>
        <w:outlineLvl w:val="0"/>
        <w:rPr>
          <w:rFonts w:ascii="宋体" w:hAnsi="宋体" w:cs="仿宋"/>
          <w:bCs/>
          <w:color w:val="auto"/>
          <w:sz w:val="24"/>
          <w:highlight w:val="none"/>
        </w:rPr>
      </w:pPr>
      <w:r>
        <w:rPr>
          <w:rFonts w:hint="eastAsia" w:ascii="宋体" w:hAnsi="宋体" w:cs="仿宋"/>
          <w:bCs/>
          <w:color w:val="auto"/>
          <w:sz w:val="24"/>
          <w:highlight w:val="none"/>
        </w:rPr>
        <w:t>本公司（联合体）郑重声明，根据《政府采购促进中小企业发展管理办法》（财库﹝2020﹞46 号）的规定，本公司（联合体）参加</w:t>
      </w:r>
      <w:r>
        <w:rPr>
          <w:rFonts w:hint="eastAsia" w:ascii="宋体" w:hAnsi="宋体" w:cs="仿宋"/>
          <w:bCs/>
          <w:color w:val="auto"/>
          <w:sz w:val="24"/>
          <w:highlight w:val="none"/>
          <w:u w:val="single"/>
        </w:rPr>
        <w:t>（单位名称）</w:t>
      </w:r>
      <w:r>
        <w:rPr>
          <w:rFonts w:hint="eastAsia" w:ascii="宋体" w:hAnsi="宋体" w:cs="仿宋"/>
          <w:bCs/>
          <w:color w:val="auto"/>
          <w:sz w:val="24"/>
          <w:highlight w:val="none"/>
        </w:rPr>
        <w:t>的</w:t>
      </w:r>
      <w:r>
        <w:rPr>
          <w:rFonts w:hint="eastAsia" w:ascii="宋体" w:hAnsi="宋体" w:cs="仿宋"/>
          <w:bCs/>
          <w:color w:val="auto"/>
          <w:sz w:val="24"/>
          <w:highlight w:val="none"/>
          <w:u w:val="single"/>
        </w:rPr>
        <w:t>（项目名称）</w:t>
      </w:r>
      <w:r>
        <w:rPr>
          <w:rFonts w:hint="eastAsia" w:ascii="宋体" w:hAnsi="宋体" w:cs="仿宋"/>
          <w:bCs/>
          <w:color w:val="auto"/>
          <w:sz w:val="24"/>
          <w:highlight w:val="none"/>
        </w:rPr>
        <w:t>采购活动，提供的货物全部由符合政策要求的中小企业制造。相关企业（含联合体中的中小企业、签订分包意向协议的中小企业）的具体情况如下：</w:t>
      </w:r>
    </w:p>
    <w:p w14:paraId="77D5E0C7">
      <w:pPr>
        <w:widowControl/>
        <w:numPr>
          <w:ilvl w:val="0"/>
          <w:numId w:val="7"/>
        </w:numPr>
        <w:spacing w:line="500" w:lineRule="exact"/>
        <w:ind w:firstLine="480" w:firstLineChars="200"/>
        <w:jc w:val="left"/>
        <w:outlineLvl w:val="0"/>
        <w:rPr>
          <w:rFonts w:hint="eastAsia" w:ascii="宋体" w:hAnsi="宋体" w:cs="仿宋"/>
          <w:bCs/>
          <w:color w:val="auto"/>
          <w:sz w:val="24"/>
          <w:highlight w:val="none"/>
        </w:rPr>
      </w:pPr>
      <w:r>
        <w:rPr>
          <w:rFonts w:hint="eastAsia" w:ascii="宋体" w:hAnsi="宋体" w:cs="仿宋"/>
          <w:bCs/>
          <w:color w:val="auto"/>
          <w:sz w:val="24"/>
          <w:highlight w:val="none"/>
          <w:u w:val="single"/>
        </w:rPr>
        <w:t xml:space="preserve">（标的名称） </w:t>
      </w:r>
      <w:r>
        <w:rPr>
          <w:rFonts w:hint="eastAsia" w:ascii="宋体" w:hAnsi="宋体" w:cs="仿宋"/>
          <w:bCs/>
          <w:color w:val="auto"/>
          <w:sz w:val="24"/>
          <w:highlight w:val="none"/>
        </w:rPr>
        <w:t>，属于</w:t>
      </w:r>
      <w:r>
        <w:rPr>
          <w:rFonts w:hint="eastAsia" w:ascii="宋体" w:hAnsi="宋体" w:cs="仿宋"/>
          <w:bCs/>
          <w:color w:val="auto"/>
          <w:sz w:val="24"/>
          <w:highlight w:val="none"/>
          <w:u w:val="single"/>
        </w:rPr>
        <w:t>（采购文件中明确的所属行业）</w:t>
      </w:r>
      <w:r>
        <w:rPr>
          <w:rFonts w:hint="eastAsia" w:ascii="宋体" w:hAnsi="宋体" w:cs="仿宋"/>
          <w:bCs/>
          <w:color w:val="auto"/>
          <w:sz w:val="24"/>
          <w:highlight w:val="none"/>
        </w:rPr>
        <w:t>行业；制造商为</w:t>
      </w:r>
      <w:r>
        <w:rPr>
          <w:rFonts w:hint="eastAsia" w:ascii="宋体" w:hAnsi="宋体" w:cs="仿宋"/>
          <w:bCs/>
          <w:color w:val="auto"/>
          <w:sz w:val="24"/>
          <w:highlight w:val="none"/>
          <w:u w:val="single"/>
        </w:rPr>
        <w:t>（企业名称）</w:t>
      </w:r>
      <w:r>
        <w:rPr>
          <w:rFonts w:hint="eastAsia" w:ascii="宋体" w:hAnsi="宋体" w:cs="仿宋"/>
          <w:bCs/>
          <w:color w:val="auto"/>
          <w:sz w:val="24"/>
          <w:highlight w:val="none"/>
        </w:rPr>
        <w:t>，从业人员</w:t>
      </w:r>
      <w:r>
        <w:rPr>
          <w:rFonts w:hint="eastAsia" w:ascii="宋体" w:hAnsi="宋体" w:cs="仿宋"/>
          <w:bCs/>
          <w:color w:val="auto"/>
          <w:sz w:val="24"/>
          <w:highlight w:val="none"/>
          <w:u w:val="single"/>
        </w:rPr>
        <w:t xml:space="preserve">    </w:t>
      </w:r>
      <w:r>
        <w:rPr>
          <w:rFonts w:hint="eastAsia" w:ascii="宋体" w:hAnsi="宋体" w:cs="仿宋"/>
          <w:bCs/>
          <w:color w:val="auto"/>
          <w:sz w:val="24"/>
          <w:highlight w:val="none"/>
        </w:rPr>
        <w:t>人，营业收入为</w:t>
      </w:r>
      <w:r>
        <w:rPr>
          <w:rFonts w:hint="eastAsia" w:ascii="宋体" w:hAnsi="宋体" w:cs="仿宋"/>
          <w:bCs/>
          <w:color w:val="auto"/>
          <w:sz w:val="24"/>
          <w:highlight w:val="none"/>
          <w:u w:val="single"/>
        </w:rPr>
        <w:t xml:space="preserve">    </w:t>
      </w:r>
      <w:r>
        <w:rPr>
          <w:rFonts w:hint="eastAsia" w:ascii="宋体" w:hAnsi="宋体" w:cs="仿宋"/>
          <w:bCs/>
          <w:color w:val="auto"/>
          <w:sz w:val="24"/>
          <w:highlight w:val="none"/>
        </w:rPr>
        <w:t>万元，资产总额为</w:t>
      </w:r>
      <w:r>
        <w:rPr>
          <w:rFonts w:hint="eastAsia" w:ascii="宋体" w:hAnsi="宋体" w:cs="仿宋"/>
          <w:bCs/>
          <w:color w:val="auto"/>
          <w:sz w:val="24"/>
          <w:highlight w:val="none"/>
          <w:u w:val="single"/>
        </w:rPr>
        <w:t xml:space="preserve">    </w:t>
      </w:r>
      <w:r>
        <w:rPr>
          <w:rFonts w:hint="eastAsia" w:ascii="宋体" w:hAnsi="宋体" w:cs="仿宋"/>
          <w:bCs/>
          <w:color w:val="auto"/>
          <w:sz w:val="24"/>
          <w:highlight w:val="none"/>
        </w:rPr>
        <w:t>万元，属于</w:t>
      </w:r>
      <w:r>
        <w:rPr>
          <w:rFonts w:hint="eastAsia" w:ascii="宋体" w:hAnsi="宋体" w:cs="仿宋"/>
          <w:bCs/>
          <w:color w:val="auto"/>
          <w:sz w:val="24"/>
          <w:highlight w:val="none"/>
          <w:u w:val="single"/>
        </w:rPr>
        <w:t>（中型企业、小型企业、微型企业）</w:t>
      </w:r>
      <w:r>
        <w:rPr>
          <w:rFonts w:hint="eastAsia" w:ascii="宋体" w:hAnsi="宋体" w:cs="仿宋"/>
          <w:bCs/>
          <w:color w:val="auto"/>
          <w:sz w:val="24"/>
          <w:highlight w:val="none"/>
        </w:rPr>
        <w:t>；</w:t>
      </w:r>
    </w:p>
    <w:p w14:paraId="70AF99AE">
      <w:pPr>
        <w:widowControl/>
        <w:spacing w:line="500" w:lineRule="exact"/>
        <w:ind w:firstLine="480" w:firstLineChars="200"/>
        <w:jc w:val="left"/>
        <w:outlineLvl w:val="0"/>
        <w:rPr>
          <w:rFonts w:ascii="宋体" w:hAnsi="宋体" w:cs="仿宋"/>
          <w:bCs/>
          <w:color w:val="auto"/>
          <w:sz w:val="24"/>
          <w:highlight w:val="none"/>
        </w:rPr>
      </w:pPr>
      <w:r>
        <w:rPr>
          <w:rFonts w:hint="eastAsia" w:ascii="宋体" w:hAnsi="宋体" w:cs="仿宋"/>
          <w:bCs/>
          <w:color w:val="auto"/>
          <w:sz w:val="24"/>
          <w:highlight w:val="none"/>
        </w:rPr>
        <w:t>2.</w:t>
      </w:r>
      <w:r>
        <w:rPr>
          <w:rFonts w:hint="eastAsia" w:ascii="宋体" w:hAnsi="宋体" w:cs="仿宋"/>
          <w:bCs/>
          <w:color w:val="auto"/>
          <w:sz w:val="24"/>
          <w:highlight w:val="none"/>
          <w:u w:val="single"/>
        </w:rPr>
        <w:t xml:space="preserve"> （标的名称） </w:t>
      </w:r>
      <w:r>
        <w:rPr>
          <w:rFonts w:hint="eastAsia" w:ascii="宋体" w:hAnsi="宋体" w:cs="仿宋"/>
          <w:bCs/>
          <w:color w:val="auto"/>
          <w:sz w:val="24"/>
          <w:highlight w:val="none"/>
        </w:rPr>
        <w:t>，属于</w:t>
      </w:r>
      <w:r>
        <w:rPr>
          <w:rFonts w:hint="eastAsia" w:ascii="宋体" w:hAnsi="宋体" w:cs="仿宋"/>
          <w:bCs/>
          <w:color w:val="auto"/>
          <w:sz w:val="24"/>
          <w:highlight w:val="none"/>
          <w:u w:val="single"/>
        </w:rPr>
        <w:t>（采购文件中明确的所属行业）</w:t>
      </w:r>
      <w:r>
        <w:rPr>
          <w:rFonts w:hint="eastAsia" w:ascii="宋体" w:hAnsi="宋体" w:cs="仿宋"/>
          <w:bCs/>
          <w:color w:val="auto"/>
          <w:sz w:val="24"/>
          <w:highlight w:val="none"/>
        </w:rPr>
        <w:t>行业；制造商为</w:t>
      </w:r>
      <w:r>
        <w:rPr>
          <w:rFonts w:hint="eastAsia" w:ascii="宋体" w:hAnsi="宋体" w:cs="仿宋"/>
          <w:bCs/>
          <w:color w:val="auto"/>
          <w:sz w:val="24"/>
          <w:highlight w:val="none"/>
          <w:u w:val="single"/>
        </w:rPr>
        <w:t>（企业名称）</w:t>
      </w:r>
      <w:r>
        <w:rPr>
          <w:rFonts w:hint="eastAsia" w:ascii="宋体" w:hAnsi="宋体" w:cs="仿宋"/>
          <w:bCs/>
          <w:color w:val="auto"/>
          <w:sz w:val="24"/>
          <w:highlight w:val="none"/>
        </w:rPr>
        <w:t>，从业人员</w:t>
      </w:r>
      <w:r>
        <w:rPr>
          <w:rFonts w:hint="eastAsia" w:ascii="宋体" w:hAnsi="宋体" w:cs="仿宋"/>
          <w:bCs/>
          <w:color w:val="auto"/>
          <w:sz w:val="24"/>
          <w:highlight w:val="none"/>
          <w:u w:val="single"/>
        </w:rPr>
        <w:t xml:space="preserve">    </w:t>
      </w:r>
      <w:r>
        <w:rPr>
          <w:rFonts w:hint="eastAsia" w:ascii="宋体" w:hAnsi="宋体" w:cs="仿宋"/>
          <w:bCs/>
          <w:color w:val="auto"/>
          <w:sz w:val="24"/>
          <w:highlight w:val="none"/>
        </w:rPr>
        <w:t>人，营业收入为</w:t>
      </w:r>
      <w:r>
        <w:rPr>
          <w:rFonts w:hint="eastAsia" w:ascii="宋体" w:hAnsi="宋体" w:cs="仿宋"/>
          <w:bCs/>
          <w:color w:val="auto"/>
          <w:sz w:val="24"/>
          <w:highlight w:val="none"/>
          <w:u w:val="single"/>
        </w:rPr>
        <w:t xml:space="preserve">    </w:t>
      </w:r>
      <w:r>
        <w:rPr>
          <w:rFonts w:hint="eastAsia" w:ascii="宋体" w:hAnsi="宋体" w:cs="仿宋"/>
          <w:bCs/>
          <w:color w:val="auto"/>
          <w:sz w:val="24"/>
          <w:highlight w:val="none"/>
        </w:rPr>
        <w:t>万元，资产总额为</w:t>
      </w:r>
      <w:r>
        <w:rPr>
          <w:rFonts w:hint="eastAsia" w:ascii="宋体" w:hAnsi="宋体" w:cs="仿宋"/>
          <w:bCs/>
          <w:color w:val="auto"/>
          <w:sz w:val="24"/>
          <w:highlight w:val="none"/>
          <w:u w:val="single"/>
        </w:rPr>
        <w:t xml:space="preserve">    </w:t>
      </w:r>
      <w:r>
        <w:rPr>
          <w:rFonts w:hint="eastAsia" w:ascii="宋体" w:hAnsi="宋体" w:cs="仿宋"/>
          <w:bCs/>
          <w:color w:val="auto"/>
          <w:sz w:val="24"/>
          <w:highlight w:val="none"/>
        </w:rPr>
        <w:t>万元，属于</w:t>
      </w:r>
      <w:r>
        <w:rPr>
          <w:rFonts w:hint="eastAsia" w:ascii="宋体" w:hAnsi="宋体" w:cs="仿宋"/>
          <w:bCs/>
          <w:color w:val="auto"/>
          <w:sz w:val="24"/>
          <w:highlight w:val="none"/>
          <w:u w:val="single"/>
        </w:rPr>
        <w:t>（中型企业、小型企业、微型企业）</w:t>
      </w:r>
      <w:r>
        <w:rPr>
          <w:rFonts w:hint="eastAsia" w:ascii="宋体" w:hAnsi="宋体" w:cs="仿宋"/>
          <w:bCs/>
          <w:color w:val="auto"/>
          <w:sz w:val="24"/>
          <w:highlight w:val="none"/>
        </w:rPr>
        <w:t>；</w:t>
      </w:r>
    </w:p>
    <w:p w14:paraId="38107A63">
      <w:pPr>
        <w:widowControl/>
        <w:spacing w:line="500" w:lineRule="exact"/>
        <w:ind w:firstLine="480" w:firstLineChars="200"/>
        <w:jc w:val="left"/>
        <w:outlineLvl w:val="0"/>
        <w:rPr>
          <w:rFonts w:ascii="宋体" w:hAnsi="宋体" w:cs="仿宋"/>
          <w:bCs/>
          <w:color w:val="auto"/>
          <w:sz w:val="24"/>
          <w:highlight w:val="none"/>
        </w:rPr>
      </w:pPr>
      <w:r>
        <w:rPr>
          <w:rFonts w:hint="eastAsia" w:ascii="宋体" w:hAnsi="宋体" w:cs="仿宋"/>
          <w:bCs/>
          <w:color w:val="auto"/>
          <w:sz w:val="24"/>
          <w:highlight w:val="none"/>
        </w:rPr>
        <w:t>……</w:t>
      </w:r>
    </w:p>
    <w:p w14:paraId="12951AE3">
      <w:pPr>
        <w:widowControl/>
        <w:spacing w:line="500" w:lineRule="exact"/>
        <w:ind w:firstLine="480" w:firstLineChars="200"/>
        <w:jc w:val="left"/>
        <w:outlineLvl w:val="0"/>
        <w:rPr>
          <w:rFonts w:ascii="宋体" w:hAnsi="宋体" w:cs="仿宋"/>
          <w:bCs/>
          <w:color w:val="auto"/>
          <w:sz w:val="24"/>
          <w:highlight w:val="none"/>
        </w:rPr>
      </w:pPr>
      <w:r>
        <w:rPr>
          <w:rFonts w:hint="eastAsia" w:ascii="宋体" w:hAnsi="宋体" w:cs="仿宋"/>
          <w:bCs/>
          <w:color w:val="auto"/>
          <w:sz w:val="24"/>
          <w:highlight w:val="none"/>
        </w:rPr>
        <w:t>以上企业，不属于大企业的分支机构，不存在控股股东为大企业的情形，也不存在与大企业的负责人为同一人的情形。</w:t>
      </w:r>
    </w:p>
    <w:p w14:paraId="34232FD3">
      <w:pPr>
        <w:widowControl/>
        <w:spacing w:line="500" w:lineRule="exact"/>
        <w:ind w:firstLine="480" w:firstLineChars="200"/>
        <w:jc w:val="left"/>
        <w:outlineLvl w:val="0"/>
        <w:rPr>
          <w:rFonts w:ascii="宋体" w:hAnsi="宋体" w:cs="仿宋"/>
          <w:bCs/>
          <w:color w:val="auto"/>
          <w:sz w:val="24"/>
          <w:highlight w:val="none"/>
        </w:rPr>
      </w:pPr>
      <w:r>
        <w:rPr>
          <w:rFonts w:hint="eastAsia" w:ascii="宋体" w:hAnsi="宋体" w:cs="仿宋"/>
          <w:bCs/>
          <w:color w:val="auto"/>
          <w:sz w:val="24"/>
          <w:highlight w:val="none"/>
        </w:rPr>
        <w:t>本企业对上述声明内容的真实性负责。如有虚假，将依法承担相应责任。</w:t>
      </w:r>
    </w:p>
    <w:p w14:paraId="7A82CAD6">
      <w:pPr>
        <w:widowControl/>
        <w:spacing w:line="500" w:lineRule="exact"/>
        <w:ind w:firstLine="480" w:firstLineChars="200"/>
        <w:jc w:val="center"/>
        <w:outlineLvl w:val="0"/>
        <w:rPr>
          <w:rFonts w:ascii="宋体" w:hAnsi="宋体" w:cs="仿宋"/>
          <w:bCs/>
          <w:color w:val="auto"/>
          <w:sz w:val="24"/>
          <w:highlight w:val="none"/>
        </w:rPr>
      </w:pPr>
      <w:r>
        <w:rPr>
          <w:rFonts w:hint="eastAsia" w:ascii="宋体" w:hAnsi="宋体" w:cs="仿宋"/>
          <w:bCs/>
          <w:color w:val="auto"/>
          <w:sz w:val="24"/>
          <w:highlight w:val="none"/>
        </w:rPr>
        <w:t xml:space="preserve">                      </w:t>
      </w:r>
    </w:p>
    <w:p w14:paraId="5C80FBAA">
      <w:pPr>
        <w:widowControl/>
        <w:spacing w:line="500" w:lineRule="exact"/>
        <w:ind w:firstLine="480" w:firstLineChars="200"/>
        <w:jc w:val="center"/>
        <w:outlineLvl w:val="0"/>
        <w:rPr>
          <w:rFonts w:ascii="宋体" w:hAnsi="宋体" w:cs="仿宋"/>
          <w:bCs/>
          <w:color w:val="auto"/>
          <w:sz w:val="24"/>
          <w:highlight w:val="none"/>
        </w:rPr>
      </w:pPr>
      <w:r>
        <w:rPr>
          <w:rFonts w:hint="eastAsia" w:ascii="宋体" w:hAnsi="宋体" w:cs="仿宋"/>
          <w:bCs/>
          <w:color w:val="auto"/>
          <w:sz w:val="24"/>
          <w:highlight w:val="none"/>
        </w:rPr>
        <w:t xml:space="preserve">                         企业名称（盖章）：</w:t>
      </w:r>
    </w:p>
    <w:p w14:paraId="3C0C2E7B">
      <w:pPr>
        <w:widowControl/>
        <w:spacing w:line="500" w:lineRule="exact"/>
        <w:ind w:firstLine="480" w:firstLineChars="200"/>
        <w:jc w:val="center"/>
        <w:outlineLvl w:val="0"/>
        <w:rPr>
          <w:rFonts w:ascii="宋体" w:hAnsi="宋体" w:cs="仿宋"/>
          <w:bCs/>
          <w:color w:val="auto"/>
          <w:sz w:val="24"/>
          <w:highlight w:val="none"/>
        </w:rPr>
      </w:pPr>
      <w:r>
        <w:rPr>
          <w:rFonts w:hint="eastAsia" w:ascii="宋体" w:hAnsi="宋体" w:cs="仿宋"/>
          <w:bCs/>
          <w:color w:val="auto"/>
          <w:sz w:val="24"/>
          <w:highlight w:val="none"/>
        </w:rPr>
        <w:t xml:space="preserve">                        日期：</w:t>
      </w:r>
    </w:p>
    <w:p w14:paraId="6B80BA9B">
      <w:pPr>
        <w:pStyle w:val="12"/>
        <w:rPr>
          <w:color w:val="auto"/>
          <w:highlight w:val="none"/>
        </w:rPr>
      </w:pPr>
    </w:p>
    <w:p w14:paraId="40C047E9">
      <w:pPr>
        <w:pStyle w:val="12"/>
        <w:rPr>
          <w:color w:val="auto"/>
          <w:highlight w:val="none"/>
        </w:rPr>
      </w:pPr>
    </w:p>
    <w:p w14:paraId="3AE8F789">
      <w:pPr>
        <w:pStyle w:val="12"/>
        <w:rPr>
          <w:color w:val="auto"/>
          <w:highlight w:val="none"/>
        </w:rPr>
      </w:pPr>
    </w:p>
    <w:p w14:paraId="62CA7C43">
      <w:pPr>
        <w:pStyle w:val="12"/>
        <w:rPr>
          <w:color w:val="auto"/>
          <w:highlight w:val="none"/>
        </w:rPr>
      </w:pPr>
    </w:p>
    <w:p w14:paraId="56443722">
      <w:pPr>
        <w:pStyle w:val="12"/>
        <w:rPr>
          <w:color w:val="auto"/>
          <w:highlight w:val="none"/>
        </w:rPr>
      </w:pPr>
    </w:p>
    <w:p w14:paraId="2E2F9EE0">
      <w:pPr>
        <w:widowControl/>
        <w:pBdr>
          <w:top w:val="single" w:color="auto" w:sz="12" w:space="1"/>
        </w:pBdr>
        <w:spacing w:line="400" w:lineRule="exact"/>
        <w:jc w:val="left"/>
        <w:outlineLvl w:val="0"/>
        <w:rPr>
          <w:rFonts w:ascii="宋体" w:hAnsi="宋体" w:cs="仿宋"/>
          <w:b/>
          <w:bCs/>
          <w:color w:val="auto"/>
          <w:szCs w:val="21"/>
          <w:highlight w:val="none"/>
        </w:rPr>
      </w:pPr>
      <w:r>
        <w:rPr>
          <w:rFonts w:hint="eastAsia" w:ascii="宋体" w:hAnsi="宋体" w:cs="仿宋"/>
          <w:b/>
          <w:bCs/>
          <w:color w:val="auto"/>
          <w:szCs w:val="21"/>
          <w:highlight w:val="none"/>
        </w:rPr>
        <w:t>从业人员、营业收入、资产总额填报上一年度数据，无上一年度数据的新成立企业可不填报。</w:t>
      </w:r>
    </w:p>
    <w:p w14:paraId="251E2B85">
      <w:pPr>
        <w:pStyle w:val="12"/>
        <w:rPr>
          <w:color w:val="auto"/>
          <w:highlight w:val="none"/>
        </w:rPr>
      </w:pPr>
    </w:p>
    <w:p w14:paraId="3144C2BD">
      <w:pPr>
        <w:pStyle w:val="12"/>
        <w:rPr>
          <w:color w:val="auto"/>
          <w:highlight w:val="none"/>
        </w:rPr>
      </w:pPr>
    </w:p>
    <w:p w14:paraId="2360341C">
      <w:pPr>
        <w:pStyle w:val="67"/>
        <w:numPr>
          <w:ilvl w:val="0"/>
          <w:numId w:val="0"/>
        </w:numPr>
        <w:spacing w:line="460" w:lineRule="exact"/>
        <w:ind w:left="420" w:leftChars="0" w:hanging="420" w:firstLineChars="0"/>
        <w:jc w:val="center"/>
        <w:rPr>
          <w:rFonts w:ascii="宋体" w:hAnsi="宋体"/>
          <w:b/>
          <w:color w:val="auto"/>
          <w:sz w:val="28"/>
          <w:szCs w:val="21"/>
          <w:highlight w:val="none"/>
        </w:rPr>
      </w:pPr>
      <w:r>
        <w:rPr>
          <w:rFonts w:hint="default" w:ascii="Wingdings" w:hAnsi="Wingdings" w:eastAsia="宋体" w:cs="Times New Roman"/>
          <w:b/>
          <w:color w:val="auto"/>
          <w:kern w:val="2"/>
          <w:sz w:val="28"/>
          <w:szCs w:val="21"/>
          <w:highlight w:val="none"/>
          <w:lang w:val="en-US" w:eastAsia="zh-CN" w:bidi="ar-SA"/>
        </w:rPr>
        <w:t></w:t>
      </w:r>
      <w:r>
        <w:rPr>
          <w:rFonts w:ascii="宋体" w:hAnsi="宋体"/>
          <w:b/>
          <w:color w:val="auto"/>
          <w:sz w:val="28"/>
          <w:szCs w:val="21"/>
          <w:highlight w:val="none"/>
        </w:rPr>
        <w:t>监狱企业声明函</w:t>
      </w:r>
      <w:r>
        <w:rPr>
          <w:rFonts w:ascii="宋体" w:hAnsi="宋体"/>
          <w:b/>
          <w:bCs/>
          <w:color w:val="auto"/>
          <w:spacing w:val="-9"/>
          <w:sz w:val="24"/>
          <w:highlight w:val="none"/>
        </w:rPr>
        <w:t>（实质性格式）</w:t>
      </w:r>
    </w:p>
    <w:p w14:paraId="50F5FFDB">
      <w:pPr>
        <w:spacing w:line="500" w:lineRule="exact"/>
        <w:ind w:firstLine="480" w:firstLineChars="200"/>
        <w:rPr>
          <w:rFonts w:ascii="宋体" w:hAnsi="宋体"/>
          <w:color w:val="auto"/>
          <w:sz w:val="24"/>
          <w:szCs w:val="21"/>
          <w:highlight w:val="none"/>
        </w:rPr>
      </w:pPr>
      <w:r>
        <w:rPr>
          <w:rFonts w:ascii="宋体" w:hAnsi="宋体"/>
          <w:color w:val="auto"/>
          <w:sz w:val="24"/>
          <w:szCs w:val="21"/>
          <w:highlight w:val="none"/>
        </w:rPr>
        <w:t>本公司郑重声明，根据《关于政府采购支持监狱企业发展有关问题的通知》（财库[2014]68号）的规定，本公司</w:t>
      </w:r>
      <w:r>
        <w:rPr>
          <w:rFonts w:hint="eastAsia" w:ascii="宋体" w:hAnsi="宋体"/>
          <w:color w:val="auto"/>
          <w:sz w:val="24"/>
          <w:szCs w:val="21"/>
          <w:highlight w:val="none"/>
          <w:u w:val="single"/>
        </w:rPr>
        <w:t xml:space="preserve"> </w:t>
      </w:r>
      <w:r>
        <w:rPr>
          <w:rFonts w:hint="eastAsia" w:ascii="宋体" w:hAnsi="宋体"/>
          <w:b/>
          <w:color w:val="auto"/>
          <w:sz w:val="24"/>
          <w:szCs w:val="21"/>
          <w:highlight w:val="none"/>
          <w:u w:val="single"/>
        </w:rPr>
        <w:t>是/否 监狱企业</w:t>
      </w:r>
      <w:r>
        <w:rPr>
          <w:rFonts w:ascii="宋体" w:hAnsi="宋体"/>
          <w:color w:val="auto"/>
          <w:sz w:val="24"/>
          <w:szCs w:val="21"/>
          <w:highlight w:val="none"/>
        </w:rPr>
        <w:t>。</w:t>
      </w:r>
    </w:p>
    <w:p w14:paraId="5BA518A0">
      <w:pPr>
        <w:spacing w:line="500" w:lineRule="exact"/>
        <w:ind w:firstLine="480" w:firstLineChars="200"/>
        <w:rPr>
          <w:rFonts w:ascii="宋体" w:hAnsi="宋体"/>
          <w:color w:val="auto"/>
          <w:sz w:val="24"/>
          <w:szCs w:val="21"/>
          <w:highlight w:val="none"/>
        </w:rPr>
      </w:pPr>
      <w:r>
        <w:rPr>
          <w:rFonts w:ascii="宋体" w:hAnsi="宋体"/>
          <w:color w:val="auto"/>
          <w:sz w:val="24"/>
          <w:szCs w:val="21"/>
          <w:highlight w:val="none"/>
        </w:rPr>
        <w:t>本公司参加</w:t>
      </w:r>
      <w:r>
        <w:rPr>
          <w:rFonts w:ascii="宋体" w:hAnsi="宋体"/>
          <w:color w:val="auto"/>
          <w:sz w:val="24"/>
          <w:szCs w:val="21"/>
          <w:highlight w:val="none"/>
          <w:u w:val="single"/>
        </w:rPr>
        <w:t>______</w:t>
      </w:r>
      <w:r>
        <w:rPr>
          <w:rFonts w:ascii="宋体" w:hAnsi="宋体"/>
          <w:color w:val="auto"/>
          <w:sz w:val="24"/>
          <w:szCs w:val="21"/>
          <w:highlight w:val="none"/>
        </w:rPr>
        <w:t>单位的</w:t>
      </w:r>
      <w:r>
        <w:rPr>
          <w:rFonts w:ascii="宋体" w:hAnsi="宋体"/>
          <w:color w:val="auto"/>
          <w:sz w:val="24"/>
          <w:szCs w:val="21"/>
          <w:highlight w:val="none"/>
          <w:u w:val="single"/>
        </w:rPr>
        <w:t>______</w:t>
      </w:r>
      <w:r>
        <w:rPr>
          <w:rFonts w:ascii="宋体" w:hAnsi="宋体"/>
          <w:color w:val="auto"/>
          <w:sz w:val="24"/>
          <w:szCs w:val="21"/>
          <w:highlight w:val="none"/>
        </w:rPr>
        <w:t>项目采购活动，采购活动提供本企业（填写制造的货物，由本企业承担工程、提供服务）。</w:t>
      </w:r>
    </w:p>
    <w:p w14:paraId="690DAAEE">
      <w:pPr>
        <w:spacing w:line="500" w:lineRule="exact"/>
        <w:ind w:firstLine="480" w:firstLineChars="200"/>
        <w:rPr>
          <w:rFonts w:ascii="宋体" w:hAnsi="宋体"/>
          <w:color w:val="auto"/>
          <w:sz w:val="24"/>
          <w:szCs w:val="21"/>
          <w:highlight w:val="none"/>
        </w:rPr>
      </w:pPr>
      <w:r>
        <w:rPr>
          <w:rFonts w:ascii="宋体" w:hAnsi="宋体"/>
          <w:color w:val="auto"/>
          <w:sz w:val="24"/>
          <w:szCs w:val="21"/>
          <w:highlight w:val="none"/>
        </w:rPr>
        <w:t>本条所称货物不包括使用大型企业注册商标的货物和服务。</w:t>
      </w:r>
    </w:p>
    <w:p w14:paraId="0C647C55">
      <w:pPr>
        <w:spacing w:line="500" w:lineRule="exact"/>
        <w:ind w:firstLine="482" w:firstLineChars="200"/>
        <w:rPr>
          <w:rFonts w:ascii="宋体" w:hAnsi="宋体"/>
          <w:b/>
          <w:color w:val="auto"/>
          <w:sz w:val="24"/>
          <w:szCs w:val="21"/>
          <w:highlight w:val="none"/>
        </w:rPr>
      </w:pPr>
      <w:r>
        <w:rPr>
          <w:rFonts w:ascii="宋体" w:hAnsi="宋体"/>
          <w:b/>
          <w:color w:val="auto"/>
          <w:sz w:val="24"/>
          <w:szCs w:val="21"/>
          <w:highlight w:val="none"/>
        </w:rPr>
        <w:t>本公司对上述声明的真实性负责。如有虚假，将依法承担相应责任。</w:t>
      </w:r>
    </w:p>
    <w:p w14:paraId="2F34D9C6">
      <w:pPr>
        <w:spacing w:line="500" w:lineRule="exact"/>
        <w:ind w:firstLine="480" w:firstLineChars="200"/>
        <w:rPr>
          <w:rFonts w:ascii="宋体" w:hAnsi="宋体"/>
          <w:color w:val="auto"/>
          <w:sz w:val="24"/>
          <w:szCs w:val="21"/>
          <w:highlight w:val="none"/>
        </w:rPr>
      </w:pPr>
    </w:p>
    <w:p w14:paraId="32FEAA50">
      <w:pPr>
        <w:spacing w:line="500" w:lineRule="exact"/>
        <w:ind w:firstLine="480" w:firstLineChars="200"/>
        <w:rPr>
          <w:rFonts w:ascii="宋体" w:hAnsi="宋体"/>
          <w:color w:val="auto"/>
          <w:sz w:val="24"/>
          <w:szCs w:val="21"/>
          <w:highlight w:val="none"/>
        </w:rPr>
      </w:pPr>
      <w:r>
        <w:rPr>
          <w:rFonts w:ascii="宋体" w:hAnsi="宋体"/>
          <w:color w:val="auto"/>
          <w:sz w:val="24"/>
          <w:szCs w:val="21"/>
          <w:highlight w:val="none"/>
        </w:rPr>
        <w:t>企业名称（盖公章）：</w:t>
      </w:r>
    </w:p>
    <w:p w14:paraId="5F93D763">
      <w:pPr>
        <w:spacing w:line="500" w:lineRule="exact"/>
        <w:ind w:firstLine="480" w:firstLineChars="200"/>
        <w:rPr>
          <w:rFonts w:ascii="宋体" w:hAnsi="宋体"/>
          <w:color w:val="auto"/>
          <w:sz w:val="24"/>
          <w:szCs w:val="21"/>
          <w:highlight w:val="none"/>
        </w:rPr>
      </w:pPr>
      <w:r>
        <w:rPr>
          <w:rFonts w:ascii="宋体" w:hAnsi="宋体"/>
          <w:color w:val="auto"/>
          <w:sz w:val="24"/>
          <w:szCs w:val="21"/>
          <w:highlight w:val="none"/>
        </w:rPr>
        <w:t>法定代表人或其授权代表(盖章)：</w:t>
      </w:r>
    </w:p>
    <w:p w14:paraId="6EFC2F5E">
      <w:pPr>
        <w:spacing w:line="500" w:lineRule="exact"/>
        <w:ind w:firstLine="480" w:firstLineChars="200"/>
        <w:rPr>
          <w:rFonts w:ascii="宋体" w:hAnsi="宋体"/>
          <w:color w:val="auto"/>
          <w:sz w:val="24"/>
          <w:szCs w:val="21"/>
          <w:highlight w:val="none"/>
        </w:rPr>
      </w:pPr>
      <w:r>
        <w:rPr>
          <w:rFonts w:ascii="宋体" w:hAnsi="宋体"/>
          <w:color w:val="auto"/>
          <w:sz w:val="24"/>
          <w:szCs w:val="21"/>
          <w:highlight w:val="none"/>
        </w:rPr>
        <w:t>日期：</w:t>
      </w:r>
    </w:p>
    <w:p w14:paraId="1868C7E5">
      <w:pPr>
        <w:pStyle w:val="12"/>
        <w:rPr>
          <w:color w:val="auto"/>
          <w:highlight w:val="none"/>
        </w:rPr>
      </w:pPr>
    </w:p>
    <w:p w14:paraId="2A203FD0">
      <w:pPr>
        <w:pStyle w:val="12"/>
        <w:rPr>
          <w:color w:val="auto"/>
          <w:highlight w:val="none"/>
        </w:rPr>
      </w:pPr>
    </w:p>
    <w:p w14:paraId="14043FC3">
      <w:pPr>
        <w:pStyle w:val="12"/>
        <w:rPr>
          <w:color w:val="auto"/>
          <w:highlight w:val="none"/>
        </w:rPr>
      </w:pPr>
    </w:p>
    <w:p w14:paraId="0C577BC6">
      <w:pPr>
        <w:pStyle w:val="12"/>
        <w:rPr>
          <w:color w:val="auto"/>
          <w:highlight w:val="none"/>
        </w:rPr>
      </w:pPr>
    </w:p>
    <w:p w14:paraId="451919A9">
      <w:pPr>
        <w:pStyle w:val="12"/>
        <w:rPr>
          <w:color w:val="auto"/>
          <w:highlight w:val="none"/>
        </w:rPr>
      </w:pPr>
    </w:p>
    <w:p w14:paraId="4B032353">
      <w:pPr>
        <w:pStyle w:val="12"/>
        <w:rPr>
          <w:color w:val="auto"/>
          <w:highlight w:val="none"/>
        </w:rPr>
      </w:pPr>
    </w:p>
    <w:p w14:paraId="777762AA">
      <w:pPr>
        <w:pStyle w:val="12"/>
        <w:rPr>
          <w:color w:val="auto"/>
          <w:highlight w:val="none"/>
        </w:rPr>
      </w:pPr>
    </w:p>
    <w:p w14:paraId="6E2C3639">
      <w:pPr>
        <w:pStyle w:val="12"/>
        <w:rPr>
          <w:color w:val="auto"/>
          <w:highlight w:val="none"/>
        </w:rPr>
      </w:pPr>
    </w:p>
    <w:p w14:paraId="51C30809">
      <w:pPr>
        <w:pStyle w:val="12"/>
        <w:rPr>
          <w:color w:val="auto"/>
          <w:highlight w:val="none"/>
        </w:rPr>
      </w:pPr>
    </w:p>
    <w:p w14:paraId="0C9668B8">
      <w:pPr>
        <w:pStyle w:val="12"/>
        <w:rPr>
          <w:color w:val="auto"/>
          <w:highlight w:val="none"/>
        </w:rPr>
      </w:pPr>
    </w:p>
    <w:p w14:paraId="0817B51C">
      <w:pPr>
        <w:pStyle w:val="12"/>
        <w:rPr>
          <w:color w:val="auto"/>
          <w:highlight w:val="none"/>
        </w:rPr>
      </w:pPr>
    </w:p>
    <w:p w14:paraId="7ECD1902">
      <w:pPr>
        <w:pStyle w:val="12"/>
        <w:rPr>
          <w:color w:val="auto"/>
          <w:highlight w:val="none"/>
        </w:rPr>
      </w:pPr>
    </w:p>
    <w:p w14:paraId="7EB2A129">
      <w:pPr>
        <w:pStyle w:val="12"/>
        <w:rPr>
          <w:color w:val="auto"/>
          <w:highlight w:val="none"/>
        </w:rPr>
      </w:pPr>
    </w:p>
    <w:p w14:paraId="3BE7D45F">
      <w:pPr>
        <w:pStyle w:val="12"/>
        <w:rPr>
          <w:color w:val="auto"/>
          <w:highlight w:val="none"/>
        </w:rPr>
      </w:pPr>
    </w:p>
    <w:p w14:paraId="7E66BEB4">
      <w:pPr>
        <w:pStyle w:val="12"/>
        <w:rPr>
          <w:color w:val="auto"/>
          <w:highlight w:val="none"/>
        </w:rPr>
      </w:pPr>
    </w:p>
    <w:p w14:paraId="09BBBA76">
      <w:pPr>
        <w:pStyle w:val="67"/>
        <w:widowControl/>
        <w:numPr>
          <w:ilvl w:val="0"/>
          <w:numId w:val="0"/>
        </w:numPr>
        <w:shd w:val="clear" w:color="auto" w:fill="FFFFFF"/>
        <w:spacing w:line="440" w:lineRule="exact"/>
        <w:ind w:left="420" w:leftChars="0" w:hanging="420" w:firstLineChars="0"/>
        <w:jc w:val="center"/>
        <w:textAlignment w:val="baseline"/>
        <w:rPr>
          <w:rFonts w:ascii="宋体" w:hAnsi="宋体" w:cs="仿宋"/>
          <w:b/>
          <w:bCs/>
          <w:color w:val="auto"/>
          <w:sz w:val="24"/>
          <w:highlight w:val="none"/>
        </w:rPr>
      </w:pPr>
      <w:r>
        <w:rPr>
          <w:rFonts w:hint="default" w:ascii="Wingdings" w:hAnsi="Wingdings" w:eastAsia="宋体" w:cs="仿宋"/>
          <w:b/>
          <w:bCs/>
          <w:color w:val="auto"/>
          <w:kern w:val="2"/>
          <w:sz w:val="28"/>
          <w:szCs w:val="24"/>
          <w:highlight w:val="none"/>
          <w:lang w:val="en-US" w:eastAsia="zh-CN" w:bidi="ar-SA"/>
        </w:rPr>
        <w:t></w:t>
      </w:r>
      <w:r>
        <w:rPr>
          <w:rFonts w:ascii="宋体" w:hAnsi="宋体" w:cs="仿宋"/>
          <w:b/>
          <w:bCs/>
          <w:color w:val="auto"/>
          <w:sz w:val="28"/>
          <w:szCs w:val="24"/>
          <w:highlight w:val="none"/>
        </w:rPr>
        <w:t>残疾人福利性单位声明函</w:t>
      </w:r>
      <w:r>
        <w:rPr>
          <w:rFonts w:ascii="宋体" w:hAnsi="宋体"/>
          <w:b/>
          <w:bCs/>
          <w:color w:val="auto"/>
          <w:spacing w:val="-9"/>
          <w:sz w:val="24"/>
          <w:highlight w:val="none"/>
        </w:rPr>
        <w:t>（实质性格式）</w:t>
      </w:r>
    </w:p>
    <w:p w14:paraId="5170C21B">
      <w:pPr>
        <w:widowControl/>
        <w:shd w:val="clear" w:color="auto" w:fill="FFFFFF"/>
        <w:spacing w:line="440" w:lineRule="exact"/>
        <w:jc w:val="left"/>
        <w:textAlignment w:val="baseline"/>
        <w:rPr>
          <w:rFonts w:ascii="微软雅黑" w:hAnsi="微软雅黑" w:eastAsia="微软雅黑" w:cs="宋体"/>
          <w:color w:val="auto"/>
          <w:kern w:val="0"/>
          <w:szCs w:val="21"/>
          <w:highlight w:val="none"/>
        </w:rPr>
      </w:pPr>
    </w:p>
    <w:p w14:paraId="43D013D9">
      <w:pPr>
        <w:widowControl/>
        <w:shd w:val="clear" w:color="auto" w:fill="FFFFFF"/>
        <w:spacing w:line="500" w:lineRule="exact"/>
        <w:ind w:firstLine="480" w:firstLineChars="200"/>
        <w:jc w:val="left"/>
        <w:textAlignment w:val="baseline"/>
        <w:rPr>
          <w:rFonts w:ascii="宋体" w:hAnsi="宋体" w:cs="宋体"/>
          <w:color w:val="auto"/>
          <w:kern w:val="0"/>
          <w:sz w:val="24"/>
          <w:highlight w:val="none"/>
        </w:rPr>
      </w:pPr>
      <w:r>
        <w:rPr>
          <w:rFonts w:ascii="宋体" w:hAnsi="宋体" w:cs="宋体"/>
          <w:color w:val="auto"/>
          <w:kern w:val="0"/>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29299AF">
      <w:pPr>
        <w:widowControl/>
        <w:shd w:val="clear" w:color="auto" w:fill="FFFFFF"/>
        <w:spacing w:line="500" w:lineRule="exact"/>
        <w:ind w:firstLine="480" w:firstLineChars="200"/>
        <w:jc w:val="left"/>
        <w:textAlignment w:val="baseline"/>
        <w:rPr>
          <w:rFonts w:ascii="宋体" w:hAnsi="宋体" w:cs="宋体"/>
          <w:color w:val="auto"/>
          <w:kern w:val="0"/>
          <w:sz w:val="24"/>
          <w:highlight w:val="none"/>
        </w:rPr>
      </w:pPr>
      <w:r>
        <w:rPr>
          <w:rFonts w:ascii="宋体" w:hAnsi="宋体" w:cs="宋体"/>
          <w:color w:val="auto"/>
          <w:kern w:val="0"/>
          <w:sz w:val="24"/>
          <w:highlight w:val="none"/>
        </w:rPr>
        <w:t>本单位对上述声明的真实性负责。如有虚假，将依法承担相应责任。</w:t>
      </w:r>
    </w:p>
    <w:p w14:paraId="6B9B2A77">
      <w:pPr>
        <w:widowControl/>
        <w:shd w:val="clear" w:color="auto" w:fill="FFFFFF"/>
        <w:spacing w:line="500" w:lineRule="exact"/>
        <w:jc w:val="left"/>
        <w:textAlignment w:val="baseline"/>
        <w:rPr>
          <w:rFonts w:ascii="宋体" w:hAnsi="宋体" w:cs="宋体"/>
          <w:color w:val="auto"/>
          <w:kern w:val="0"/>
          <w:sz w:val="24"/>
          <w:highlight w:val="none"/>
        </w:rPr>
      </w:pPr>
    </w:p>
    <w:p w14:paraId="1FA7255C">
      <w:pPr>
        <w:widowControl/>
        <w:shd w:val="clear" w:color="auto" w:fill="FFFFFF"/>
        <w:spacing w:line="500" w:lineRule="exact"/>
        <w:jc w:val="left"/>
        <w:textAlignment w:val="baseline"/>
        <w:rPr>
          <w:rFonts w:ascii="宋体" w:hAnsi="宋体" w:cs="宋体"/>
          <w:color w:val="auto"/>
          <w:kern w:val="0"/>
          <w:sz w:val="24"/>
          <w:highlight w:val="none"/>
        </w:rPr>
      </w:pPr>
    </w:p>
    <w:p w14:paraId="4C35005B">
      <w:pPr>
        <w:widowControl/>
        <w:spacing w:line="500" w:lineRule="exact"/>
        <w:ind w:firstLine="480" w:firstLineChars="200"/>
        <w:jc w:val="center"/>
        <w:outlineLvl w:val="0"/>
        <w:rPr>
          <w:rFonts w:ascii="宋体" w:hAnsi="宋体" w:cs="仿宋"/>
          <w:bCs/>
          <w:color w:val="auto"/>
          <w:sz w:val="24"/>
          <w:highlight w:val="none"/>
        </w:rPr>
      </w:pPr>
      <w:r>
        <w:rPr>
          <w:rFonts w:hint="eastAsia" w:ascii="宋体" w:hAnsi="宋体" w:cs="仿宋"/>
          <w:bCs/>
          <w:color w:val="auto"/>
          <w:sz w:val="24"/>
          <w:highlight w:val="none"/>
        </w:rPr>
        <w:t xml:space="preserve">     企业名称（盖章）：</w:t>
      </w:r>
    </w:p>
    <w:p w14:paraId="4F49367D">
      <w:pPr>
        <w:widowControl/>
        <w:spacing w:line="500" w:lineRule="exact"/>
        <w:ind w:firstLine="480" w:firstLineChars="200"/>
        <w:jc w:val="center"/>
        <w:outlineLvl w:val="0"/>
        <w:rPr>
          <w:rFonts w:ascii="宋体" w:hAnsi="宋体" w:cs="仿宋"/>
          <w:bCs/>
          <w:color w:val="auto"/>
          <w:sz w:val="24"/>
          <w:highlight w:val="none"/>
        </w:rPr>
      </w:pPr>
      <w:r>
        <w:rPr>
          <w:rFonts w:hint="eastAsia" w:ascii="宋体" w:hAnsi="宋体" w:cs="仿宋"/>
          <w:bCs/>
          <w:color w:val="auto"/>
          <w:sz w:val="24"/>
          <w:highlight w:val="none"/>
        </w:rPr>
        <w:t xml:space="preserve">    日期：</w:t>
      </w:r>
    </w:p>
    <w:p w14:paraId="20A7FBFC">
      <w:pPr>
        <w:pStyle w:val="12"/>
        <w:rPr>
          <w:color w:val="auto"/>
          <w:highlight w:val="none"/>
        </w:rPr>
      </w:pPr>
    </w:p>
    <w:p w14:paraId="4CBE7C04">
      <w:pPr>
        <w:pStyle w:val="12"/>
        <w:rPr>
          <w:color w:val="auto"/>
          <w:highlight w:val="none"/>
        </w:rPr>
      </w:pPr>
    </w:p>
    <w:p w14:paraId="4F535C6A">
      <w:pPr>
        <w:pStyle w:val="12"/>
        <w:rPr>
          <w:color w:val="auto"/>
          <w:highlight w:val="none"/>
        </w:rPr>
      </w:pPr>
    </w:p>
    <w:p w14:paraId="41901855">
      <w:pPr>
        <w:pStyle w:val="12"/>
        <w:rPr>
          <w:color w:val="auto"/>
          <w:highlight w:val="none"/>
        </w:rPr>
      </w:pPr>
    </w:p>
    <w:p w14:paraId="50EA4D79">
      <w:pPr>
        <w:pStyle w:val="12"/>
        <w:rPr>
          <w:color w:val="auto"/>
          <w:highlight w:val="none"/>
        </w:rPr>
      </w:pPr>
    </w:p>
    <w:p w14:paraId="52FFBDF0">
      <w:pPr>
        <w:pStyle w:val="12"/>
        <w:rPr>
          <w:color w:val="auto"/>
          <w:highlight w:val="none"/>
        </w:rPr>
      </w:pPr>
    </w:p>
    <w:p w14:paraId="39E6FA3B">
      <w:pPr>
        <w:pStyle w:val="12"/>
        <w:rPr>
          <w:color w:val="auto"/>
          <w:highlight w:val="none"/>
        </w:rPr>
      </w:pPr>
    </w:p>
    <w:p w14:paraId="19DB348A">
      <w:pPr>
        <w:pStyle w:val="12"/>
        <w:rPr>
          <w:color w:val="auto"/>
          <w:highlight w:val="none"/>
        </w:rPr>
      </w:pPr>
    </w:p>
    <w:p w14:paraId="58BB3EDD">
      <w:pPr>
        <w:pStyle w:val="12"/>
        <w:rPr>
          <w:color w:val="auto"/>
          <w:highlight w:val="none"/>
        </w:rPr>
      </w:pPr>
    </w:p>
    <w:p w14:paraId="1FB26D0C">
      <w:pPr>
        <w:pStyle w:val="12"/>
        <w:rPr>
          <w:color w:val="auto"/>
          <w:highlight w:val="none"/>
        </w:rPr>
      </w:pPr>
    </w:p>
    <w:p w14:paraId="6320B700">
      <w:pPr>
        <w:pStyle w:val="12"/>
        <w:rPr>
          <w:color w:val="auto"/>
          <w:highlight w:val="none"/>
        </w:rPr>
      </w:pPr>
    </w:p>
    <w:p w14:paraId="00325C87">
      <w:pPr>
        <w:pStyle w:val="12"/>
        <w:rPr>
          <w:color w:val="auto"/>
          <w:highlight w:val="none"/>
        </w:rPr>
      </w:pPr>
    </w:p>
    <w:p w14:paraId="76EACC0A">
      <w:pPr>
        <w:pStyle w:val="12"/>
        <w:rPr>
          <w:color w:val="auto"/>
          <w:highlight w:val="none"/>
        </w:rPr>
      </w:pPr>
    </w:p>
    <w:p w14:paraId="171E3EBB">
      <w:pPr>
        <w:pStyle w:val="12"/>
        <w:rPr>
          <w:color w:val="auto"/>
          <w:highlight w:val="none"/>
        </w:rPr>
      </w:pPr>
    </w:p>
    <w:p w14:paraId="3192491E">
      <w:pPr>
        <w:tabs>
          <w:tab w:val="left" w:pos="2999"/>
        </w:tabs>
        <w:spacing w:line="500" w:lineRule="exact"/>
        <w:jc w:val="center"/>
        <w:outlineLvl w:val="0"/>
        <w:rPr>
          <w:rFonts w:hint="eastAsia" w:ascii="宋体" w:hAnsi="宋体" w:eastAsia="宋体" w:cs="宋体"/>
          <w:color w:val="auto"/>
          <w:sz w:val="36"/>
          <w:szCs w:val="28"/>
          <w:highlight w:val="none"/>
          <w:lang w:eastAsia="zh-CN"/>
        </w:rPr>
      </w:pPr>
      <w:r>
        <w:rPr>
          <w:rFonts w:hint="eastAsia" w:ascii="宋体" w:hAnsi="宋体" w:eastAsia="宋体" w:cs="宋体"/>
          <w:color w:val="auto"/>
          <w:sz w:val="36"/>
          <w:szCs w:val="28"/>
          <w:highlight w:val="none"/>
          <w:lang w:eastAsia="zh-CN"/>
        </w:rPr>
        <w:t>商务技术文件部分</w:t>
      </w:r>
    </w:p>
    <w:p w14:paraId="7762AD68">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454FFF9D">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673249C8">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3D8412BD">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67F2A0DB">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5E3884CE">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57633171">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539423EE">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07C86938">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17BB8B4C">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0DF65E6B">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6174C42A">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065A6BE6">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07B3AA6B">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1164CE55">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25837F0E">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7DCFF58A">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1DA94F85">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3E9C83C4">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6C891458">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19F8C046">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27328434">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7AC124FF">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06547CBC">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7CAC1C4F">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1EE4D080">
      <w:pPr>
        <w:tabs>
          <w:tab w:val="left" w:pos="2999"/>
        </w:tabs>
        <w:spacing w:line="500" w:lineRule="exact"/>
        <w:jc w:val="center"/>
        <w:outlineLvl w:val="0"/>
        <w:rPr>
          <w:rFonts w:hint="eastAsia" w:ascii="宋体" w:hAnsi="宋体" w:eastAsia="宋体" w:cs="宋体"/>
          <w:color w:val="auto"/>
          <w:sz w:val="36"/>
          <w:szCs w:val="28"/>
          <w:highlight w:val="none"/>
          <w:lang w:eastAsia="zh-CN"/>
        </w:rPr>
      </w:pPr>
    </w:p>
    <w:p w14:paraId="13D53A21">
      <w:pPr>
        <w:pStyle w:val="67"/>
        <w:numPr>
          <w:ilvl w:val="0"/>
          <w:numId w:val="0"/>
        </w:numPr>
        <w:spacing w:line="500" w:lineRule="exact"/>
        <w:ind w:left="420" w:leftChars="0" w:hanging="420" w:firstLineChars="0"/>
        <w:jc w:val="center"/>
        <w:outlineLvl w:val="0"/>
        <w:rPr>
          <w:rFonts w:ascii="宋体" w:hAnsi="宋体" w:cs="宋体"/>
          <w:color w:val="auto"/>
          <w:sz w:val="24"/>
          <w:highlight w:val="none"/>
        </w:rPr>
      </w:pPr>
      <w:r>
        <w:rPr>
          <w:rFonts w:hint="default" w:ascii="Wingdings" w:hAnsi="Wingdings" w:eastAsia="宋体" w:cs="宋体"/>
          <w:color w:val="auto"/>
          <w:kern w:val="2"/>
          <w:sz w:val="24"/>
          <w:szCs w:val="22"/>
          <w:highlight w:val="none"/>
          <w:lang w:val="en-US" w:eastAsia="zh-CN" w:bidi="ar-SA"/>
        </w:rPr>
        <w:t></w:t>
      </w:r>
      <w:r>
        <w:rPr>
          <w:rFonts w:hint="eastAsia" w:ascii="宋体" w:hAnsi="宋体" w:cs="宋体"/>
          <w:b/>
          <w:color w:val="auto"/>
          <w:sz w:val="28"/>
          <w:szCs w:val="28"/>
          <w:highlight w:val="none"/>
        </w:rPr>
        <w:t>承诺书</w:t>
      </w:r>
      <w:r>
        <w:rPr>
          <w:rFonts w:ascii="宋体" w:hAnsi="宋体"/>
          <w:b/>
          <w:bCs/>
          <w:color w:val="auto"/>
          <w:spacing w:val="-9"/>
          <w:sz w:val="24"/>
          <w:highlight w:val="none"/>
        </w:rPr>
        <w:t>（实质性格式）</w:t>
      </w:r>
    </w:p>
    <w:p w14:paraId="2E50BCD1">
      <w:pPr>
        <w:spacing w:line="500" w:lineRule="exact"/>
        <w:rPr>
          <w:rFonts w:ascii="宋体" w:hAnsi="宋体" w:cs="仿宋"/>
          <w:color w:val="auto"/>
          <w:sz w:val="24"/>
          <w:highlight w:val="none"/>
          <w:shd w:val="clear" w:color="auto" w:fill="FFFFFF"/>
        </w:rPr>
      </w:pPr>
      <w:r>
        <w:rPr>
          <w:rFonts w:hint="eastAsia" w:ascii="宋体" w:hAnsi="宋体" w:cs="仿宋"/>
          <w:color w:val="auto"/>
          <w:sz w:val="24"/>
          <w:highlight w:val="none"/>
          <w:u w:val="single"/>
          <w:shd w:val="clear" w:color="auto" w:fill="FFFFFF"/>
        </w:rPr>
        <w:t>致：</w:t>
      </w:r>
      <w:r>
        <w:rPr>
          <w:rFonts w:hint="eastAsia" w:ascii="宋体" w:hAnsi="宋体" w:cs="仿宋"/>
          <w:color w:val="auto"/>
          <w:sz w:val="24"/>
          <w:highlight w:val="none"/>
          <w:u w:val="single"/>
          <w:shd w:val="clear" w:color="auto" w:fill="FFFFFF"/>
          <w:lang w:val="zh-CN"/>
        </w:rPr>
        <w:t>新疆天合新动力工程管理有限公司</w:t>
      </w:r>
      <w:r>
        <w:rPr>
          <w:rFonts w:hint="eastAsia" w:ascii="宋体" w:hAnsi="宋体" w:cs="仿宋"/>
          <w:b/>
          <w:color w:val="auto"/>
          <w:sz w:val="24"/>
          <w:highlight w:val="none"/>
          <w:shd w:val="clear" w:color="auto" w:fill="FFFFFF"/>
        </w:rPr>
        <w:t>　</w:t>
      </w:r>
    </w:p>
    <w:p w14:paraId="109F8707">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u w:val="single"/>
          <w:lang w:val="zh-CN"/>
        </w:rPr>
        <w:t>（投标人名称）</w:t>
      </w:r>
      <w:r>
        <w:rPr>
          <w:rFonts w:hint="eastAsia" w:ascii="宋体" w:hAnsi="宋体" w:cs="仿宋"/>
          <w:color w:val="auto"/>
          <w:sz w:val="24"/>
          <w:highlight w:val="none"/>
          <w:lang w:val="zh-CN"/>
        </w:rPr>
        <w:t>授权</w:t>
      </w:r>
      <w:r>
        <w:rPr>
          <w:rFonts w:hint="eastAsia" w:ascii="宋体" w:hAnsi="宋体" w:cs="仿宋"/>
          <w:color w:val="auto"/>
          <w:sz w:val="24"/>
          <w:highlight w:val="none"/>
          <w:u w:val="single"/>
          <w:lang w:val="zh-CN"/>
        </w:rPr>
        <w:t>（被授权人姓名）</w:t>
      </w:r>
      <w:r>
        <w:rPr>
          <w:rFonts w:hint="eastAsia" w:ascii="宋体" w:hAnsi="宋体" w:cs="仿宋"/>
          <w:color w:val="auto"/>
          <w:sz w:val="24"/>
          <w:highlight w:val="none"/>
          <w:lang w:val="zh-CN"/>
        </w:rPr>
        <w:t>为本公司代理人，参加贵方组织</w:t>
      </w:r>
      <w:r>
        <w:rPr>
          <w:rFonts w:hint="eastAsia" w:ascii="宋体" w:hAnsi="宋体" w:cs="仿宋"/>
          <w:bCs/>
          <w:color w:val="auto"/>
          <w:sz w:val="24"/>
          <w:highlight w:val="none"/>
          <w:u w:val="single"/>
          <w:lang w:val="zh-CN"/>
        </w:rPr>
        <w:t>（项目名称、项目编号）</w:t>
      </w:r>
      <w:r>
        <w:rPr>
          <w:rFonts w:hint="eastAsia" w:ascii="宋体" w:hAnsi="宋体" w:cs="仿宋"/>
          <w:color w:val="auto"/>
          <w:sz w:val="24"/>
          <w:highlight w:val="none"/>
          <w:lang w:val="zh-CN"/>
        </w:rPr>
        <w:t>的招标活动，并对此项目进行投标。</w:t>
      </w:r>
    </w:p>
    <w:p w14:paraId="6095EC1C">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lang w:val="zh-CN"/>
        </w:rPr>
        <w:t>我方已详细审查全部招标文件，自愿参与投标并承诺如下：</w:t>
      </w:r>
    </w:p>
    <w:p w14:paraId="3B5BF044">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1.</w:t>
      </w:r>
      <w:r>
        <w:rPr>
          <w:rFonts w:hint="eastAsia" w:ascii="宋体" w:hAnsi="宋体" w:cs="仿宋"/>
          <w:color w:val="auto"/>
          <w:sz w:val="24"/>
          <w:highlight w:val="none"/>
          <w:lang w:val="zh-CN"/>
        </w:rPr>
        <w:t>本投标有效期为自提交投标文件的截止之日起</w:t>
      </w:r>
      <w:r>
        <w:rPr>
          <w:rFonts w:hint="eastAsia" w:ascii="宋体" w:hAnsi="宋体" w:cs="仿宋"/>
          <w:color w:val="auto"/>
          <w:sz w:val="24"/>
          <w:highlight w:val="none"/>
          <w:u w:val="single"/>
          <w:lang w:val="zh-CN"/>
        </w:rPr>
        <w:t>90</w:t>
      </w:r>
      <w:r>
        <w:rPr>
          <w:rFonts w:hint="eastAsia" w:ascii="宋体" w:hAnsi="宋体" w:cs="仿宋"/>
          <w:color w:val="auto"/>
          <w:sz w:val="24"/>
          <w:highlight w:val="none"/>
          <w:lang w:val="zh-CN"/>
        </w:rPr>
        <w:t>日历日。</w:t>
      </w:r>
    </w:p>
    <w:p w14:paraId="2878BEEA">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2.</w:t>
      </w:r>
      <w:r>
        <w:rPr>
          <w:rFonts w:hint="eastAsia" w:ascii="宋体" w:hAnsi="宋体" w:cs="仿宋"/>
          <w:color w:val="auto"/>
          <w:sz w:val="24"/>
          <w:highlight w:val="none"/>
          <w:lang w:val="zh-CN"/>
        </w:rPr>
        <w:t>除合同条款及</w:t>
      </w:r>
      <w:r>
        <w:rPr>
          <w:rFonts w:hint="eastAsia" w:ascii="宋体" w:hAnsi="宋体" w:cs="仿宋"/>
          <w:color w:val="auto"/>
          <w:sz w:val="24"/>
          <w:highlight w:val="none"/>
        </w:rPr>
        <w:t>商务技术</w:t>
      </w:r>
      <w:r>
        <w:rPr>
          <w:rFonts w:hint="eastAsia" w:ascii="宋体" w:hAnsi="宋体" w:cs="仿宋"/>
          <w:color w:val="auto"/>
          <w:sz w:val="24"/>
          <w:highlight w:val="none"/>
          <w:lang w:val="zh-CN"/>
        </w:rPr>
        <w:t>偏离表列出的偏离外，我方响应招标文件的全部要求。</w:t>
      </w:r>
    </w:p>
    <w:p w14:paraId="4A5F0434">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3.</w:t>
      </w:r>
      <w:r>
        <w:rPr>
          <w:rFonts w:hint="eastAsia" w:ascii="宋体" w:hAnsi="宋体" w:cs="仿宋"/>
          <w:color w:val="auto"/>
          <w:sz w:val="24"/>
          <w:highlight w:val="none"/>
          <w:lang w:val="zh-CN"/>
        </w:rPr>
        <w:t>我方已提供的全部文件资料</w:t>
      </w:r>
      <w:r>
        <w:rPr>
          <w:rFonts w:hint="eastAsia" w:ascii="宋体" w:hAnsi="宋体" w:cs="仿宋"/>
          <w:color w:val="auto"/>
          <w:sz w:val="24"/>
          <w:highlight w:val="none"/>
        </w:rPr>
        <w:t>及相关陈述全部是真实、准确的，若有违背，</w:t>
      </w:r>
      <w:r>
        <w:rPr>
          <w:rFonts w:hint="eastAsia" w:ascii="宋体" w:hAnsi="宋体" w:cs="仿宋"/>
          <w:color w:val="auto"/>
          <w:sz w:val="24"/>
          <w:highlight w:val="none"/>
          <w:lang w:val="zh-CN"/>
        </w:rPr>
        <w:t>按《政府采购法》提供虚假材料的有关规定给予处罚，</w:t>
      </w:r>
      <w:r>
        <w:rPr>
          <w:rFonts w:hint="eastAsia" w:ascii="宋体" w:hAnsi="宋体" w:cs="仿宋"/>
          <w:color w:val="auto"/>
          <w:sz w:val="24"/>
          <w:highlight w:val="none"/>
        </w:rPr>
        <w:t>我</w:t>
      </w:r>
      <w:r>
        <w:rPr>
          <w:rFonts w:hint="eastAsia" w:ascii="宋体" w:hAnsi="宋体" w:cs="仿宋"/>
          <w:color w:val="auto"/>
          <w:sz w:val="24"/>
          <w:highlight w:val="none"/>
          <w:lang w:val="zh-CN"/>
        </w:rPr>
        <w:t>方</w:t>
      </w:r>
      <w:r>
        <w:rPr>
          <w:rFonts w:hint="eastAsia" w:ascii="宋体" w:hAnsi="宋体" w:cs="仿宋"/>
          <w:color w:val="auto"/>
          <w:sz w:val="24"/>
          <w:highlight w:val="none"/>
        </w:rPr>
        <w:t>将承担由此造成的一切后果（承担招标人及招标代理机构的经济损失并同意保证金被扣除）</w:t>
      </w:r>
      <w:r>
        <w:rPr>
          <w:rFonts w:hint="eastAsia" w:ascii="宋体" w:hAnsi="宋体" w:cs="仿宋"/>
          <w:color w:val="auto"/>
          <w:sz w:val="24"/>
          <w:highlight w:val="none"/>
          <w:lang w:val="zh-CN"/>
        </w:rPr>
        <w:t>是真实、准确的，并对此承担一切法律后果。</w:t>
      </w:r>
    </w:p>
    <w:p w14:paraId="1C2D4C36">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4.</w:t>
      </w:r>
      <w:r>
        <w:rPr>
          <w:rFonts w:hint="eastAsia" w:ascii="宋体" w:hAnsi="宋体" w:cs="仿宋"/>
          <w:color w:val="auto"/>
          <w:sz w:val="24"/>
          <w:highlight w:val="none"/>
          <w:lang w:val="zh-CN"/>
        </w:rPr>
        <w:t>如我方中标，我方将在法律规定的期限内与你方签订合同，按照招标文件要求提交履约保证金，并在合同约定的期限内完成合同规定的全部义务。</w:t>
      </w:r>
    </w:p>
    <w:p w14:paraId="66273CF7">
      <w:pPr>
        <w:spacing w:line="500" w:lineRule="exact"/>
        <w:ind w:firstLine="480" w:firstLineChars="200"/>
        <w:rPr>
          <w:rFonts w:ascii="宋体" w:hAnsi="宋体" w:cs="仿宋"/>
          <w:color w:val="auto"/>
          <w:sz w:val="24"/>
          <w:highlight w:val="none"/>
        </w:rPr>
      </w:pPr>
      <w:r>
        <w:rPr>
          <w:rFonts w:hint="eastAsia" w:ascii="宋体" w:hAnsi="宋体" w:cs="仿宋"/>
          <w:color w:val="auto"/>
          <w:sz w:val="24"/>
          <w:highlight w:val="none"/>
        </w:rPr>
        <w:t>5.</w:t>
      </w:r>
      <w:r>
        <w:rPr>
          <w:rFonts w:hint="eastAsia" w:ascii="宋体" w:hAnsi="宋体" w:cs="仿宋"/>
          <w:color w:val="auto"/>
          <w:sz w:val="24"/>
          <w:highlight w:val="none"/>
          <w:lang w:val="zh-CN"/>
        </w:rPr>
        <w:t>我方愿意向贵方提供任何与该项项目有关的数据、情况和技术资料，完全理解贵方不一定接受最低价的响应。</w:t>
      </w:r>
    </w:p>
    <w:p w14:paraId="48552622">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6.</w:t>
      </w:r>
      <w:r>
        <w:rPr>
          <w:rFonts w:hint="eastAsia" w:ascii="宋体" w:hAnsi="宋体" w:cs="仿宋"/>
          <w:color w:val="auto"/>
          <w:sz w:val="24"/>
          <w:highlight w:val="none"/>
          <w:lang w:val="zh-CN"/>
        </w:rPr>
        <w:t>我方承诺：招标人在使用我方提供的货物时，不存在任何已知的不合法的情形，也不存在任何已知的与第三方专利权、著作权、商标权或工业设计权相关的任何争议。如果有任何因招标人使用我方提供的服务而提起的侵权指控，我公司将依法承担全部责任。</w:t>
      </w:r>
    </w:p>
    <w:p w14:paraId="421EBA77">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7.</w:t>
      </w:r>
      <w:r>
        <w:rPr>
          <w:rFonts w:hint="eastAsia" w:ascii="宋体" w:hAnsi="宋体" w:cs="仿宋"/>
          <w:color w:val="auto"/>
          <w:sz w:val="24"/>
          <w:highlight w:val="none"/>
          <w:lang w:val="zh-CN"/>
        </w:rPr>
        <w:t>我方承诺：本次采购项目我方与招标人、招标代理机构以及其他投标人之间不存在任何关联关系；</w:t>
      </w:r>
    </w:p>
    <w:p w14:paraId="3F11284E">
      <w:pPr>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8.</w:t>
      </w:r>
      <w:r>
        <w:rPr>
          <w:rFonts w:hint="eastAsia" w:ascii="宋体" w:hAnsi="宋体" w:cs="仿宋"/>
          <w:color w:val="auto"/>
          <w:sz w:val="24"/>
          <w:highlight w:val="none"/>
          <w:lang w:val="zh-CN"/>
        </w:rPr>
        <w:t>若我方中标，我方保证按投标人须知前附表规定向招标代理机构支付招标代理服务费。</w:t>
      </w:r>
    </w:p>
    <w:p w14:paraId="717CCA50">
      <w:pPr>
        <w:spacing w:line="360" w:lineRule="auto"/>
        <w:ind w:right="1584"/>
        <w:rPr>
          <w:rFonts w:ascii="宋体" w:hAnsi="宋体" w:cs="仿宋"/>
          <w:color w:val="auto"/>
          <w:spacing w:val="24"/>
          <w:sz w:val="24"/>
          <w:highlight w:val="none"/>
          <w:u w:val="single"/>
        </w:rPr>
      </w:pPr>
      <w:r>
        <w:rPr>
          <w:rFonts w:hint="eastAsia" w:ascii="宋体" w:hAnsi="宋体" w:cs="仿宋"/>
          <w:color w:val="auto"/>
          <w:spacing w:val="24"/>
          <w:sz w:val="24"/>
          <w:highlight w:val="none"/>
        </w:rPr>
        <w:t>投标人：</w:t>
      </w:r>
      <w:r>
        <w:rPr>
          <w:rFonts w:hint="eastAsia" w:ascii="宋体" w:hAnsi="宋体" w:cs="仿宋"/>
          <w:color w:val="auto"/>
          <w:spacing w:val="24"/>
          <w:sz w:val="24"/>
          <w:highlight w:val="none"/>
          <w:u w:val="single"/>
        </w:rPr>
        <w:t>（盖投标人公章）</w:t>
      </w:r>
    </w:p>
    <w:p w14:paraId="08E8E4F1">
      <w:pPr>
        <w:spacing w:line="36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法定代表人或授权委托人：</w:t>
      </w:r>
      <w:r>
        <w:rPr>
          <w:rFonts w:hint="eastAsia" w:ascii="宋体" w:hAnsi="宋体" w:cs="仿宋"/>
          <w:color w:val="auto"/>
          <w:spacing w:val="24"/>
          <w:sz w:val="24"/>
          <w:highlight w:val="none"/>
          <w:u w:val="single"/>
        </w:rPr>
        <w:t>（签字或盖章）</w:t>
      </w:r>
    </w:p>
    <w:p w14:paraId="101964FB">
      <w:pPr>
        <w:spacing w:line="36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日期：   年   月    日</w:t>
      </w:r>
    </w:p>
    <w:bookmarkEnd w:id="345"/>
    <w:bookmarkEnd w:id="346"/>
    <w:bookmarkEnd w:id="347"/>
    <w:bookmarkEnd w:id="348"/>
    <w:bookmarkEnd w:id="349"/>
    <w:bookmarkEnd w:id="350"/>
    <w:bookmarkEnd w:id="351"/>
    <w:bookmarkEnd w:id="352"/>
    <w:p w14:paraId="5C1FBC8E">
      <w:pPr>
        <w:pStyle w:val="67"/>
        <w:numPr>
          <w:ilvl w:val="0"/>
          <w:numId w:val="8"/>
        </w:numPr>
        <w:spacing w:line="500" w:lineRule="exact"/>
        <w:ind w:firstLineChars="0"/>
        <w:jc w:val="center"/>
        <w:outlineLvl w:val="0"/>
        <w:rPr>
          <w:rFonts w:ascii="宋体" w:hAnsi="宋体" w:cs="宋体"/>
          <w:b/>
          <w:color w:val="auto"/>
          <w:sz w:val="28"/>
          <w:szCs w:val="28"/>
          <w:highlight w:val="none"/>
        </w:rPr>
      </w:pPr>
      <w:bookmarkStart w:id="353" w:name="_Toc26807"/>
      <w:bookmarkStart w:id="354" w:name="_Toc141870346"/>
      <w:bookmarkStart w:id="355" w:name="_Toc148084489"/>
      <w:bookmarkStart w:id="356" w:name="_Toc671"/>
      <w:bookmarkStart w:id="357" w:name="_Toc18558"/>
      <w:bookmarkStart w:id="358" w:name="_Toc1879"/>
      <w:bookmarkStart w:id="359" w:name="_Toc141969810"/>
      <w:r>
        <w:rPr>
          <w:rFonts w:hint="eastAsia" w:ascii="宋体" w:hAnsi="宋体" w:cs="宋体"/>
          <w:b/>
          <w:bCs/>
          <w:color w:val="auto"/>
          <w:sz w:val="28"/>
          <w:szCs w:val="28"/>
          <w:highlight w:val="none"/>
        </w:rPr>
        <w:t>法定代表人（单位负责人）身份证明书</w:t>
      </w:r>
      <w:bookmarkEnd w:id="353"/>
      <w:bookmarkEnd w:id="354"/>
      <w:bookmarkEnd w:id="355"/>
      <w:bookmarkEnd w:id="356"/>
      <w:bookmarkEnd w:id="357"/>
      <w:bookmarkEnd w:id="358"/>
      <w:bookmarkEnd w:id="359"/>
    </w:p>
    <w:p w14:paraId="6CFB5D1C">
      <w:pPr>
        <w:spacing w:line="500" w:lineRule="exact"/>
        <w:ind w:right="480" w:firstLine="4515" w:firstLineChars="2150"/>
        <w:rPr>
          <w:rFonts w:ascii="宋体" w:hAnsi="宋体" w:cs="宋体"/>
          <w:color w:val="auto"/>
          <w:highlight w:val="none"/>
        </w:rPr>
      </w:pPr>
    </w:p>
    <w:p w14:paraId="078269CF">
      <w:pPr>
        <w:spacing w:line="500" w:lineRule="exact"/>
        <w:rPr>
          <w:rFonts w:ascii="宋体" w:hAnsi="宋体" w:cs="宋体"/>
          <w:bCs/>
          <w:color w:val="auto"/>
          <w:sz w:val="24"/>
          <w:highlight w:val="none"/>
        </w:rPr>
      </w:pPr>
      <w:r>
        <w:rPr>
          <w:rFonts w:hint="eastAsia" w:ascii="宋体" w:hAnsi="宋体" w:cs="宋体"/>
          <w:bCs/>
          <w:color w:val="auto"/>
          <w:sz w:val="24"/>
          <w:highlight w:val="none"/>
        </w:rPr>
        <w:t>投标人名称：</w:t>
      </w:r>
    </w:p>
    <w:p w14:paraId="356D9ABE">
      <w:pPr>
        <w:spacing w:line="500" w:lineRule="exact"/>
        <w:rPr>
          <w:rFonts w:ascii="宋体" w:hAnsi="宋体" w:cs="宋体"/>
          <w:bCs/>
          <w:color w:val="auto"/>
          <w:sz w:val="24"/>
          <w:highlight w:val="none"/>
        </w:rPr>
      </w:pPr>
      <w:r>
        <w:rPr>
          <w:rFonts w:hint="eastAsia" w:ascii="宋体" w:hAnsi="宋体" w:cs="宋体"/>
          <w:bCs/>
          <w:color w:val="auto"/>
          <w:sz w:val="24"/>
          <w:highlight w:val="none"/>
        </w:rPr>
        <w:t>单位性质：</w:t>
      </w:r>
    </w:p>
    <w:p w14:paraId="2BEA7DE1">
      <w:pPr>
        <w:spacing w:line="500" w:lineRule="exact"/>
        <w:rPr>
          <w:rFonts w:ascii="宋体" w:hAnsi="宋体" w:cs="宋体"/>
          <w:bCs/>
          <w:color w:val="auto"/>
          <w:sz w:val="24"/>
          <w:highlight w:val="none"/>
        </w:rPr>
      </w:pPr>
      <w:r>
        <w:rPr>
          <w:rFonts w:hint="eastAsia" w:ascii="宋体" w:hAnsi="宋体" w:cs="宋体"/>
          <w:bCs/>
          <w:color w:val="auto"/>
          <w:sz w:val="24"/>
          <w:highlight w:val="none"/>
        </w:rPr>
        <w:t>地址：</w:t>
      </w:r>
    </w:p>
    <w:p w14:paraId="4BEEEAB8">
      <w:pPr>
        <w:spacing w:line="500" w:lineRule="exact"/>
        <w:rPr>
          <w:rFonts w:ascii="宋体" w:hAnsi="宋体" w:cs="宋体"/>
          <w:bCs/>
          <w:color w:val="auto"/>
          <w:sz w:val="24"/>
          <w:highlight w:val="none"/>
        </w:rPr>
      </w:pPr>
      <w:r>
        <w:rPr>
          <w:rFonts w:hint="eastAsia" w:ascii="宋体" w:hAnsi="宋体" w:cs="宋体"/>
          <w:bCs/>
          <w:color w:val="auto"/>
          <w:sz w:val="24"/>
          <w:highlight w:val="none"/>
        </w:rPr>
        <w:t>成立时间：</w:t>
      </w:r>
    </w:p>
    <w:p w14:paraId="7D90A038">
      <w:pPr>
        <w:spacing w:line="500" w:lineRule="exact"/>
        <w:rPr>
          <w:rFonts w:ascii="宋体" w:hAnsi="宋体" w:cs="宋体"/>
          <w:bCs/>
          <w:color w:val="auto"/>
          <w:sz w:val="24"/>
          <w:highlight w:val="none"/>
        </w:rPr>
      </w:pPr>
      <w:r>
        <w:rPr>
          <w:rFonts w:hint="eastAsia" w:ascii="宋体" w:hAnsi="宋体" w:cs="宋体"/>
          <w:bCs/>
          <w:color w:val="auto"/>
          <w:sz w:val="24"/>
          <w:highlight w:val="none"/>
        </w:rPr>
        <w:t>经营期限：</w:t>
      </w:r>
    </w:p>
    <w:p w14:paraId="0E13FBE6">
      <w:pPr>
        <w:spacing w:line="500" w:lineRule="exact"/>
        <w:rPr>
          <w:rFonts w:ascii="宋体" w:hAnsi="宋体" w:cs="宋体"/>
          <w:bCs/>
          <w:color w:val="auto"/>
          <w:sz w:val="24"/>
          <w:highlight w:val="none"/>
        </w:rPr>
      </w:pPr>
      <w:r>
        <w:rPr>
          <w:rFonts w:hint="eastAsia" w:ascii="宋体" w:hAnsi="宋体" w:cs="宋体"/>
          <w:bCs/>
          <w:color w:val="auto"/>
          <w:sz w:val="24"/>
          <w:highlight w:val="none"/>
        </w:rPr>
        <w:t>姓名：</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；性别：</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；年龄：</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职务：</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w:t>
      </w:r>
    </w:p>
    <w:p w14:paraId="27C31F9C">
      <w:pPr>
        <w:spacing w:line="500" w:lineRule="exact"/>
        <w:rPr>
          <w:rFonts w:ascii="宋体" w:hAnsi="宋体" w:cs="宋体"/>
          <w:bCs/>
          <w:color w:val="auto"/>
          <w:sz w:val="24"/>
          <w:highlight w:val="none"/>
        </w:rPr>
      </w:pPr>
      <w:r>
        <w:rPr>
          <w:rFonts w:hint="eastAsia" w:ascii="宋体" w:hAnsi="宋体" w:cs="宋体"/>
          <w:bCs/>
          <w:color w:val="auto"/>
          <w:sz w:val="24"/>
          <w:highlight w:val="none"/>
        </w:rPr>
        <w:t>系</w:t>
      </w:r>
      <w:r>
        <w:rPr>
          <w:rFonts w:hint="eastAsia" w:ascii="宋体" w:hAnsi="宋体" w:cs="宋体"/>
          <w:bCs/>
          <w:color w:val="auto"/>
          <w:sz w:val="24"/>
          <w:highlight w:val="none"/>
          <w:u w:val="single"/>
        </w:rPr>
        <w:t xml:space="preserve"> （投标人名称）      </w:t>
      </w:r>
      <w:r>
        <w:rPr>
          <w:rFonts w:hint="eastAsia" w:ascii="宋体" w:hAnsi="宋体" w:cs="宋体"/>
          <w:bCs/>
          <w:color w:val="auto"/>
          <w:sz w:val="24"/>
          <w:highlight w:val="none"/>
        </w:rPr>
        <w:t xml:space="preserve">的法定代表人（单位负责人）。 </w:t>
      </w:r>
    </w:p>
    <w:p w14:paraId="0A279DA1">
      <w:pPr>
        <w:spacing w:line="500" w:lineRule="exact"/>
        <w:rPr>
          <w:rFonts w:ascii="宋体" w:hAnsi="宋体" w:cs="宋体"/>
          <w:bCs/>
          <w:color w:val="auto"/>
          <w:sz w:val="24"/>
          <w:highlight w:val="none"/>
        </w:rPr>
      </w:pPr>
      <w:r>
        <w:rPr>
          <w:rFonts w:hint="eastAsia" w:ascii="宋体" w:hAnsi="宋体" w:cs="宋体"/>
          <w:bCs/>
          <w:color w:val="auto"/>
          <w:sz w:val="24"/>
          <w:highlight w:val="none"/>
        </w:rPr>
        <w:t xml:space="preserve">特此证明。 </w:t>
      </w:r>
    </w:p>
    <w:p w14:paraId="47A49A6A">
      <w:pPr>
        <w:spacing w:line="500" w:lineRule="exact"/>
        <w:rPr>
          <w:rFonts w:ascii="宋体" w:hAnsi="宋体" w:cs="宋体"/>
          <w:bCs/>
          <w:color w:val="auto"/>
          <w:sz w:val="24"/>
          <w:highlight w:val="none"/>
        </w:rPr>
      </w:pPr>
      <w:r>
        <w:rPr>
          <w:rFonts w:hint="eastAsia" w:ascii="宋体" w:hAnsi="宋体" w:cs="宋体"/>
          <w:bCs/>
          <w:color w:val="auto"/>
          <w:sz w:val="24"/>
          <w:highlight w:val="none"/>
        </w:rPr>
        <w:t>附：法定代表人（单位负责人）身份证复印件</w:t>
      </w:r>
    </w:p>
    <w:p w14:paraId="7E07E6FA">
      <w:pPr>
        <w:spacing w:line="500" w:lineRule="exact"/>
        <w:rPr>
          <w:rFonts w:ascii="宋体" w:hAnsi="宋体" w:cs="宋体"/>
          <w:bCs/>
          <w:color w:val="auto"/>
          <w:sz w:val="24"/>
          <w:highlight w:val="none"/>
        </w:rPr>
      </w:pPr>
    </w:p>
    <w:p w14:paraId="64621226">
      <w:pPr>
        <w:pStyle w:val="12"/>
        <w:spacing w:line="500" w:lineRule="exact"/>
        <w:rPr>
          <w:rFonts w:ascii="宋体" w:hAnsi="宋体" w:eastAsia="宋体" w:cs="宋体"/>
          <w:bCs/>
          <w:color w:val="auto"/>
          <w:sz w:val="24"/>
          <w:highlight w:val="none"/>
        </w:rPr>
      </w:pPr>
    </w:p>
    <w:p w14:paraId="0A6E730A">
      <w:pPr>
        <w:pStyle w:val="12"/>
        <w:spacing w:line="500" w:lineRule="exact"/>
        <w:rPr>
          <w:rFonts w:ascii="宋体" w:hAnsi="宋体" w:eastAsia="宋体" w:cs="宋体"/>
          <w:bCs/>
          <w:color w:val="auto"/>
          <w:sz w:val="24"/>
          <w:highlight w:val="none"/>
        </w:rPr>
      </w:pPr>
    </w:p>
    <w:p w14:paraId="0B94D2F1">
      <w:pPr>
        <w:pStyle w:val="12"/>
        <w:spacing w:line="500" w:lineRule="exact"/>
        <w:rPr>
          <w:rFonts w:ascii="宋体" w:hAnsi="宋体" w:eastAsia="宋体" w:cs="宋体"/>
          <w:bCs/>
          <w:color w:val="auto"/>
          <w:sz w:val="24"/>
          <w:highlight w:val="none"/>
        </w:rPr>
      </w:pPr>
    </w:p>
    <w:p w14:paraId="5DF84E76">
      <w:pPr>
        <w:pStyle w:val="12"/>
        <w:spacing w:line="500" w:lineRule="exact"/>
        <w:rPr>
          <w:rFonts w:ascii="宋体" w:hAnsi="宋体" w:eastAsia="宋体" w:cs="宋体"/>
          <w:bCs/>
          <w:color w:val="auto"/>
          <w:sz w:val="24"/>
          <w:highlight w:val="none"/>
        </w:rPr>
      </w:pPr>
    </w:p>
    <w:p w14:paraId="288A5CA7">
      <w:pPr>
        <w:spacing w:line="500" w:lineRule="exact"/>
        <w:ind w:right="387"/>
        <w:jc w:val="left"/>
        <w:rPr>
          <w:rFonts w:ascii="宋体" w:hAnsi="宋体" w:cs="宋体"/>
          <w:color w:val="auto"/>
          <w:sz w:val="24"/>
          <w:highlight w:val="none"/>
          <w:u w:val="single"/>
        </w:rPr>
      </w:pPr>
      <w:r>
        <w:rPr>
          <w:rFonts w:hint="eastAsia" w:ascii="宋体" w:hAnsi="宋体" w:cs="宋体"/>
          <w:color w:val="auto"/>
          <w:sz w:val="24"/>
          <w:highlight w:val="none"/>
        </w:rPr>
        <w:t>投标人：</w:t>
      </w:r>
      <w:r>
        <w:rPr>
          <w:rFonts w:hint="eastAsia" w:ascii="宋体" w:hAnsi="宋体" w:cs="宋体"/>
          <w:color w:val="auto"/>
          <w:sz w:val="24"/>
          <w:highlight w:val="none"/>
          <w:u w:val="single"/>
        </w:rPr>
        <w:t>（盖投标单位公章）</w:t>
      </w:r>
    </w:p>
    <w:p w14:paraId="7CC63D1F">
      <w:pPr>
        <w:spacing w:line="500" w:lineRule="exact"/>
        <w:ind w:right="480" w:firstLine="4440" w:firstLineChars="1850"/>
        <w:jc w:val="right"/>
        <w:rPr>
          <w:rFonts w:ascii="宋体" w:hAnsi="宋体" w:cs="宋体"/>
          <w:color w:val="auto"/>
          <w:sz w:val="24"/>
          <w:highlight w:val="none"/>
        </w:rPr>
      </w:pPr>
    </w:p>
    <w:p w14:paraId="0E6441C8">
      <w:pPr>
        <w:spacing w:line="500" w:lineRule="exact"/>
        <w:ind w:right="387"/>
        <w:rPr>
          <w:rFonts w:ascii="宋体" w:hAnsi="宋体" w:cs="宋体"/>
          <w:color w:val="auto"/>
          <w:sz w:val="24"/>
          <w:highlight w:val="none"/>
        </w:rPr>
      </w:pPr>
      <w:r>
        <w:rPr>
          <w:rFonts w:hint="eastAsia" w:ascii="宋体" w:hAnsi="宋体" w:cs="宋体"/>
          <w:color w:val="auto"/>
          <w:sz w:val="24"/>
          <w:highlight w:val="none"/>
        </w:rPr>
        <w:t>日期：    年   月  日</w:t>
      </w:r>
    </w:p>
    <w:p w14:paraId="637901FB">
      <w:pPr>
        <w:spacing w:line="500" w:lineRule="exact"/>
        <w:jc w:val="right"/>
        <w:rPr>
          <w:rFonts w:ascii="宋体" w:hAnsi="宋体" w:cs="宋体"/>
          <w:bCs/>
          <w:color w:val="auto"/>
          <w:sz w:val="24"/>
          <w:highlight w:val="none"/>
        </w:rPr>
      </w:pPr>
    </w:p>
    <w:p w14:paraId="17195233">
      <w:pPr>
        <w:spacing w:line="500" w:lineRule="exact"/>
        <w:jc w:val="right"/>
        <w:rPr>
          <w:rFonts w:ascii="宋体" w:hAnsi="宋体" w:cs="宋体"/>
          <w:bCs/>
          <w:color w:val="auto"/>
          <w:sz w:val="24"/>
          <w:highlight w:val="none"/>
        </w:rPr>
      </w:pPr>
    </w:p>
    <w:p w14:paraId="14548D79">
      <w:pPr>
        <w:spacing w:line="500" w:lineRule="exact"/>
        <w:jc w:val="right"/>
        <w:rPr>
          <w:rFonts w:ascii="宋体" w:hAnsi="宋体" w:cs="宋体"/>
          <w:bCs/>
          <w:color w:val="auto"/>
          <w:sz w:val="24"/>
          <w:highlight w:val="none"/>
        </w:rPr>
      </w:pPr>
    </w:p>
    <w:p w14:paraId="49FE6EA8">
      <w:pPr>
        <w:pStyle w:val="12"/>
        <w:rPr>
          <w:color w:val="auto"/>
          <w:highlight w:val="none"/>
        </w:rPr>
      </w:pPr>
    </w:p>
    <w:p w14:paraId="61AD5F1F">
      <w:pPr>
        <w:pStyle w:val="12"/>
        <w:rPr>
          <w:color w:val="auto"/>
          <w:highlight w:val="none"/>
        </w:rPr>
      </w:pPr>
    </w:p>
    <w:p w14:paraId="1F66C30F">
      <w:pPr>
        <w:pStyle w:val="12"/>
        <w:rPr>
          <w:color w:val="auto"/>
          <w:highlight w:val="none"/>
        </w:rPr>
      </w:pPr>
    </w:p>
    <w:p w14:paraId="4233A80D">
      <w:pPr>
        <w:pStyle w:val="12"/>
        <w:rPr>
          <w:color w:val="auto"/>
          <w:highlight w:val="none"/>
        </w:rPr>
      </w:pPr>
    </w:p>
    <w:p w14:paraId="3230646C">
      <w:pPr>
        <w:pStyle w:val="2"/>
        <w:numPr>
          <w:ilvl w:val="0"/>
          <w:numId w:val="8"/>
        </w:numPr>
        <w:spacing w:line="500" w:lineRule="exact"/>
        <w:jc w:val="center"/>
        <w:rPr>
          <w:rFonts w:cs="宋体"/>
          <w:color w:val="auto"/>
          <w:sz w:val="28"/>
          <w:szCs w:val="28"/>
          <w:highlight w:val="none"/>
        </w:rPr>
      </w:pPr>
      <w:bookmarkStart w:id="360" w:name="_Toc29232"/>
      <w:bookmarkStart w:id="361" w:name="_Toc16157"/>
      <w:bookmarkStart w:id="362" w:name="_Toc5148"/>
      <w:bookmarkStart w:id="363" w:name="_Toc30457"/>
      <w:r>
        <w:rPr>
          <w:rFonts w:hint="eastAsia" w:cs="宋体"/>
          <w:color w:val="auto"/>
          <w:sz w:val="28"/>
          <w:szCs w:val="28"/>
          <w:highlight w:val="none"/>
        </w:rPr>
        <w:t>授权委托书</w:t>
      </w:r>
      <w:bookmarkEnd w:id="360"/>
      <w:bookmarkEnd w:id="361"/>
      <w:bookmarkEnd w:id="362"/>
      <w:bookmarkEnd w:id="363"/>
    </w:p>
    <w:p w14:paraId="0A07D65C">
      <w:pPr>
        <w:spacing w:line="500" w:lineRule="exact"/>
        <w:rPr>
          <w:rFonts w:ascii="宋体" w:hAnsi="宋体" w:cs="宋体"/>
          <w:color w:val="auto"/>
          <w:highlight w:val="none"/>
        </w:rPr>
      </w:pPr>
    </w:p>
    <w:p w14:paraId="6F7C0AE5">
      <w:pPr>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本人</w:t>
      </w:r>
      <w:r>
        <w:rPr>
          <w:rFonts w:hint="eastAsia" w:ascii="宋体" w:hAnsi="宋体" w:cs="宋体"/>
          <w:color w:val="auto"/>
          <w:sz w:val="24"/>
          <w:highlight w:val="none"/>
          <w:u w:val="single"/>
        </w:rPr>
        <w:t xml:space="preserve">      （姓名）        </w:t>
      </w: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      （投标人名称）     </w:t>
      </w:r>
      <w:r>
        <w:rPr>
          <w:rFonts w:hint="eastAsia" w:ascii="宋体" w:hAnsi="宋体" w:cs="宋体"/>
          <w:color w:val="auto"/>
          <w:sz w:val="24"/>
          <w:highlight w:val="none"/>
        </w:rPr>
        <w:t>的法定代表人（单位负责人），现委托</w:t>
      </w:r>
      <w:r>
        <w:rPr>
          <w:rFonts w:hint="eastAsia" w:ascii="宋体" w:hAnsi="宋体" w:cs="宋体"/>
          <w:color w:val="auto"/>
          <w:sz w:val="24"/>
          <w:highlight w:val="none"/>
          <w:u w:val="single"/>
        </w:rPr>
        <w:t xml:space="preserve">     （姓名）     </w:t>
      </w:r>
      <w:r>
        <w:rPr>
          <w:rFonts w:hint="eastAsia" w:ascii="宋体" w:hAnsi="宋体" w:cs="宋体"/>
          <w:color w:val="auto"/>
          <w:sz w:val="24"/>
          <w:highlight w:val="none"/>
        </w:rPr>
        <w:t>为我方代理人。代理人根据授权，以我方名义签署、澄清确认、递交、撤回、修改</w:t>
      </w:r>
      <w:r>
        <w:rPr>
          <w:rFonts w:hint="eastAsia" w:ascii="宋体" w:hAnsi="宋体" w:cs="宋体"/>
          <w:color w:val="auto"/>
          <w:sz w:val="24"/>
          <w:highlight w:val="none"/>
          <w:u w:val="single"/>
        </w:rPr>
        <w:t>（项目名称、项目编号）</w:t>
      </w:r>
      <w:r>
        <w:rPr>
          <w:rFonts w:hint="eastAsia" w:ascii="宋体" w:hAnsi="宋体" w:cs="宋体"/>
          <w:color w:val="auto"/>
          <w:sz w:val="24"/>
          <w:highlight w:val="none"/>
        </w:rPr>
        <w:t>投标文件、签订合同和处理开标现场有关事宜，其法律后果由我方承担。</w:t>
      </w:r>
    </w:p>
    <w:p w14:paraId="67DFBE3B">
      <w:pPr>
        <w:spacing w:line="500" w:lineRule="exact"/>
        <w:rPr>
          <w:rFonts w:ascii="宋体" w:hAnsi="宋体" w:cs="宋体"/>
          <w:color w:val="auto"/>
          <w:sz w:val="24"/>
          <w:highlight w:val="none"/>
        </w:rPr>
      </w:pPr>
      <w:r>
        <w:rPr>
          <w:rFonts w:hint="eastAsia" w:ascii="宋体" w:hAnsi="宋体" w:cs="宋体"/>
          <w:color w:val="auto"/>
          <w:sz w:val="24"/>
          <w:highlight w:val="none"/>
        </w:rPr>
        <w:t>委托期限：</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3910CAA">
      <w:pPr>
        <w:spacing w:line="500" w:lineRule="exact"/>
        <w:rPr>
          <w:rFonts w:ascii="宋体" w:hAnsi="宋体" w:cs="宋体"/>
          <w:color w:val="auto"/>
          <w:sz w:val="24"/>
          <w:highlight w:val="none"/>
        </w:rPr>
      </w:pPr>
    </w:p>
    <w:p w14:paraId="71E2ACD7">
      <w:pPr>
        <w:spacing w:line="500" w:lineRule="exact"/>
        <w:rPr>
          <w:rFonts w:ascii="宋体" w:hAnsi="宋体" w:cs="宋体"/>
          <w:color w:val="auto"/>
          <w:sz w:val="24"/>
          <w:highlight w:val="none"/>
        </w:rPr>
      </w:pPr>
      <w:r>
        <w:rPr>
          <w:rFonts w:hint="eastAsia" w:ascii="宋体" w:hAnsi="宋体" w:cs="宋体"/>
          <w:color w:val="auto"/>
          <w:sz w:val="24"/>
          <w:highlight w:val="none"/>
        </w:rPr>
        <w:t>代理人无转委托权。</w:t>
      </w:r>
    </w:p>
    <w:p w14:paraId="6771710D">
      <w:pPr>
        <w:spacing w:line="500" w:lineRule="exact"/>
        <w:rPr>
          <w:rFonts w:ascii="宋体" w:hAnsi="宋体" w:cs="宋体"/>
          <w:color w:val="auto"/>
          <w:sz w:val="24"/>
          <w:highlight w:val="none"/>
        </w:rPr>
      </w:pPr>
    </w:p>
    <w:p w14:paraId="7E02AA22">
      <w:pPr>
        <w:spacing w:line="500" w:lineRule="exact"/>
        <w:rPr>
          <w:rFonts w:ascii="宋体" w:hAnsi="宋体" w:cs="宋体"/>
          <w:color w:val="auto"/>
          <w:sz w:val="24"/>
          <w:highlight w:val="none"/>
        </w:rPr>
      </w:pPr>
    </w:p>
    <w:p w14:paraId="3BDD19EC">
      <w:pPr>
        <w:spacing w:line="500" w:lineRule="exact"/>
        <w:rPr>
          <w:rFonts w:ascii="宋体" w:hAnsi="宋体" w:cs="宋体"/>
          <w:color w:val="auto"/>
          <w:sz w:val="24"/>
          <w:highlight w:val="none"/>
        </w:rPr>
      </w:pPr>
      <w:r>
        <w:rPr>
          <w:rFonts w:hint="eastAsia" w:ascii="宋体" w:hAnsi="宋体" w:cs="宋体"/>
          <w:color w:val="auto"/>
          <w:sz w:val="24"/>
          <w:highlight w:val="none"/>
        </w:rPr>
        <w:t>附：法定代表人（单位负责人）身份证复印件及委托代理人身份证复印件</w:t>
      </w:r>
    </w:p>
    <w:p w14:paraId="2206C64A">
      <w:pPr>
        <w:spacing w:line="500" w:lineRule="exact"/>
        <w:rPr>
          <w:rFonts w:ascii="宋体" w:hAnsi="宋体" w:cs="宋体"/>
          <w:color w:val="auto"/>
          <w:sz w:val="24"/>
          <w:highlight w:val="none"/>
        </w:rPr>
      </w:pPr>
    </w:p>
    <w:p w14:paraId="1F1D7D43">
      <w:pPr>
        <w:spacing w:line="500" w:lineRule="exact"/>
        <w:rPr>
          <w:rFonts w:ascii="宋体" w:hAnsi="宋体" w:cs="宋体"/>
          <w:color w:val="auto"/>
          <w:sz w:val="24"/>
          <w:highlight w:val="none"/>
        </w:rPr>
      </w:pPr>
    </w:p>
    <w:p w14:paraId="2E0629F8">
      <w:pPr>
        <w:spacing w:line="500" w:lineRule="exact"/>
        <w:rPr>
          <w:rFonts w:ascii="宋体" w:hAnsi="宋体" w:cs="宋体"/>
          <w:color w:val="auto"/>
          <w:sz w:val="24"/>
          <w:highlight w:val="none"/>
        </w:rPr>
      </w:pPr>
    </w:p>
    <w:p w14:paraId="74EA44BA">
      <w:pPr>
        <w:spacing w:line="500" w:lineRule="exact"/>
        <w:rPr>
          <w:rFonts w:ascii="宋体" w:hAnsi="宋体" w:cs="宋体"/>
          <w:color w:val="auto"/>
          <w:sz w:val="24"/>
          <w:highlight w:val="none"/>
        </w:rPr>
      </w:pPr>
    </w:p>
    <w:p w14:paraId="1E7018CC">
      <w:pPr>
        <w:spacing w:before="100" w:beforeAutospacing="1" w:line="480" w:lineRule="auto"/>
        <w:ind w:right="1584"/>
        <w:rPr>
          <w:rFonts w:ascii="宋体" w:hAnsi="宋体" w:cs="仿宋"/>
          <w:color w:val="auto"/>
          <w:spacing w:val="24"/>
          <w:sz w:val="24"/>
          <w:highlight w:val="none"/>
          <w:u w:val="single"/>
        </w:rPr>
      </w:pPr>
      <w:r>
        <w:rPr>
          <w:rFonts w:hint="eastAsia" w:ascii="宋体" w:hAnsi="宋体" w:cs="仿宋"/>
          <w:color w:val="auto"/>
          <w:spacing w:val="24"/>
          <w:sz w:val="24"/>
          <w:highlight w:val="none"/>
        </w:rPr>
        <w:t>投标人：</w:t>
      </w:r>
      <w:r>
        <w:rPr>
          <w:rFonts w:hint="eastAsia" w:ascii="宋体" w:hAnsi="宋体" w:cs="仿宋"/>
          <w:color w:val="auto"/>
          <w:spacing w:val="24"/>
          <w:sz w:val="24"/>
          <w:highlight w:val="none"/>
          <w:u w:val="single"/>
        </w:rPr>
        <w:tab/>
      </w:r>
      <w:r>
        <w:rPr>
          <w:rFonts w:hint="eastAsia" w:ascii="宋体" w:hAnsi="宋体" w:cs="仿宋"/>
          <w:color w:val="auto"/>
          <w:spacing w:val="24"/>
          <w:sz w:val="24"/>
          <w:highlight w:val="none"/>
          <w:u w:val="single"/>
        </w:rPr>
        <w:t>（盖投标人公章）</w:t>
      </w:r>
    </w:p>
    <w:p w14:paraId="4C7D71C0">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法定代表人或授权委托人：</w:t>
      </w:r>
      <w:r>
        <w:rPr>
          <w:rFonts w:hint="eastAsia" w:ascii="宋体" w:hAnsi="宋体" w:cs="仿宋"/>
          <w:color w:val="auto"/>
          <w:spacing w:val="24"/>
          <w:sz w:val="24"/>
          <w:highlight w:val="none"/>
          <w:u w:val="single"/>
        </w:rPr>
        <w:t>（签字或盖章）</w:t>
      </w:r>
    </w:p>
    <w:p w14:paraId="3E3F11DE">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日期：   年   月    日</w:t>
      </w:r>
    </w:p>
    <w:p w14:paraId="1485530F">
      <w:pPr>
        <w:tabs>
          <w:tab w:val="left" w:pos="5580"/>
        </w:tabs>
        <w:spacing w:line="500" w:lineRule="exact"/>
        <w:rPr>
          <w:rFonts w:ascii="宋体" w:hAnsi="宋体" w:cs="方正仿宋_GB2312"/>
          <w:color w:val="auto"/>
          <w:kern w:val="0"/>
          <w:sz w:val="24"/>
          <w:highlight w:val="none"/>
        </w:rPr>
      </w:pPr>
    </w:p>
    <w:p w14:paraId="0142C17F">
      <w:pPr>
        <w:spacing w:line="500" w:lineRule="exact"/>
        <w:rPr>
          <w:rFonts w:ascii="宋体" w:hAnsi="宋体" w:cs="宋体"/>
          <w:color w:val="auto"/>
          <w:sz w:val="24"/>
          <w:highlight w:val="none"/>
        </w:rPr>
      </w:pPr>
    </w:p>
    <w:p w14:paraId="49B11E58">
      <w:pPr>
        <w:pStyle w:val="12"/>
        <w:rPr>
          <w:color w:val="auto"/>
          <w:highlight w:val="none"/>
        </w:rPr>
      </w:pPr>
    </w:p>
    <w:p w14:paraId="721FD4FB">
      <w:pPr>
        <w:pStyle w:val="12"/>
        <w:rPr>
          <w:color w:val="auto"/>
          <w:highlight w:val="none"/>
        </w:rPr>
      </w:pPr>
    </w:p>
    <w:p w14:paraId="6C08982A">
      <w:pPr>
        <w:spacing w:line="500" w:lineRule="exact"/>
        <w:rPr>
          <w:rFonts w:ascii="宋体" w:hAnsi="宋体" w:cs="宋体"/>
          <w:color w:val="auto"/>
          <w:sz w:val="24"/>
          <w:highlight w:val="none"/>
        </w:rPr>
      </w:pPr>
    </w:p>
    <w:p w14:paraId="6FC2EC8F">
      <w:pPr>
        <w:spacing w:line="500" w:lineRule="exact"/>
        <w:rPr>
          <w:rFonts w:ascii="宋体" w:hAnsi="宋体" w:cs="宋体"/>
          <w:color w:val="auto"/>
          <w:sz w:val="24"/>
          <w:highlight w:val="none"/>
        </w:rPr>
      </w:pPr>
    </w:p>
    <w:p w14:paraId="491D0744">
      <w:pPr>
        <w:pStyle w:val="12"/>
        <w:numPr>
          <w:ilvl w:val="0"/>
          <w:numId w:val="9"/>
        </w:numPr>
        <w:jc w:val="center"/>
        <w:rPr>
          <w:rFonts w:ascii="宋体" w:hAnsi="宋体" w:eastAsia="宋体" w:cs="宋体"/>
          <w:b/>
          <w:bCs/>
          <w:color w:val="auto"/>
          <w:spacing w:val="0"/>
          <w:kern w:val="0"/>
          <w:szCs w:val="28"/>
          <w:highlight w:val="none"/>
        </w:rPr>
      </w:pPr>
      <w:r>
        <w:rPr>
          <w:rFonts w:hint="eastAsia" w:ascii="宋体" w:hAnsi="宋体" w:eastAsia="宋体" w:cs="宋体"/>
          <w:b/>
          <w:bCs/>
          <w:color w:val="auto"/>
          <w:spacing w:val="0"/>
          <w:kern w:val="0"/>
          <w:szCs w:val="28"/>
          <w:highlight w:val="none"/>
        </w:rPr>
        <w:t>开标一览表</w:t>
      </w:r>
    </w:p>
    <w:p w14:paraId="74DA1009">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w:t>
      </w:r>
    </w:p>
    <w:p w14:paraId="72A07399">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 xml:space="preserve">编号：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金额单位：人民币</w:t>
      </w:r>
    </w:p>
    <w:tbl>
      <w:tblPr>
        <w:tblStyle w:val="47"/>
        <w:tblW w:w="84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31"/>
        <w:gridCol w:w="6028"/>
      </w:tblGrid>
      <w:tr w14:paraId="0EF37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8" w:hRule="atLeast"/>
          <w:jc w:val="center"/>
        </w:trPr>
        <w:tc>
          <w:tcPr>
            <w:tcW w:w="2431" w:type="dxa"/>
            <w:vAlign w:val="center"/>
          </w:tcPr>
          <w:p w14:paraId="3BD7DCD8">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投标总价（元）</w:t>
            </w:r>
          </w:p>
        </w:tc>
        <w:tc>
          <w:tcPr>
            <w:tcW w:w="6028" w:type="dxa"/>
            <w:vAlign w:val="center"/>
          </w:tcPr>
          <w:p w14:paraId="034D1A24">
            <w:pPr>
              <w:keepNext w:val="0"/>
              <w:keepLines w:val="0"/>
              <w:pageBreakBefore w:val="0"/>
              <w:widowControl w:val="0"/>
              <w:kinsoku/>
              <w:wordWrap/>
              <w:overflowPunct/>
              <w:topLinePunct w:val="0"/>
              <w:autoSpaceDE/>
              <w:autoSpaceDN/>
              <w:bidi w:val="0"/>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大写：  </w:t>
            </w:r>
          </w:p>
          <w:p w14:paraId="53843219">
            <w:pPr>
              <w:keepNext w:val="0"/>
              <w:keepLines w:val="0"/>
              <w:pageBreakBefore w:val="0"/>
              <w:widowControl w:val="0"/>
              <w:kinsoku/>
              <w:wordWrap/>
              <w:overflowPunct/>
              <w:topLinePunct w:val="0"/>
              <w:autoSpaceDE/>
              <w:autoSpaceDN/>
              <w:bidi w:val="0"/>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p>
        </w:tc>
      </w:tr>
      <w:tr w14:paraId="0C4DD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2431" w:type="dxa"/>
            <w:vAlign w:val="center"/>
          </w:tcPr>
          <w:p w14:paraId="747FAEFE">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合同履</w:t>
            </w:r>
            <w:r>
              <w:rPr>
                <w:rFonts w:hint="eastAsia" w:ascii="宋体" w:hAnsi="宋体" w:eastAsia="宋体" w:cs="宋体"/>
                <w:color w:val="auto"/>
                <w:sz w:val="24"/>
                <w:szCs w:val="24"/>
                <w:highlight w:val="none"/>
                <w:lang w:eastAsia="zh-CN"/>
              </w:rPr>
              <w:t>行</w:t>
            </w:r>
            <w:r>
              <w:rPr>
                <w:rFonts w:hint="eastAsia" w:ascii="宋体" w:hAnsi="宋体" w:eastAsia="宋体" w:cs="宋体"/>
                <w:color w:val="auto"/>
                <w:sz w:val="24"/>
                <w:szCs w:val="24"/>
                <w:highlight w:val="none"/>
              </w:rPr>
              <w:t>期限</w:t>
            </w:r>
          </w:p>
        </w:tc>
        <w:tc>
          <w:tcPr>
            <w:tcW w:w="6028" w:type="dxa"/>
            <w:vAlign w:val="center"/>
          </w:tcPr>
          <w:p w14:paraId="3345C938">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rPr>
            </w:pPr>
          </w:p>
        </w:tc>
      </w:tr>
      <w:tr w14:paraId="36E81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2431" w:type="dxa"/>
            <w:vAlign w:val="center"/>
          </w:tcPr>
          <w:p w14:paraId="482BA4F6">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交货地点</w:t>
            </w:r>
          </w:p>
        </w:tc>
        <w:tc>
          <w:tcPr>
            <w:tcW w:w="6028" w:type="dxa"/>
            <w:vAlign w:val="center"/>
          </w:tcPr>
          <w:p w14:paraId="1CA9777A">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rPr>
            </w:pPr>
          </w:p>
        </w:tc>
      </w:tr>
      <w:tr w14:paraId="77F67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431" w:type="dxa"/>
            <w:vAlign w:val="center"/>
          </w:tcPr>
          <w:p w14:paraId="26EE2C30">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备注</w:t>
            </w:r>
          </w:p>
        </w:tc>
        <w:tc>
          <w:tcPr>
            <w:tcW w:w="6028" w:type="dxa"/>
            <w:vAlign w:val="center"/>
          </w:tcPr>
          <w:p w14:paraId="6A92B5B4">
            <w:pPr>
              <w:keepNext w:val="0"/>
              <w:keepLines w:val="0"/>
              <w:pageBreakBefore w:val="0"/>
              <w:widowControl w:val="0"/>
              <w:kinsoku/>
              <w:wordWrap/>
              <w:overflowPunct/>
              <w:topLinePunct w:val="0"/>
              <w:autoSpaceDE/>
              <w:autoSpaceDN/>
              <w:bidi w:val="0"/>
              <w:snapToGrid w:val="0"/>
              <w:spacing w:line="500" w:lineRule="exact"/>
              <w:jc w:val="center"/>
              <w:textAlignment w:val="auto"/>
              <w:rPr>
                <w:rFonts w:hint="eastAsia" w:ascii="宋体" w:hAnsi="宋体" w:eastAsia="宋体" w:cs="宋体"/>
                <w:color w:val="auto"/>
                <w:sz w:val="24"/>
                <w:szCs w:val="24"/>
                <w:highlight w:val="none"/>
              </w:rPr>
            </w:pPr>
          </w:p>
        </w:tc>
      </w:tr>
    </w:tbl>
    <w:p w14:paraId="11EE0DD0">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 投标报价包括项目实施所需的货款、人工费、服务费、运输费、安装调试费、</w:t>
      </w:r>
      <w:r>
        <w:rPr>
          <w:rFonts w:hint="eastAsia" w:ascii="宋体" w:hAnsi="宋体" w:cs="宋体"/>
          <w:color w:val="auto"/>
          <w:sz w:val="24"/>
          <w:szCs w:val="24"/>
          <w:highlight w:val="none"/>
          <w:lang w:eastAsia="zh-CN"/>
        </w:rPr>
        <w:t>培训费、</w:t>
      </w:r>
      <w:r>
        <w:rPr>
          <w:rFonts w:hint="eastAsia" w:ascii="宋体" w:hAnsi="宋体" w:eastAsia="宋体" w:cs="宋体"/>
          <w:color w:val="auto"/>
          <w:sz w:val="24"/>
          <w:szCs w:val="24"/>
          <w:highlight w:val="none"/>
        </w:rPr>
        <w:t>税金及其他一切费用。</w:t>
      </w:r>
    </w:p>
    <w:p w14:paraId="6E6FC654">
      <w:pPr>
        <w:pStyle w:val="12"/>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color w:val="auto"/>
          <w:highlight w:val="none"/>
        </w:rPr>
      </w:pPr>
    </w:p>
    <w:p w14:paraId="1C28B339">
      <w:pPr>
        <w:keepNext w:val="0"/>
        <w:keepLines w:val="0"/>
        <w:pageBreakBefore w:val="0"/>
        <w:widowControl w:val="0"/>
        <w:kinsoku/>
        <w:wordWrap/>
        <w:overflowPunct/>
        <w:topLinePunct w:val="0"/>
        <w:autoSpaceDE/>
        <w:autoSpaceDN/>
        <w:bidi w:val="0"/>
        <w:adjustRightInd w:val="0"/>
        <w:snapToGrid w:val="0"/>
        <w:spacing w:line="500" w:lineRule="exact"/>
        <w:ind w:left="-4" w:leftChars="-2" w:right="-817" w:rightChars="-389" w:firstLine="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投标人名称（盖章）：</w:t>
      </w:r>
    </w:p>
    <w:p w14:paraId="5AD4E476">
      <w:pPr>
        <w:keepNext w:val="0"/>
        <w:keepLines w:val="0"/>
        <w:pageBreakBefore w:val="0"/>
        <w:widowControl w:val="0"/>
        <w:kinsoku/>
        <w:wordWrap/>
        <w:overflowPunct/>
        <w:topLinePunct w:val="0"/>
        <w:autoSpaceDE/>
        <w:autoSpaceDN/>
        <w:bidi w:val="0"/>
        <w:adjustRightInd w:val="0"/>
        <w:snapToGrid w:val="0"/>
        <w:spacing w:line="500" w:lineRule="exact"/>
        <w:ind w:left="-4" w:leftChars="-2" w:right="-817" w:rightChars="-389" w:firstLine="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法定代表人或授权代表（签字）：</w:t>
      </w:r>
    </w:p>
    <w:p w14:paraId="0307559B">
      <w:pPr>
        <w:keepNext w:val="0"/>
        <w:keepLines w:val="0"/>
        <w:pageBreakBefore w:val="0"/>
        <w:widowControl w:val="0"/>
        <w:kinsoku/>
        <w:wordWrap/>
        <w:overflowPunct/>
        <w:topLinePunct w:val="0"/>
        <w:autoSpaceDE/>
        <w:autoSpaceDN/>
        <w:bidi w:val="0"/>
        <w:adjustRightInd w:val="0"/>
        <w:snapToGrid w:val="0"/>
        <w:spacing w:line="500" w:lineRule="exact"/>
        <w:ind w:left="-2" w:leftChars="-1" w:right="-817" w:rightChars="-389" w:firstLine="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14:paraId="4885433F">
      <w:pPr>
        <w:pStyle w:val="12"/>
        <w:jc w:val="center"/>
        <w:rPr>
          <w:rFonts w:ascii="宋体" w:hAnsi="宋体" w:eastAsia="宋体" w:cs="宋体"/>
          <w:b/>
          <w:bCs/>
          <w:color w:val="auto"/>
          <w:spacing w:val="0"/>
          <w:kern w:val="0"/>
          <w:szCs w:val="28"/>
          <w:highlight w:val="none"/>
        </w:rPr>
      </w:pPr>
    </w:p>
    <w:p w14:paraId="1333B3EA">
      <w:pPr>
        <w:pStyle w:val="12"/>
        <w:jc w:val="center"/>
        <w:rPr>
          <w:rFonts w:ascii="宋体" w:hAnsi="宋体" w:eastAsia="宋体" w:cs="宋体"/>
          <w:b/>
          <w:bCs/>
          <w:color w:val="auto"/>
          <w:spacing w:val="0"/>
          <w:kern w:val="0"/>
          <w:szCs w:val="28"/>
          <w:highlight w:val="none"/>
        </w:rPr>
      </w:pPr>
    </w:p>
    <w:p w14:paraId="0BDB68DF">
      <w:pPr>
        <w:pStyle w:val="12"/>
        <w:jc w:val="center"/>
        <w:rPr>
          <w:rFonts w:ascii="宋体" w:hAnsi="宋体" w:eastAsia="宋体" w:cs="宋体"/>
          <w:b/>
          <w:bCs/>
          <w:color w:val="auto"/>
          <w:spacing w:val="0"/>
          <w:kern w:val="0"/>
          <w:szCs w:val="28"/>
          <w:highlight w:val="none"/>
        </w:rPr>
      </w:pPr>
    </w:p>
    <w:p w14:paraId="49283EBF">
      <w:pPr>
        <w:pStyle w:val="12"/>
        <w:jc w:val="center"/>
        <w:rPr>
          <w:rFonts w:ascii="宋体" w:hAnsi="宋体" w:eastAsia="宋体" w:cs="宋体"/>
          <w:b/>
          <w:bCs/>
          <w:color w:val="auto"/>
          <w:spacing w:val="0"/>
          <w:kern w:val="0"/>
          <w:szCs w:val="28"/>
          <w:highlight w:val="none"/>
        </w:rPr>
      </w:pPr>
    </w:p>
    <w:p w14:paraId="628B3A09">
      <w:pPr>
        <w:pStyle w:val="12"/>
        <w:jc w:val="center"/>
        <w:rPr>
          <w:rFonts w:ascii="宋体" w:hAnsi="宋体" w:eastAsia="宋体" w:cs="宋体"/>
          <w:b/>
          <w:bCs/>
          <w:color w:val="auto"/>
          <w:spacing w:val="0"/>
          <w:kern w:val="0"/>
          <w:szCs w:val="28"/>
          <w:highlight w:val="none"/>
        </w:rPr>
      </w:pPr>
    </w:p>
    <w:p w14:paraId="7FBB8862">
      <w:pPr>
        <w:rPr>
          <w:rFonts w:ascii="宋体" w:hAnsi="宋体" w:eastAsia="宋体" w:cs="宋体"/>
          <w:b/>
          <w:bCs/>
          <w:color w:val="auto"/>
          <w:spacing w:val="0"/>
          <w:kern w:val="0"/>
          <w:szCs w:val="28"/>
          <w:highlight w:val="none"/>
        </w:rPr>
      </w:pPr>
    </w:p>
    <w:p w14:paraId="57D375DF">
      <w:pPr>
        <w:pStyle w:val="15"/>
        <w:rPr>
          <w:rFonts w:ascii="宋体" w:hAnsi="宋体" w:eastAsia="宋体" w:cs="宋体"/>
          <w:b/>
          <w:bCs/>
          <w:color w:val="auto"/>
          <w:spacing w:val="0"/>
          <w:kern w:val="0"/>
          <w:szCs w:val="28"/>
          <w:highlight w:val="none"/>
        </w:rPr>
      </w:pPr>
    </w:p>
    <w:p w14:paraId="378A2468">
      <w:pPr>
        <w:rPr>
          <w:color w:val="auto"/>
          <w:highlight w:val="none"/>
        </w:rPr>
      </w:pPr>
    </w:p>
    <w:p w14:paraId="114204C2">
      <w:pPr>
        <w:numPr>
          <w:ilvl w:val="0"/>
          <w:numId w:val="10"/>
        </w:numPr>
        <w:adjustRightInd w:val="0"/>
        <w:snapToGrid w:val="0"/>
        <w:spacing w:line="400" w:lineRule="exact"/>
        <w:ind w:left="420" w:leftChars="0" w:hanging="420" w:firstLineChars="0"/>
        <w:jc w:val="center"/>
        <w:rPr>
          <w:rFonts w:hint="eastAsia" w:ascii="宋体" w:hAnsi="宋体" w:eastAsia="宋体" w:cs="宋体"/>
          <w:b/>
          <w:color w:val="auto"/>
          <w:sz w:val="28"/>
          <w:szCs w:val="28"/>
          <w:highlight w:val="none"/>
        </w:rPr>
      </w:pPr>
      <w:r>
        <w:rPr>
          <w:rFonts w:hint="eastAsia" w:ascii="宋体" w:hAnsi="宋体" w:eastAsia="宋体" w:cs="宋体"/>
          <w:b/>
          <w:bCs/>
          <w:color w:val="auto"/>
          <w:spacing w:val="0"/>
          <w:kern w:val="0"/>
          <w:sz w:val="28"/>
          <w:szCs w:val="28"/>
          <w:highlight w:val="none"/>
          <w:lang w:val="en-US" w:eastAsia="zh-CN" w:bidi="ar-SA"/>
        </w:rPr>
        <w:t>投标报价明细表</w:t>
      </w:r>
    </w:p>
    <w:p w14:paraId="56F7FFAA">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14:paraId="1151C868">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编号：                               金额单位：人民币</w:t>
      </w:r>
    </w:p>
    <w:tbl>
      <w:tblPr>
        <w:tblStyle w:val="47"/>
        <w:tblW w:w="83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7"/>
        <w:gridCol w:w="1315"/>
        <w:gridCol w:w="986"/>
        <w:gridCol w:w="1315"/>
        <w:gridCol w:w="1479"/>
        <w:gridCol w:w="903"/>
        <w:gridCol w:w="903"/>
        <w:gridCol w:w="780"/>
      </w:tblGrid>
      <w:tr w14:paraId="1D5A64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657" w:type="dxa"/>
            <w:tcBorders>
              <w:top w:val="single" w:color="auto" w:sz="4" w:space="0"/>
              <w:left w:val="single" w:color="auto" w:sz="4" w:space="0"/>
              <w:bottom w:val="single" w:color="auto" w:sz="4" w:space="0"/>
              <w:right w:val="single" w:color="auto" w:sz="4" w:space="0"/>
            </w:tcBorders>
            <w:vAlign w:val="center"/>
          </w:tcPr>
          <w:p w14:paraId="4D40A9AE">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z w:val="24"/>
                <w:szCs w:val="24"/>
                <w:highlight w:val="none"/>
              </w:rPr>
              <w:t>序号</w:t>
            </w:r>
          </w:p>
        </w:tc>
        <w:tc>
          <w:tcPr>
            <w:tcW w:w="1315" w:type="dxa"/>
            <w:tcBorders>
              <w:top w:val="single" w:color="auto" w:sz="4" w:space="0"/>
              <w:left w:val="single" w:color="auto" w:sz="4" w:space="0"/>
              <w:bottom w:val="single" w:color="auto" w:sz="4" w:space="0"/>
              <w:right w:val="single" w:color="auto" w:sz="4" w:space="0"/>
            </w:tcBorders>
            <w:vAlign w:val="center"/>
          </w:tcPr>
          <w:p w14:paraId="2A56E33E">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lang w:eastAsia="zh-CN"/>
              </w:rPr>
            </w:pPr>
            <w:r>
              <w:rPr>
                <w:rFonts w:hint="eastAsia" w:ascii="宋体" w:hAnsi="宋体" w:cs="宋体"/>
                <w:color w:val="auto"/>
                <w:sz w:val="24"/>
                <w:szCs w:val="24"/>
                <w:highlight w:val="none"/>
                <w:lang w:eastAsia="zh-CN"/>
              </w:rPr>
              <w:t>名称</w:t>
            </w:r>
          </w:p>
        </w:tc>
        <w:tc>
          <w:tcPr>
            <w:tcW w:w="986" w:type="dxa"/>
            <w:tcBorders>
              <w:top w:val="single" w:color="auto" w:sz="4" w:space="0"/>
              <w:left w:val="single" w:color="auto" w:sz="4" w:space="0"/>
              <w:bottom w:val="single" w:color="auto" w:sz="4" w:space="0"/>
              <w:right w:val="single" w:color="auto" w:sz="4" w:space="0"/>
            </w:tcBorders>
            <w:vAlign w:val="center"/>
          </w:tcPr>
          <w:p w14:paraId="54D892C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kern w:val="0"/>
                <w:sz w:val="24"/>
                <w:szCs w:val="24"/>
                <w:highlight w:val="none"/>
              </w:rPr>
            </w:pPr>
            <w:r>
              <w:rPr>
                <w:rFonts w:hint="eastAsia" w:ascii="宋体" w:hAnsi="宋体" w:eastAsia="宋体" w:cs="宋体"/>
                <w:color w:val="auto"/>
                <w:spacing w:val="-20"/>
                <w:kern w:val="0"/>
                <w:sz w:val="24"/>
                <w:szCs w:val="24"/>
                <w:highlight w:val="none"/>
              </w:rPr>
              <w:t>品牌</w:t>
            </w:r>
          </w:p>
        </w:tc>
        <w:tc>
          <w:tcPr>
            <w:tcW w:w="1315" w:type="dxa"/>
            <w:tcBorders>
              <w:top w:val="single" w:color="auto" w:sz="4" w:space="0"/>
              <w:left w:val="single" w:color="auto" w:sz="4" w:space="0"/>
              <w:bottom w:val="single" w:color="auto" w:sz="4" w:space="0"/>
              <w:right w:val="single" w:color="auto" w:sz="4" w:space="0"/>
            </w:tcBorders>
            <w:vAlign w:val="center"/>
          </w:tcPr>
          <w:p w14:paraId="74F89B43">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z w:val="24"/>
                <w:szCs w:val="24"/>
                <w:highlight w:val="none"/>
              </w:rPr>
              <w:t>规格型号</w:t>
            </w:r>
          </w:p>
        </w:tc>
        <w:tc>
          <w:tcPr>
            <w:tcW w:w="1479" w:type="dxa"/>
            <w:tcBorders>
              <w:top w:val="single" w:color="auto" w:sz="4" w:space="0"/>
              <w:left w:val="single" w:color="auto" w:sz="4" w:space="0"/>
              <w:bottom w:val="single" w:color="auto" w:sz="4" w:space="0"/>
              <w:right w:val="single" w:color="auto" w:sz="4" w:space="0"/>
            </w:tcBorders>
            <w:vAlign w:val="center"/>
          </w:tcPr>
          <w:p w14:paraId="5E331624">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z w:val="24"/>
                <w:szCs w:val="24"/>
                <w:highlight w:val="none"/>
              </w:rPr>
              <w:t>单位及数量</w:t>
            </w:r>
          </w:p>
        </w:tc>
        <w:tc>
          <w:tcPr>
            <w:tcW w:w="903" w:type="dxa"/>
            <w:tcBorders>
              <w:top w:val="single" w:color="auto" w:sz="4" w:space="0"/>
              <w:left w:val="single" w:color="auto" w:sz="4" w:space="0"/>
              <w:bottom w:val="single" w:color="auto" w:sz="4" w:space="0"/>
              <w:right w:val="single" w:color="auto" w:sz="4" w:space="0"/>
            </w:tcBorders>
            <w:vAlign w:val="center"/>
          </w:tcPr>
          <w:p w14:paraId="329C2189">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z w:val="24"/>
                <w:szCs w:val="24"/>
                <w:highlight w:val="none"/>
              </w:rPr>
              <w:t>单价（元）</w:t>
            </w:r>
          </w:p>
        </w:tc>
        <w:tc>
          <w:tcPr>
            <w:tcW w:w="903" w:type="dxa"/>
            <w:tcBorders>
              <w:top w:val="single" w:color="auto" w:sz="4" w:space="0"/>
              <w:left w:val="single" w:color="auto" w:sz="4" w:space="0"/>
              <w:bottom w:val="single" w:color="auto" w:sz="4" w:space="0"/>
              <w:right w:val="single" w:color="auto" w:sz="4" w:space="0"/>
            </w:tcBorders>
            <w:vAlign w:val="center"/>
          </w:tcPr>
          <w:p w14:paraId="7E1CFC0C">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lang w:eastAsia="zh-CN"/>
              </w:rPr>
            </w:pPr>
            <w:r>
              <w:rPr>
                <w:rFonts w:hint="eastAsia" w:ascii="宋体" w:hAnsi="宋体" w:eastAsia="宋体" w:cs="宋体"/>
                <w:color w:val="auto"/>
                <w:sz w:val="24"/>
                <w:szCs w:val="24"/>
                <w:highlight w:val="none"/>
                <w:lang w:eastAsia="zh-CN"/>
              </w:rPr>
              <w:t>总价</w:t>
            </w:r>
            <w:r>
              <w:rPr>
                <w:rFonts w:hint="eastAsia" w:ascii="宋体" w:hAnsi="宋体" w:eastAsia="宋体" w:cs="宋体"/>
                <w:color w:val="auto"/>
                <w:sz w:val="24"/>
                <w:szCs w:val="24"/>
                <w:highlight w:val="none"/>
              </w:rPr>
              <w:t>（元）</w:t>
            </w:r>
          </w:p>
        </w:tc>
        <w:tc>
          <w:tcPr>
            <w:tcW w:w="780" w:type="dxa"/>
            <w:tcBorders>
              <w:top w:val="single" w:color="auto" w:sz="4" w:space="0"/>
              <w:left w:val="single" w:color="auto" w:sz="4" w:space="0"/>
              <w:bottom w:val="single" w:color="auto" w:sz="4" w:space="0"/>
              <w:right w:val="single" w:color="auto" w:sz="4" w:space="0"/>
            </w:tcBorders>
            <w:vAlign w:val="center"/>
          </w:tcPr>
          <w:p w14:paraId="086A613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备注</w:t>
            </w:r>
          </w:p>
        </w:tc>
      </w:tr>
      <w:tr w14:paraId="700E94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657" w:type="dxa"/>
            <w:tcBorders>
              <w:top w:val="single" w:color="auto" w:sz="4" w:space="0"/>
              <w:left w:val="single" w:color="auto" w:sz="4" w:space="0"/>
              <w:bottom w:val="single" w:color="auto" w:sz="4" w:space="0"/>
              <w:right w:val="single" w:color="auto" w:sz="4" w:space="0"/>
            </w:tcBorders>
            <w:vAlign w:val="center"/>
          </w:tcPr>
          <w:p w14:paraId="0D02B253">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40B7054F">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14:paraId="32E6B65A">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682FB33B">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0105C410">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default" w:ascii="宋体" w:hAnsi="宋体" w:eastAsia="宋体" w:cs="宋体"/>
                <w:color w:val="auto"/>
                <w:spacing w:val="20"/>
                <w:sz w:val="24"/>
                <w:szCs w:val="24"/>
                <w:highlight w:val="none"/>
                <w:lang w:val="en-US" w:eastAsia="zh-CN"/>
              </w:rPr>
            </w:pPr>
          </w:p>
        </w:tc>
        <w:tc>
          <w:tcPr>
            <w:tcW w:w="903" w:type="dxa"/>
            <w:tcBorders>
              <w:top w:val="single" w:color="auto" w:sz="4" w:space="0"/>
              <w:left w:val="single" w:color="auto" w:sz="4" w:space="0"/>
              <w:bottom w:val="single" w:color="auto" w:sz="4" w:space="0"/>
              <w:right w:val="single" w:color="auto" w:sz="4" w:space="0"/>
            </w:tcBorders>
            <w:vAlign w:val="center"/>
          </w:tcPr>
          <w:p w14:paraId="56D1F38B">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default" w:ascii="宋体" w:hAnsi="宋体" w:eastAsia="宋体" w:cs="宋体"/>
                <w:color w:val="auto"/>
                <w:spacing w:val="20"/>
                <w:sz w:val="24"/>
                <w:szCs w:val="24"/>
                <w:highlight w:val="none"/>
                <w:lang w:val="en-US" w:eastAsia="zh-CN"/>
              </w:rPr>
            </w:pPr>
          </w:p>
        </w:tc>
        <w:tc>
          <w:tcPr>
            <w:tcW w:w="903" w:type="dxa"/>
            <w:tcBorders>
              <w:top w:val="single" w:color="auto" w:sz="4" w:space="0"/>
              <w:left w:val="single" w:color="auto" w:sz="4" w:space="0"/>
              <w:bottom w:val="single" w:color="auto" w:sz="4" w:space="0"/>
              <w:right w:val="single" w:color="auto" w:sz="4" w:space="0"/>
            </w:tcBorders>
            <w:vAlign w:val="center"/>
          </w:tcPr>
          <w:p w14:paraId="03C45D73">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default" w:ascii="宋体" w:hAnsi="宋体" w:eastAsia="宋体" w:cs="宋体"/>
                <w:color w:val="auto"/>
                <w:spacing w:val="20"/>
                <w:sz w:val="24"/>
                <w:szCs w:val="24"/>
                <w:highlight w:val="none"/>
                <w:lang w:val="en-US" w:eastAsia="zh-CN"/>
              </w:rPr>
            </w:pPr>
          </w:p>
        </w:tc>
        <w:tc>
          <w:tcPr>
            <w:tcW w:w="780" w:type="dxa"/>
            <w:tcBorders>
              <w:top w:val="single" w:color="auto" w:sz="4" w:space="0"/>
              <w:left w:val="single" w:color="auto" w:sz="4" w:space="0"/>
              <w:bottom w:val="single" w:color="auto" w:sz="4" w:space="0"/>
              <w:right w:val="single" w:color="auto" w:sz="4" w:space="0"/>
            </w:tcBorders>
            <w:vAlign w:val="center"/>
          </w:tcPr>
          <w:p w14:paraId="69A0A6B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r>
      <w:tr w14:paraId="035FE7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657" w:type="dxa"/>
            <w:tcBorders>
              <w:top w:val="single" w:color="auto" w:sz="4" w:space="0"/>
              <w:left w:val="single" w:color="auto" w:sz="4" w:space="0"/>
              <w:bottom w:val="single" w:color="auto" w:sz="4" w:space="0"/>
              <w:right w:val="single" w:color="auto" w:sz="4" w:space="0"/>
            </w:tcBorders>
            <w:vAlign w:val="center"/>
          </w:tcPr>
          <w:p w14:paraId="230C050A">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5E955FB9">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14:paraId="6071D1DD">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7139D5A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0488601A">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06296FC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027A9122">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47A9C32B">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r>
      <w:tr w14:paraId="1CFBE9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657" w:type="dxa"/>
            <w:tcBorders>
              <w:top w:val="single" w:color="auto" w:sz="4" w:space="0"/>
              <w:left w:val="single" w:color="auto" w:sz="4" w:space="0"/>
              <w:bottom w:val="single" w:color="auto" w:sz="4" w:space="0"/>
              <w:right w:val="single" w:color="auto" w:sz="4" w:space="0"/>
            </w:tcBorders>
            <w:vAlign w:val="center"/>
          </w:tcPr>
          <w:p w14:paraId="7448B465">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3DD1FE72">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14:paraId="4F874624">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0792F3C9">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30C8E8FE">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480E0BBC">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4C211A2B">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5A6753EC">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r>
      <w:tr w14:paraId="2BE940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657" w:type="dxa"/>
            <w:tcBorders>
              <w:top w:val="single" w:color="auto" w:sz="4" w:space="0"/>
              <w:left w:val="single" w:color="auto" w:sz="4" w:space="0"/>
              <w:bottom w:val="single" w:color="auto" w:sz="4" w:space="0"/>
              <w:right w:val="single" w:color="auto" w:sz="4" w:space="0"/>
            </w:tcBorders>
            <w:vAlign w:val="center"/>
          </w:tcPr>
          <w:p w14:paraId="0583BDA6">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3721E661">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w:t>
            </w:r>
          </w:p>
        </w:tc>
        <w:tc>
          <w:tcPr>
            <w:tcW w:w="986" w:type="dxa"/>
            <w:tcBorders>
              <w:top w:val="single" w:color="auto" w:sz="4" w:space="0"/>
              <w:left w:val="single" w:color="auto" w:sz="4" w:space="0"/>
              <w:bottom w:val="single" w:color="auto" w:sz="4" w:space="0"/>
              <w:right w:val="single" w:color="auto" w:sz="4" w:space="0"/>
            </w:tcBorders>
            <w:vAlign w:val="center"/>
          </w:tcPr>
          <w:p w14:paraId="633FF59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486C4D30">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438E0F91">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7D46862A">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64C7D357">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0B9356CB">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jc w:val="center"/>
              <w:textAlignment w:val="auto"/>
              <w:rPr>
                <w:rFonts w:hint="eastAsia" w:ascii="宋体" w:hAnsi="宋体" w:eastAsia="宋体" w:cs="宋体"/>
                <w:color w:val="auto"/>
                <w:spacing w:val="20"/>
                <w:sz w:val="24"/>
                <w:szCs w:val="24"/>
                <w:highlight w:val="none"/>
              </w:rPr>
            </w:pPr>
          </w:p>
        </w:tc>
      </w:tr>
      <w:tr w14:paraId="76487D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8338" w:type="dxa"/>
            <w:gridSpan w:val="8"/>
            <w:tcBorders>
              <w:top w:val="single" w:color="auto" w:sz="4" w:space="0"/>
              <w:left w:val="single" w:color="auto" w:sz="4" w:space="0"/>
              <w:bottom w:val="single" w:color="auto" w:sz="4" w:space="0"/>
              <w:right w:val="single" w:color="auto" w:sz="4" w:space="0"/>
            </w:tcBorders>
            <w:vAlign w:val="center"/>
          </w:tcPr>
          <w:p w14:paraId="716DA9FF">
            <w:pPr>
              <w:keepNext w:val="0"/>
              <w:keepLines w:val="0"/>
              <w:pageBreakBefore w:val="0"/>
              <w:widowControl w:val="0"/>
              <w:tabs>
                <w:tab w:val="left" w:pos="1418"/>
              </w:tabs>
              <w:kinsoku/>
              <w:wordWrap/>
              <w:overflowPunct/>
              <w:topLinePunct w:val="0"/>
              <w:autoSpaceDE/>
              <w:autoSpaceDN/>
              <w:bidi w:val="0"/>
              <w:adjustRightInd w:val="0"/>
              <w:snapToGrid w:val="0"/>
              <w:spacing w:line="50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合计金额：（人民币大写</w:t>
            </w:r>
            <w:r>
              <w:rPr>
                <w:rFonts w:hint="eastAsia" w:ascii="宋体" w:hAnsi="宋体" w:cs="宋体"/>
                <w:color w:val="auto"/>
                <w:spacing w:val="20"/>
                <w:sz w:val="24"/>
                <w:szCs w:val="24"/>
                <w:highlight w:val="none"/>
                <w:lang w:eastAsia="zh-CN"/>
              </w:rPr>
              <w:t>：</w:t>
            </w:r>
            <w:r>
              <w:rPr>
                <w:rFonts w:hint="eastAsia" w:ascii="宋体" w:hAnsi="宋体" w:cs="宋体"/>
                <w:color w:val="auto"/>
                <w:spacing w:val="20"/>
                <w:sz w:val="24"/>
                <w:szCs w:val="24"/>
                <w:highlight w:val="none"/>
                <w:lang w:val="en-US" w:eastAsia="zh-CN"/>
              </w:rPr>
              <w:t xml:space="preserve">          小写：</w:t>
            </w:r>
            <w:r>
              <w:rPr>
                <w:rFonts w:hint="eastAsia" w:ascii="宋体" w:hAnsi="宋体" w:eastAsia="宋体" w:cs="宋体"/>
                <w:color w:val="auto"/>
                <w:spacing w:val="20"/>
                <w:sz w:val="24"/>
                <w:szCs w:val="24"/>
                <w:highlight w:val="none"/>
              </w:rPr>
              <w:t>）</w:t>
            </w:r>
          </w:p>
        </w:tc>
      </w:tr>
    </w:tbl>
    <w:p w14:paraId="451DC72F">
      <w:pPr>
        <w:keepNext w:val="0"/>
        <w:keepLines w:val="0"/>
        <w:pageBreakBefore w:val="0"/>
        <w:widowControl w:val="0"/>
        <w:tabs>
          <w:tab w:val="left" w:pos="1418"/>
        </w:tabs>
        <w:kinsoku/>
        <w:wordWrap/>
        <w:overflowPunct/>
        <w:topLinePunct w:val="0"/>
        <w:autoSpaceDE/>
        <w:autoSpaceDN/>
        <w:bidi w:val="0"/>
        <w:adjustRightInd/>
        <w:snapToGrid w:val="0"/>
        <w:spacing w:line="500" w:lineRule="exact"/>
        <w:ind w:firstLine="48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z w:val="24"/>
          <w:szCs w:val="24"/>
          <w:highlight w:val="none"/>
        </w:rPr>
        <w:t>说明：1、若获得中标资格并与</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签署供货合同，由于报价遗漏而造成在供货、安装、调试、培训等工作中出现费用的增加，均由中标</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自行承担，</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将不再支付任何额外费用</w:t>
      </w:r>
      <w:r>
        <w:rPr>
          <w:rFonts w:hint="eastAsia" w:ascii="宋体" w:hAnsi="宋体" w:eastAsia="宋体" w:cs="宋体"/>
          <w:color w:val="auto"/>
          <w:spacing w:val="20"/>
          <w:sz w:val="24"/>
          <w:szCs w:val="24"/>
          <w:highlight w:val="none"/>
        </w:rPr>
        <w:t>。</w:t>
      </w:r>
    </w:p>
    <w:p w14:paraId="2A1023DE">
      <w:pPr>
        <w:keepNext w:val="0"/>
        <w:keepLines w:val="0"/>
        <w:pageBreakBefore w:val="0"/>
        <w:widowControl w:val="0"/>
        <w:tabs>
          <w:tab w:val="left" w:pos="1418"/>
        </w:tabs>
        <w:kinsoku/>
        <w:wordWrap/>
        <w:overflowPunct/>
        <w:topLinePunct w:val="0"/>
        <w:autoSpaceDE/>
        <w:autoSpaceDN/>
        <w:bidi w:val="0"/>
        <w:snapToGrid w:val="0"/>
        <w:spacing w:line="500" w:lineRule="exact"/>
        <w:textAlignment w:val="auto"/>
        <w:rPr>
          <w:rFonts w:hint="eastAsia" w:ascii="宋体" w:hAnsi="宋体" w:eastAsia="宋体" w:cs="宋体"/>
          <w:color w:val="auto"/>
          <w:spacing w:val="20"/>
          <w:sz w:val="24"/>
          <w:szCs w:val="24"/>
          <w:highlight w:val="none"/>
        </w:rPr>
      </w:pPr>
    </w:p>
    <w:p w14:paraId="5D841F5C">
      <w:pPr>
        <w:keepNext w:val="0"/>
        <w:keepLines w:val="0"/>
        <w:pageBreakBefore w:val="0"/>
        <w:widowControl w:val="0"/>
        <w:kinsoku/>
        <w:wordWrap/>
        <w:overflowPunct/>
        <w:topLinePunct w:val="0"/>
        <w:autoSpaceDE/>
        <w:autoSpaceDN/>
        <w:bidi w:val="0"/>
        <w:adjustRightInd w:val="0"/>
        <w:snapToGrid w:val="0"/>
        <w:spacing w:line="500" w:lineRule="exact"/>
        <w:ind w:left="-4" w:leftChars="-2" w:right="-817" w:rightChars="-389" w:firstLine="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投标人名称（盖章）：</w:t>
      </w:r>
    </w:p>
    <w:p w14:paraId="65A0A387">
      <w:pPr>
        <w:keepNext w:val="0"/>
        <w:keepLines w:val="0"/>
        <w:pageBreakBefore w:val="0"/>
        <w:widowControl w:val="0"/>
        <w:kinsoku/>
        <w:wordWrap/>
        <w:overflowPunct/>
        <w:topLinePunct w:val="0"/>
        <w:autoSpaceDE/>
        <w:autoSpaceDN/>
        <w:bidi w:val="0"/>
        <w:adjustRightInd w:val="0"/>
        <w:snapToGrid w:val="0"/>
        <w:spacing w:line="500" w:lineRule="exact"/>
        <w:ind w:left="-4" w:leftChars="-2" w:right="-817" w:rightChars="-389" w:firstLine="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法定代表人或授权代表（签字）：</w:t>
      </w:r>
    </w:p>
    <w:p w14:paraId="565679FC">
      <w:pPr>
        <w:keepNext w:val="0"/>
        <w:keepLines w:val="0"/>
        <w:pageBreakBefore w:val="0"/>
        <w:widowControl w:val="0"/>
        <w:kinsoku/>
        <w:wordWrap/>
        <w:overflowPunct/>
        <w:topLinePunct w:val="0"/>
        <w:autoSpaceDE/>
        <w:autoSpaceDN/>
        <w:bidi w:val="0"/>
        <w:adjustRightInd w:val="0"/>
        <w:snapToGrid w:val="0"/>
        <w:spacing w:line="500" w:lineRule="exact"/>
        <w:ind w:left="-2" w:leftChars="-1" w:right="-817" w:rightChars="-389" w:firstLine="2"/>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14:paraId="6BEBD6F8">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color w:val="auto"/>
          <w:sz w:val="24"/>
          <w:szCs w:val="24"/>
          <w:highlight w:val="none"/>
        </w:rPr>
      </w:pPr>
    </w:p>
    <w:p w14:paraId="1D24722B">
      <w:pPr>
        <w:pStyle w:val="12"/>
        <w:jc w:val="center"/>
        <w:rPr>
          <w:rFonts w:ascii="宋体" w:hAnsi="宋体" w:eastAsia="宋体" w:cs="宋体"/>
          <w:b/>
          <w:bCs/>
          <w:color w:val="auto"/>
          <w:spacing w:val="0"/>
          <w:kern w:val="0"/>
          <w:szCs w:val="28"/>
          <w:highlight w:val="none"/>
        </w:rPr>
      </w:pPr>
    </w:p>
    <w:p w14:paraId="553A7157">
      <w:pPr>
        <w:pStyle w:val="12"/>
        <w:jc w:val="center"/>
        <w:rPr>
          <w:rFonts w:ascii="宋体" w:hAnsi="宋体" w:eastAsia="宋体" w:cs="宋体"/>
          <w:b/>
          <w:bCs/>
          <w:color w:val="auto"/>
          <w:spacing w:val="0"/>
          <w:kern w:val="0"/>
          <w:szCs w:val="28"/>
          <w:highlight w:val="none"/>
        </w:rPr>
      </w:pPr>
    </w:p>
    <w:p w14:paraId="31FAFB11">
      <w:pPr>
        <w:pStyle w:val="12"/>
        <w:jc w:val="center"/>
        <w:rPr>
          <w:rFonts w:ascii="宋体" w:hAnsi="宋体" w:eastAsia="宋体" w:cs="宋体"/>
          <w:b/>
          <w:bCs/>
          <w:color w:val="auto"/>
          <w:spacing w:val="0"/>
          <w:kern w:val="0"/>
          <w:szCs w:val="28"/>
          <w:highlight w:val="none"/>
        </w:rPr>
      </w:pPr>
    </w:p>
    <w:p w14:paraId="131AE573">
      <w:pPr>
        <w:pStyle w:val="12"/>
        <w:jc w:val="center"/>
        <w:rPr>
          <w:rFonts w:ascii="宋体" w:hAnsi="宋体" w:eastAsia="宋体" w:cs="宋体"/>
          <w:b/>
          <w:bCs/>
          <w:color w:val="auto"/>
          <w:spacing w:val="0"/>
          <w:kern w:val="0"/>
          <w:szCs w:val="28"/>
          <w:highlight w:val="none"/>
        </w:rPr>
      </w:pPr>
    </w:p>
    <w:p w14:paraId="4E04D760">
      <w:pPr>
        <w:pStyle w:val="12"/>
        <w:jc w:val="center"/>
        <w:rPr>
          <w:rFonts w:ascii="宋体" w:hAnsi="宋体" w:eastAsia="宋体" w:cs="宋体"/>
          <w:b/>
          <w:bCs/>
          <w:color w:val="auto"/>
          <w:spacing w:val="0"/>
          <w:kern w:val="0"/>
          <w:szCs w:val="28"/>
          <w:highlight w:val="none"/>
        </w:rPr>
      </w:pPr>
    </w:p>
    <w:p w14:paraId="5CCE956D">
      <w:pPr>
        <w:pStyle w:val="12"/>
        <w:jc w:val="center"/>
        <w:rPr>
          <w:rFonts w:ascii="宋体" w:hAnsi="宋体" w:eastAsia="宋体" w:cs="宋体"/>
          <w:b/>
          <w:bCs/>
          <w:color w:val="auto"/>
          <w:spacing w:val="0"/>
          <w:kern w:val="0"/>
          <w:szCs w:val="28"/>
          <w:highlight w:val="none"/>
        </w:rPr>
      </w:pPr>
    </w:p>
    <w:p w14:paraId="080182C0">
      <w:pPr>
        <w:pStyle w:val="12"/>
        <w:jc w:val="center"/>
        <w:rPr>
          <w:rFonts w:ascii="宋体" w:hAnsi="宋体" w:eastAsia="宋体" w:cs="宋体"/>
          <w:b/>
          <w:bCs/>
          <w:color w:val="auto"/>
          <w:spacing w:val="0"/>
          <w:kern w:val="0"/>
          <w:szCs w:val="28"/>
          <w:highlight w:val="none"/>
        </w:rPr>
      </w:pPr>
    </w:p>
    <w:p w14:paraId="3D95ECAB">
      <w:pPr>
        <w:pStyle w:val="12"/>
        <w:jc w:val="center"/>
        <w:rPr>
          <w:rFonts w:ascii="宋体" w:hAnsi="宋体" w:eastAsia="宋体" w:cs="宋体"/>
          <w:b/>
          <w:bCs/>
          <w:color w:val="auto"/>
          <w:spacing w:val="0"/>
          <w:kern w:val="0"/>
          <w:szCs w:val="28"/>
          <w:highlight w:val="none"/>
        </w:rPr>
      </w:pPr>
    </w:p>
    <w:p w14:paraId="477E77B3">
      <w:pPr>
        <w:pStyle w:val="2"/>
        <w:numPr>
          <w:ilvl w:val="0"/>
          <w:numId w:val="8"/>
        </w:numPr>
        <w:spacing w:line="500" w:lineRule="exact"/>
        <w:jc w:val="center"/>
        <w:rPr>
          <w:rFonts w:cs="宋体"/>
          <w:color w:val="auto"/>
          <w:sz w:val="28"/>
          <w:szCs w:val="28"/>
          <w:highlight w:val="none"/>
        </w:rPr>
      </w:pPr>
      <w:bookmarkStart w:id="364" w:name="_Toc81"/>
      <w:bookmarkStart w:id="365" w:name="_Toc21462"/>
      <w:bookmarkStart w:id="366" w:name="_Toc19728"/>
      <w:r>
        <w:rPr>
          <w:rFonts w:hint="eastAsia" w:cs="宋体"/>
          <w:color w:val="auto"/>
          <w:sz w:val="28"/>
          <w:szCs w:val="28"/>
          <w:highlight w:val="none"/>
        </w:rPr>
        <w:t>企业简介</w:t>
      </w:r>
    </w:p>
    <w:p w14:paraId="317E1C6D">
      <w:pPr>
        <w:spacing w:line="460" w:lineRule="exact"/>
        <w:jc w:val="center"/>
        <w:rPr>
          <w:rFonts w:ascii="宋体" w:hAnsi="宋体" w:cs="宋体"/>
          <w:color w:val="auto"/>
          <w:sz w:val="24"/>
          <w:szCs w:val="21"/>
          <w:highlight w:val="none"/>
          <w:lang w:val="zh-CN"/>
        </w:rPr>
      </w:pPr>
      <w:r>
        <w:rPr>
          <w:rFonts w:hint="eastAsia" w:ascii="宋体" w:hAnsi="宋体" w:cs="宋体"/>
          <w:color w:val="auto"/>
          <w:sz w:val="24"/>
          <w:szCs w:val="21"/>
          <w:highlight w:val="none"/>
          <w:lang w:val="zh-CN"/>
        </w:rPr>
        <w:t>基本情况表</w:t>
      </w:r>
    </w:p>
    <w:tbl>
      <w:tblPr>
        <w:tblStyle w:val="47"/>
        <w:tblW w:w="92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46"/>
        <w:gridCol w:w="1063"/>
        <w:gridCol w:w="2712"/>
        <w:gridCol w:w="1278"/>
        <w:gridCol w:w="1795"/>
      </w:tblGrid>
      <w:tr w14:paraId="3BF80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2446" w:type="dxa"/>
            <w:tcBorders>
              <w:top w:val="single" w:color="000000" w:sz="12" w:space="0"/>
              <w:left w:val="single" w:color="000000" w:sz="12" w:space="0"/>
              <w:bottom w:val="single" w:color="000000" w:sz="6" w:space="0"/>
              <w:right w:val="single" w:color="000000" w:sz="6" w:space="0"/>
            </w:tcBorders>
            <w:vAlign w:val="center"/>
          </w:tcPr>
          <w:p w14:paraId="7207D9B5">
            <w:pPr>
              <w:autoSpaceDE w:val="0"/>
              <w:autoSpaceDN w:val="0"/>
              <w:spacing w:line="500" w:lineRule="exact"/>
              <w:ind w:left="118" w:right="116"/>
              <w:jc w:val="center"/>
              <w:rPr>
                <w:rFonts w:ascii="宋体" w:hAnsi="宋体" w:cs="微软雅黑"/>
                <w:color w:val="auto"/>
                <w:kern w:val="0"/>
                <w:sz w:val="24"/>
                <w:szCs w:val="22"/>
                <w:highlight w:val="none"/>
                <w:lang w:val="zh-CN" w:bidi="zh-CN"/>
              </w:rPr>
            </w:pPr>
            <w:r>
              <w:rPr>
                <w:rFonts w:hint="eastAsia" w:ascii="宋体" w:hAnsi="宋体" w:cs="微软雅黑"/>
                <w:color w:val="auto"/>
                <w:kern w:val="0"/>
                <w:sz w:val="24"/>
                <w:szCs w:val="22"/>
                <w:highlight w:val="none"/>
                <w:lang w:val="zh-CN" w:bidi="zh-CN"/>
              </w:rPr>
              <w:t>投标人</w:t>
            </w:r>
            <w:r>
              <w:rPr>
                <w:rFonts w:ascii="宋体" w:hAnsi="宋体" w:cs="微软雅黑"/>
                <w:color w:val="auto"/>
                <w:kern w:val="0"/>
                <w:sz w:val="24"/>
                <w:szCs w:val="22"/>
                <w:highlight w:val="none"/>
                <w:lang w:val="zh-CN" w:bidi="zh-CN"/>
              </w:rPr>
              <w:t>名称</w:t>
            </w:r>
          </w:p>
        </w:tc>
        <w:tc>
          <w:tcPr>
            <w:tcW w:w="6848" w:type="dxa"/>
            <w:gridSpan w:val="4"/>
            <w:tcBorders>
              <w:top w:val="single" w:color="000000" w:sz="12" w:space="0"/>
              <w:left w:val="single" w:color="000000" w:sz="6" w:space="0"/>
              <w:bottom w:val="single" w:color="000000" w:sz="6" w:space="0"/>
              <w:right w:val="single" w:color="000000" w:sz="12" w:space="0"/>
            </w:tcBorders>
            <w:vAlign w:val="center"/>
          </w:tcPr>
          <w:p w14:paraId="5AA1B9F3">
            <w:pPr>
              <w:spacing w:line="500" w:lineRule="exact"/>
              <w:jc w:val="center"/>
              <w:rPr>
                <w:rFonts w:ascii="宋体" w:hAnsi="宋体"/>
                <w:color w:val="auto"/>
                <w:sz w:val="24"/>
                <w:szCs w:val="22"/>
                <w:highlight w:val="none"/>
              </w:rPr>
            </w:pPr>
          </w:p>
        </w:tc>
      </w:tr>
      <w:tr w14:paraId="6D6CF5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645B6714">
            <w:pPr>
              <w:autoSpaceDE w:val="0"/>
              <w:autoSpaceDN w:val="0"/>
              <w:spacing w:line="500" w:lineRule="exact"/>
              <w:ind w:left="116"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注册资金</w:t>
            </w:r>
          </w:p>
        </w:tc>
        <w:tc>
          <w:tcPr>
            <w:tcW w:w="3775" w:type="dxa"/>
            <w:gridSpan w:val="2"/>
            <w:tcBorders>
              <w:top w:val="single" w:color="000000" w:sz="6" w:space="0"/>
              <w:left w:val="single" w:color="000000" w:sz="6" w:space="0"/>
              <w:bottom w:val="single" w:color="000000" w:sz="6" w:space="0"/>
              <w:right w:val="single" w:color="000000" w:sz="6" w:space="0"/>
            </w:tcBorders>
            <w:vAlign w:val="center"/>
          </w:tcPr>
          <w:p w14:paraId="21C4123C">
            <w:pPr>
              <w:spacing w:line="500" w:lineRule="exact"/>
              <w:jc w:val="center"/>
              <w:rPr>
                <w:rFonts w:ascii="宋体" w:hAnsi="宋体"/>
                <w:color w:val="auto"/>
                <w:sz w:val="24"/>
                <w:szCs w:val="22"/>
                <w:highlight w:val="none"/>
              </w:rPr>
            </w:pPr>
          </w:p>
        </w:tc>
        <w:tc>
          <w:tcPr>
            <w:tcW w:w="1278" w:type="dxa"/>
            <w:tcBorders>
              <w:top w:val="single" w:color="000000" w:sz="6" w:space="0"/>
              <w:left w:val="single" w:color="000000" w:sz="6" w:space="0"/>
              <w:bottom w:val="single" w:color="000000" w:sz="6" w:space="0"/>
              <w:right w:val="single" w:color="000000" w:sz="6" w:space="0"/>
            </w:tcBorders>
            <w:vAlign w:val="center"/>
          </w:tcPr>
          <w:p w14:paraId="0A824BBC">
            <w:pPr>
              <w:autoSpaceDE w:val="0"/>
              <w:autoSpaceDN w:val="0"/>
              <w:spacing w:line="500" w:lineRule="exact"/>
              <w:ind w:left="122" w:right="122"/>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成立时间</w:t>
            </w:r>
          </w:p>
        </w:tc>
        <w:tc>
          <w:tcPr>
            <w:tcW w:w="1795" w:type="dxa"/>
            <w:tcBorders>
              <w:top w:val="single" w:color="000000" w:sz="6" w:space="0"/>
              <w:left w:val="single" w:color="000000" w:sz="6" w:space="0"/>
              <w:bottom w:val="single" w:color="000000" w:sz="6" w:space="0"/>
              <w:right w:val="single" w:color="000000" w:sz="12" w:space="0"/>
            </w:tcBorders>
            <w:vAlign w:val="center"/>
          </w:tcPr>
          <w:p w14:paraId="3B5F824F">
            <w:pPr>
              <w:spacing w:line="500" w:lineRule="exact"/>
              <w:jc w:val="center"/>
              <w:rPr>
                <w:rFonts w:ascii="宋体" w:hAnsi="宋体"/>
                <w:color w:val="auto"/>
                <w:sz w:val="24"/>
                <w:szCs w:val="22"/>
                <w:highlight w:val="none"/>
              </w:rPr>
            </w:pPr>
          </w:p>
        </w:tc>
      </w:tr>
      <w:tr w14:paraId="3514E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70792763">
            <w:pPr>
              <w:autoSpaceDE w:val="0"/>
              <w:autoSpaceDN w:val="0"/>
              <w:spacing w:line="500" w:lineRule="exact"/>
              <w:ind w:left="118"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注册地址</w:t>
            </w:r>
          </w:p>
        </w:tc>
        <w:tc>
          <w:tcPr>
            <w:tcW w:w="6848" w:type="dxa"/>
            <w:gridSpan w:val="4"/>
            <w:tcBorders>
              <w:top w:val="single" w:color="000000" w:sz="6" w:space="0"/>
              <w:left w:val="single" w:color="000000" w:sz="6" w:space="0"/>
              <w:bottom w:val="single" w:color="000000" w:sz="6" w:space="0"/>
              <w:right w:val="single" w:color="000000" w:sz="12" w:space="0"/>
            </w:tcBorders>
            <w:vAlign w:val="center"/>
          </w:tcPr>
          <w:p w14:paraId="2E36B292">
            <w:pPr>
              <w:spacing w:line="500" w:lineRule="exact"/>
              <w:jc w:val="center"/>
              <w:rPr>
                <w:rFonts w:ascii="宋体" w:hAnsi="宋体"/>
                <w:color w:val="auto"/>
                <w:sz w:val="24"/>
                <w:szCs w:val="22"/>
                <w:highlight w:val="none"/>
              </w:rPr>
            </w:pPr>
          </w:p>
        </w:tc>
      </w:tr>
      <w:tr w14:paraId="2EA2E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4EEC39A9">
            <w:pPr>
              <w:autoSpaceDE w:val="0"/>
              <w:autoSpaceDN w:val="0"/>
              <w:spacing w:line="500" w:lineRule="exact"/>
              <w:ind w:left="118"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邮政编码</w:t>
            </w:r>
          </w:p>
        </w:tc>
        <w:tc>
          <w:tcPr>
            <w:tcW w:w="3775" w:type="dxa"/>
            <w:gridSpan w:val="2"/>
            <w:tcBorders>
              <w:top w:val="single" w:color="000000" w:sz="6" w:space="0"/>
              <w:left w:val="single" w:color="000000" w:sz="6" w:space="0"/>
              <w:bottom w:val="single" w:color="000000" w:sz="6" w:space="0"/>
              <w:right w:val="single" w:color="000000" w:sz="6" w:space="0"/>
            </w:tcBorders>
            <w:vAlign w:val="center"/>
          </w:tcPr>
          <w:p w14:paraId="688BF768">
            <w:pPr>
              <w:spacing w:line="500" w:lineRule="exact"/>
              <w:jc w:val="center"/>
              <w:rPr>
                <w:rFonts w:ascii="宋体" w:hAnsi="宋体"/>
                <w:color w:val="auto"/>
                <w:sz w:val="24"/>
                <w:szCs w:val="22"/>
                <w:highlight w:val="none"/>
              </w:rPr>
            </w:pPr>
          </w:p>
        </w:tc>
        <w:tc>
          <w:tcPr>
            <w:tcW w:w="1278" w:type="dxa"/>
            <w:tcBorders>
              <w:top w:val="single" w:color="000000" w:sz="6" w:space="0"/>
              <w:left w:val="single" w:color="000000" w:sz="6" w:space="0"/>
              <w:bottom w:val="single" w:color="000000" w:sz="6" w:space="0"/>
              <w:right w:val="single" w:color="000000" w:sz="6" w:space="0"/>
            </w:tcBorders>
            <w:vAlign w:val="center"/>
          </w:tcPr>
          <w:p w14:paraId="59A5D378">
            <w:pPr>
              <w:autoSpaceDE w:val="0"/>
              <w:autoSpaceDN w:val="0"/>
              <w:spacing w:line="500" w:lineRule="exact"/>
              <w:ind w:left="122" w:right="122"/>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员工总数</w:t>
            </w:r>
          </w:p>
        </w:tc>
        <w:tc>
          <w:tcPr>
            <w:tcW w:w="1795" w:type="dxa"/>
            <w:tcBorders>
              <w:top w:val="single" w:color="000000" w:sz="6" w:space="0"/>
              <w:left w:val="single" w:color="000000" w:sz="6" w:space="0"/>
              <w:bottom w:val="single" w:color="000000" w:sz="6" w:space="0"/>
              <w:right w:val="single" w:color="000000" w:sz="12" w:space="0"/>
            </w:tcBorders>
            <w:vAlign w:val="center"/>
          </w:tcPr>
          <w:p w14:paraId="793DC8C9">
            <w:pPr>
              <w:spacing w:line="500" w:lineRule="exact"/>
              <w:jc w:val="center"/>
              <w:rPr>
                <w:rFonts w:ascii="宋体" w:hAnsi="宋体"/>
                <w:color w:val="auto"/>
                <w:sz w:val="24"/>
                <w:szCs w:val="22"/>
                <w:highlight w:val="none"/>
              </w:rPr>
            </w:pPr>
          </w:p>
        </w:tc>
      </w:tr>
      <w:tr w14:paraId="24519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29BB0CDA">
            <w:pPr>
              <w:autoSpaceDE w:val="0"/>
              <w:autoSpaceDN w:val="0"/>
              <w:spacing w:line="500" w:lineRule="exact"/>
              <w:ind w:left="662"/>
              <w:jc w:val="left"/>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联系方式</w:t>
            </w:r>
          </w:p>
        </w:tc>
        <w:tc>
          <w:tcPr>
            <w:tcW w:w="1063" w:type="dxa"/>
            <w:tcBorders>
              <w:top w:val="single" w:color="000000" w:sz="6" w:space="0"/>
              <w:left w:val="single" w:color="000000" w:sz="6" w:space="0"/>
              <w:bottom w:val="single" w:color="000000" w:sz="6" w:space="0"/>
              <w:right w:val="single" w:color="000000" w:sz="6" w:space="0"/>
            </w:tcBorders>
            <w:vAlign w:val="center"/>
          </w:tcPr>
          <w:p w14:paraId="7199B2A8">
            <w:pPr>
              <w:autoSpaceDE w:val="0"/>
              <w:autoSpaceDN w:val="0"/>
              <w:spacing w:line="500" w:lineRule="exact"/>
              <w:ind w:left="131" w:right="132"/>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联系人</w:t>
            </w:r>
          </w:p>
        </w:tc>
        <w:tc>
          <w:tcPr>
            <w:tcW w:w="2712" w:type="dxa"/>
            <w:tcBorders>
              <w:top w:val="single" w:color="000000" w:sz="6" w:space="0"/>
              <w:left w:val="single" w:color="000000" w:sz="6" w:space="0"/>
              <w:bottom w:val="single" w:color="000000" w:sz="6" w:space="0"/>
              <w:right w:val="single" w:color="000000" w:sz="6" w:space="0"/>
            </w:tcBorders>
            <w:vAlign w:val="center"/>
          </w:tcPr>
          <w:p w14:paraId="6A9FDEBE">
            <w:pPr>
              <w:spacing w:line="500" w:lineRule="exact"/>
              <w:jc w:val="center"/>
              <w:rPr>
                <w:rFonts w:ascii="宋体" w:hAnsi="宋体"/>
                <w:color w:val="auto"/>
                <w:sz w:val="24"/>
                <w:szCs w:val="22"/>
                <w:highlight w:val="none"/>
              </w:rPr>
            </w:pPr>
          </w:p>
        </w:tc>
        <w:tc>
          <w:tcPr>
            <w:tcW w:w="1278" w:type="dxa"/>
            <w:tcBorders>
              <w:top w:val="single" w:color="000000" w:sz="6" w:space="0"/>
              <w:left w:val="single" w:color="000000" w:sz="6" w:space="0"/>
              <w:bottom w:val="single" w:color="000000" w:sz="6" w:space="0"/>
              <w:right w:val="single" w:color="000000" w:sz="6" w:space="0"/>
            </w:tcBorders>
            <w:vAlign w:val="center"/>
          </w:tcPr>
          <w:p w14:paraId="3064BE3B">
            <w:pPr>
              <w:autoSpaceDE w:val="0"/>
              <w:autoSpaceDN w:val="0"/>
              <w:spacing w:line="500" w:lineRule="exact"/>
              <w:ind w:left="122" w:right="120"/>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电话</w:t>
            </w:r>
          </w:p>
        </w:tc>
        <w:tc>
          <w:tcPr>
            <w:tcW w:w="1795" w:type="dxa"/>
            <w:tcBorders>
              <w:top w:val="single" w:color="000000" w:sz="6" w:space="0"/>
              <w:left w:val="single" w:color="000000" w:sz="6" w:space="0"/>
              <w:bottom w:val="single" w:color="000000" w:sz="6" w:space="0"/>
              <w:right w:val="single" w:color="000000" w:sz="12" w:space="0"/>
            </w:tcBorders>
            <w:vAlign w:val="center"/>
          </w:tcPr>
          <w:p w14:paraId="79E77F3A">
            <w:pPr>
              <w:spacing w:line="500" w:lineRule="exact"/>
              <w:jc w:val="center"/>
              <w:rPr>
                <w:rFonts w:ascii="宋体" w:hAnsi="宋体"/>
                <w:color w:val="auto"/>
                <w:sz w:val="24"/>
                <w:szCs w:val="22"/>
                <w:highlight w:val="none"/>
              </w:rPr>
            </w:pPr>
          </w:p>
        </w:tc>
      </w:tr>
      <w:tr w14:paraId="3C17C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1"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77833EF3">
            <w:pPr>
              <w:autoSpaceDE w:val="0"/>
              <w:autoSpaceDN w:val="0"/>
              <w:spacing w:line="500" w:lineRule="exact"/>
              <w:ind w:left="118"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法定代表人</w:t>
            </w:r>
          </w:p>
          <w:p w14:paraId="667FE46B">
            <w:pPr>
              <w:autoSpaceDE w:val="0"/>
              <w:autoSpaceDN w:val="0"/>
              <w:spacing w:line="500" w:lineRule="exact"/>
              <w:ind w:left="13"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（单位负责人）</w:t>
            </w:r>
          </w:p>
        </w:tc>
        <w:tc>
          <w:tcPr>
            <w:tcW w:w="1063" w:type="dxa"/>
            <w:tcBorders>
              <w:top w:val="single" w:color="000000" w:sz="6" w:space="0"/>
              <w:left w:val="single" w:color="000000" w:sz="6" w:space="0"/>
              <w:bottom w:val="single" w:color="000000" w:sz="6" w:space="0"/>
              <w:right w:val="single" w:color="000000" w:sz="6" w:space="0"/>
            </w:tcBorders>
            <w:vAlign w:val="center"/>
          </w:tcPr>
          <w:p w14:paraId="17AB757D">
            <w:pPr>
              <w:autoSpaceDE w:val="0"/>
              <w:autoSpaceDN w:val="0"/>
              <w:spacing w:line="500" w:lineRule="exact"/>
              <w:ind w:left="131" w:right="132"/>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姓名</w:t>
            </w:r>
          </w:p>
        </w:tc>
        <w:tc>
          <w:tcPr>
            <w:tcW w:w="2712" w:type="dxa"/>
            <w:tcBorders>
              <w:top w:val="single" w:color="000000" w:sz="6" w:space="0"/>
              <w:left w:val="single" w:color="000000" w:sz="6" w:space="0"/>
              <w:bottom w:val="single" w:color="000000" w:sz="6" w:space="0"/>
              <w:right w:val="single" w:color="000000" w:sz="6" w:space="0"/>
            </w:tcBorders>
            <w:vAlign w:val="center"/>
          </w:tcPr>
          <w:p w14:paraId="20F4FC5D">
            <w:pPr>
              <w:spacing w:line="500" w:lineRule="exact"/>
              <w:jc w:val="center"/>
              <w:rPr>
                <w:rFonts w:ascii="宋体" w:hAnsi="宋体"/>
                <w:color w:val="auto"/>
                <w:sz w:val="24"/>
                <w:szCs w:val="22"/>
                <w:highlight w:val="none"/>
              </w:rPr>
            </w:pPr>
          </w:p>
        </w:tc>
        <w:tc>
          <w:tcPr>
            <w:tcW w:w="1278" w:type="dxa"/>
            <w:tcBorders>
              <w:top w:val="single" w:color="000000" w:sz="6" w:space="0"/>
              <w:left w:val="single" w:color="000000" w:sz="6" w:space="0"/>
              <w:bottom w:val="single" w:color="000000" w:sz="6" w:space="0"/>
              <w:right w:val="single" w:color="000000" w:sz="6" w:space="0"/>
            </w:tcBorders>
            <w:vAlign w:val="center"/>
          </w:tcPr>
          <w:p w14:paraId="45EF891A">
            <w:pPr>
              <w:autoSpaceDE w:val="0"/>
              <w:autoSpaceDN w:val="0"/>
              <w:spacing w:line="500" w:lineRule="exact"/>
              <w:ind w:left="122" w:right="120"/>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电话</w:t>
            </w:r>
          </w:p>
        </w:tc>
        <w:tc>
          <w:tcPr>
            <w:tcW w:w="1795" w:type="dxa"/>
            <w:tcBorders>
              <w:top w:val="single" w:color="000000" w:sz="6" w:space="0"/>
              <w:left w:val="single" w:color="000000" w:sz="6" w:space="0"/>
              <w:bottom w:val="single" w:color="000000" w:sz="6" w:space="0"/>
              <w:right w:val="single" w:color="000000" w:sz="12" w:space="0"/>
            </w:tcBorders>
            <w:vAlign w:val="center"/>
          </w:tcPr>
          <w:p w14:paraId="55B3E364">
            <w:pPr>
              <w:spacing w:line="500" w:lineRule="exact"/>
              <w:jc w:val="center"/>
              <w:rPr>
                <w:rFonts w:ascii="宋体" w:hAnsi="宋体"/>
                <w:color w:val="auto"/>
                <w:sz w:val="24"/>
                <w:szCs w:val="22"/>
                <w:highlight w:val="none"/>
              </w:rPr>
            </w:pPr>
          </w:p>
        </w:tc>
      </w:tr>
      <w:tr w14:paraId="68A6F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6AA425B7">
            <w:pPr>
              <w:autoSpaceDE w:val="0"/>
              <w:autoSpaceDN w:val="0"/>
              <w:spacing w:line="500" w:lineRule="exact"/>
              <w:ind w:left="118"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基本账户开户银行</w:t>
            </w:r>
          </w:p>
        </w:tc>
        <w:tc>
          <w:tcPr>
            <w:tcW w:w="6848" w:type="dxa"/>
            <w:gridSpan w:val="4"/>
            <w:tcBorders>
              <w:top w:val="single" w:color="000000" w:sz="6" w:space="0"/>
              <w:left w:val="single" w:color="000000" w:sz="6" w:space="0"/>
              <w:bottom w:val="single" w:color="000000" w:sz="6" w:space="0"/>
              <w:right w:val="single" w:color="000000" w:sz="12" w:space="0"/>
            </w:tcBorders>
            <w:vAlign w:val="center"/>
          </w:tcPr>
          <w:p w14:paraId="45A7B7E4">
            <w:pPr>
              <w:spacing w:line="500" w:lineRule="exact"/>
              <w:jc w:val="center"/>
              <w:rPr>
                <w:rFonts w:ascii="宋体" w:hAnsi="宋体"/>
                <w:color w:val="auto"/>
                <w:sz w:val="24"/>
                <w:szCs w:val="22"/>
                <w:highlight w:val="none"/>
              </w:rPr>
            </w:pPr>
          </w:p>
        </w:tc>
      </w:tr>
      <w:tr w14:paraId="522269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6BA1D88B">
            <w:pPr>
              <w:autoSpaceDE w:val="0"/>
              <w:autoSpaceDN w:val="0"/>
              <w:spacing w:line="500" w:lineRule="exact"/>
              <w:ind w:left="118"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基本账户银行账号</w:t>
            </w:r>
          </w:p>
        </w:tc>
        <w:tc>
          <w:tcPr>
            <w:tcW w:w="6848" w:type="dxa"/>
            <w:gridSpan w:val="4"/>
            <w:tcBorders>
              <w:top w:val="single" w:color="000000" w:sz="6" w:space="0"/>
              <w:left w:val="single" w:color="000000" w:sz="6" w:space="0"/>
              <w:bottom w:val="single" w:color="000000" w:sz="6" w:space="0"/>
              <w:right w:val="single" w:color="000000" w:sz="12" w:space="0"/>
            </w:tcBorders>
            <w:vAlign w:val="center"/>
          </w:tcPr>
          <w:p w14:paraId="6FB18E7A">
            <w:pPr>
              <w:spacing w:line="500" w:lineRule="exact"/>
              <w:jc w:val="center"/>
              <w:rPr>
                <w:rFonts w:ascii="宋体" w:hAnsi="宋体"/>
                <w:color w:val="auto"/>
                <w:sz w:val="24"/>
                <w:szCs w:val="22"/>
                <w:highlight w:val="none"/>
              </w:rPr>
            </w:pPr>
          </w:p>
        </w:tc>
      </w:tr>
      <w:tr w14:paraId="79968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210387DB">
            <w:pPr>
              <w:autoSpaceDE w:val="0"/>
              <w:autoSpaceDN w:val="0"/>
              <w:spacing w:line="500" w:lineRule="exact"/>
              <w:ind w:left="116"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近三年营业额</w:t>
            </w:r>
          </w:p>
        </w:tc>
        <w:tc>
          <w:tcPr>
            <w:tcW w:w="6848" w:type="dxa"/>
            <w:gridSpan w:val="4"/>
            <w:tcBorders>
              <w:top w:val="single" w:color="000000" w:sz="6" w:space="0"/>
              <w:left w:val="single" w:color="000000" w:sz="6" w:space="0"/>
              <w:bottom w:val="single" w:color="000000" w:sz="6" w:space="0"/>
              <w:right w:val="single" w:color="000000" w:sz="12" w:space="0"/>
            </w:tcBorders>
            <w:vAlign w:val="center"/>
          </w:tcPr>
          <w:p w14:paraId="272A7AA1">
            <w:pPr>
              <w:spacing w:line="500" w:lineRule="exact"/>
              <w:jc w:val="center"/>
              <w:rPr>
                <w:rFonts w:ascii="宋体" w:hAnsi="宋体"/>
                <w:color w:val="auto"/>
                <w:sz w:val="24"/>
                <w:szCs w:val="22"/>
                <w:highlight w:val="none"/>
              </w:rPr>
            </w:pPr>
          </w:p>
        </w:tc>
      </w:tr>
      <w:tr w14:paraId="626AF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3" w:hRule="exact"/>
          <w:jc w:val="center"/>
        </w:trPr>
        <w:tc>
          <w:tcPr>
            <w:tcW w:w="2446" w:type="dxa"/>
            <w:tcBorders>
              <w:top w:val="single" w:color="000000" w:sz="6" w:space="0"/>
              <w:left w:val="single" w:color="000000" w:sz="12" w:space="0"/>
              <w:bottom w:val="single" w:color="000000" w:sz="6" w:space="0"/>
              <w:right w:val="single" w:color="000000" w:sz="6" w:space="0"/>
            </w:tcBorders>
            <w:vAlign w:val="center"/>
          </w:tcPr>
          <w:p w14:paraId="56690A51">
            <w:pPr>
              <w:autoSpaceDE w:val="0"/>
              <w:autoSpaceDN w:val="0"/>
              <w:spacing w:line="500" w:lineRule="exact"/>
              <w:jc w:val="center"/>
              <w:rPr>
                <w:rFonts w:ascii="宋体" w:hAnsi="宋体" w:cs="微软雅黑"/>
                <w:color w:val="auto"/>
                <w:kern w:val="0"/>
                <w:sz w:val="24"/>
                <w:szCs w:val="22"/>
                <w:highlight w:val="none"/>
                <w:lang w:val="zh-CN" w:bidi="zh-CN"/>
              </w:rPr>
            </w:pPr>
            <w:r>
              <w:rPr>
                <w:rFonts w:hint="eastAsia" w:ascii="宋体" w:hAnsi="宋体" w:cs="微软雅黑"/>
                <w:color w:val="auto"/>
                <w:kern w:val="0"/>
                <w:sz w:val="24"/>
                <w:szCs w:val="22"/>
                <w:highlight w:val="none"/>
                <w:lang w:val="zh-CN" w:bidi="zh-CN"/>
              </w:rPr>
              <w:t>投标人</w:t>
            </w:r>
            <w:r>
              <w:rPr>
                <w:rFonts w:ascii="宋体" w:hAnsi="宋体" w:cs="微软雅黑"/>
                <w:color w:val="auto"/>
                <w:kern w:val="0"/>
                <w:sz w:val="24"/>
                <w:szCs w:val="22"/>
                <w:highlight w:val="none"/>
                <w:lang w:val="zh-CN" w:bidi="zh-CN"/>
              </w:rPr>
              <w:t>关联企业情况（包括但不限于与投标人法定代表人（单位负责人）为同一人或者存在控股、管理关系的不同单位）</w:t>
            </w:r>
          </w:p>
        </w:tc>
        <w:tc>
          <w:tcPr>
            <w:tcW w:w="6848" w:type="dxa"/>
            <w:gridSpan w:val="4"/>
            <w:tcBorders>
              <w:top w:val="single" w:color="000000" w:sz="6" w:space="0"/>
              <w:left w:val="single" w:color="000000" w:sz="6" w:space="0"/>
              <w:bottom w:val="single" w:color="000000" w:sz="6" w:space="0"/>
              <w:right w:val="single" w:color="000000" w:sz="12" w:space="0"/>
            </w:tcBorders>
            <w:vAlign w:val="center"/>
          </w:tcPr>
          <w:p w14:paraId="2B888EC7">
            <w:pPr>
              <w:spacing w:line="500" w:lineRule="exact"/>
              <w:jc w:val="center"/>
              <w:rPr>
                <w:rFonts w:ascii="宋体" w:hAnsi="宋体"/>
                <w:color w:val="auto"/>
                <w:sz w:val="24"/>
                <w:szCs w:val="22"/>
                <w:highlight w:val="none"/>
              </w:rPr>
            </w:pPr>
          </w:p>
        </w:tc>
      </w:tr>
      <w:tr w14:paraId="68143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exact"/>
          <w:jc w:val="center"/>
        </w:trPr>
        <w:tc>
          <w:tcPr>
            <w:tcW w:w="2446" w:type="dxa"/>
            <w:tcBorders>
              <w:top w:val="single" w:color="000000" w:sz="6" w:space="0"/>
              <w:left w:val="single" w:color="000000" w:sz="12" w:space="0"/>
              <w:bottom w:val="single" w:color="000000" w:sz="12" w:space="0"/>
              <w:right w:val="single" w:color="000000" w:sz="6" w:space="0"/>
            </w:tcBorders>
            <w:vAlign w:val="center"/>
          </w:tcPr>
          <w:p w14:paraId="17C73AB3">
            <w:pPr>
              <w:autoSpaceDE w:val="0"/>
              <w:autoSpaceDN w:val="0"/>
              <w:spacing w:line="500" w:lineRule="exact"/>
              <w:ind w:left="116" w:right="116"/>
              <w:jc w:val="center"/>
              <w:rPr>
                <w:rFonts w:ascii="宋体" w:hAnsi="宋体" w:cs="微软雅黑"/>
                <w:color w:val="auto"/>
                <w:kern w:val="0"/>
                <w:sz w:val="24"/>
                <w:szCs w:val="22"/>
                <w:highlight w:val="none"/>
                <w:lang w:val="zh-CN" w:bidi="zh-CN"/>
              </w:rPr>
            </w:pPr>
            <w:r>
              <w:rPr>
                <w:rFonts w:ascii="宋体" w:hAnsi="宋体" w:cs="微软雅黑"/>
                <w:color w:val="auto"/>
                <w:kern w:val="0"/>
                <w:sz w:val="24"/>
                <w:szCs w:val="22"/>
                <w:highlight w:val="none"/>
                <w:lang w:val="zh-CN" w:bidi="zh-CN"/>
              </w:rPr>
              <w:t>备注</w:t>
            </w:r>
          </w:p>
        </w:tc>
        <w:tc>
          <w:tcPr>
            <w:tcW w:w="6848" w:type="dxa"/>
            <w:gridSpan w:val="4"/>
            <w:tcBorders>
              <w:top w:val="single" w:color="000000" w:sz="6" w:space="0"/>
              <w:left w:val="single" w:color="000000" w:sz="6" w:space="0"/>
              <w:bottom w:val="single" w:color="000000" w:sz="12" w:space="0"/>
              <w:right w:val="single" w:color="000000" w:sz="12" w:space="0"/>
            </w:tcBorders>
            <w:vAlign w:val="center"/>
          </w:tcPr>
          <w:p w14:paraId="64E32B14">
            <w:pPr>
              <w:spacing w:line="500" w:lineRule="exact"/>
              <w:jc w:val="center"/>
              <w:rPr>
                <w:rFonts w:ascii="宋体" w:hAnsi="宋体"/>
                <w:color w:val="auto"/>
                <w:sz w:val="24"/>
                <w:szCs w:val="22"/>
                <w:highlight w:val="none"/>
              </w:rPr>
            </w:pPr>
          </w:p>
        </w:tc>
      </w:tr>
    </w:tbl>
    <w:p w14:paraId="6339DE29">
      <w:pPr>
        <w:tabs>
          <w:tab w:val="left" w:pos="5580"/>
        </w:tabs>
        <w:autoSpaceDE w:val="0"/>
        <w:autoSpaceDN w:val="0"/>
        <w:spacing w:line="500" w:lineRule="exact"/>
        <w:ind w:firstLine="480" w:firstLineChars="200"/>
        <w:rPr>
          <w:rFonts w:ascii="宋体" w:hAnsi="宋体" w:cs="宋体"/>
          <w:color w:val="auto"/>
          <w:sz w:val="24"/>
          <w:szCs w:val="21"/>
          <w:highlight w:val="none"/>
          <w:lang w:val="zh-CN"/>
        </w:rPr>
      </w:pPr>
      <w:r>
        <w:rPr>
          <w:rFonts w:hint="eastAsia" w:ascii="宋体" w:hAnsi="宋体" w:cs="宋体"/>
          <w:color w:val="auto"/>
          <w:sz w:val="24"/>
          <w:szCs w:val="21"/>
          <w:highlight w:val="none"/>
          <w:lang w:val="zh-CN"/>
        </w:rPr>
        <w:t>提供投标人简介（包括但不限于业务范围、注册资金、所有权状况、组织机构及职能、专业技术人员数量、公司的场地环境介绍等）。</w:t>
      </w:r>
    </w:p>
    <w:p w14:paraId="7D5710DA">
      <w:pPr>
        <w:pStyle w:val="12"/>
        <w:rPr>
          <w:color w:val="auto"/>
          <w:highlight w:val="none"/>
        </w:rPr>
      </w:pPr>
    </w:p>
    <w:p w14:paraId="23ABEC7C">
      <w:pPr>
        <w:pStyle w:val="12"/>
        <w:rPr>
          <w:color w:val="auto"/>
          <w:highlight w:val="none"/>
        </w:rPr>
      </w:pPr>
    </w:p>
    <w:p w14:paraId="3AF30C7C">
      <w:pPr>
        <w:pStyle w:val="2"/>
        <w:numPr>
          <w:ilvl w:val="0"/>
          <w:numId w:val="8"/>
        </w:numPr>
        <w:shd w:val="clear" w:color="auto" w:fill="FFFFFF"/>
        <w:spacing w:line="500" w:lineRule="exact"/>
        <w:jc w:val="center"/>
        <w:rPr>
          <w:rFonts w:hint="eastAsia" w:cs="宋体"/>
          <w:color w:val="auto"/>
          <w:sz w:val="28"/>
          <w:szCs w:val="28"/>
          <w:highlight w:val="none"/>
          <w:lang w:eastAsia="zh-CN"/>
        </w:rPr>
      </w:pPr>
      <w:bookmarkStart w:id="367" w:name="_Toc8341"/>
      <w:r>
        <w:rPr>
          <w:rFonts w:hint="eastAsia" w:cs="宋体"/>
          <w:color w:val="auto"/>
          <w:sz w:val="28"/>
          <w:szCs w:val="28"/>
          <w:highlight w:val="none"/>
        </w:rPr>
        <w:t>投标保证金</w:t>
      </w:r>
      <w:r>
        <w:rPr>
          <w:rFonts w:hint="eastAsia" w:cs="宋体"/>
          <w:color w:val="auto"/>
          <w:sz w:val="28"/>
          <w:szCs w:val="28"/>
          <w:highlight w:val="none"/>
          <w:lang w:eastAsia="zh-CN"/>
        </w:rPr>
        <w:t>格式</w:t>
      </w:r>
      <w:bookmarkEnd w:id="367"/>
    </w:p>
    <w:p w14:paraId="38F5127A">
      <w:pPr>
        <w:pStyle w:val="46"/>
        <w:rPr>
          <w:rFonts w:hint="eastAsia" w:ascii="宋体" w:hAnsi="宋体" w:eastAsia="宋体" w:cs="宋体"/>
          <w:color w:val="auto"/>
          <w:highlight w:val="none"/>
          <w:lang w:eastAsia="zh-CN"/>
        </w:rPr>
      </w:pPr>
    </w:p>
    <w:p w14:paraId="2B193FA9">
      <w:pPr>
        <w:spacing w:line="500" w:lineRule="exact"/>
        <w:ind w:firstLine="42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投标保证金以支票、汇票、本票或者金融机构、担保机构出具的保函等非现金形式提交时，投标人须在投标截止时间前将支票、汇票、本票或者金融机构、担保机构出具的保函原件交至代理公司，复印件附在</w:t>
      </w:r>
      <w:r>
        <w:rPr>
          <w:rFonts w:hint="eastAsia" w:ascii="宋体" w:hAnsi="宋体" w:cs="宋体"/>
          <w:color w:val="auto"/>
          <w:sz w:val="24"/>
          <w:highlight w:val="none"/>
          <w:lang w:eastAsia="zh-CN"/>
        </w:rPr>
        <w:t>此处</w:t>
      </w:r>
      <w:r>
        <w:rPr>
          <w:rFonts w:hint="eastAsia" w:ascii="宋体" w:hAnsi="宋体" w:eastAsia="宋体" w:cs="宋体"/>
          <w:color w:val="auto"/>
          <w:sz w:val="24"/>
          <w:highlight w:val="none"/>
          <w:lang w:eastAsia="zh-CN"/>
        </w:rPr>
        <w:t>并加盖公章。</w:t>
      </w:r>
    </w:p>
    <w:p w14:paraId="0FE53CB1">
      <w:pPr>
        <w:spacing w:line="500" w:lineRule="exact"/>
        <w:ind w:firstLine="42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）投标保证金以电子保函、银行电汇或网银转账等非现金形式提交时，投标人须将电子保函复印件、银行电汇或网银转账凭证附在此处并加盖公章。</w:t>
      </w:r>
    </w:p>
    <w:p w14:paraId="3CCCD35D">
      <w:pPr>
        <w:spacing w:line="500" w:lineRule="exact"/>
        <w:ind w:firstLine="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（3）投标保证金以代理机构实际到账为准。</w:t>
      </w:r>
    </w:p>
    <w:p w14:paraId="5DAD7FB3">
      <w:pPr>
        <w:adjustRightInd w:val="0"/>
        <w:snapToGrid w:val="0"/>
        <w:spacing w:line="400" w:lineRule="exact"/>
        <w:jc w:val="left"/>
        <w:rPr>
          <w:rFonts w:hint="eastAsia" w:ascii="宋体" w:hAnsi="宋体" w:eastAsia="宋体" w:cs="宋体"/>
          <w:b/>
          <w:color w:val="auto"/>
          <w:sz w:val="24"/>
          <w:szCs w:val="24"/>
          <w:highlight w:val="none"/>
        </w:rPr>
      </w:pPr>
    </w:p>
    <w:p w14:paraId="2E93FCDD">
      <w:pPr>
        <w:adjustRightInd w:val="0"/>
        <w:snapToGrid w:val="0"/>
        <w:spacing w:line="400" w:lineRule="exact"/>
        <w:jc w:val="left"/>
        <w:rPr>
          <w:rFonts w:hint="eastAsia" w:ascii="宋体" w:hAnsi="宋体" w:eastAsia="宋体" w:cs="宋体"/>
          <w:b/>
          <w:color w:val="auto"/>
          <w:sz w:val="24"/>
          <w:szCs w:val="24"/>
          <w:highlight w:val="none"/>
        </w:rPr>
      </w:pPr>
    </w:p>
    <w:p w14:paraId="79B749DB">
      <w:pPr>
        <w:adjustRightInd w:val="0"/>
        <w:snapToGrid w:val="0"/>
        <w:spacing w:line="400" w:lineRule="exact"/>
        <w:jc w:val="left"/>
        <w:rPr>
          <w:rFonts w:hint="eastAsia" w:ascii="宋体" w:hAnsi="宋体" w:eastAsia="宋体" w:cs="宋体"/>
          <w:b/>
          <w:color w:val="auto"/>
          <w:sz w:val="24"/>
          <w:szCs w:val="24"/>
          <w:highlight w:val="none"/>
        </w:rPr>
      </w:pPr>
    </w:p>
    <w:p w14:paraId="298E66E3">
      <w:pPr>
        <w:pStyle w:val="12"/>
        <w:numPr>
          <w:ilvl w:val="0"/>
          <w:numId w:val="0"/>
        </w:numPr>
        <w:ind w:leftChars="0"/>
        <w:rPr>
          <w:color w:val="auto"/>
          <w:highlight w:val="none"/>
        </w:rPr>
      </w:pPr>
    </w:p>
    <w:p w14:paraId="582E14EC">
      <w:pPr>
        <w:pStyle w:val="12"/>
        <w:numPr>
          <w:ilvl w:val="0"/>
          <w:numId w:val="0"/>
        </w:numPr>
        <w:ind w:leftChars="0"/>
        <w:rPr>
          <w:color w:val="auto"/>
          <w:highlight w:val="none"/>
        </w:rPr>
      </w:pPr>
    </w:p>
    <w:p w14:paraId="3C7C4A09">
      <w:pPr>
        <w:pStyle w:val="12"/>
        <w:numPr>
          <w:ilvl w:val="0"/>
          <w:numId w:val="0"/>
        </w:numPr>
        <w:ind w:leftChars="0"/>
        <w:rPr>
          <w:color w:val="auto"/>
          <w:highlight w:val="none"/>
        </w:rPr>
      </w:pPr>
    </w:p>
    <w:p w14:paraId="592A0DA4">
      <w:pPr>
        <w:pStyle w:val="12"/>
        <w:numPr>
          <w:ilvl w:val="0"/>
          <w:numId w:val="0"/>
        </w:numPr>
        <w:ind w:leftChars="0"/>
        <w:rPr>
          <w:color w:val="auto"/>
          <w:highlight w:val="none"/>
        </w:rPr>
      </w:pPr>
    </w:p>
    <w:p w14:paraId="28B3C2FA">
      <w:pPr>
        <w:pStyle w:val="12"/>
        <w:numPr>
          <w:ilvl w:val="0"/>
          <w:numId w:val="0"/>
        </w:numPr>
        <w:ind w:leftChars="0"/>
        <w:rPr>
          <w:color w:val="auto"/>
          <w:highlight w:val="none"/>
        </w:rPr>
      </w:pPr>
    </w:p>
    <w:p w14:paraId="293EA288">
      <w:pPr>
        <w:pStyle w:val="12"/>
        <w:numPr>
          <w:ilvl w:val="0"/>
          <w:numId w:val="0"/>
        </w:numPr>
        <w:ind w:leftChars="0"/>
        <w:rPr>
          <w:color w:val="auto"/>
          <w:highlight w:val="none"/>
        </w:rPr>
      </w:pPr>
    </w:p>
    <w:p w14:paraId="3C75AE1C">
      <w:pPr>
        <w:pStyle w:val="12"/>
        <w:numPr>
          <w:ilvl w:val="0"/>
          <w:numId w:val="0"/>
        </w:numPr>
        <w:ind w:leftChars="0"/>
        <w:rPr>
          <w:color w:val="auto"/>
          <w:highlight w:val="none"/>
        </w:rPr>
      </w:pPr>
    </w:p>
    <w:p w14:paraId="63D34403">
      <w:pPr>
        <w:pStyle w:val="12"/>
        <w:numPr>
          <w:ilvl w:val="0"/>
          <w:numId w:val="0"/>
        </w:numPr>
        <w:ind w:leftChars="0"/>
        <w:rPr>
          <w:color w:val="auto"/>
          <w:highlight w:val="none"/>
        </w:rPr>
      </w:pPr>
    </w:p>
    <w:p w14:paraId="2F4AB2A8">
      <w:pPr>
        <w:pStyle w:val="12"/>
        <w:numPr>
          <w:ilvl w:val="0"/>
          <w:numId w:val="0"/>
        </w:numPr>
        <w:ind w:leftChars="0"/>
        <w:rPr>
          <w:color w:val="auto"/>
          <w:highlight w:val="none"/>
        </w:rPr>
      </w:pPr>
    </w:p>
    <w:p w14:paraId="087084F6">
      <w:pPr>
        <w:pStyle w:val="12"/>
        <w:numPr>
          <w:ilvl w:val="0"/>
          <w:numId w:val="0"/>
        </w:numPr>
        <w:ind w:leftChars="0"/>
        <w:rPr>
          <w:color w:val="auto"/>
          <w:highlight w:val="none"/>
        </w:rPr>
      </w:pPr>
    </w:p>
    <w:p w14:paraId="6D7EB106">
      <w:pPr>
        <w:pStyle w:val="12"/>
        <w:numPr>
          <w:ilvl w:val="0"/>
          <w:numId w:val="0"/>
        </w:numPr>
        <w:ind w:leftChars="0"/>
        <w:rPr>
          <w:color w:val="auto"/>
          <w:highlight w:val="none"/>
        </w:rPr>
      </w:pPr>
    </w:p>
    <w:p w14:paraId="7FD05946">
      <w:pPr>
        <w:pStyle w:val="12"/>
        <w:numPr>
          <w:ilvl w:val="0"/>
          <w:numId w:val="0"/>
        </w:numPr>
        <w:ind w:leftChars="0"/>
        <w:rPr>
          <w:color w:val="auto"/>
          <w:highlight w:val="none"/>
        </w:rPr>
      </w:pPr>
    </w:p>
    <w:p w14:paraId="2502B78C">
      <w:pPr>
        <w:pStyle w:val="12"/>
        <w:numPr>
          <w:ilvl w:val="0"/>
          <w:numId w:val="0"/>
        </w:numPr>
        <w:ind w:leftChars="0"/>
        <w:rPr>
          <w:color w:val="auto"/>
          <w:highlight w:val="none"/>
        </w:rPr>
      </w:pPr>
    </w:p>
    <w:p w14:paraId="525124C5">
      <w:pPr>
        <w:pStyle w:val="12"/>
        <w:numPr>
          <w:ilvl w:val="0"/>
          <w:numId w:val="0"/>
        </w:numPr>
        <w:ind w:leftChars="0"/>
        <w:rPr>
          <w:color w:val="auto"/>
          <w:highlight w:val="none"/>
        </w:rPr>
      </w:pPr>
    </w:p>
    <w:p w14:paraId="7EB05814">
      <w:pPr>
        <w:pStyle w:val="12"/>
        <w:numPr>
          <w:ilvl w:val="0"/>
          <w:numId w:val="0"/>
        </w:numPr>
        <w:ind w:leftChars="0"/>
        <w:rPr>
          <w:color w:val="auto"/>
          <w:highlight w:val="none"/>
        </w:rPr>
      </w:pPr>
    </w:p>
    <w:p w14:paraId="09A8BF19">
      <w:pPr>
        <w:pStyle w:val="22"/>
        <w:numPr>
          <w:ilvl w:val="0"/>
          <w:numId w:val="0"/>
        </w:numPr>
        <w:snapToGrid w:val="0"/>
        <w:spacing w:before="156" w:after="156"/>
        <w:ind w:left="420" w:leftChars="0" w:hanging="420" w:firstLineChars="0"/>
        <w:jc w:val="center"/>
        <w:outlineLvl w:val="2"/>
        <w:rPr>
          <w:rFonts w:hint="eastAsia" w:ascii="宋体" w:hAnsi="宋体" w:eastAsia="宋体" w:cs="宋体"/>
          <w:b/>
          <w:color w:val="auto"/>
          <w:highlight w:val="none"/>
        </w:rPr>
      </w:pPr>
      <w:bookmarkStart w:id="368" w:name="_Toc32064"/>
      <w:r>
        <w:rPr>
          <w:rFonts w:hint="default" w:ascii="Wingdings" w:hAnsi="Wingdings" w:eastAsia="宋体" w:cs="宋体"/>
          <w:b/>
          <w:color w:val="auto"/>
          <w:kern w:val="0"/>
          <w:sz w:val="28"/>
          <w:szCs w:val="24"/>
          <w:highlight w:val="none"/>
          <w:lang w:val="en-US" w:eastAsia="zh-CN" w:bidi="ar-SA"/>
        </w:rPr>
        <w:t></w:t>
      </w:r>
      <w:r>
        <w:rPr>
          <w:rFonts w:hint="eastAsia" w:ascii="宋体" w:hAnsi="宋体" w:eastAsia="宋体" w:cs="宋体"/>
          <w:b/>
          <w:color w:val="auto"/>
          <w:kern w:val="2"/>
          <w:sz w:val="28"/>
          <w:szCs w:val="28"/>
          <w:highlight w:val="none"/>
          <w:lang w:val="en-US" w:eastAsia="zh-CN" w:bidi="ar-SA"/>
        </w:rPr>
        <w:t>节能、环境标志产品证明文件</w:t>
      </w:r>
      <w:r>
        <w:rPr>
          <w:rFonts w:hint="eastAsia" w:ascii="宋体" w:hAnsi="宋体" w:eastAsia="宋体" w:cs="宋体"/>
          <w:b/>
          <w:color w:val="auto"/>
          <w:kern w:val="2"/>
          <w:sz w:val="24"/>
          <w:szCs w:val="24"/>
          <w:highlight w:val="none"/>
          <w:lang w:val="en-US" w:eastAsia="zh-CN" w:bidi="ar-SA"/>
        </w:rPr>
        <w:t>（如有，请如实填写）</w:t>
      </w:r>
      <w:bookmarkEnd w:id="368"/>
    </w:p>
    <w:p w14:paraId="12CCA7E9">
      <w:pPr>
        <w:pStyle w:val="203"/>
        <w:snapToGrid w:val="0"/>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）节能产品明细表</w:t>
      </w:r>
    </w:p>
    <w:tbl>
      <w:tblPr>
        <w:tblStyle w:val="47"/>
        <w:tblW w:w="9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360"/>
        <w:gridCol w:w="1193"/>
        <w:gridCol w:w="1323"/>
        <w:gridCol w:w="1598"/>
        <w:gridCol w:w="1848"/>
        <w:gridCol w:w="954"/>
      </w:tblGrid>
      <w:tr w14:paraId="6A078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781" w:type="dxa"/>
            <w:tcBorders>
              <w:top w:val="single" w:color="auto" w:sz="12" w:space="0"/>
              <w:left w:val="single" w:color="auto" w:sz="12" w:space="0"/>
            </w:tcBorders>
            <w:noWrap w:val="0"/>
            <w:vAlign w:val="center"/>
          </w:tcPr>
          <w:p w14:paraId="507E172C">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360" w:type="dxa"/>
            <w:tcBorders>
              <w:top w:val="single" w:color="auto" w:sz="12" w:space="0"/>
            </w:tcBorders>
            <w:noWrap w:val="0"/>
            <w:vAlign w:val="center"/>
          </w:tcPr>
          <w:p w14:paraId="4BE98A02">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产品名称</w:t>
            </w:r>
          </w:p>
        </w:tc>
        <w:tc>
          <w:tcPr>
            <w:tcW w:w="1193" w:type="dxa"/>
            <w:tcBorders>
              <w:top w:val="single" w:color="auto" w:sz="12" w:space="0"/>
            </w:tcBorders>
            <w:noWrap w:val="0"/>
            <w:vAlign w:val="center"/>
          </w:tcPr>
          <w:p w14:paraId="3740A856">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制造商</w:t>
            </w:r>
          </w:p>
        </w:tc>
        <w:tc>
          <w:tcPr>
            <w:tcW w:w="1323" w:type="dxa"/>
            <w:tcBorders>
              <w:top w:val="single" w:color="auto" w:sz="12" w:space="0"/>
            </w:tcBorders>
            <w:noWrap w:val="0"/>
            <w:vAlign w:val="center"/>
          </w:tcPr>
          <w:p w14:paraId="44E92D02">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产品型号</w:t>
            </w:r>
          </w:p>
        </w:tc>
        <w:tc>
          <w:tcPr>
            <w:tcW w:w="1598" w:type="dxa"/>
            <w:tcBorders>
              <w:top w:val="single" w:color="auto" w:sz="12" w:space="0"/>
            </w:tcBorders>
            <w:noWrap w:val="0"/>
            <w:vAlign w:val="center"/>
          </w:tcPr>
          <w:p w14:paraId="5714E0A7">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节能标志认证证书号</w:t>
            </w:r>
          </w:p>
        </w:tc>
        <w:tc>
          <w:tcPr>
            <w:tcW w:w="1848" w:type="dxa"/>
            <w:tcBorders>
              <w:top w:val="single" w:color="auto" w:sz="12" w:space="0"/>
            </w:tcBorders>
            <w:noWrap w:val="0"/>
            <w:vAlign w:val="center"/>
          </w:tcPr>
          <w:p w14:paraId="4A53821D">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节能产品认证证书有效截止日期</w:t>
            </w:r>
          </w:p>
        </w:tc>
        <w:tc>
          <w:tcPr>
            <w:tcW w:w="954" w:type="dxa"/>
            <w:tcBorders>
              <w:top w:val="single" w:color="auto" w:sz="12" w:space="0"/>
              <w:right w:val="single" w:color="auto" w:sz="12" w:space="0"/>
            </w:tcBorders>
            <w:noWrap w:val="0"/>
            <w:vAlign w:val="center"/>
          </w:tcPr>
          <w:p w14:paraId="6E831943">
            <w:pPr>
              <w:pStyle w:val="203"/>
              <w:snapToGrid w:val="0"/>
              <w:spacing w:line="4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价格</w:t>
            </w:r>
            <w:r>
              <w:rPr>
                <w:rFonts w:hint="eastAsia" w:ascii="宋体" w:hAnsi="宋体" w:eastAsia="宋体" w:cs="宋体"/>
                <w:color w:val="auto"/>
                <w:sz w:val="24"/>
                <w:highlight w:val="none"/>
                <w:lang w:eastAsia="zh-CN"/>
              </w:rPr>
              <w:t>（元）</w:t>
            </w:r>
          </w:p>
        </w:tc>
      </w:tr>
      <w:tr w14:paraId="58570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81" w:type="dxa"/>
            <w:tcBorders>
              <w:left w:val="single" w:color="auto" w:sz="12" w:space="0"/>
            </w:tcBorders>
            <w:noWrap w:val="0"/>
            <w:vAlign w:val="center"/>
          </w:tcPr>
          <w:p w14:paraId="26B4B2D3">
            <w:pPr>
              <w:pStyle w:val="203"/>
              <w:snapToGrid w:val="0"/>
              <w:spacing w:line="400" w:lineRule="exact"/>
              <w:ind w:right="480" w:firstLine="240" w:firstLineChars="1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0" w:type="dxa"/>
            <w:noWrap w:val="0"/>
            <w:vAlign w:val="center"/>
          </w:tcPr>
          <w:p w14:paraId="5AC0E9FC">
            <w:pPr>
              <w:pStyle w:val="203"/>
              <w:snapToGrid w:val="0"/>
              <w:spacing w:line="400" w:lineRule="exact"/>
              <w:ind w:right="480"/>
              <w:jc w:val="center"/>
              <w:rPr>
                <w:rFonts w:hint="eastAsia" w:ascii="宋体" w:hAnsi="宋体" w:eastAsia="宋体" w:cs="宋体"/>
                <w:color w:val="auto"/>
                <w:sz w:val="24"/>
                <w:highlight w:val="none"/>
              </w:rPr>
            </w:pPr>
          </w:p>
        </w:tc>
        <w:tc>
          <w:tcPr>
            <w:tcW w:w="1193" w:type="dxa"/>
            <w:noWrap w:val="0"/>
            <w:vAlign w:val="center"/>
          </w:tcPr>
          <w:p w14:paraId="69958DB3">
            <w:pPr>
              <w:pStyle w:val="203"/>
              <w:snapToGrid w:val="0"/>
              <w:spacing w:line="400" w:lineRule="exact"/>
              <w:ind w:right="480"/>
              <w:jc w:val="center"/>
              <w:rPr>
                <w:rFonts w:hint="eastAsia" w:ascii="宋体" w:hAnsi="宋体" w:eastAsia="宋体" w:cs="宋体"/>
                <w:color w:val="auto"/>
                <w:sz w:val="24"/>
                <w:highlight w:val="none"/>
              </w:rPr>
            </w:pPr>
          </w:p>
        </w:tc>
        <w:tc>
          <w:tcPr>
            <w:tcW w:w="1323" w:type="dxa"/>
            <w:noWrap w:val="0"/>
            <w:vAlign w:val="center"/>
          </w:tcPr>
          <w:p w14:paraId="314F8578">
            <w:pPr>
              <w:pStyle w:val="203"/>
              <w:snapToGrid w:val="0"/>
              <w:spacing w:line="400" w:lineRule="exact"/>
              <w:ind w:right="480"/>
              <w:jc w:val="center"/>
              <w:rPr>
                <w:rFonts w:hint="eastAsia" w:ascii="宋体" w:hAnsi="宋体" w:eastAsia="宋体" w:cs="宋体"/>
                <w:color w:val="auto"/>
                <w:sz w:val="24"/>
                <w:highlight w:val="none"/>
              </w:rPr>
            </w:pPr>
          </w:p>
        </w:tc>
        <w:tc>
          <w:tcPr>
            <w:tcW w:w="1598" w:type="dxa"/>
            <w:noWrap w:val="0"/>
            <w:vAlign w:val="center"/>
          </w:tcPr>
          <w:p w14:paraId="304C7F95">
            <w:pPr>
              <w:pStyle w:val="203"/>
              <w:snapToGrid w:val="0"/>
              <w:spacing w:line="400" w:lineRule="exact"/>
              <w:ind w:right="480"/>
              <w:jc w:val="center"/>
              <w:rPr>
                <w:rFonts w:hint="eastAsia" w:ascii="宋体" w:hAnsi="宋体" w:eastAsia="宋体" w:cs="宋体"/>
                <w:color w:val="auto"/>
                <w:sz w:val="24"/>
                <w:highlight w:val="none"/>
              </w:rPr>
            </w:pPr>
          </w:p>
        </w:tc>
        <w:tc>
          <w:tcPr>
            <w:tcW w:w="1848" w:type="dxa"/>
            <w:noWrap w:val="0"/>
            <w:vAlign w:val="center"/>
          </w:tcPr>
          <w:p w14:paraId="11D97077">
            <w:pPr>
              <w:pStyle w:val="203"/>
              <w:snapToGrid w:val="0"/>
              <w:spacing w:line="400" w:lineRule="exact"/>
              <w:ind w:right="480"/>
              <w:jc w:val="center"/>
              <w:rPr>
                <w:rFonts w:hint="eastAsia" w:ascii="宋体" w:hAnsi="宋体" w:eastAsia="宋体" w:cs="宋体"/>
                <w:color w:val="auto"/>
                <w:sz w:val="24"/>
                <w:highlight w:val="none"/>
              </w:rPr>
            </w:pPr>
          </w:p>
        </w:tc>
        <w:tc>
          <w:tcPr>
            <w:tcW w:w="954" w:type="dxa"/>
            <w:tcBorders>
              <w:right w:val="single" w:color="auto" w:sz="12" w:space="0"/>
            </w:tcBorders>
            <w:noWrap w:val="0"/>
            <w:vAlign w:val="center"/>
          </w:tcPr>
          <w:p w14:paraId="7AE7DDE6">
            <w:pPr>
              <w:pStyle w:val="203"/>
              <w:snapToGrid w:val="0"/>
              <w:spacing w:line="400" w:lineRule="exact"/>
              <w:ind w:right="480"/>
              <w:jc w:val="center"/>
              <w:rPr>
                <w:rFonts w:hint="eastAsia" w:ascii="宋体" w:hAnsi="宋体" w:eastAsia="宋体" w:cs="宋体"/>
                <w:color w:val="auto"/>
                <w:sz w:val="24"/>
                <w:highlight w:val="none"/>
              </w:rPr>
            </w:pPr>
          </w:p>
        </w:tc>
      </w:tr>
      <w:tr w14:paraId="4511F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81" w:type="dxa"/>
            <w:tcBorders>
              <w:left w:val="single" w:color="auto" w:sz="12" w:space="0"/>
            </w:tcBorders>
            <w:noWrap w:val="0"/>
            <w:vAlign w:val="center"/>
          </w:tcPr>
          <w:p w14:paraId="4D4F0C72">
            <w:pPr>
              <w:pStyle w:val="203"/>
              <w:snapToGrid w:val="0"/>
              <w:spacing w:line="400" w:lineRule="exact"/>
              <w:ind w:right="480" w:firstLine="240" w:firstLineChars="1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0" w:type="dxa"/>
            <w:noWrap w:val="0"/>
            <w:vAlign w:val="center"/>
          </w:tcPr>
          <w:p w14:paraId="5054EDD9">
            <w:pPr>
              <w:pStyle w:val="203"/>
              <w:snapToGrid w:val="0"/>
              <w:spacing w:line="400" w:lineRule="exact"/>
              <w:ind w:right="480"/>
              <w:jc w:val="center"/>
              <w:rPr>
                <w:rFonts w:hint="eastAsia" w:ascii="宋体" w:hAnsi="宋体" w:eastAsia="宋体" w:cs="宋体"/>
                <w:color w:val="auto"/>
                <w:sz w:val="24"/>
                <w:highlight w:val="none"/>
              </w:rPr>
            </w:pPr>
          </w:p>
        </w:tc>
        <w:tc>
          <w:tcPr>
            <w:tcW w:w="1193" w:type="dxa"/>
            <w:noWrap w:val="0"/>
            <w:vAlign w:val="center"/>
          </w:tcPr>
          <w:p w14:paraId="55353205">
            <w:pPr>
              <w:pStyle w:val="203"/>
              <w:snapToGrid w:val="0"/>
              <w:spacing w:line="400" w:lineRule="exact"/>
              <w:ind w:right="480"/>
              <w:jc w:val="center"/>
              <w:rPr>
                <w:rFonts w:hint="eastAsia" w:ascii="宋体" w:hAnsi="宋体" w:eastAsia="宋体" w:cs="宋体"/>
                <w:color w:val="auto"/>
                <w:sz w:val="24"/>
                <w:highlight w:val="none"/>
              </w:rPr>
            </w:pPr>
          </w:p>
        </w:tc>
        <w:tc>
          <w:tcPr>
            <w:tcW w:w="1323" w:type="dxa"/>
            <w:noWrap w:val="0"/>
            <w:vAlign w:val="center"/>
          </w:tcPr>
          <w:p w14:paraId="62BFA2C8">
            <w:pPr>
              <w:pStyle w:val="203"/>
              <w:snapToGrid w:val="0"/>
              <w:spacing w:line="400" w:lineRule="exact"/>
              <w:ind w:right="480"/>
              <w:jc w:val="center"/>
              <w:rPr>
                <w:rFonts w:hint="eastAsia" w:ascii="宋体" w:hAnsi="宋体" w:eastAsia="宋体" w:cs="宋体"/>
                <w:color w:val="auto"/>
                <w:sz w:val="24"/>
                <w:highlight w:val="none"/>
              </w:rPr>
            </w:pPr>
          </w:p>
        </w:tc>
        <w:tc>
          <w:tcPr>
            <w:tcW w:w="1598" w:type="dxa"/>
            <w:noWrap w:val="0"/>
            <w:vAlign w:val="center"/>
          </w:tcPr>
          <w:p w14:paraId="65FB7298">
            <w:pPr>
              <w:pStyle w:val="203"/>
              <w:snapToGrid w:val="0"/>
              <w:spacing w:line="400" w:lineRule="exact"/>
              <w:ind w:right="480"/>
              <w:jc w:val="center"/>
              <w:rPr>
                <w:rFonts w:hint="eastAsia" w:ascii="宋体" w:hAnsi="宋体" w:eastAsia="宋体" w:cs="宋体"/>
                <w:color w:val="auto"/>
                <w:sz w:val="24"/>
                <w:highlight w:val="none"/>
              </w:rPr>
            </w:pPr>
          </w:p>
        </w:tc>
        <w:tc>
          <w:tcPr>
            <w:tcW w:w="1848" w:type="dxa"/>
            <w:noWrap w:val="0"/>
            <w:vAlign w:val="center"/>
          </w:tcPr>
          <w:p w14:paraId="4775FEF0">
            <w:pPr>
              <w:pStyle w:val="203"/>
              <w:snapToGrid w:val="0"/>
              <w:spacing w:line="400" w:lineRule="exact"/>
              <w:ind w:right="480"/>
              <w:jc w:val="center"/>
              <w:rPr>
                <w:rFonts w:hint="eastAsia" w:ascii="宋体" w:hAnsi="宋体" w:eastAsia="宋体" w:cs="宋体"/>
                <w:color w:val="auto"/>
                <w:sz w:val="24"/>
                <w:highlight w:val="none"/>
              </w:rPr>
            </w:pPr>
          </w:p>
        </w:tc>
        <w:tc>
          <w:tcPr>
            <w:tcW w:w="954" w:type="dxa"/>
            <w:tcBorders>
              <w:right w:val="single" w:color="auto" w:sz="12" w:space="0"/>
            </w:tcBorders>
            <w:noWrap w:val="0"/>
            <w:vAlign w:val="center"/>
          </w:tcPr>
          <w:p w14:paraId="38F64A87">
            <w:pPr>
              <w:pStyle w:val="203"/>
              <w:snapToGrid w:val="0"/>
              <w:spacing w:line="400" w:lineRule="exact"/>
              <w:ind w:right="480"/>
              <w:jc w:val="center"/>
              <w:rPr>
                <w:rFonts w:hint="eastAsia" w:ascii="宋体" w:hAnsi="宋体" w:eastAsia="宋体" w:cs="宋体"/>
                <w:color w:val="auto"/>
                <w:sz w:val="24"/>
                <w:highlight w:val="none"/>
              </w:rPr>
            </w:pPr>
          </w:p>
        </w:tc>
      </w:tr>
      <w:tr w14:paraId="50D27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81" w:type="dxa"/>
            <w:tcBorders>
              <w:left w:val="single" w:color="auto" w:sz="12" w:space="0"/>
            </w:tcBorders>
            <w:noWrap w:val="0"/>
            <w:vAlign w:val="center"/>
          </w:tcPr>
          <w:p w14:paraId="68A4AD30">
            <w:pPr>
              <w:pStyle w:val="203"/>
              <w:snapToGrid w:val="0"/>
              <w:spacing w:line="400" w:lineRule="exact"/>
              <w:ind w:right="480" w:firstLine="240" w:firstLineChars="1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360" w:type="dxa"/>
            <w:noWrap w:val="0"/>
            <w:vAlign w:val="center"/>
          </w:tcPr>
          <w:p w14:paraId="2B515C3C">
            <w:pPr>
              <w:pStyle w:val="203"/>
              <w:snapToGrid w:val="0"/>
              <w:spacing w:line="400" w:lineRule="exact"/>
              <w:ind w:right="480" w:firstLine="600" w:firstLineChars="2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193" w:type="dxa"/>
            <w:noWrap w:val="0"/>
            <w:vAlign w:val="center"/>
          </w:tcPr>
          <w:p w14:paraId="4066AF3E">
            <w:pPr>
              <w:pStyle w:val="203"/>
              <w:snapToGrid w:val="0"/>
              <w:spacing w:line="400" w:lineRule="exact"/>
              <w:ind w:right="480"/>
              <w:jc w:val="center"/>
              <w:rPr>
                <w:rFonts w:hint="eastAsia" w:ascii="宋体" w:hAnsi="宋体" w:eastAsia="宋体" w:cs="宋体"/>
                <w:color w:val="auto"/>
                <w:sz w:val="24"/>
                <w:highlight w:val="none"/>
              </w:rPr>
            </w:pPr>
          </w:p>
        </w:tc>
        <w:tc>
          <w:tcPr>
            <w:tcW w:w="1323" w:type="dxa"/>
            <w:noWrap w:val="0"/>
            <w:vAlign w:val="center"/>
          </w:tcPr>
          <w:p w14:paraId="66C51DF0">
            <w:pPr>
              <w:pStyle w:val="203"/>
              <w:snapToGrid w:val="0"/>
              <w:spacing w:line="400" w:lineRule="exact"/>
              <w:ind w:right="480"/>
              <w:jc w:val="center"/>
              <w:rPr>
                <w:rFonts w:hint="eastAsia" w:ascii="宋体" w:hAnsi="宋体" w:eastAsia="宋体" w:cs="宋体"/>
                <w:color w:val="auto"/>
                <w:sz w:val="24"/>
                <w:highlight w:val="none"/>
              </w:rPr>
            </w:pPr>
          </w:p>
        </w:tc>
        <w:tc>
          <w:tcPr>
            <w:tcW w:w="1598" w:type="dxa"/>
            <w:noWrap w:val="0"/>
            <w:vAlign w:val="center"/>
          </w:tcPr>
          <w:p w14:paraId="3D6FB944">
            <w:pPr>
              <w:pStyle w:val="203"/>
              <w:snapToGrid w:val="0"/>
              <w:spacing w:line="400" w:lineRule="exact"/>
              <w:ind w:right="480"/>
              <w:jc w:val="center"/>
              <w:rPr>
                <w:rFonts w:hint="eastAsia" w:ascii="宋体" w:hAnsi="宋体" w:eastAsia="宋体" w:cs="宋体"/>
                <w:color w:val="auto"/>
                <w:sz w:val="24"/>
                <w:highlight w:val="none"/>
              </w:rPr>
            </w:pPr>
          </w:p>
        </w:tc>
        <w:tc>
          <w:tcPr>
            <w:tcW w:w="1848" w:type="dxa"/>
            <w:noWrap w:val="0"/>
            <w:vAlign w:val="center"/>
          </w:tcPr>
          <w:p w14:paraId="16D5B1F4">
            <w:pPr>
              <w:pStyle w:val="203"/>
              <w:snapToGrid w:val="0"/>
              <w:spacing w:line="400" w:lineRule="exact"/>
              <w:ind w:right="480"/>
              <w:jc w:val="center"/>
              <w:rPr>
                <w:rFonts w:hint="eastAsia" w:ascii="宋体" w:hAnsi="宋体" w:eastAsia="宋体" w:cs="宋体"/>
                <w:color w:val="auto"/>
                <w:sz w:val="24"/>
                <w:highlight w:val="none"/>
              </w:rPr>
            </w:pPr>
          </w:p>
        </w:tc>
        <w:tc>
          <w:tcPr>
            <w:tcW w:w="954" w:type="dxa"/>
            <w:tcBorders>
              <w:right w:val="single" w:color="auto" w:sz="12" w:space="0"/>
            </w:tcBorders>
            <w:noWrap w:val="0"/>
            <w:vAlign w:val="center"/>
          </w:tcPr>
          <w:p w14:paraId="4D1693EE">
            <w:pPr>
              <w:pStyle w:val="203"/>
              <w:snapToGrid w:val="0"/>
              <w:spacing w:line="400" w:lineRule="exact"/>
              <w:ind w:right="480"/>
              <w:jc w:val="center"/>
              <w:rPr>
                <w:rFonts w:hint="eastAsia" w:ascii="宋体" w:hAnsi="宋体" w:eastAsia="宋体" w:cs="宋体"/>
                <w:color w:val="auto"/>
                <w:sz w:val="24"/>
                <w:highlight w:val="none"/>
              </w:rPr>
            </w:pPr>
          </w:p>
        </w:tc>
      </w:tr>
      <w:tr w14:paraId="131A1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9057" w:type="dxa"/>
            <w:gridSpan w:val="7"/>
            <w:tcBorders>
              <w:left w:val="single" w:color="auto" w:sz="12" w:space="0"/>
              <w:bottom w:val="single" w:color="auto" w:sz="12" w:space="0"/>
              <w:right w:val="single" w:color="auto" w:sz="12" w:space="0"/>
            </w:tcBorders>
            <w:noWrap w:val="0"/>
            <w:vAlign w:val="center"/>
          </w:tcPr>
          <w:p w14:paraId="2EF31292">
            <w:pPr>
              <w:pStyle w:val="203"/>
              <w:snapToGrid w:val="0"/>
              <w:spacing w:line="400" w:lineRule="exact"/>
              <w:ind w:right="480"/>
              <w:jc w:val="both"/>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合计</w:t>
            </w:r>
            <w:r>
              <w:rPr>
                <w:rFonts w:hint="eastAsia" w:ascii="宋体" w:hAnsi="宋体" w:eastAsia="宋体" w:cs="宋体"/>
                <w:color w:val="auto"/>
                <w:sz w:val="24"/>
                <w:highlight w:val="none"/>
                <w:lang w:eastAsia="zh-CN"/>
              </w:rPr>
              <w:t>金额：</w:t>
            </w:r>
          </w:p>
        </w:tc>
      </w:tr>
    </w:tbl>
    <w:p w14:paraId="55B26C9F">
      <w:pPr>
        <w:pStyle w:val="203"/>
        <w:keepNext w:val="0"/>
        <w:keepLines w:val="0"/>
        <w:pageBreakBefore w:val="0"/>
        <w:widowControl w:val="0"/>
        <w:kinsoku/>
        <w:wordWrap/>
        <w:overflowPunct/>
        <w:topLinePunct w:val="0"/>
        <w:autoSpaceDE/>
        <w:autoSpaceDN/>
        <w:bidi w:val="0"/>
        <w:adjustRightInd/>
        <w:snapToGrid w:val="0"/>
        <w:spacing w:line="400" w:lineRule="exact"/>
        <w:ind w:right="-96" w:firstLine="0" w:firstLineChars="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说明：</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节能产品根据《财库【</w:t>
      </w:r>
      <w:r>
        <w:rPr>
          <w:rFonts w:hint="eastAsia" w:ascii="宋体" w:hAnsi="宋体" w:eastAsia="宋体" w:cs="宋体"/>
          <w:color w:val="auto"/>
          <w:sz w:val="24"/>
          <w:highlight w:val="none"/>
          <w:lang w:val="en-US" w:eastAsia="zh-CN"/>
        </w:rPr>
        <w:t>2019</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19号</w:t>
      </w:r>
      <w:r>
        <w:rPr>
          <w:rFonts w:hint="eastAsia" w:ascii="宋体" w:hAnsi="宋体" w:eastAsia="宋体" w:cs="宋体"/>
          <w:color w:val="auto"/>
          <w:sz w:val="24"/>
          <w:highlight w:val="none"/>
          <w:lang w:eastAsia="zh-CN"/>
        </w:rPr>
        <w:t>》文件公布的节能产品政府采购品目清单确定。</w:t>
      </w:r>
    </w:p>
    <w:p w14:paraId="4B803734">
      <w:pPr>
        <w:pStyle w:val="203"/>
        <w:keepNext w:val="0"/>
        <w:keepLines w:val="0"/>
        <w:pageBreakBefore w:val="0"/>
        <w:widowControl w:val="0"/>
        <w:numPr>
          <w:ilvl w:val="0"/>
          <w:numId w:val="11"/>
        </w:numPr>
        <w:kinsoku/>
        <w:wordWrap/>
        <w:overflowPunct/>
        <w:topLinePunct w:val="0"/>
        <w:autoSpaceDE/>
        <w:autoSpaceDN/>
        <w:bidi w:val="0"/>
        <w:adjustRightInd/>
        <w:snapToGrid w:val="0"/>
        <w:spacing w:line="400" w:lineRule="exact"/>
        <w:ind w:right="-9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表内所列</w:t>
      </w:r>
      <w:r>
        <w:rPr>
          <w:rFonts w:hint="eastAsia" w:ascii="宋体" w:hAnsi="宋体" w:eastAsia="宋体" w:cs="宋体"/>
          <w:color w:val="auto"/>
          <w:sz w:val="24"/>
          <w:highlight w:val="none"/>
        </w:rPr>
        <w:t>节能产品，须</w:t>
      </w:r>
      <w:r>
        <w:rPr>
          <w:rFonts w:hint="eastAsia" w:ascii="宋体" w:hAnsi="宋体" w:eastAsia="宋体" w:cs="宋体"/>
          <w:color w:val="auto"/>
          <w:sz w:val="24"/>
          <w:highlight w:val="none"/>
          <w:lang w:eastAsia="zh-CN"/>
        </w:rPr>
        <w:t>附该</w:t>
      </w:r>
      <w:r>
        <w:rPr>
          <w:rFonts w:hint="eastAsia" w:ascii="宋体" w:hAnsi="宋体" w:eastAsia="宋体" w:cs="宋体"/>
          <w:color w:val="auto"/>
          <w:sz w:val="24"/>
          <w:highlight w:val="none"/>
        </w:rPr>
        <w:t>产品</w:t>
      </w:r>
      <w:r>
        <w:rPr>
          <w:rFonts w:hint="eastAsia" w:ascii="宋体" w:hAnsi="宋体" w:eastAsia="宋体" w:cs="宋体"/>
          <w:color w:val="auto"/>
          <w:sz w:val="24"/>
          <w:highlight w:val="none"/>
          <w:lang w:eastAsia="zh-CN"/>
        </w:rPr>
        <w:t>取得的由国家认可的认证机构出具的、处于有效期内的节能产品认证证书复印件加盖公章</w:t>
      </w:r>
      <w:r>
        <w:rPr>
          <w:rFonts w:hint="eastAsia" w:ascii="宋体" w:hAnsi="宋体" w:eastAsia="宋体" w:cs="宋体"/>
          <w:color w:val="auto"/>
          <w:sz w:val="24"/>
          <w:highlight w:val="none"/>
        </w:rPr>
        <w:t>。</w:t>
      </w:r>
    </w:p>
    <w:p w14:paraId="1DD4C5E3">
      <w:pPr>
        <w:snapToGrid w:val="0"/>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2）环境标志产品明细表</w:t>
      </w:r>
    </w:p>
    <w:tbl>
      <w:tblPr>
        <w:tblStyle w:val="47"/>
        <w:tblW w:w="8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4"/>
        <w:gridCol w:w="1168"/>
        <w:gridCol w:w="1168"/>
        <w:gridCol w:w="1168"/>
        <w:gridCol w:w="1168"/>
        <w:gridCol w:w="1571"/>
        <w:gridCol w:w="1289"/>
        <w:gridCol w:w="882"/>
      </w:tblGrid>
      <w:tr w14:paraId="16197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39" w:hRule="atLeast"/>
          <w:jc w:val="center"/>
        </w:trPr>
        <w:tc>
          <w:tcPr>
            <w:tcW w:w="544" w:type="dxa"/>
            <w:tcBorders>
              <w:top w:val="single" w:color="auto" w:sz="12" w:space="0"/>
              <w:left w:val="single" w:color="auto" w:sz="12" w:space="0"/>
            </w:tcBorders>
            <w:noWrap w:val="0"/>
            <w:vAlign w:val="center"/>
          </w:tcPr>
          <w:p w14:paraId="06CB4C5A">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168" w:type="dxa"/>
            <w:tcBorders>
              <w:top w:val="single" w:color="auto" w:sz="12" w:space="0"/>
            </w:tcBorders>
            <w:noWrap w:val="0"/>
            <w:vAlign w:val="center"/>
          </w:tcPr>
          <w:p w14:paraId="0831FE40">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产品名称</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产品名称</w:t>
            </w:r>
          </w:p>
        </w:tc>
        <w:tc>
          <w:tcPr>
            <w:tcW w:w="1168" w:type="dxa"/>
            <w:tcBorders>
              <w:top w:val="single" w:color="auto" w:sz="12" w:space="0"/>
            </w:tcBorders>
            <w:noWrap w:val="0"/>
            <w:vAlign w:val="center"/>
          </w:tcPr>
          <w:p w14:paraId="0A7F5546">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企业</w:t>
            </w:r>
          </w:p>
          <w:p w14:paraId="671A3108">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1168" w:type="dxa"/>
            <w:tcBorders>
              <w:top w:val="single" w:color="auto" w:sz="12" w:space="0"/>
            </w:tcBorders>
            <w:noWrap w:val="0"/>
            <w:vAlign w:val="center"/>
          </w:tcPr>
          <w:p w14:paraId="52719AEA">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w:t>
            </w:r>
          </w:p>
          <w:p w14:paraId="024BDB53">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商标</w:t>
            </w:r>
          </w:p>
        </w:tc>
        <w:tc>
          <w:tcPr>
            <w:tcW w:w="1168" w:type="dxa"/>
            <w:tcBorders>
              <w:top w:val="single" w:color="auto" w:sz="12" w:space="0"/>
            </w:tcBorders>
            <w:noWrap w:val="0"/>
            <w:vAlign w:val="center"/>
          </w:tcPr>
          <w:p w14:paraId="5D2D1203">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w:t>
            </w:r>
          </w:p>
          <w:p w14:paraId="307AF7CE">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型号</w:t>
            </w:r>
          </w:p>
        </w:tc>
        <w:tc>
          <w:tcPr>
            <w:tcW w:w="1571" w:type="dxa"/>
            <w:tcBorders>
              <w:top w:val="single" w:color="auto" w:sz="12" w:space="0"/>
            </w:tcBorders>
            <w:noWrap w:val="0"/>
            <w:vAlign w:val="center"/>
          </w:tcPr>
          <w:p w14:paraId="085901A0">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中国环境标志认证证书编号</w:t>
            </w:r>
          </w:p>
        </w:tc>
        <w:tc>
          <w:tcPr>
            <w:tcW w:w="1289" w:type="dxa"/>
            <w:tcBorders>
              <w:top w:val="single" w:color="auto" w:sz="12" w:space="0"/>
            </w:tcBorders>
            <w:noWrap w:val="0"/>
            <w:vAlign w:val="center"/>
          </w:tcPr>
          <w:p w14:paraId="335A3726">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认证证书有效截止日期</w:t>
            </w:r>
          </w:p>
        </w:tc>
        <w:tc>
          <w:tcPr>
            <w:tcW w:w="882" w:type="dxa"/>
            <w:tcBorders>
              <w:top w:val="single" w:color="auto" w:sz="12" w:space="0"/>
              <w:right w:val="single" w:color="auto" w:sz="12" w:space="0"/>
            </w:tcBorders>
            <w:noWrap w:val="0"/>
            <w:vAlign w:val="center"/>
          </w:tcPr>
          <w:p w14:paraId="0A27B619">
            <w:pPr>
              <w:pStyle w:val="203"/>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价格</w:t>
            </w:r>
            <w:r>
              <w:rPr>
                <w:rFonts w:hint="eastAsia" w:ascii="宋体" w:hAnsi="宋体" w:eastAsia="宋体" w:cs="宋体"/>
                <w:color w:val="auto"/>
                <w:sz w:val="24"/>
                <w:highlight w:val="none"/>
                <w:lang w:eastAsia="zh-CN"/>
              </w:rPr>
              <w:t>（元）</w:t>
            </w:r>
          </w:p>
        </w:tc>
      </w:tr>
      <w:tr w14:paraId="6F725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544" w:type="dxa"/>
            <w:tcBorders>
              <w:left w:val="single" w:color="auto" w:sz="12" w:space="0"/>
            </w:tcBorders>
            <w:noWrap w:val="0"/>
            <w:vAlign w:val="center"/>
          </w:tcPr>
          <w:p w14:paraId="25BD6241">
            <w:pPr>
              <w:pStyle w:val="203"/>
              <w:snapToGrid w:val="0"/>
              <w:spacing w:line="2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1168" w:type="dxa"/>
            <w:noWrap w:val="0"/>
            <w:vAlign w:val="center"/>
          </w:tcPr>
          <w:p w14:paraId="415EC914">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2E12CCB7">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68C50AFA">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6D6E9DC9">
            <w:pPr>
              <w:pStyle w:val="203"/>
              <w:snapToGrid w:val="0"/>
              <w:spacing w:line="240" w:lineRule="exact"/>
              <w:ind w:right="480"/>
              <w:jc w:val="center"/>
              <w:rPr>
                <w:rFonts w:hint="eastAsia" w:ascii="宋体" w:hAnsi="宋体" w:eastAsia="宋体" w:cs="宋体"/>
                <w:color w:val="auto"/>
                <w:kern w:val="0"/>
                <w:sz w:val="24"/>
                <w:highlight w:val="none"/>
              </w:rPr>
            </w:pPr>
          </w:p>
        </w:tc>
        <w:tc>
          <w:tcPr>
            <w:tcW w:w="1571" w:type="dxa"/>
            <w:noWrap w:val="0"/>
            <w:vAlign w:val="center"/>
          </w:tcPr>
          <w:p w14:paraId="7E7150FA">
            <w:pPr>
              <w:pStyle w:val="203"/>
              <w:snapToGrid w:val="0"/>
              <w:spacing w:line="240" w:lineRule="exact"/>
              <w:ind w:right="480"/>
              <w:jc w:val="center"/>
              <w:rPr>
                <w:rFonts w:hint="eastAsia" w:ascii="宋体" w:hAnsi="宋体" w:eastAsia="宋体" w:cs="宋体"/>
                <w:color w:val="auto"/>
                <w:kern w:val="0"/>
                <w:sz w:val="24"/>
                <w:highlight w:val="none"/>
              </w:rPr>
            </w:pPr>
          </w:p>
        </w:tc>
        <w:tc>
          <w:tcPr>
            <w:tcW w:w="1289" w:type="dxa"/>
            <w:noWrap w:val="0"/>
            <w:vAlign w:val="center"/>
          </w:tcPr>
          <w:p w14:paraId="54FE8DA6">
            <w:pPr>
              <w:pStyle w:val="203"/>
              <w:snapToGrid w:val="0"/>
              <w:spacing w:line="240" w:lineRule="exact"/>
              <w:ind w:right="480"/>
              <w:jc w:val="center"/>
              <w:rPr>
                <w:rFonts w:hint="eastAsia" w:ascii="宋体" w:hAnsi="宋体" w:eastAsia="宋体" w:cs="宋体"/>
                <w:color w:val="auto"/>
                <w:kern w:val="0"/>
                <w:sz w:val="24"/>
                <w:highlight w:val="none"/>
              </w:rPr>
            </w:pPr>
          </w:p>
        </w:tc>
        <w:tc>
          <w:tcPr>
            <w:tcW w:w="882" w:type="dxa"/>
            <w:tcBorders>
              <w:right w:val="single" w:color="auto" w:sz="12" w:space="0"/>
            </w:tcBorders>
            <w:noWrap w:val="0"/>
            <w:vAlign w:val="center"/>
          </w:tcPr>
          <w:p w14:paraId="0C5541FE">
            <w:pPr>
              <w:pStyle w:val="203"/>
              <w:snapToGrid w:val="0"/>
              <w:spacing w:line="240" w:lineRule="exact"/>
              <w:ind w:right="480"/>
              <w:jc w:val="center"/>
              <w:rPr>
                <w:rFonts w:hint="eastAsia" w:ascii="宋体" w:hAnsi="宋体" w:eastAsia="宋体" w:cs="宋体"/>
                <w:color w:val="auto"/>
                <w:kern w:val="0"/>
                <w:sz w:val="24"/>
                <w:highlight w:val="none"/>
              </w:rPr>
            </w:pPr>
          </w:p>
        </w:tc>
      </w:tr>
      <w:tr w14:paraId="373C6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544" w:type="dxa"/>
            <w:tcBorders>
              <w:left w:val="single" w:color="auto" w:sz="12" w:space="0"/>
            </w:tcBorders>
            <w:noWrap w:val="0"/>
            <w:vAlign w:val="center"/>
          </w:tcPr>
          <w:p w14:paraId="10EDB152">
            <w:pPr>
              <w:pStyle w:val="203"/>
              <w:snapToGrid w:val="0"/>
              <w:spacing w:line="2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1168" w:type="dxa"/>
            <w:noWrap w:val="0"/>
            <w:vAlign w:val="center"/>
          </w:tcPr>
          <w:p w14:paraId="14B31339">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64549CD3">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264AF431">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09BA6AD4">
            <w:pPr>
              <w:pStyle w:val="203"/>
              <w:snapToGrid w:val="0"/>
              <w:spacing w:line="240" w:lineRule="exact"/>
              <w:ind w:right="480"/>
              <w:jc w:val="center"/>
              <w:rPr>
                <w:rFonts w:hint="eastAsia" w:ascii="宋体" w:hAnsi="宋体" w:eastAsia="宋体" w:cs="宋体"/>
                <w:color w:val="auto"/>
                <w:kern w:val="0"/>
                <w:sz w:val="24"/>
                <w:highlight w:val="none"/>
              </w:rPr>
            </w:pPr>
          </w:p>
        </w:tc>
        <w:tc>
          <w:tcPr>
            <w:tcW w:w="1571" w:type="dxa"/>
            <w:noWrap w:val="0"/>
            <w:vAlign w:val="center"/>
          </w:tcPr>
          <w:p w14:paraId="630AD9A2">
            <w:pPr>
              <w:pStyle w:val="203"/>
              <w:snapToGrid w:val="0"/>
              <w:spacing w:line="240" w:lineRule="exact"/>
              <w:ind w:right="480"/>
              <w:jc w:val="center"/>
              <w:rPr>
                <w:rFonts w:hint="eastAsia" w:ascii="宋体" w:hAnsi="宋体" w:eastAsia="宋体" w:cs="宋体"/>
                <w:color w:val="auto"/>
                <w:kern w:val="0"/>
                <w:sz w:val="24"/>
                <w:highlight w:val="none"/>
              </w:rPr>
            </w:pPr>
          </w:p>
        </w:tc>
        <w:tc>
          <w:tcPr>
            <w:tcW w:w="1289" w:type="dxa"/>
            <w:noWrap w:val="0"/>
            <w:vAlign w:val="center"/>
          </w:tcPr>
          <w:p w14:paraId="65E13435">
            <w:pPr>
              <w:pStyle w:val="203"/>
              <w:snapToGrid w:val="0"/>
              <w:spacing w:line="240" w:lineRule="exact"/>
              <w:ind w:right="480"/>
              <w:jc w:val="center"/>
              <w:rPr>
                <w:rFonts w:hint="eastAsia" w:ascii="宋体" w:hAnsi="宋体" w:eastAsia="宋体" w:cs="宋体"/>
                <w:color w:val="auto"/>
                <w:kern w:val="0"/>
                <w:sz w:val="24"/>
                <w:highlight w:val="none"/>
              </w:rPr>
            </w:pPr>
          </w:p>
        </w:tc>
        <w:tc>
          <w:tcPr>
            <w:tcW w:w="882" w:type="dxa"/>
            <w:tcBorders>
              <w:right w:val="single" w:color="auto" w:sz="12" w:space="0"/>
            </w:tcBorders>
            <w:noWrap w:val="0"/>
            <w:vAlign w:val="center"/>
          </w:tcPr>
          <w:p w14:paraId="26C2FBB1">
            <w:pPr>
              <w:pStyle w:val="203"/>
              <w:snapToGrid w:val="0"/>
              <w:spacing w:line="240" w:lineRule="exact"/>
              <w:ind w:right="480"/>
              <w:jc w:val="center"/>
              <w:rPr>
                <w:rFonts w:hint="eastAsia" w:ascii="宋体" w:hAnsi="宋体" w:eastAsia="宋体" w:cs="宋体"/>
                <w:color w:val="auto"/>
                <w:kern w:val="0"/>
                <w:sz w:val="24"/>
                <w:highlight w:val="none"/>
              </w:rPr>
            </w:pPr>
          </w:p>
        </w:tc>
      </w:tr>
      <w:tr w14:paraId="2603A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544" w:type="dxa"/>
            <w:tcBorders>
              <w:left w:val="single" w:color="auto" w:sz="12" w:space="0"/>
            </w:tcBorders>
            <w:noWrap w:val="0"/>
            <w:vAlign w:val="center"/>
          </w:tcPr>
          <w:p w14:paraId="146B3AF0">
            <w:pPr>
              <w:pStyle w:val="203"/>
              <w:snapToGrid w:val="0"/>
              <w:spacing w:line="24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p>
        </w:tc>
        <w:tc>
          <w:tcPr>
            <w:tcW w:w="1168" w:type="dxa"/>
            <w:noWrap w:val="0"/>
            <w:vAlign w:val="center"/>
          </w:tcPr>
          <w:p w14:paraId="767EB621">
            <w:pPr>
              <w:pStyle w:val="203"/>
              <w:snapToGrid w:val="0"/>
              <w:spacing w:line="240" w:lineRule="exact"/>
              <w:ind w:right="48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1168" w:type="dxa"/>
            <w:noWrap w:val="0"/>
            <w:vAlign w:val="center"/>
          </w:tcPr>
          <w:p w14:paraId="07D75509">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202A20F4">
            <w:pPr>
              <w:pStyle w:val="203"/>
              <w:snapToGrid w:val="0"/>
              <w:spacing w:line="240" w:lineRule="exact"/>
              <w:ind w:right="480"/>
              <w:jc w:val="center"/>
              <w:rPr>
                <w:rFonts w:hint="eastAsia" w:ascii="宋体" w:hAnsi="宋体" w:eastAsia="宋体" w:cs="宋体"/>
                <w:color w:val="auto"/>
                <w:kern w:val="0"/>
                <w:sz w:val="24"/>
                <w:highlight w:val="none"/>
              </w:rPr>
            </w:pPr>
          </w:p>
        </w:tc>
        <w:tc>
          <w:tcPr>
            <w:tcW w:w="1168" w:type="dxa"/>
            <w:noWrap w:val="0"/>
            <w:vAlign w:val="center"/>
          </w:tcPr>
          <w:p w14:paraId="2BC35870">
            <w:pPr>
              <w:pStyle w:val="203"/>
              <w:snapToGrid w:val="0"/>
              <w:spacing w:line="240" w:lineRule="exact"/>
              <w:ind w:right="480"/>
              <w:jc w:val="center"/>
              <w:rPr>
                <w:rFonts w:hint="eastAsia" w:ascii="宋体" w:hAnsi="宋体" w:eastAsia="宋体" w:cs="宋体"/>
                <w:color w:val="auto"/>
                <w:kern w:val="0"/>
                <w:sz w:val="24"/>
                <w:highlight w:val="none"/>
              </w:rPr>
            </w:pPr>
          </w:p>
        </w:tc>
        <w:tc>
          <w:tcPr>
            <w:tcW w:w="1571" w:type="dxa"/>
            <w:noWrap w:val="0"/>
            <w:vAlign w:val="center"/>
          </w:tcPr>
          <w:p w14:paraId="106C6245">
            <w:pPr>
              <w:pStyle w:val="203"/>
              <w:snapToGrid w:val="0"/>
              <w:spacing w:line="240" w:lineRule="exact"/>
              <w:ind w:right="480"/>
              <w:jc w:val="center"/>
              <w:rPr>
                <w:rFonts w:hint="eastAsia" w:ascii="宋体" w:hAnsi="宋体" w:eastAsia="宋体" w:cs="宋体"/>
                <w:color w:val="auto"/>
                <w:kern w:val="0"/>
                <w:sz w:val="24"/>
                <w:highlight w:val="none"/>
              </w:rPr>
            </w:pPr>
          </w:p>
        </w:tc>
        <w:tc>
          <w:tcPr>
            <w:tcW w:w="1289" w:type="dxa"/>
            <w:noWrap w:val="0"/>
            <w:vAlign w:val="center"/>
          </w:tcPr>
          <w:p w14:paraId="6F42553D">
            <w:pPr>
              <w:pStyle w:val="203"/>
              <w:snapToGrid w:val="0"/>
              <w:spacing w:line="240" w:lineRule="exact"/>
              <w:ind w:right="480"/>
              <w:jc w:val="center"/>
              <w:rPr>
                <w:rFonts w:hint="eastAsia" w:ascii="宋体" w:hAnsi="宋体" w:eastAsia="宋体" w:cs="宋体"/>
                <w:color w:val="auto"/>
                <w:kern w:val="0"/>
                <w:sz w:val="24"/>
                <w:highlight w:val="none"/>
              </w:rPr>
            </w:pPr>
          </w:p>
        </w:tc>
        <w:tc>
          <w:tcPr>
            <w:tcW w:w="882" w:type="dxa"/>
            <w:tcBorders>
              <w:right w:val="single" w:color="auto" w:sz="12" w:space="0"/>
            </w:tcBorders>
            <w:noWrap w:val="0"/>
            <w:vAlign w:val="center"/>
          </w:tcPr>
          <w:p w14:paraId="2503A3A5">
            <w:pPr>
              <w:pStyle w:val="203"/>
              <w:snapToGrid w:val="0"/>
              <w:spacing w:line="240" w:lineRule="exact"/>
              <w:ind w:right="480"/>
              <w:jc w:val="center"/>
              <w:rPr>
                <w:rFonts w:hint="eastAsia" w:ascii="宋体" w:hAnsi="宋体" w:eastAsia="宋体" w:cs="宋体"/>
                <w:color w:val="auto"/>
                <w:kern w:val="0"/>
                <w:sz w:val="24"/>
                <w:highlight w:val="none"/>
              </w:rPr>
            </w:pPr>
          </w:p>
        </w:tc>
      </w:tr>
      <w:tr w14:paraId="45AF5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8958" w:type="dxa"/>
            <w:gridSpan w:val="8"/>
            <w:tcBorders>
              <w:left w:val="single" w:color="auto" w:sz="12" w:space="0"/>
              <w:bottom w:val="single" w:color="auto" w:sz="12" w:space="0"/>
              <w:right w:val="single" w:color="auto" w:sz="12" w:space="0"/>
            </w:tcBorders>
            <w:noWrap w:val="0"/>
            <w:vAlign w:val="center"/>
          </w:tcPr>
          <w:p w14:paraId="11BE85AF">
            <w:pPr>
              <w:pStyle w:val="203"/>
              <w:snapToGrid w:val="0"/>
              <w:spacing w:line="240" w:lineRule="exact"/>
              <w:ind w:right="480"/>
              <w:jc w:val="both"/>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合计</w:t>
            </w:r>
            <w:r>
              <w:rPr>
                <w:rFonts w:hint="eastAsia" w:ascii="宋体" w:hAnsi="宋体" w:eastAsia="宋体" w:cs="宋体"/>
                <w:color w:val="auto"/>
                <w:sz w:val="24"/>
                <w:highlight w:val="none"/>
                <w:lang w:eastAsia="zh-CN"/>
              </w:rPr>
              <w:t>金额：</w:t>
            </w:r>
          </w:p>
        </w:tc>
      </w:tr>
    </w:tbl>
    <w:p w14:paraId="1028B03E">
      <w:pPr>
        <w:pStyle w:val="203"/>
        <w:snapToGrid w:val="0"/>
        <w:spacing w:line="400" w:lineRule="exact"/>
        <w:ind w:right="-88"/>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说明：</w:t>
      </w:r>
      <w:r>
        <w:rPr>
          <w:rFonts w:hint="eastAsia" w:ascii="宋体" w:hAnsi="宋体" w:eastAsia="宋体" w:cs="宋体"/>
          <w:color w:val="auto"/>
          <w:sz w:val="24"/>
          <w:highlight w:val="none"/>
          <w:lang w:eastAsia="zh-CN"/>
        </w:rPr>
        <w:t>1、节能产品根据《财库【</w:t>
      </w:r>
      <w:r>
        <w:rPr>
          <w:rFonts w:hint="eastAsia" w:ascii="宋体" w:hAnsi="宋体" w:eastAsia="宋体" w:cs="宋体"/>
          <w:color w:val="auto"/>
          <w:sz w:val="24"/>
          <w:highlight w:val="none"/>
          <w:lang w:val="en-US" w:eastAsia="zh-CN"/>
        </w:rPr>
        <w:t>2019</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18号</w:t>
      </w:r>
      <w:r>
        <w:rPr>
          <w:rFonts w:hint="eastAsia" w:ascii="宋体" w:hAnsi="宋体" w:eastAsia="宋体" w:cs="宋体"/>
          <w:color w:val="auto"/>
          <w:sz w:val="24"/>
          <w:highlight w:val="none"/>
          <w:lang w:eastAsia="zh-CN"/>
        </w:rPr>
        <w:t>》文件公布的环境标志产品政府采购品目清单确定。</w:t>
      </w:r>
    </w:p>
    <w:p w14:paraId="5D39E501">
      <w:pPr>
        <w:pStyle w:val="203"/>
        <w:snapToGrid w:val="0"/>
        <w:spacing w:line="400" w:lineRule="exact"/>
        <w:ind w:right="-96"/>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表内所列环境标志</w:t>
      </w:r>
      <w:r>
        <w:rPr>
          <w:rFonts w:hint="eastAsia" w:ascii="宋体" w:hAnsi="宋体" w:eastAsia="宋体" w:cs="宋体"/>
          <w:color w:val="auto"/>
          <w:sz w:val="24"/>
          <w:highlight w:val="none"/>
        </w:rPr>
        <w:t>产品，须</w:t>
      </w:r>
      <w:r>
        <w:rPr>
          <w:rFonts w:hint="eastAsia" w:ascii="宋体" w:hAnsi="宋体" w:eastAsia="宋体" w:cs="宋体"/>
          <w:color w:val="auto"/>
          <w:sz w:val="24"/>
          <w:highlight w:val="none"/>
          <w:lang w:eastAsia="zh-CN"/>
        </w:rPr>
        <w:t>附该</w:t>
      </w:r>
      <w:r>
        <w:rPr>
          <w:rFonts w:hint="eastAsia" w:ascii="宋体" w:hAnsi="宋体" w:eastAsia="宋体" w:cs="宋体"/>
          <w:color w:val="auto"/>
          <w:sz w:val="24"/>
          <w:highlight w:val="none"/>
        </w:rPr>
        <w:t>产品</w:t>
      </w:r>
      <w:r>
        <w:rPr>
          <w:rFonts w:hint="eastAsia" w:ascii="宋体" w:hAnsi="宋体" w:eastAsia="宋体" w:cs="宋体"/>
          <w:color w:val="auto"/>
          <w:sz w:val="24"/>
          <w:highlight w:val="none"/>
          <w:lang w:eastAsia="zh-CN"/>
        </w:rPr>
        <w:t>取得的由国家认可的认证机构出具的、处于有效期内的环境标志产品认证证书复印件加盖公章</w:t>
      </w:r>
      <w:r>
        <w:rPr>
          <w:rFonts w:hint="eastAsia" w:ascii="宋体" w:hAnsi="宋体" w:eastAsia="宋体" w:cs="宋体"/>
          <w:color w:val="auto"/>
          <w:sz w:val="24"/>
          <w:highlight w:val="none"/>
        </w:rPr>
        <w:t>。</w:t>
      </w:r>
    </w:p>
    <w:p w14:paraId="70C073AB">
      <w:pPr>
        <w:snapToGrid w:val="0"/>
        <w:spacing w:line="400" w:lineRule="exact"/>
        <w:rPr>
          <w:rFonts w:hint="eastAsia" w:ascii="宋体" w:hAnsi="宋体" w:eastAsia="宋体" w:cs="宋体"/>
          <w:b/>
          <w:color w:val="auto"/>
          <w:sz w:val="24"/>
          <w:szCs w:val="24"/>
          <w:highlight w:val="none"/>
        </w:rPr>
      </w:pPr>
    </w:p>
    <w:p w14:paraId="3CBAD986">
      <w:pPr>
        <w:snapToGrid w:val="0"/>
        <w:spacing w:line="400" w:lineRule="exact"/>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★若无产品属于</w:t>
      </w:r>
      <w:r>
        <w:rPr>
          <w:rFonts w:hint="eastAsia" w:ascii="宋体" w:hAnsi="宋体" w:cs="宋体"/>
          <w:b/>
          <w:color w:val="auto"/>
          <w:sz w:val="24"/>
          <w:szCs w:val="24"/>
          <w:highlight w:val="none"/>
          <w:lang w:eastAsia="zh-CN"/>
        </w:rPr>
        <w:t>（强制）</w:t>
      </w:r>
      <w:r>
        <w:rPr>
          <w:rFonts w:hint="eastAsia" w:ascii="宋体" w:hAnsi="宋体" w:eastAsia="宋体" w:cs="宋体"/>
          <w:b/>
          <w:color w:val="auto"/>
          <w:sz w:val="24"/>
          <w:szCs w:val="24"/>
          <w:highlight w:val="none"/>
          <w:lang w:eastAsia="zh-CN"/>
        </w:rPr>
        <w:t>优先采购节能、环境标志产品的，则不填写此表</w:t>
      </w:r>
    </w:p>
    <w:p w14:paraId="4C2D3ADD">
      <w:pPr>
        <w:pStyle w:val="12"/>
        <w:numPr>
          <w:ilvl w:val="0"/>
          <w:numId w:val="0"/>
        </w:numPr>
        <w:ind w:leftChars="0"/>
        <w:rPr>
          <w:color w:val="auto"/>
          <w:highlight w:val="none"/>
        </w:rPr>
      </w:pPr>
    </w:p>
    <w:bookmarkEnd w:id="364"/>
    <w:bookmarkEnd w:id="365"/>
    <w:bookmarkEnd w:id="366"/>
    <w:p w14:paraId="12310666">
      <w:pPr>
        <w:pStyle w:val="67"/>
        <w:keepNext/>
        <w:keepLines/>
        <w:numPr>
          <w:ilvl w:val="0"/>
          <w:numId w:val="12"/>
        </w:numPr>
        <w:spacing w:line="520" w:lineRule="exact"/>
        <w:ind w:firstLineChars="0"/>
        <w:jc w:val="center"/>
        <w:outlineLvl w:val="0"/>
        <w:rPr>
          <w:rFonts w:hint="eastAsia" w:ascii="宋体" w:hAnsi="宋体" w:cs="宋体"/>
          <w:b/>
          <w:bCs/>
          <w:color w:val="auto"/>
          <w:kern w:val="0"/>
          <w:sz w:val="28"/>
          <w:szCs w:val="28"/>
          <w:highlight w:val="none"/>
          <w:lang w:val="zh-CN"/>
        </w:rPr>
      </w:pPr>
      <w:r>
        <w:rPr>
          <w:rFonts w:hint="eastAsia" w:ascii="宋体" w:hAnsi="宋体" w:cs="宋体"/>
          <w:b/>
          <w:bCs/>
          <w:color w:val="auto"/>
          <w:kern w:val="0"/>
          <w:sz w:val="28"/>
          <w:szCs w:val="28"/>
          <w:highlight w:val="none"/>
          <w:lang w:val="zh-CN"/>
        </w:rPr>
        <w:t>供应商近三年（20</w:t>
      </w:r>
      <w:r>
        <w:rPr>
          <w:rFonts w:hint="eastAsia" w:ascii="宋体" w:hAnsi="宋体" w:cs="宋体"/>
          <w:b/>
          <w:bCs/>
          <w:color w:val="auto"/>
          <w:kern w:val="0"/>
          <w:sz w:val="28"/>
          <w:szCs w:val="28"/>
          <w:highlight w:val="none"/>
        </w:rPr>
        <w:t>2</w:t>
      </w:r>
      <w:r>
        <w:rPr>
          <w:rFonts w:hint="eastAsia" w:ascii="宋体" w:hAnsi="宋体" w:cs="宋体"/>
          <w:b/>
          <w:bCs/>
          <w:color w:val="auto"/>
          <w:kern w:val="0"/>
          <w:sz w:val="28"/>
          <w:szCs w:val="28"/>
          <w:highlight w:val="none"/>
          <w:lang w:val="en-US" w:eastAsia="zh-CN"/>
        </w:rPr>
        <w:t>2</w:t>
      </w:r>
      <w:r>
        <w:rPr>
          <w:rFonts w:hint="eastAsia" w:ascii="宋体" w:hAnsi="宋体" w:cs="宋体"/>
          <w:b/>
          <w:bCs/>
          <w:color w:val="auto"/>
          <w:kern w:val="0"/>
          <w:sz w:val="28"/>
          <w:szCs w:val="28"/>
          <w:highlight w:val="none"/>
          <w:lang w:val="zh-CN"/>
        </w:rPr>
        <w:t>年1月1日至今）类似项目业绩</w:t>
      </w:r>
    </w:p>
    <w:tbl>
      <w:tblPr>
        <w:tblStyle w:val="47"/>
        <w:tblW w:w="8564" w:type="dxa"/>
        <w:jc w:val="center"/>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Layout w:type="fixed"/>
        <w:tblCellMar>
          <w:top w:w="0" w:type="dxa"/>
          <w:left w:w="108" w:type="dxa"/>
          <w:bottom w:w="0" w:type="dxa"/>
          <w:right w:w="108" w:type="dxa"/>
        </w:tblCellMar>
      </w:tblPr>
      <w:tblGrid>
        <w:gridCol w:w="694"/>
        <w:gridCol w:w="1184"/>
        <w:gridCol w:w="2000"/>
        <w:gridCol w:w="1730"/>
        <w:gridCol w:w="1184"/>
        <w:gridCol w:w="1772"/>
      </w:tblGrid>
      <w:tr w14:paraId="1E9D2363">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33FC68A6">
            <w:pPr>
              <w:autoSpaceDE w:val="0"/>
              <w:autoSpaceDN w:val="0"/>
              <w:spacing w:line="500" w:lineRule="exact"/>
              <w:jc w:val="center"/>
              <w:rPr>
                <w:rFonts w:ascii="宋体" w:hAnsi="宋体" w:cs="仿宋"/>
                <w:b/>
                <w:color w:val="auto"/>
                <w:sz w:val="24"/>
                <w:highlight w:val="none"/>
                <w:lang w:val="zh-CN"/>
              </w:rPr>
            </w:pPr>
            <w:r>
              <w:rPr>
                <w:rFonts w:hint="eastAsia" w:ascii="宋体" w:hAnsi="宋体" w:cs="仿宋"/>
                <w:b/>
                <w:color w:val="auto"/>
                <w:sz w:val="24"/>
                <w:highlight w:val="none"/>
                <w:lang w:val="zh-CN"/>
              </w:rPr>
              <w:t>序号</w:t>
            </w:r>
          </w:p>
        </w:tc>
        <w:tc>
          <w:tcPr>
            <w:tcW w:w="1184" w:type="dxa"/>
            <w:shd w:val="clear" w:color="000000" w:fill="FFFFFF"/>
            <w:vAlign w:val="center"/>
          </w:tcPr>
          <w:p w14:paraId="7F673AC6">
            <w:pPr>
              <w:autoSpaceDE w:val="0"/>
              <w:autoSpaceDN w:val="0"/>
              <w:spacing w:line="500" w:lineRule="exact"/>
              <w:jc w:val="center"/>
              <w:rPr>
                <w:rFonts w:ascii="宋体" w:hAnsi="宋体" w:cs="仿宋"/>
                <w:b/>
                <w:color w:val="auto"/>
                <w:sz w:val="24"/>
                <w:highlight w:val="none"/>
              </w:rPr>
            </w:pPr>
            <w:r>
              <w:rPr>
                <w:rFonts w:hint="eastAsia" w:ascii="宋体" w:hAnsi="宋体" w:cs="仿宋"/>
                <w:b/>
                <w:color w:val="auto"/>
                <w:sz w:val="24"/>
                <w:highlight w:val="none"/>
                <w:lang w:val="zh-CN"/>
              </w:rPr>
              <w:t>项目</w:t>
            </w:r>
          </w:p>
          <w:p w14:paraId="27B547ED">
            <w:pPr>
              <w:autoSpaceDE w:val="0"/>
              <w:autoSpaceDN w:val="0"/>
              <w:spacing w:line="500" w:lineRule="exact"/>
              <w:jc w:val="center"/>
              <w:rPr>
                <w:rFonts w:ascii="宋体" w:hAnsi="宋体" w:cs="仿宋"/>
                <w:b/>
                <w:color w:val="auto"/>
                <w:sz w:val="24"/>
                <w:highlight w:val="none"/>
                <w:lang w:val="zh-CN"/>
              </w:rPr>
            </w:pPr>
            <w:r>
              <w:rPr>
                <w:rFonts w:hint="eastAsia" w:ascii="宋体" w:hAnsi="宋体" w:cs="仿宋"/>
                <w:b/>
                <w:color w:val="auto"/>
                <w:sz w:val="24"/>
                <w:highlight w:val="none"/>
                <w:lang w:val="zh-CN"/>
              </w:rPr>
              <w:t>名称</w:t>
            </w:r>
          </w:p>
        </w:tc>
        <w:tc>
          <w:tcPr>
            <w:tcW w:w="2000" w:type="dxa"/>
            <w:shd w:val="clear" w:color="000000" w:fill="FFFFFF"/>
            <w:vAlign w:val="center"/>
          </w:tcPr>
          <w:p w14:paraId="0387B621">
            <w:pPr>
              <w:autoSpaceDE w:val="0"/>
              <w:autoSpaceDN w:val="0"/>
              <w:spacing w:line="500" w:lineRule="exact"/>
              <w:jc w:val="center"/>
              <w:rPr>
                <w:rFonts w:ascii="宋体" w:hAnsi="宋体" w:cs="仿宋"/>
                <w:b/>
                <w:color w:val="auto"/>
                <w:sz w:val="24"/>
                <w:highlight w:val="none"/>
              </w:rPr>
            </w:pPr>
            <w:r>
              <w:rPr>
                <w:rFonts w:hint="eastAsia" w:ascii="宋体" w:hAnsi="宋体" w:cs="仿宋"/>
                <w:b/>
                <w:color w:val="auto"/>
                <w:sz w:val="24"/>
                <w:highlight w:val="none"/>
                <w:lang w:val="zh-CN"/>
              </w:rPr>
              <w:t>合同</w:t>
            </w:r>
          </w:p>
          <w:p w14:paraId="193C34CC">
            <w:pPr>
              <w:autoSpaceDE w:val="0"/>
              <w:autoSpaceDN w:val="0"/>
              <w:spacing w:line="500" w:lineRule="exact"/>
              <w:jc w:val="center"/>
              <w:rPr>
                <w:rFonts w:ascii="宋体" w:hAnsi="宋体" w:cs="仿宋"/>
                <w:b/>
                <w:color w:val="auto"/>
                <w:sz w:val="24"/>
                <w:highlight w:val="none"/>
                <w:lang w:val="zh-CN"/>
              </w:rPr>
            </w:pPr>
            <w:r>
              <w:rPr>
                <w:rFonts w:hint="eastAsia" w:ascii="宋体" w:hAnsi="宋体" w:cs="仿宋"/>
                <w:b/>
                <w:color w:val="auto"/>
                <w:sz w:val="24"/>
                <w:highlight w:val="none"/>
                <w:lang w:val="zh-CN"/>
              </w:rPr>
              <w:t>签订时间</w:t>
            </w:r>
          </w:p>
        </w:tc>
        <w:tc>
          <w:tcPr>
            <w:tcW w:w="1730" w:type="dxa"/>
            <w:shd w:val="clear" w:color="000000" w:fill="FFFFFF"/>
            <w:vAlign w:val="center"/>
          </w:tcPr>
          <w:p w14:paraId="6B671324">
            <w:pPr>
              <w:autoSpaceDE w:val="0"/>
              <w:autoSpaceDN w:val="0"/>
              <w:spacing w:line="500" w:lineRule="exact"/>
              <w:jc w:val="center"/>
              <w:rPr>
                <w:rFonts w:ascii="宋体" w:hAnsi="宋体" w:cs="仿宋"/>
                <w:b/>
                <w:color w:val="auto"/>
                <w:spacing w:val="-20"/>
                <w:sz w:val="24"/>
                <w:highlight w:val="none"/>
              </w:rPr>
            </w:pPr>
            <w:r>
              <w:rPr>
                <w:rFonts w:hint="eastAsia" w:ascii="宋体" w:hAnsi="宋体" w:cs="仿宋"/>
                <w:b/>
                <w:color w:val="auto"/>
                <w:spacing w:val="-20"/>
                <w:sz w:val="24"/>
                <w:highlight w:val="none"/>
                <w:lang w:val="zh-CN"/>
              </w:rPr>
              <w:t>合同金额</w:t>
            </w:r>
          </w:p>
          <w:p w14:paraId="4A35354E">
            <w:pPr>
              <w:autoSpaceDE w:val="0"/>
              <w:autoSpaceDN w:val="0"/>
              <w:spacing w:line="500" w:lineRule="exact"/>
              <w:jc w:val="center"/>
              <w:rPr>
                <w:rFonts w:ascii="宋体" w:hAnsi="宋体" w:cs="仿宋"/>
                <w:b/>
                <w:color w:val="auto"/>
                <w:sz w:val="24"/>
                <w:highlight w:val="none"/>
                <w:lang w:val="zh-CN"/>
              </w:rPr>
            </w:pPr>
            <w:r>
              <w:rPr>
                <w:rFonts w:hint="eastAsia" w:ascii="宋体" w:hAnsi="宋体" w:cs="仿宋"/>
                <w:b/>
                <w:color w:val="auto"/>
                <w:spacing w:val="-20"/>
                <w:sz w:val="24"/>
                <w:highlight w:val="none"/>
                <w:lang w:val="zh-CN"/>
              </w:rPr>
              <w:t>（元）</w:t>
            </w:r>
          </w:p>
        </w:tc>
        <w:tc>
          <w:tcPr>
            <w:tcW w:w="1184" w:type="dxa"/>
            <w:shd w:val="clear" w:color="000000" w:fill="FFFFFF"/>
          </w:tcPr>
          <w:p w14:paraId="0628B1A0">
            <w:pPr>
              <w:autoSpaceDE w:val="0"/>
              <w:autoSpaceDN w:val="0"/>
              <w:spacing w:line="500" w:lineRule="exact"/>
              <w:jc w:val="center"/>
              <w:rPr>
                <w:rFonts w:ascii="宋体" w:hAnsi="宋体" w:cs="仿宋"/>
                <w:b/>
                <w:color w:val="auto"/>
                <w:sz w:val="24"/>
                <w:highlight w:val="none"/>
              </w:rPr>
            </w:pPr>
            <w:r>
              <w:rPr>
                <w:rFonts w:hint="eastAsia" w:ascii="宋体" w:hAnsi="宋体" w:cs="仿宋"/>
                <w:b/>
                <w:color w:val="auto"/>
                <w:sz w:val="24"/>
                <w:highlight w:val="none"/>
                <w:lang w:val="zh-CN"/>
              </w:rPr>
              <w:t>项目</w:t>
            </w:r>
          </w:p>
          <w:p w14:paraId="7354A55C">
            <w:pPr>
              <w:autoSpaceDE w:val="0"/>
              <w:autoSpaceDN w:val="0"/>
              <w:spacing w:line="500" w:lineRule="exact"/>
              <w:jc w:val="center"/>
              <w:rPr>
                <w:rFonts w:ascii="宋体" w:hAnsi="宋体" w:cs="仿宋"/>
                <w:b/>
                <w:color w:val="auto"/>
                <w:sz w:val="24"/>
                <w:highlight w:val="none"/>
                <w:lang w:val="zh-CN"/>
              </w:rPr>
            </w:pPr>
            <w:r>
              <w:rPr>
                <w:rFonts w:hint="eastAsia" w:ascii="宋体" w:hAnsi="宋体" w:cs="仿宋"/>
                <w:b/>
                <w:color w:val="auto"/>
                <w:sz w:val="24"/>
                <w:highlight w:val="none"/>
                <w:lang w:val="zh-CN"/>
              </w:rPr>
              <w:t>单位</w:t>
            </w:r>
          </w:p>
        </w:tc>
        <w:tc>
          <w:tcPr>
            <w:tcW w:w="1772" w:type="dxa"/>
            <w:shd w:val="clear" w:color="000000" w:fill="FFFFFF"/>
          </w:tcPr>
          <w:p w14:paraId="18898D39">
            <w:pPr>
              <w:autoSpaceDE w:val="0"/>
              <w:autoSpaceDN w:val="0"/>
              <w:spacing w:line="500" w:lineRule="exact"/>
              <w:jc w:val="center"/>
              <w:rPr>
                <w:rFonts w:ascii="宋体" w:hAnsi="宋体" w:cs="仿宋"/>
                <w:b/>
                <w:color w:val="auto"/>
                <w:sz w:val="24"/>
                <w:highlight w:val="none"/>
              </w:rPr>
            </w:pPr>
            <w:r>
              <w:rPr>
                <w:rFonts w:hint="eastAsia" w:ascii="宋体" w:hAnsi="宋体" w:cs="仿宋"/>
                <w:b/>
                <w:color w:val="auto"/>
                <w:sz w:val="24"/>
                <w:highlight w:val="none"/>
                <w:lang w:val="zh-CN"/>
              </w:rPr>
              <w:t>项目内容</w:t>
            </w:r>
          </w:p>
          <w:p w14:paraId="690A6E2D">
            <w:pPr>
              <w:autoSpaceDE w:val="0"/>
              <w:autoSpaceDN w:val="0"/>
              <w:spacing w:line="500" w:lineRule="exact"/>
              <w:jc w:val="center"/>
              <w:rPr>
                <w:rFonts w:ascii="宋体" w:hAnsi="宋体" w:cs="仿宋"/>
                <w:b/>
                <w:color w:val="auto"/>
                <w:sz w:val="24"/>
                <w:highlight w:val="none"/>
                <w:lang w:val="zh-CN"/>
              </w:rPr>
            </w:pPr>
            <w:r>
              <w:rPr>
                <w:rFonts w:hint="eastAsia" w:ascii="宋体" w:hAnsi="宋体" w:cs="仿宋"/>
                <w:b/>
                <w:color w:val="auto"/>
                <w:sz w:val="24"/>
                <w:highlight w:val="none"/>
                <w:lang w:val="zh-CN"/>
              </w:rPr>
              <w:t>描述</w:t>
            </w:r>
          </w:p>
        </w:tc>
      </w:tr>
      <w:tr w14:paraId="3E5F4F03">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66D42423">
            <w:pPr>
              <w:autoSpaceDE w:val="0"/>
              <w:autoSpaceDN w:val="0"/>
              <w:spacing w:line="500" w:lineRule="exact"/>
              <w:jc w:val="center"/>
              <w:rPr>
                <w:rFonts w:ascii="宋体" w:hAnsi="宋体" w:cs="仿宋"/>
                <w:color w:val="auto"/>
                <w:sz w:val="24"/>
                <w:highlight w:val="none"/>
                <w:lang w:val="zh-CN"/>
              </w:rPr>
            </w:pPr>
            <w:r>
              <w:rPr>
                <w:rFonts w:hint="eastAsia" w:ascii="宋体" w:hAnsi="宋体" w:cs="仿宋"/>
                <w:color w:val="auto"/>
                <w:sz w:val="24"/>
                <w:highlight w:val="none"/>
              </w:rPr>
              <w:t>1</w:t>
            </w:r>
          </w:p>
        </w:tc>
        <w:tc>
          <w:tcPr>
            <w:tcW w:w="1184" w:type="dxa"/>
            <w:shd w:val="clear" w:color="000000" w:fill="FFFFFF"/>
            <w:vAlign w:val="center"/>
          </w:tcPr>
          <w:p w14:paraId="00BD84FB">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243558C5">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712CFB52">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34428D97">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72C461BF">
            <w:pPr>
              <w:autoSpaceDE w:val="0"/>
              <w:autoSpaceDN w:val="0"/>
              <w:spacing w:line="500" w:lineRule="exact"/>
              <w:jc w:val="center"/>
              <w:rPr>
                <w:rFonts w:ascii="宋体" w:hAnsi="宋体" w:cs="仿宋"/>
                <w:color w:val="auto"/>
                <w:sz w:val="24"/>
                <w:highlight w:val="none"/>
                <w:lang w:val="zh-CN"/>
              </w:rPr>
            </w:pPr>
          </w:p>
        </w:tc>
      </w:tr>
      <w:tr w14:paraId="7C49BEDC">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19B4EA8B">
            <w:pPr>
              <w:autoSpaceDE w:val="0"/>
              <w:autoSpaceDN w:val="0"/>
              <w:spacing w:line="500" w:lineRule="exact"/>
              <w:jc w:val="center"/>
              <w:rPr>
                <w:rFonts w:ascii="宋体" w:hAnsi="宋体" w:cs="仿宋"/>
                <w:color w:val="auto"/>
                <w:sz w:val="24"/>
                <w:highlight w:val="none"/>
                <w:lang w:val="zh-CN"/>
              </w:rPr>
            </w:pPr>
            <w:r>
              <w:rPr>
                <w:rFonts w:hint="eastAsia" w:ascii="宋体" w:hAnsi="宋体" w:cs="仿宋"/>
                <w:color w:val="auto"/>
                <w:sz w:val="24"/>
                <w:highlight w:val="none"/>
              </w:rPr>
              <w:t>2</w:t>
            </w:r>
          </w:p>
        </w:tc>
        <w:tc>
          <w:tcPr>
            <w:tcW w:w="1184" w:type="dxa"/>
            <w:shd w:val="clear" w:color="000000" w:fill="FFFFFF"/>
            <w:vAlign w:val="center"/>
          </w:tcPr>
          <w:p w14:paraId="26C07DE8">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7753E733">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19B88C25">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3B7E53B1">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44EB89C5">
            <w:pPr>
              <w:autoSpaceDE w:val="0"/>
              <w:autoSpaceDN w:val="0"/>
              <w:spacing w:line="500" w:lineRule="exact"/>
              <w:jc w:val="center"/>
              <w:rPr>
                <w:rFonts w:ascii="宋体" w:hAnsi="宋体" w:cs="仿宋"/>
                <w:color w:val="auto"/>
                <w:sz w:val="24"/>
                <w:highlight w:val="none"/>
                <w:lang w:val="zh-CN"/>
              </w:rPr>
            </w:pPr>
          </w:p>
        </w:tc>
      </w:tr>
      <w:tr w14:paraId="5124A7E9">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7260697A">
            <w:pPr>
              <w:autoSpaceDE w:val="0"/>
              <w:autoSpaceDN w:val="0"/>
              <w:spacing w:line="500" w:lineRule="exact"/>
              <w:jc w:val="center"/>
              <w:rPr>
                <w:rFonts w:ascii="宋体" w:hAnsi="宋体" w:cs="仿宋"/>
                <w:color w:val="auto"/>
                <w:sz w:val="24"/>
                <w:highlight w:val="none"/>
                <w:lang w:val="zh-CN"/>
              </w:rPr>
            </w:pPr>
            <w:r>
              <w:rPr>
                <w:rFonts w:hint="eastAsia" w:ascii="宋体" w:hAnsi="宋体" w:cs="仿宋"/>
                <w:color w:val="auto"/>
                <w:sz w:val="24"/>
                <w:highlight w:val="none"/>
                <w:lang w:val="zh-CN"/>
              </w:rPr>
              <w:t>…</w:t>
            </w:r>
          </w:p>
        </w:tc>
        <w:tc>
          <w:tcPr>
            <w:tcW w:w="1184" w:type="dxa"/>
            <w:shd w:val="clear" w:color="000000" w:fill="FFFFFF"/>
            <w:vAlign w:val="center"/>
          </w:tcPr>
          <w:p w14:paraId="65427502">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6519BFDF">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49C73997">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545045B8">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2417D1FF">
            <w:pPr>
              <w:autoSpaceDE w:val="0"/>
              <w:autoSpaceDN w:val="0"/>
              <w:spacing w:line="500" w:lineRule="exact"/>
              <w:jc w:val="center"/>
              <w:rPr>
                <w:rFonts w:ascii="宋体" w:hAnsi="宋体" w:cs="仿宋"/>
                <w:color w:val="auto"/>
                <w:sz w:val="24"/>
                <w:highlight w:val="none"/>
                <w:lang w:val="zh-CN"/>
              </w:rPr>
            </w:pPr>
          </w:p>
        </w:tc>
      </w:tr>
      <w:tr w14:paraId="7B662360">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0F61DD52">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vAlign w:val="center"/>
          </w:tcPr>
          <w:p w14:paraId="406212F8">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473B2CC1">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6127573A">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62DB50D0">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0C3585D6">
            <w:pPr>
              <w:autoSpaceDE w:val="0"/>
              <w:autoSpaceDN w:val="0"/>
              <w:spacing w:line="500" w:lineRule="exact"/>
              <w:jc w:val="center"/>
              <w:rPr>
                <w:rFonts w:ascii="宋体" w:hAnsi="宋体" w:cs="仿宋"/>
                <w:color w:val="auto"/>
                <w:sz w:val="24"/>
                <w:highlight w:val="none"/>
                <w:lang w:val="zh-CN"/>
              </w:rPr>
            </w:pPr>
          </w:p>
        </w:tc>
      </w:tr>
      <w:tr w14:paraId="3C63D98A">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33069CBB">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vAlign w:val="center"/>
          </w:tcPr>
          <w:p w14:paraId="25BF1837">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73DA27AC">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61ADDC61">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06409AA9">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0ADFA175">
            <w:pPr>
              <w:autoSpaceDE w:val="0"/>
              <w:autoSpaceDN w:val="0"/>
              <w:spacing w:line="500" w:lineRule="exact"/>
              <w:jc w:val="center"/>
              <w:rPr>
                <w:rFonts w:ascii="宋体" w:hAnsi="宋体" w:cs="仿宋"/>
                <w:color w:val="auto"/>
                <w:sz w:val="24"/>
                <w:highlight w:val="none"/>
                <w:lang w:val="zh-CN"/>
              </w:rPr>
            </w:pPr>
          </w:p>
        </w:tc>
      </w:tr>
      <w:tr w14:paraId="17109367">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28E38B94">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vAlign w:val="center"/>
          </w:tcPr>
          <w:p w14:paraId="68DC7E2F">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7282A480">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0EF5CD07">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381D3B51">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2063B1B7">
            <w:pPr>
              <w:autoSpaceDE w:val="0"/>
              <w:autoSpaceDN w:val="0"/>
              <w:spacing w:line="500" w:lineRule="exact"/>
              <w:jc w:val="center"/>
              <w:rPr>
                <w:rFonts w:ascii="宋体" w:hAnsi="宋体" w:cs="仿宋"/>
                <w:color w:val="auto"/>
                <w:sz w:val="24"/>
                <w:highlight w:val="none"/>
                <w:lang w:val="zh-CN"/>
              </w:rPr>
            </w:pPr>
          </w:p>
        </w:tc>
      </w:tr>
      <w:tr w14:paraId="365118F0">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3455D7B8">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vAlign w:val="center"/>
          </w:tcPr>
          <w:p w14:paraId="6E4D8882">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79964035">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514C9C30">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076EAB5E">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75941DAB">
            <w:pPr>
              <w:autoSpaceDE w:val="0"/>
              <w:autoSpaceDN w:val="0"/>
              <w:spacing w:line="500" w:lineRule="exact"/>
              <w:jc w:val="center"/>
              <w:rPr>
                <w:rFonts w:ascii="宋体" w:hAnsi="宋体" w:cs="仿宋"/>
                <w:color w:val="auto"/>
                <w:sz w:val="24"/>
                <w:highlight w:val="none"/>
                <w:lang w:val="zh-CN"/>
              </w:rPr>
            </w:pPr>
          </w:p>
        </w:tc>
      </w:tr>
      <w:tr w14:paraId="6022C8CC">
        <w:tblPrEx>
          <w:tblBorders>
            <w:top w:val="single" w:color="auto" w:sz="12" w:space="0"/>
            <w:left w:val="single" w:color="auto" w:sz="12" w:space="0"/>
            <w:bottom w:val="single" w:color="auto" w:sz="12" w:space="0"/>
            <w:right w:val="single" w:color="auto" w:sz="12" w:space="0"/>
            <w:insideH w:val="single" w:color="000000" w:sz="6" w:space="0"/>
            <w:insideV w:val="single" w:color="000000" w:sz="6" w:space="0"/>
          </w:tblBorders>
          <w:tblCellMar>
            <w:top w:w="0" w:type="dxa"/>
            <w:left w:w="108" w:type="dxa"/>
            <w:bottom w:w="0" w:type="dxa"/>
            <w:right w:w="108" w:type="dxa"/>
          </w:tblCellMar>
        </w:tblPrEx>
        <w:trPr>
          <w:trHeight w:val="656" w:hRule="atLeast"/>
          <w:jc w:val="center"/>
        </w:trPr>
        <w:tc>
          <w:tcPr>
            <w:tcW w:w="694" w:type="dxa"/>
            <w:shd w:val="clear" w:color="000000" w:fill="FFFFFF"/>
            <w:vAlign w:val="center"/>
          </w:tcPr>
          <w:p w14:paraId="662F1383">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vAlign w:val="center"/>
          </w:tcPr>
          <w:p w14:paraId="041B6800">
            <w:pPr>
              <w:autoSpaceDE w:val="0"/>
              <w:autoSpaceDN w:val="0"/>
              <w:spacing w:line="500" w:lineRule="exact"/>
              <w:jc w:val="center"/>
              <w:rPr>
                <w:rFonts w:ascii="宋体" w:hAnsi="宋体" w:cs="仿宋"/>
                <w:color w:val="auto"/>
                <w:sz w:val="24"/>
                <w:highlight w:val="none"/>
                <w:lang w:val="zh-CN"/>
              </w:rPr>
            </w:pPr>
          </w:p>
        </w:tc>
        <w:tc>
          <w:tcPr>
            <w:tcW w:w="2000" w:type="dxa"/>
            <w:shd w:val="clear" w:color="000000" w:fill="FFFFFF"/>
            <w:vAlign w:val="center"/>
          </w:tcPr>
          <w:p w14:paraId="32EF118B">
            <w:pPr>
              <w:autoSpaceDE w:val="0"/>
              <w:autoSpaceDN w:val="0"/>
              <w:spacing w:line="500" w:lineRule="exact"/>
              <w:jc w:val="center"/>
              <w:rPr>
                <w:rFonts w:ascii="宋体" w:hAnsi="宋体" w:cs="仿宋"/>
                <w:color w:val="auto"/>
                <w:sz w:val="24"/>
                <w:highlight w:val="none"/>
                <w:lang w:val="zh-CN"/>
              </w:rPr>
            </w:pPr>
          </w:p>
        </w:tc>
        <w:tc>
          <w:tcPr>
            <w:tcW w:w="1730" w:type="dxa"/>
            <w:shd w:val="clear" w:color="000000" w:fill="FFFFFF"/>
            <w:vAlign w:val="center"/>
          </w:tcPr>
          <w:p w14:paraId="7BCC708A">
            <w:pPr>
              <w:autoSpaceDE w:val="0"/>
              <w:autoSpaceDN w:val="0"/>
              <w:spacing w:line="500" w:lineRule="exact"/>
              <w:jc w:val="center"/>
              <w:rPr>
                <w:rFonts w:ascii="宋体" w:hAnsi="宋体" w:cs="仿宋"/>
                <w:color w:val="auto"/>
                <w:sz w:val="24"/>
                <w:highlight w:val="none"/>
                <w:lang w:val="zh-CN"/>
              </w:rPr>
            </w:pPr>
          </w:p>
        </w:tc>
        <w:tc>
          <w:tcPr>
            <w:tcW w:w="1184" w:type="dxa"/>
            <w:shd w:val="clear" w:color="000000" w:fill="FFFFFF"/>
          </w:tcPr>
          <w:p w14:paraId="3A789F48">
            <w:pPr>
              <w:autoSpaceDE w:val="0"/>
              <w:autoSpaceDN w:val="0"/>
              <w:spacing w:line="500" w:lineRule="exact"/>
              <w:jc w:val="center"/>
              <w:rPr>
                <w:rFonts w:ascii="宋体" w:hAnsi="宋体" w:cs="仿宋"/>
                <w:color w:val="auto"/>
                <w:sz w:val="24"/>
                <w:highlight w:val="none"/>
                <w:lang w:val="zh-CN"/>
              </w:rPr>
            </w:pPr>
          </w:p>
        </w:tc>
        <w:tc>
          <w:tcPr>
            <w:tcW w:w="1772" w:type="dxa"/>
            <w:shd w:val="clear" w:color="000000" w:fill="FFFFFF"/>
          </w:tcPr>
          <w:p w14:paraId="35F6B06B">
            <w:pPr>
              <w:autoSpaceDE w:val="0"/>
              <w:autoSpaceDN w:val="0"/>
              <w:spacing w:line="500" w:lineRule="exact"/>
              <w:jc w:val="center"/>
              <w:rPr>
                <w:rFonts w:ascii="宋体" w:hAnsi="宋体" w:cs="仿宋"/>
                <w:color w:val="auto"/>
                <w:sz w:val="24"/>
                <w:highlight w:val="none"/>
                <w:lang w:val="zh-CN"/>
              </w:rPr>
            </w:pPr>
          </w:p>
        </w:tc>
      </w:tr>
    </w:tbl>
    <w:p w14:paraId="300F8094">
      <w:pPr>
        <w:tabs>
          <w:tab w:val="left" w:pos="5580"/>
        </w:tabs>
        <w:autoSpaceDE w:val="0"/>
        <w:autoSpaceDN w:val="0"/>
        <w:spacing w:line="500" w:lineRule="exact"/>
        <w:ind w:firstLine="482" w:firstLineChars="200"/>
        <w:rPr>
          <w:rFonts w:ascii="宋体" w:hAnsi="宋体" w:cs="仿宋"/>
          <w:color w:val="auto"/>
          <w:sz w:val="24"/>
          <w:highlight w:val="none"/>
          <w:lang w:val="zh-CN"/>
        </w:rPr>
      </w:pPr>
      <w:r>
        <w:rPr>
          <w:rFonts w:hint="eastAsia" w:ascii="宋体" w:hAnsi="宋体" w:cs="仿宋"/>
          <w:b/>
          <w:bCs/>
          <w:color w:val="auto"/>
          <w:sz w:val="24"/>
          <w:highlight w:val="none"/>
          <w:lang w:val="zh-CN"/>
        </w:rPr>
        <w:t>注：</w:t>
      </w:r>
      <w:r>
        <w:rPr>
          <w:rFonts w:hint="eastAsia" w:ascii="宋体" w:hAnsi="宋体" w:cs="仿宋"/>
          <w:color w:val="auto"/>
          <w:sz w:val="24"/>
          <w:highlight w:val="none"/>
        </w:rPr>
        <w:t>1.</w:t>
      </w:r>
      <w:r>
        <w:rPr>
          <w:rFonts w:hint="eastAsia" w:ascii="宋体" w:hAnsi="宋体" w:cs="仿宋"/>
          <w:color w:val="auto"/>
          <w:sz w:val="24"/>
          <w:highlight w:val="none"/>
          <w:lang w:val="zh-CN"/>
        </w:rPr>
        <w:t>本表后须附有效证明材料，业绩证明材料须提供合同或中标通知书复印件并加盖本单位公章，内容清晰。未提供有效证明材料的项目业绩在评审时将不予认可。</w:t>
      </w:r>
    </w:p>
    <w:p w14:paraId="449A8D41">
      <w:pPr>
        <w:tabs>
          <w:tab w:val="left" w:pos="5580"/>
        </w:tabs>
        <w:autoSpaceDE w:val="0"/>
        <w:autoSpaceDN w:val="0"/>
        <w:spacing w:line="500" w:lineRule="exact"/>
        <w:ind w:firstLine="480" w:firstLineChars="200"/>
        <w:rPr>
          <w:rFonts w:ascii="宋体" w:hAnsi="宋体" w:cs="仿宋"/>
          <w:color w:val="auto"/>
          <w:sz w:val="24"/>
          <w:highlight w:val="none"/>
          <w:lang w:val="zh-CN"/>
        </w:rPr>
      </w:pPr>
      <w:r>
        <w:rPr>
          <w:rFonts w:hint="eastAsia" w:ascii="宋体" w:hAnsi="宋体" w:cs="仿宋"/>
          <w:color w:val="auto"/>
          <w:sz w:val="24"/>
          <w:highlight w:val="none"/>
        </w:rPr>
        <w:t>2.</w:t>
      </w:r>
      <w:r>
        <w:rPr>
          <w:rFonts w:hint="eastAsia" w:ascii="宋体" w:hAnsi="宋体" w:cs="仿宋"/>
          <w:color w:val="auto"/>
          <w:sz w:val="24"/>
          <w:highlight w:val="none"/>
          <w:lang w:val="zh-CN"/>
        </w:rPr>
        <w:t>本表中信息如有虚假，一经查实将导致其响应文件被拒绝。</w:t>
      </w:r>
    </w:p>
    <w:p w14:paraId="6C2E1E69">
      <w:pPr>
        <w:tabs>
          <w:tab w:val="left" w:pos="5580"/>
        </w:tabs>
        <w:autoSpaceDE w:val="0"/>
        <w:autoSpaceDN w:val="0"/>
        <w:spacing w:line="500" w:lineRule="exact"/>
        <w:ind w:firstLine="480" w:firstLineChars="200"/>
        <w:rPr>
          <w:rFonts w:ascii="宋体" w:hAnsi="宋体" w:cs="仿宋"/>
          <w:color w:val="auto"/>
          <w:sz w:val="24"/>
          <w:highlight w:val="none"/>
          <w:lang w:val="zh-CN"/>
        </w:rPr>
      </w:pPr>
    </w:p>
    <w:p w14:paraId="16910A82">
      <w:pPr>
        <w:spacing w:before="100" w:beforeAutospacing="1" w:line="480" w:lineRule="auto"/>
        <w:ind w:right="1584"/>
        <w:rPr>
          <w:rFonts w:ascii="宋体" w:hAnsi="宋体" w:cs="仿宋"/>
          <w:color w:val="auto"/>
          <w:spacing w:val="24"/>
          <w:sz w:val="24"/>
          <w:highlight w:val="none"/>
          <w:u w:val="single"/>
        </w:rPr>
      </w:pPr>
      <w:r>
        <w:rPr>
          <w:rFonts w:hint="eastAsia" w:ascii="宋体" w:hAnsi="宋体" w:cs="仿宋"/>
          <w:color w:val="auto"/>
          <w:spacing w:val="24"/>
          <w:sz w:val="24"/>
          <w:highlight w:val="none"/>
        </w:rPr>
        <w:t>投标人：</w:t>
      </w:r>
      <w:r>
        <w:rPr>
          <w:rFonts w:hint="eastAsia" w:ascii="宋体" w:hAnsi="宋体" w:cs="仿宋"/>
          <w:color w:val="auto"/>
          <w:spacing w:val="24"/>
          <w:sz w:val="24"/>
          <w:highlight w:val="none"/>
          <w:u w:val="single"/>
        </w:rPr>
        <w:tab/>
      </w:r>
      <w:r>
        <w:rPr>
          <w:rFonts w:hint="eastAsia" w:ascii="宋体" w:hAnsi="宋体" w:cs="仿宋"/>
          <w:color w:val="auto"/>
          <w:spacing w:val="24"/>
          <w:sz w:val="24"/>
          <w:highlight w:val="none"/>
          <w:u w:val="single"/>
        </w:rPr>
        <w:t>（盖投标人公章）</w:t>
      </w:r>
    </w:p>
    <w:p w14:paraId="76F4C6EA">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法定代表人或授权委托人：</w:t>
      </w:r>
      <w:r>
        <w:rPr>
          <w:rFonts w:hint="eastAsia" w:ascii="宋体" w:hAnsi="宋体" w:cs="仿宋"/>
          <w:color w:val="auto"/>
          <w:spacing w:val="24"/>
          <w:sz w:val="24"/>
          <w:highlight w:val="none"/>
          <w:u w:val="single"/>
        </w:rPr>
        <w:t>（签字或盖章）</w:t>
      </w:r>
    </w:p>
    <w:p w14:paraId="70EAA021">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日期：   年   月    日</w:t>
      </w:r>
    </w:p>
    <w:p w14:paraId="4ED7A009">
      <w:pPr>
        <w:tabs>
          <w:tab w:val="left" w:pos="5580"/>
        </w:tabs>
        <w:rPr>
          <w:rFonts w:ascii="宋体" w:hAnsi="宋体" w:cs="方正仿宋_GB2312"/>
          <w:color w:val="auto"/>
          <w:kern w:val="0"/>
          <w:sz w:val="24"/>
          <w:highlight w:val="none"/>
        </w:rPr>
      </w:pPr>
    </w:p>
    <w:p w14:paraId="0947C748">
      <w:pPr>
        <w:spacing w:line="520" w:lineRule="exact"/>
        <w:rPr>
          <w:rFonts w:ascii="宋体" w:hAnsi="宋体" w:cs="方正仿宋_GB2312"/>
          <w:b/>
          <w:color w:val="auto"/>
          <w:kern w:val="0"/>
          <w:sz w:val="24"/>
          <w:highlight w:val="none"/>
        </w:rPr>
      </w:pPr>
    </w:p>
    <w:bookmarkEnd w:id="50"/>
    <w:bookmarkEnd w:id="51"/>
    <w:bookmarkEnd w:id="52"/>
    <w:bookmarkEnd w:id="53"/>
    <w:bookmarkEnd w:id="54"/>
    <w:bookmarkEnd w:id="55"/>
    <w:p w14:paraId="33415C72">
      <w:pPr>
        <w:spacing w:line="500" w:lineRule="exact"/>
        <w:rPr>
          <w:rFonts w:ascii="宋体" w:hAnsi="宋体" w:cs="宋体"/>
          <w:color w:val="auto"/>
          <w:spacing w:val="24"/>
          <w:sz w:val="28"/>
          <w:szCs w:val="20"/>
          <w:highlight w:val="none"/>
        </w:rPr>
      </w:pPr>
    </w:p>
    <w:p w14:paraId="7BAD5CC7">
      <w:pPr>
        <w:pStyle w:val="18"/>
        <w:rPr>
          <w:rFonts w:ascii="宋体" w:hAnsi="宋体" w:cs="宋体"/>
          <w:color w:val="auto"/>
          <w:spacing w:val="24"/>
          <w:sz w:val="28"/>
          <w:szCs w:val="20"/>
          <w:highlight w:val="none"/>
        </w:rPr>
      </w:pPr>
    </w:p>
    <w:p w14:paraId="5F0BEAF9">
      <w:pPr>
        <w:pStyle w:val="67"/>
        <w:keepNext/>
        <w:keepLines/>
        <w:numPr>
          <w:ilvl w:val="0"/>
          <w:numId w:val="12"/>
        </w:numPr>
        <w:spacing w:line="520" w:lineRule="exact"/>
        <w:ind w:firstLineChars="0"/>
        <w:jc w:val="center"/>
        <w:outlineLvl w:val="0"/>
        <w:rPr>
          <w:rFonts w:ascii="宋体" w:hAnsi="宋体" w:cs="宋体"/>
          <w:b/>
          <w:bCs/>
          <w:color w:val="auto"/>
          <w:kern w:val="0"/>
          <w:sz w:val="28"/>
          <w:szCs w:val="28"/>
          <w:highlight w:val="none"/>
        </w:rPr>
      </w:pPr>
      <w:bookmarkStart w:id="369" w:name="_Toc141969813"/>
      <w:bookmarkStart w:id="370" w:name="_Toc141870349"/>
      <w:bookmarkStart w:id="371" w:name="_Toc148084492"/>
      <w:r>
        <w:rPr>
          <w:rFonts w:hint="eastAsia" w:ascii="宋体" w:hAnsi="宋体" w:cs="宋体"/>
          <w:b/>
          <w:bCs/>
          <w:color w:val="auto"/>
          <w:kern w:val="0"/>
          <w:sz w:val="28"/>
          <w:szCs w:val="28"/>
          <w:highlight w:val="none"/>
        </w:rPr>
        <w:t>商务条款偏离表</w:t>
      </w:r>
      <w:bookmarkEnd w:id="369"/>
      <w:bookmarkEnd w:id="370"/>
      <w:bookmarkEnd w:id="371"/>
    </w:p>
    <w:tbl>
      <w:tblPr>
        <w:tblStyle w:val="47"/>
        <w:tblW w:w="8931"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09"/>
        <w:gridCol w:w="1985"/>
        <w:gridCol w:w="1984"/>
        <w:gridCol w:w="1985"/>
        <w:gridCol w:w="1134"/>
        <w:gridCol w:w="1134"/>
      </w:tblGrid>
      <w:tr w14:paraId="606160A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vAlign w:val="center"/>
          </w:tcPr>
          <w:p w14:paraId="4C153F17">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序号</w:t>
            </w:r>
          </w:p>
        </w:tc>
        <w:tc>
          <w:tcPr>
            <w:tcW w:w="1985" w:type="dxa"/>
            <w:shd w:val="clear" w:color="000000" w:fill="FFFFFF"/>
            <w:vAlign w:val="center"/>
          </w:tcPr>
          <w:p w14:paraId="36CC398C">
            <w:pPr>
              <w:autoSpaceDE w:val="0"/>
              <w:autoSpaceDN w:val="0"/>
              <w:spacing w:line="460" w:lineRule="exact"/>
              <w:jc w:val="center"/>
              <w:rPr>
                <w:rFonts w:ascii="宋体" w:hAnsi="宋体"/>
                <w:color w:val="auto"/>
                <w:szCs w:val="21"/>
                <w:highlight w:val="none"/>
              </w:rPr>
            </w:pPr>
            <w:r>
              <w:rPr>
                <w:rFonts w:hint="eastAsia" w:ascii="宋体" w:hAnsi="宋体"/>
                <w:color w:val="auto"/>
                <w:szCs w:val="21"/>
                <w:highlight w:val="none"/>
                <w:lang w:val="zh-CN"/>
              </w:rPr>
              <w:t>招标文件条目号</w:t>
            </w:r>
          </w:p>
          <w:p w14:paraId="55876CE5">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（页码）</w:t>
            </w:r>
          </w:p>
        </w:tc>
        <w:tc>
          <w:tcPr>
            <w:tcW w:w="1984" w:type="dxa"/>
            <w:shd w:val="clear" w:color="000000" w:fill="FFFFFF"/>
            <w:vAlign w:val="center"/>
          </w:tcPr>
          <w:p w14:paraId="3A34FE54">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招标文件的商务</w:t>
            </w:r>
          </w:p>
          <w:p w14:paraId="6A9F6A21">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条款</w:t>
            </w:r>
          </w:p>
        </w:tc>
        <w:tc>
          <w:tcPr>
            <w:tcW w:w="1985" w:type="dxa"/>
            <w:shd w:val="clear" w:color="000000" w:fill="FFFFFF"/>
            <w:vAlign w:val="center"/>
          </w:tcPr>
          <w:p w14:paraId="531CD677">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投标文件的商务</w:t>
            </w:r>
          </w:p>
          <w:p w14:paraId="66C692FC">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条款</w:t>
            </w:r>
          </w:p>
        </w:tc>
        <w:tc>
          <w:tcPr>
            <w:tcW w:w="1134" w:type="dxa"/>
            <w:shd w:val="clear" w:color="000000" w:fill="FFFFFF"/>
            <w:vAlign w:val="center"/>
          </w:tcPr>
          <w:p w14:paraId="3404D184">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偏离</w:t>
            </w:r>
          </w:p>
        </w:tc>
        <w:tc>
          <w:tcPr>
            <w:tcW w:w="1134" w:type="dxa"/>
            <w:shd w:val="clear" w:color="000000" w:fill="FFFFFF"/>
            <w:vAlign w:val="center"/>
          </w:tcPr>
          <w:p w14:paraId="6CEF3464">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说明</w:t>
            </w:r>
          </w:p>
        </w:tc>
      </w:tr>
      <w:tr w14:paraId="4A435C2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7BA4AF9C">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786D5F23">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5EA804BC">
            <w:pPr>
              <w:autoSpaceDE w:val="0"/>
              <w:autoSpaceDN w:val="0"/>
              <w:spacing w:line="460" w:lineRule="exact"/>
              <w:jc w:val="center"/>
              <w:rPr>
                <w:rFonts w:ascii="宋体" w:hAnsi="宋体"/>
                <w:color w:val="auto"/>
                <w:szCs w:val="21"/>
                <w:highlight w:val="none"/>
                <w:lang w:val="zh-CN"/>
              </w:rPr>
            </w:pPr>
          </w:p>
        </w:tc>
        <w:tc>
          <w:tcPr>
            <w:tcW w:w="1985" w:type="dxa"/>
            <w:shd w:val="clear" w:color="000000" w:fill="FFFFFF"/>
          </w:tcPr>
          <w:p w14:paraId="4C5F2D89">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vAlign w:val="center"/>
          </w:tcPr>
          <w:p w14:paraId="31FF998D">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0726C952">
            <w:pPr>
              <w:autoSpaceDE w:val="0"/>
              <w:autoSpaceDN w:val="0"/>
              <w:spacing w:line="460" w:lineRule="exact"/>
              <w:rPr>
                <w:rFonts w:ascii="宋体" w:hAnsi="宋体"/>
                <w:color w:val="auto"/>
                <w:szCs w:val="21"/>
                <w:highlight w:val="none"/>
                <w:lang w:val="zh-CN"/>
              </w:rPr>
            </w:pPr>
          </w:p>
        </w:tc>
      </w:tr>
      <w:tr w14:paraId="5830EDC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47E5896A">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6D884C72">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19D6BDF4">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5F8E00BB">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0F9EE345">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23968AFD">
            <w:pPr>
              <w:autoSpaceDE w:val="0"/>
              <w:autoSpaceDN w:val="0"/>
              <w:spacing w:line="460" w:lineRule="exact"/>
              <w:rPr>
                <w:rFonts w:ascii="宋体" w:hAnsi="宋体"/>
                <w:color w:val="auto"/>
                <w:szCs w:val="21"/>
                <w:highlight w:val="none"/>
                <w:lang w:val="zh-CN"/>
              </w:rPr>
            </w:pPr>
          </w:p>
        </w:tc>
      </w:tr>
      <w:tr w14:paraId="74C50B7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57EE1E19">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4140B8C8">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186244BB">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4215D808">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3904DC42">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36021F33">
            <w:pPr>
              <w:autoSpaceDE w:val="0"/>
              <w:autoSpaceDN w:val="0"/>
              <w:spacing w:line="460" w:lineRule="exact"/>
              <w:rPr>
                <w:rFonts w:ascii="宋体" w:hAnsi="宋体"/>
                <w:color w:val="auto"/>
                <w:szCs w:val="21"/>
                <w:highlight w:val="none"/>
                <w:lang w:val="zh-CN"/>
              </w:rPr>
            </w:pPr>
          </w:p>
        </w:tc>
      </w:tr>
      <w:tr w14:paraId="2C81628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2D756026">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687B4DDB">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65F89005">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1F6CEB94">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6580D33E">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54E60BFF">
            <w:pPr>
              <w:autoSpaceDE w:val="0"/>
              <w:autoSpaceDN w:val="0"/>
              <w:spacing w:line="460" w:lineRule="exact"/>
              <w:rPr>
                <w:rFonts w:ascii="宋体" w:hAnsi="宋体"/>
                <w:color w:val="auto"/>
                <w:szCs w:val="21"/>
                <w:highlight w:val="none"/>
                <w:lang w:val="zh-CN"/>
              </w:rPr>
            </w:pPr>
          </w:p>
        </w:tc>
      </w:tr>
      <w:tr w14:paraId="6225F87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2F691199">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5C614D1F">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32EB0588">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6F3E8834">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4E0F9199">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24478934">
            <w:pPr>
              <w:autoSpaceDE w:val="0"/>
              <w:autoSpaceDN w:val="0"/>
              <w:spacing w:line="460" w:lineRule="exact"/>
              <w:rPr>
                <w:rFonts w:ascii="宋体" w:hAnsi="宋体"/>
                <w:color w:val="auto"/>
                <w:szCs w:val="21"/>
                <w:highlight w:val="none"/>
                <w:lang w:val="zh-CN"/>
              </w:rPr>
            </w:pPr>
          </w:p>
        </w:tc>
      </w:tr>
    </w:tbl>
    <w:p w14:paraId="47FB40A2">
      <w:pPr>
        <w:keepNext w:val="0"/>
        <w:keepLines w:val="0"/>
        <w:pageBreakBefore w:val="0"/>
        <w:widowControl w:val="0"/>
        <w:kinsoku/>
        <w:wordWrap/>
        <w:overflowPunct/>
        <w:topLinePunct w:val="0"/>
        <w:autoSpaceDE/>
        <w:autoSpaceDN/>
        <w:bidi w:val="0"/>
        <w:adjustRightInd w:val="0"/>
        <w:snapToGrid w:val="0"/>
        <w:spacing w:line="400" w:lineRule="exact"/>
        <w:ind w:firstLine="422" w:firstLineChars="200"/>
        <w:jc w:val="left"/>
        <w:textAlignment w:val="auto"/>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注：本偏离表是</w:t>
      </w:r>
      <w:r>
        <w:rPr>
          <w:rFonts w:hint="eastAsia" w:ascii="宋体" w:hAnsi="宋体" w:eastAsia="宋体" w:cs="宋体"/>
          <w:b/>
          <w:color w:val="auto"/>
          <w:szCs w:val="21"/>
          <w:highlight w:val="none"/>
          <w:lang w:eastAsia="zh-CN"/>
        </w:rPr>
        <w:t>评标委员会</w:t>
      </w:r>
      <w:r>
        <w:rPr>
          <w:rFonts w:hint="eastAsia" w:ascii="宋体" w:hAnsi="宋体" w:eastAsia="宋体" w:cs="宋体"/>
          <w:b/>
          <w:color w:val="auto"/>
          <w:szCs w:val="21"/>
          <w:highlight w:val="none"/>
        </w:rPr>
        <w:t>评审</w:t>
      </w:r>
      <w:r>
        <w:rPr>
          <w:rFonts w:hint="eastAsia" w:ascii="宋体" w:hAnsi="宋体" w:eastAsia="宋体" w:cs="宋体"/>
          <w:b/>
          <w:color w:val="auto"/>
          <w:szCs w:val="21"/>
          <w:highlight w:val="none"/>
          <w:lang w:eastAsia="zh-CN"/>
        </w:rPr>
        <w:t>投标人</w:t>
      </w:r>
      <w:r>
        <w:rPr>
          <w:rFonts w:hint="eastAsia" w:ascii="宋体" w:hAnsi="宋体" w:eastAsia="宋体" w:cs="宋体"/>
          <w:b/>
          <w:color w:val="auto"/>
          <w:szCs w:val="21"/>
          <w:highlight w:val="none"/>
        </w:rPr>
        <w:t>商务条款最重要的直观材料和主要依据，</w:t>
      </w:r>
      <w:r>
        <w:rPr>
          <w:rFonts w:hint="eastAsia" w:ascii="宋体" w:hAnsi="宋体" w:eastAsia="宋体" w:cs="宋体"/>
          <w:b/>
          <w:color w:val="auto"/>
          <w:szCs w:val="21"/>
          <w:highlight w:val="none"/>
          <w:lang w:eastAsia="zh-CN"/>
        </w:rPr>
        <w:t>投标人</w:t>
      </w:r>
      <w:r>
        <w:rPr>
          <w:rFonts w:hint="eastAsia" w:ascii="宋体" w:hAnsi="宋体" w:eastAsia="宋体" w:cs="宋体"/>
          <w:b/>
          <w:color w:val="auto"/>
          <w:szCs w:val="21"/>
          <w:highlight w:val="none"/>
        </w:rPr>
        <w:t>必须针对本</w:t>
      </w:r>
      <w:r>
        <w:rPr>
          <w:rFonts w:hint="eastAsia" w:ascii="宋体" w:hAnsi="宋体" w:eastAsia="宋体" w:cs="宋体"/>
          <w:b/>
          <w:color w:val="auto"/>
          <w:szCs w:val="21"/>
          <w:highlight w:val="none"/>
          <w:lang w:eastAsia="zh-CN"/>
        </w:rPr>
        <w:t>招标</w:t>
      </w:r>
      <w:r>
        <w:rPr>
          <w:rFonts w:hint="eastAsia" w:ascii="宋体" w:hAnsi="宋体" w:eastAsia="宋体" w:cs="宋体"/>
          <w:b/>
          <w:color w:val="auto"/>
          <w:szCs w:val="21"/>
          <w:highlight w:val="none"/>
        </w:rPr>
        <w:t>文件中的各项</w:t>
      </w:r>
      <w:r>
        <w:rPr>
          <w:rFonts w:hint="eastAsia" w:ascii="宋体" w:hAnsi="宋体" w:eastAsia="宋体" w:cs="宋体"/>
          <w:b/>
          <w:color w:val="auto"/>
          <w:szCs w:val="21"/>
          <w:highlight w:val="none"/>
          <w:lang w:eastAsia="zh-CN"/>
        </w:rPr>
        <w:t>商务</w:t>
      </w:r>
      <w:r>
        <w:rPr>
          <w:rFonts w:hint="eastAsia" w:ascii="宋体" w:hAnsi="宋体" w:eastAsia="宋体" w:cs="宋体"/>
          <w:b/>
          <w:color w:val="auto"/>
          <w:szCs w:val="21"/>
          <w:highlight w:val="none"/>
        </w:rPr>
        <w:t>要求是否满足填写偏离表。对招标件中的所有商务条款，除本表所列明的所有偏离外，均视作</w:t>
      </w:r>
      <w:r>
        <w:rPr>
          <w:rFonts w:hint="eastAsia" w:ascii="宋体" w:hAnsi="宋体" w:eastAsia="宋体" w:cs="宋体"/>
          <w:b/>
          <w:color w:val="auto"/>
          <w:szCs w:val="21"/>
          <w:highlight w:val="none"/>
          <w:lang w:eastAsia="zh-CN"/>
        </w:rPr>
        <w:t>投标人</w:t>
      </w:r>
      <w:r>
        <w:rPr>
          <w:rFonts w:hint="eastAsia" w:ascii="宋体" w:hAnsi="宋体" w:eastAsia="宋体" w:cs="宋体"/>
          <w:b/>
          <w:color w:val="auto"/>
          <w:szCs w:val="21"/>
          <w:highlight w:val="none"/>
        </w:rPr>
        <w:t>已对之理解和同意</w:t>
      </w:r>
      <w:r>
        <w:rPr>
          <w:rFonts w:hint="eastAsia" w:ascii="宋体" w:hAnsi="宋体" w:eastAsia="宋体" w:cs="宋体"/>
          <w:b/>
          <w:color w:val="auto"/>
          <w:szCs w:val="21"/>
          <w:highlight w:val="none"/>
          <w:lang w:eastAsia="zh-CN"/>
        </w:rPr>
        <w:t>且无偏离</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eastAsia="zh-CN"/>
        </w:rPr>
        <w:t>招标文件要求实质性条款不得负偏离。</w:t>
      </w:r>
    </w:p>
    <w:p w14:paraId="4BBAA6B3">
      <w:pPr>
        <w:pStyle w:val="12"/>
        <w:rPr>
          <w:color w:val="auto"/>
          <w:highlight w:val="none"/>
        </w:rPr>
      </w:pPr>
    </w:p>
    <w:p w14:paraId="2BD51795">
      <w:pPr>
        <w:spacing w:before="100" w:beforeAutospacing="1" w:line="480" w:lineRule="auto"/>
        <w:ind w:right="1584"/>
        <w:rPr>
          <w:rFonts w:ascii="宋体" w:hAnsi="宋体" w:cs="仿宋"/>
          <w:color w:val="auto"/>
          <w:spacing w:val="24"/>
          <w:sz w:val="24"/>
          <w:highlight w:val="none"/>
          <w:u w:val="single"/>
        </w:rPr>
      </w:pPr>
      <w:r>
        <w:rPr>
          <w:rFonts w:hint="eastAsia" w:ascii="宋体" w:hAnsi="宋体" w:cs="仿宋"/>
          <w:color w:val="auto"/>
          <w:spacing w:val="24"/>
          <w:sz w:val="24"/>
          <w:highlight w:val="none"/>
        </w:rPr>
        <w:t>投标人：</w:t>
      </w:r>
      <w:r>
        <w:rPr>
          <w:rFonts w:hint="eastAsia" w:ascii="宋体" w:hAnsi="宋体" w:cs="仿宋"/>
          <w:color w:val="auto"/>
          <w:spacing w:val="24"/>
          <w:sz w:val="24"/>
          <w:highlight w:val="none"/>
          <w:u w:val="single"/>
        </w:rPr>
        <w:tab/>
      </w:r>
      <w:r>
        <w:rPr>
          <w:rFonts w:hint="eastAsia" w:ascii="宋体" w:hAnsi="宋体" w:cs="仿宋"/>
          <w:color w:val="auto"/>
          <w:spacing w:val="24"/>
          <w:sz w:val="24"/>
          <w:highlight w:val="none"/>
          <w:u w:val="single"/>
        </w:rPr>
        <w:t>（盖投标人公章）</w:t>
      </w:r>
    </w:p>
    <w:p w14:paraId="2B534F7B">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法定代表人或授权委托人：</w:t>
      </w:r>
      <w:r>
        <w:rPr>
          <w:rFonts w:hint="eastAsia" w:ascii="宋体" w:hAnsi="宋体" w:cs="仿宋"/>
          <w:color w:val="auto"/>
          <w:spacing w:val="24"/>
          <w:sz w:val="24"/>
          <w:highlight w:val="none"/>
          <w:u w:val="single"/>
        </w:rPr>
        <w:t>（签字或盖章）</w:t>
      </w:r>
    </w:p>
    <w:p w14:paraId="1C1CE30B">
      <w:pPr>
        <w:spacing w:before="100" w:beforeAutospacing="1" w:line="480" w:lineRule="auto"/>
        <w:ind w:right="576"/>
        <w:rPr>
          <w:rFonts w:hint="eastAsia" w:ascii="宋体" w:hAnsi="宋体" w:cs="仿宋"/>
          <w:color w:val="auto"/>
          <w:spacing w:val="24"/>
          <w:sz w:val="24"/>
          <w:highlight w:val="none"/>
        </w:rPr>
      </w:pPr>
      <w:r>
        <w:rPr>
          <w:rFonts w:hint="eastAsia" w:ascii="宋体" w:hAnsi="宋体" w:cs="仿宋"/>
          <w:color w:val="auto"/>
          <w:spacing w:val="24"/>
          <w:sz w:val="24"/>
          <w:highlight w:val="none"/>
        </w:rPr>
        <w:t>日期：   年   月    日</w:t>
      </w:r>
    </w:p>
    <w:p w14:paraId="75172A10">
      <w:pPr>
        <w:pStyle w:val="18"/>
        <w:rPr>
          <w:rFonts w:hint="eastAsia" w:ascii="宋体" w:hAnsi="宋体" w:cs="仿宋"/>
          <w:color w:val="auto"/>
          <w:spacing w:val="24"/>
          <w:sz w:val="24"/>
          <w:highlight w:val="none"/>
        </w:rPr>
      </w:pPr>
    </w:p>
    <w:p w14:paraId="6BAC6B83">
      <w:pPr>
        <w:pStyle w:val="18"/>
        <w:rPr>
          <w:rFonts w:hint="eastAsia" w:ascii="宋体" w:hAnsi="宋体" w:cs="仿宋"/>
          <w:color w:val="auto"/>
          <w:spacing w:val="24"/>
          <w:sz w:val="24"/>
          <w:highlight w:val="none"/>
        </w:rPr>
      </w:pPr>
    </w:p>
    <w:p w14:paraId="498B1AC4">
      <w:pPr>
        <w:pStyle w:val="18"/>
        <w:rPr>
          <w:rFonts w:hint="eastAsia" w:ascii="宋体" w:hAnsi="宋体" w:cs="仿宋"/>
          <w:color w:val="auto"/>
          <w:spacing w:val="24"/>
          <w:sz w:val="24"/>
          <w:highlight w:val="none"/>
        </w:rPr>
      </w:pPr>
    </w:p>
    <w:p w14:paraId="1D73539D">
      <w:pPr>
        <w:pStyle w:val="18"/>
        <w:rPr>
          <w:rFonts w:hint="eastAsia" w:ascii="宋体" w:hAnsi="宋体" w:cs="仿宋"/>
          <w:color w:val="auto"/>
          <w:spacing w:val="24"/>
          <w:sz w:val="24"/>
          <w:highlight w:val="none"/>
        </w:rPr>
      </w:pPr>
    </w:p>
    <w:p w14:paraId="42EBC8B7">
      <w:pPr>
        <w:pStyle w:val="18"/>
        <w:rPr>
          <w:rFonts w:hint="eastAsia" w:ascii="宋体" w:hAnsi="宋体" w:cs="仿宋"/>
          <w:color w:val="auto"/>
          <w:spacing w:val="24"/>
          <w:sz w:val="24"/>
          <w:highlight w:val="none"/>
        </w:rPr>
      </w:pPr>
    </w:p>
    <w:p w14:paraId="6C368F1F">
      <w:pPr>
        <w:pStyle w:val="18"/>
        <w:rPr>
          <w:rFonts w:hint="eastAsia" w:ascii="宋体" w:hAnsi="宋体" w:cs="仿宋"/>
          <w:color w:val="auto"/>
          <w:spacing w:val="24"/>
          <w:sz w:val="24"/>
          <w:highlight w:val="none"/>
        </w:rPr>
      </w:pPr>
    </w:p>
    <w:p w14:paraId="5089A151">
      <w:pPr>
        <w:pStyle w:val="18"/>
        <w:rPr>
          <w:rFonts w:hint="eastAsia" w:ascii="宋体" w:hAnsi="宋体" w:cs="仿宋"/>
          <w:color w:val="auto"/>
          <w:spacing w:val="24"/>
          <w:sz w:val="24"/>
          <w:highlight w:val="none"/>
        </w:rPr>
      </w:pPr>
    </w:p>
    <w:p w14:paraId="7D4F0AC5">
      <w:pPr>
        <w:pStyle w:val="18"/>
        <w:rPr>
          <w:rFonts w:hint="eastAsia" w:ascii="宋体" w:hAnsi="宋体" w:cs="仿宋"/>
          <w:color w:val="auto"/>
          <w:spacing w:val="24"/>
          <w:sz w:val="24"/>
          <w:highlight w:val="none"/>
        </w:rPr>
      </w:pPr>
    </w:p>
    <w:p w14:paraId="242D2611">
      <w:pPr>
        <w:pStyle w:val="18"/>
        <w:rPr>
          <w:rFonts w:hint="eastAsia" w:ascii="宋体" w:hAnsi="宋体" w:cs="仿宋"/>
          <w:color w:val="auto"/>
          <w:spacing w:val="24"/>
          <w:sz w:val="24"/>
          <w:highlight w:val="none"/>
        </w:rPr>
      </w:pPr>
    </w:p>
    <w:p w14:paraId="2972C418">
      <w:pPr>
        <w:pStyle w:val="18"/>
        <w:rPr>
          <w:rFonts w:hint="eastAsia" w:ascii="宋体" w:hAnsi="宋体" w:cs="仿宋"/>
          <w:color w:val="auto"/>
          <w:spacing w:val="24"/>
          <w:sz w:val="24"/>
          <w:highlight w:val="none"/>
        </w:rPr>
      </w:pPr>
    </w:p>
    <w:p w14:paraId="3CEFD848">
      <w:pPr>
        <w:pStyle w:val="18"/>
        <w:rPr>
          <w:rFonts w:ascii="宋体" w:hAnsi="宋体" w:cs="宋体"/>
          <w:color w:val="auto"/>
          <w:spacing w:val="24"/>
          <w:sz w:val="28"/>
          <w:szCs w:val="20"/>
          <w:highlight w:val="none"/>
        </w:rPr>
      </w:pPr>
    </w:p>
    <w:p w14:paraId="02B4513A">
      <w:pPr>
        <w:widowControl/>
        <w:numPr>
          <w:ilvl w:val="0"/>
          <w:numId w:val="0"/>
        </w:numPr>
        <w:snapToGrid w:val="0"/>
        <w:spacing w:line="400" w:lineRule="exact"/>
        <w:ind w:left="420" w:leftChars="0" w:hanging="420" w:firstLineChars="0"/>
        <w:jc w:val="center"/>
        <w:outlineLvl w:val="2"/>
        <w:rPr>
          <w:rFonts w:hint="eastAsia" w:ascii="宋体" w:hAnsi="宋体" w:eastAsia="宋体" w:cs="宋体"/>
          <w:b/>
          <w:bCs/>
          <w:color w:val="auto"/>
          <w:kern w:val="0"/>
          <w:sz w:val="28"/>
          <w:szCs w:val="28"/>
          <w:highlight w:val="none"/>
          <w:lang w:val="en-US" w:eastAsia="zh-CN" w:bidi="ar-SA"/>
        </w:rPr>
      </w:pPr>
      <w:r>
        <w:rPr>
          <w:rFonts w:hint="default" w:ascii="Wingdings" w:hAnsi="Wingdings" w:eastAsia="宋体" w:cs="宋体"/>
          <w:b/>
          <w:bCs/>
          <w:color w:val="auto"/>
          <w:kern w:val="0"/>
          <w:sz w:val="28"/>
          <w:szCs w:val="28"/>
          <w:highlight w:val="none"/>
          <w:lang w:val="en-US" w:eastAsia="zh-CN" w:bidi="ar-SA"/>
        </w:rPr>
        <w:t></w:t>
      </w:r>
      <w:r>
        <w:rPr>
          <w:rFonts w:hint="eastAsia" w:ascii="宋体" w:hAnsi="宋体" w:eastAsia="宋体" w:cs="宋体"/>
          <w:b/>
          <w:bCs/>
          <w:color w:val="auto"/>
          <w:kern w:val="0"/>
          <w:sz w:val="28"/>
          <w:szCs w:val="28"/>
          <w:highlight w:val="none"/>
          <w:lang w:val="en-US" w:eastAsia="zh-CN" w:bidi="ar-SA"/>
        </w:rPr>
        <w:t>产品详细技术</w:t>
      </w:r>
      <w:r>
        <w:rPr>
          <w:rFonts w:hint="eastAsia" w:ascii="宋体" w:hAnsi="宋体" w:cs="宋体"/>
          <w:b/>
          <w:bCs/>
          <w:color w:val="auto"/>
          <w:kern w:val="0"/>
          <w:sz w:val="28"/>
          <w:szCs w:val="28"/>
          <w:highlight w:val="none"/>
          <w:lang w:val="en-US" w:eastAsia="zh-CN" w:bidi="ar-SA"/>
        </w:rPr>
        <w:t>及配置响应</w:t>
      </w:r>
    </w:p>
    <w:p w14:paraId="4A0F8BC5">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产品</w:t>
      </w:r>
      <w:r>
        <w:rPr>
          <w:rFonts w:hint="eastAsia" w:ascii="宋体" w:hAnsi="宋体" w:eastAsia="宋体" w:cs="宋体"/>
          <w:color w:val="auto"/>
          <w:kern w:val="0"/>
          <w:sz w:val="24"/>
          <w:szCs w:val="24"/>
          <w:highlight w:val="none"/>
        </w:rPr>
        <w:t>说明包括：</w:t>
      </w:r>
    </w:p>
    <w:p w14:paraId="3FFF7026">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(1)产品技术参数（指标）、功能等性能描述；（产品技术参数（指标）</w:t>
      </w:r>
    </w:p>
    <w:p w14:paraId="66706426">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(2)产品的规范资料、外观彩图及尺寸等描述（要求提供复印件）；</w:t>
      </w:r>
    </w:p>
    <w:p w14:paraId="52E4C2E9">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(3)配置先进合理，技术成熟，安全可靠；</w:t>
      </w:r>
    </w:p>
    <w:p w14:paraId="0BB3C668">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hint="eastAsia" w:ascii="宋体" w:hAnsi="宋体" w:cs="宋体"/>
          <w:color w:val="auto"/>
          <w:kern w:val="0"/>
          <w:sz w:val="24"/>
          <w:szCs w:val="24"/>
          <w:highlight w:val="none"/>
          <w:lang w:eastAsia="zh-CN"/>
        </w:rPr>
        <w:t>产品</w:t>
      </w:r>
      <w:r>
        <w:rPr>
          <w:rFonts w:hint="eastAsia" w:ascii="宋体" w:hAnsi="宋体" w:eastAsia="宋体" w:cs="宋体"/>
          <w:color w:val="auto"/>
          <w:kern w:val="0"/>
          <w:sz w:val="24"/>
          <w:szCs w:val="24"/>
          <w:highlight w:val="none"/>
        </w:rPr>
        <w:t>优势介绍；</w:t>
      </w:r>
    </w:p>
    <w:p w14:paraId="2ACE4EF3">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(5)产品耐用性及使用功能安全性、采用新技术、新工艺或选用新材料情况；</w:t>
      </w:r>
    </w:p>
    <w:p w14:paraId="593DAC0D">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(6)投标人认为有必要提供的其他说明材料。</w:t>
      </w:r>
    </w:p>
    <w:p w14:paraId="2405CD3D">
      <w:pPr>
        <w:pStyle w:val="2"/>
        <w:rPr>
          <w:rFonts w:cs="宋体"/>
          <w:color w:val="auto"/>
          <w:highlight w:val="none"/>
        </w:rPr>
      </w:pPr>
    </w:p>
    <w:p w14:paraId="7298FA7B">
      <w:pPr>
        <w:rPr>
          <w:rFonts w:ascii="宋体" w:hAnsi="宋体" w:cs="宋体"/>
          <w:color w:val="auto"/>
          <w:kern w:val="0"/>
          <w:sz w:val="24"/>
          <w:highlight w:val="none"/>
        </w:rPr>
      </w:pPr>
    </w:p>
    <w:p w14:paraId="312F44D9">
      <w:pPr>
        <w:pStyle w:val="18"/>
        <w:rPr>
          <w:rFonts w:ascii="宋体" w:hAnsi="宋体" w:cs="宋体"/>
          <w:color w:val="auto"/>
          <w:kern w:val="0"/>
          <w:sz w:val="24"/>
          <w:highlight w:val="none"/>
        </w:rPr>
      </w:pPr>
    </w:p>
    <w:p w14:paraId="3D99B0DF">
      <w:pPr>
        <w:pStyle w:val="18"/>
        <w:rPr>
          <w:rFonts w:ascii="宋体" w:hAnsi="宋体" w:cs="宋体"/>
          <w:color w:val="auto"/>
          <w:kern w:val="0"/>
          <w:sz w:val="24"/>
          <w:highlight w:val="none"/>
        </w:rPr>
      </w:pPr>
    </w:p>
    <w:p w14:paraId="6D7DA2BD">
      <w:pPr>
        <w:pStyle w:val="18"/>
        <w:rPr>
          <w:rFonts w:ascii="宋体" w:hAnsi="宋体" w:cs="宋体"/>
          <w:color w:val="auto"/>
          <w:kern w:val="0"/>
          <w:sz w:val="24"/>
          <w:highlight w:val="none"/>
        </w:rPr>
      </w:pPr>
    </w:p>
    <w:p w14:paraId="3AA20A8C">
      <w:pPr>
        <w:pStyle w:val="18"/>
        <w:rPr>
          <w:rFonts w:ascii="宋体" w:hAnsi="宋体" w:cs="宋体"/>
          <w:color w:val="auto"/>
          <w:kern w:val="0"/>
          <w:sz w:val="24"/>
          <w:highlight w:val="none"/>
        </w:rPr>
      </w:pPr>
    </w:p>
    <w:p w14:paraId="34B1F000">
      <w:pPr>
        <w:pStyle w:val="18"/>
        <w:rPr>
          <w:rFonts w:ascii="宋体" w:hAnsi="宋体" w:cs="宋体"/>
          <w:color w:val="auto"/>
          <w:kern w:val="0"/>
          <w:sz w:val="24"/>
          <w:highlight w:val="none"/>
        </w:rPr>
      </w:pPr>
    </w:p>
    <w:p w14:paraId="67D58BB9">
      <w:pPr>
        <w:pStyle w:val="18"/>
        <w:rPr>
          <w:rFonts w:ascii="宋体" w:hAnsi="宋体" w:cs="宋体"/>
          <w:color w:val="auto"/>
          <w:kern w:val="0"/>
          <w:sz w:val="24"/>
          <w:highlight w:val="none"/>
        </w:rPr>
      </w:pPr>
    </w:p>
    <w:p w14:paraId="3A112C8E">
      <w:pPr>
        <w:pStyle w:val="18"/>
        <w:rPr>
          <w:rFonts w:ascii="宋体" w:hAnsi="宋体" w:cs="宋体"/>
          <w:color w:val="auto"/>
          <w:kern w:val="0"/>
          <w:sz w:val="24"/>
          <w:highlight w:val="none"/>
        </w:rPr>
      </w:pPr>
    </w:p>
    <w:p w14:paraId="1955EAEA">
      <w:pPr>
        <w:pStyle w:val="18"/>
        <w:rPr>
          <w:rFonts w:ascii="宋体" w:hAnsi="宋体" w:cs="宋体"/>
          <w:color w:val="auto"/>
          <w:kern w:val="0"/>
          <w:sz w:val="24"/>
          <w:highlight w:val="none"/>
        </w:rPr>
      </w:pPr>
    </w:p>
    <w:p w14:paraId="4C878E1C">
      <w:pPr>
        <w:pStyle w:val="18"/>
        <w:rPr>
          <w:rFonts w:ascii="宋体" w:hAnsi="宋体" w:cs="宋体"/>
          <w:color w:val="auto"/>
          <w:kern w:val="0"/>
          <w:sz w:val="24"/>
          <w:highlight w:val="none"/>
        </w:rPr>
      </w:pPr>
    </w:p>
    <w:p w14:paraId="7A4564C2">
      <w:pPr>
        <w:pStyle w:val="18"/>
        <w:rPr>
          <w:rFonts w:ascii="宋体" w:hAnsi="宋体" w:cs="宋体"/>
          <w:color w:val="auto"/>
          <w:kern w:val="0"/>
          <w:sz w:val="24"/>
          <w:highlight w:val="none"/>
        </w:rPr>
      </w:pPr>
    </w:p>
    <w:p w14:paraId="28FB31FE">
      <w:pPr>
        <w:pStyle w:val="18"/>
        <w:rPr>
          <w:rFonts w:ascii="宋体" w:hAnsi="宋体" w:cs="宋体"/>
          <w:color w:val="auto"/>
          <w:kern w:val="0"/>
          <w:sz w:val="24"/>
          <w:highlight w:val="none"/>
        </w:rPr>
      </w:pPr>
    </w:p>
    <w:p w14:paraId="7E47E418">
      <w:pPr>
        <w:pStyle w:val="18"/>
        <w:rPr>
          <w:rFonts w:ascii="宋体" w:hAnsi="宋体" w:cs="宋体"/>
          <w:color w:val="auto"/>
          <w:kern w:val="0"/>
          <w:sz w:val="24"/>
          <w:highlight w:val="none"/>
        </w:rPr>
      </w:pPr>
    </w:p>
    <w:p w14:paraId="1465F586">
      <w:pPr>
        <w:pStyle w:val="18"/>
        <w:rPr>
          <w:rFonts w:ascii="宋体" w:hAnsi="宋体" w:cs="宋体"/>
          <w:color w:val="auto"/>
          <w:kern w:val="0"/>
          <w:sz w:val="24"/>
          <w:highlight w:val="none"/>
        </w:rPr>
      </w:pPr>
    </w:p>
    <w:p w14:paraId="1072932B">
      <w:pPr>
        <w:pStyle w:val="18"/>
        <w:rPr>
          <w:rFonts w:ascii="宋体" w:hAnsi="宋体" w:cs="宋体"/>
          <w:color w:val="auto"/>
          <w:kern w:val="0"/>
          <w:sz w:val="24"/>
          <w:highlight w:val="none"/>
        </w:rPr>
      </w:pPr>
    </w:p>
    <w:p w14:paraId="3833256F">
      <w:pPr>
        <w:pStyle w:val="18"/>
        <w:rPr>
          <w:rFonts w:ascii="宋体" w:hAnsi="宋体" w:cs="宋体"/>
          <w:color w:val="auto"/>
          <w:kern w:val="0"/>
          <w:sz w:val="24"/>
          <w:highlight w:val="none"/>
        </w:rPr>
      </w:pPr>
    </w:p>
    <w:p w14:paraId="10FC8A47">
      <w:pPr>
        <w:pStyle w:val="18"/>
        <w:rPr>
          <w:rFonts w:ascii="宋体" w:hAnsi="宋体" w:cs="宋体"/>
          <w:color w:val="auto"/>
          <w:kern w:val="0"/>
          <w:sz w:val="24"/>
          <w:highlight w:val="none"/>
        </w:rPr>
      </w:pPr>
    </w:p>
    <w:p w14:paraId="06C12D9F">
      <w:pPr>
        <w:pStyle w:val="18"/>
        <w:rPr>
          <w:rFonts w:ascii="宋体" w:hAnsi="宋体" w:cs="宋体"/>
          <w:color w:val="auto"/>
          <w:kern w:val="0"/>
          <w:sz w:val="24"/>
          <w:highlight w:val="none"/>
        </w:rPr>
      </w:pPr>
    </w:p>
    <w:p w14:paraId="01880560">
      <w:pPr>
        <w:pStyle w:val="18"/>
        <w:rPr>
          <w:rFonts w:ascii="宋体" w:hAnsi="宋体" w:cs="宋体"/>
          <w:color w:val="auto"/>
          <w:kern w:val="0"/>
          <w:sz w:val="24"/>
          <w:highlight w:val="none"/>
        </w:rPr>
      </w:pPr>
    </w:p>
    <w:p w14:paraId="6748B7C2">
      <w:pPr>
        <w:pStyle w:val="18"/>
        <w:rPr>
          <w:rFonts w:ascii="宋体" w:hAnsi="宋体" w:cs="宋体"/>
          <w:color w:val="auto"/>
          <w:kern w:val="0"/>
          <w:sz w:val="24"/>
          <w:highlight w:val="none"/>
        </w:rPr>
      </w:pPr>
    </w:p>
    <w:p w14:paraId="2E2369C4">
      <w:pPr>
        <w:pStyle w:val="67"/>
        <w:keepNext/>
        <w:keepLines/>
        <w:numPr>
          <w:ilvl w:val="0"/>
          <w:numId w:val="12"/>
        </w:numPr>
        <w:spacing w:line="520" w:lineRule="exact"/>
        <w:ind w:firstLineChars="0"/>
        <w:jc w:val="center"/>
        <w:outlineLvl w:val="0"/>
        <w:rPr>
          <w:rFonts w:ascii="宋体" w:hAnsi="宋体" w:cs="宋体"/>
          <w:b/>
          <w:bCs/>
          <w:color w:val="auto"/>
          <w:kern w:val="0"/>
          <w:sz w:val="28"/>
          <w:szCs w:val="28"/>
          <w:highlight w:val="none"/>
        </w:rPr>
      </w:pPr>
      <w:bookmarkStart w:id="372" w:name="_Toc141870350"/>
      <w:bookmarkStart w:id="373" w:name="_Toc141969814"/>
      <w:bookmarkStart w:id="374" w:name="_Toc148084493"/>
      <w:r>
        <w:rPr>
          <w:rFonts w:hint="eastAsia" w:ascii="宋体" w:hAnsi="宋体" w:cs="宋体"/>
          <w:b/>
          <w:bCs/>
          <w:color w:val="auto"/>
          <w:kern w:val="0"/>
          <w:sz w:val="28"/>
          <w:szCs w:val="28"/>
          <w:highlight w:val="none"/>
        </w:rPr>
        <w:t>技术条款偏离表</w:t>
      </w:r>
      <w:bookmarkEnd w:id="372"/>
      <w:bookmarkEnd w:id="373"/>
      <w:bookmarkEnd w:id="374"/>
    </w:p>
    <w:tbl>
      <w:tblPr>
        <w:tblStyle w:val="47"/>
        <w:tblW w:w="8931"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09"/>
        <w:gridCol w:w="1985"/>
        <w:gridCol w:w="1984"/>
        <w:gridCol w:w="1985"/>
        <w:gridCol w:w="1134"/>
        <w:gridCol w:w="1134"/>
      </w:tblGrid>
      <w:tr w14:paraId="61B78F7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vAlign w:val="center"/>
          </w:tcPr>
          <w:p w14:paraId="29588FC5">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序号</w:t>
            </w:r>
          </w:p>
        </w:tc>
        <w:tc>
          <w:tcPr>
            <w:tcW w:w="1985" w:type="dxa"/>
            <w:shd w:val="clear" w:color="000000" w:fill="FFFFFF"/>
            <w:vAlign w:val="center"/>
          </w:tcPr>
          <w:p w14:paraId="5B188735">
            <w:pPr>
              <w:autoSpaceDE w:val="0"/>
              <w:autoSpaceDN w:val="0"/>
              <w:spacing w:line="460" w:lineRule="exact"/>
              <w:jc w:val="center"/>
              <w:rPr>
                <w:rFonts w:ascii="宋体" w:hAnsi="宋体"/>
                <w:color w:val="auto"/>
                <w:szCs w:val="21"/>
                <w:highlight w:val="none"/>
              </w:rPr>
            </w:pPr>
            <w:r>
              <w:rPr>
                <w:rFonts w:hint="eastAsia" w:ascii="宋体" w:hAnsi="宋体"/>
                <w:color w:val="auto"/>
                <w:szCs w:val="21"/>
                <w:highlight w:val="none"/>
                <w:lang w:val="zh-CN"/>
              </w:rPr>
              <w:t>招标文件条目号</w:t>
            </w:r>
          </w:p>
          <w:p w14:paraId="168A79AF">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（页码）</w:t>
            </w:r>
          </w:p>
        </w:tc>
        <w:tc>
          <w:tcPr>
            <w:tcW w:w="1984" w:type="dxa"/>
            <w:shd w:val="clear" w:color="000000" w:fill="FFFFFF"/>
            <w:vAlign w:val="center"/>
          </w:tcPr>
          <w:p w14:paraId="30E093CE">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招标文件的采购需求条款</w:t>
            </w:r>
          </w:p>
        </w:tc>
        <w:tc>
          <w:tcPr>
            <w:tcW w:w="1985" w:type="dxa"/>
            <w:shd w:val="clear" w:color="000000" w:fill="FFFFFF"/>
            <w:vAlign w:val="center"/>
          </w:tcPr>
          <w:p w14:paraId="23EA1CF1">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投标文件的采购需求条款</w:t>
            </w:r>
          </w:p>
        </w:tc>
        <w:tc>
          <w:tcPr>
            <w:tcW w:w="1134" w:type="dxa"/>
            <w:shd w:val="clear" w:color="000000" w:fill="FFFFFF"/>
            <w:vAlign w:val="center"/>
          </w:tcPr>
          <w:p w14:paraId="63C064F8">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偏离</w:t>
            </w:r>
          </w:p>
        </w:tc>
        <w:tc>
          <w:tcPr>
            <w:tcW w:w="1134" w:type="dxa"/>
            <w:shd w:val="clear" w:color="000000" w:fill="FFFFFF"/>
            <w:vAlign w:val="center"/>
          </w:tcPr>
          <w:p w14:paraId="5143E177">
            <w:pPr>
              <w:autoSpaceDE w:val="0"/>
              <w:autoSpaceDN w:val="0"/>
              <w:spacing w:line="460" w:lineRule="exact"/>
              <w:jc w:val="center"/>
              <w:rPr>
                <w:rFonts w:ascii="宋体" w:hAnsi="宋体"/>
                <w:color w:val="auto"/>
                <w:szCs w:val="21"/>
                <w:highlight w:val="none"/>
                <w:lang w:val="zh-CN"/>
              </w:rPr>
            </w:pPr>
            <w:r>
              <w:rPr>
                <w:rFonts w:hint="eastAsia" w:ascii="宋体" w:hAnsi="宋体"/>
                <w:color w:val="auto"/>
                <w:szCs w:val="21"/>
                <w:highlight w:val="none"/>
                <w:lang w:val="zh-CN"/>
              </w:rPr>
              <w:t>说明</w:t>
            </w:r>
          </w:p>
        </w:tc>
      </w:tr>
      <w:tr w14:paraId="36791CF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77F955EB">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6EF23048">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11C7F012">
            <w:pPr>
              <w:autoSpaceDE w:val="0"/>
              <w:autoSpaceDN w:val="0"/>
              <w:spacing w:line="460" w:lineRule="exact"/>
              <w:jc w:val="center"/>
              <w:rPr>
                <w:rFonts w:ascii="宋体" w:hAnsi="宋体"/>
                <w:color w:val="auto"/>
                <w:szCs w:val="21"/>
                <w:highlight w:val="none"/>
                <w:lang w:val="zh-CN"/>
              </w:rPr>
            </w:pPr>
          </w:p>
        </w:tc>
        <w:tc>
          <w:tcPr>
            <w:tcW w:w="1985" w:type="dxa"/>
            <w:shd w:val="clear" w:color="000000" w:fill="FFFFFF"/>
          </w:tcPr>
          <w:p w14:paraId="6E6172AE">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vAlign w:val="center"/>
          </w:tcPr>
          <w:p w14:paraId="67C5562C">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38653FFA">
            <w:pPr>
              <w:autoSpaceDE w:val="0"/>
              <w:autoSpaceDN w:val="0"/>
              <w:spacing w:line="460" w:lineRule="exact"/>
              <w:rPr>
                <w:rFonts w:ascii="宋体" w:hAnsi="宋体"/>
                <w:color w:val="auto"/>
                <w:szCs w:val="21"/>
                <w:highlight w:val="none"/>
                <w:lang w:val="zh-CN"/>
              </w:rPr>
            </w:pPr>
          </w:p>
        </w:tc>
      </w:tr>
      <w:tr w14:paraId="6F5A2A7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200C830C">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62424619">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5692EF33">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146218DC">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16C62CEB">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46743BD8">
            <w:pPr>
              <w:autoSpaceDE w:val="0"/>
              <w:autoSpaceDN w:val="0"/>
              <w:spacing w:line="460" w:lineRule="exact"/>
              <w:rPr>
                <w:rFonts w:ascii="宋体" w:hAnsi="宋体"/>
                <w:color w:val="auto"/>
                <w:szCs w:val="21"/>
                <w:highlight w:val="none"/>
                <w:lang w:val="zh-CN"/>
              </w:rPr>
            </w:pPr>
          </w:p>
        </w:tc>
      </w:tr>
      <w:tr w14:paraId="629581B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10F6EB67">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47E6D0C6">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29915D76">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31AA8AE0">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06A2E117">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75FF0BB4">
            <w:pPr>
              <w:autoSpaceDE w:val="0"/>
              <w:autoSpaceDN w:val="0"/>
              <w:spacing w:line="460" w:lineRule="exact"/>
              <w:rPr>
                <w:rFonts w:ascii="宋体" w:hAnsi="宋体"/>
                <w:color w:val="auto"/>
                <w:szCs w:val="21"/>
                <w:highlight w:val="none"/>
                <w:lang w:val="zh-CN"/>
              </w:rPr>
            </w:pPr>
          </w:p>
        </w:tc>
      </w:tr>
      <w:tr w14:paraId="28566B6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6D23B2CC">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7219BC64">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324D0CA5">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79F8629F">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0090F252">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0D402A7D">
            <w:pPr>
              <w:autoSpaceDE w:val="0"/>
              <w:autoSpaceDN w:val="0"/>
              <w:spacing w:line="460" w:lineRule="exact"/>
              <w:rPr>
                <w:rFonts w:ascii="宋体" w:hAnsi="宋体"/>
                <w:color w:val="auto"/>
                <w:szCs w:val="21"/>
                <w:highlight w:val="none"/>
                <w:lang w:val="zh-CN"/>
              </w:rPr>
            </w:pPr>
          </w:p>
        </w:tc>
      </w:tr>
      <w:tr w14:paraId="7A9856A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jc w:val="center"/>
        </w:trPr>
        <w:tc>
          <w:tcPr>
            <w:tcW w:w="709" w:type="dxa"/>
            <w:shd w:val="clear" w:color="000000" w:fill="FFFFFF"/>
          </w:tcPr>
          <w:p w14:paraId="21CEF6DF">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76E78EBC">
            <w:pPr>
              <w:autoSpaceDE w:val="0"/>
              <w:autoSpaceDN w:val="0"/>
              <w:spacing w:line="460" w:lineRule="exact"/>
              <w:rPr>
                <w:rFonts w:ascii="宋体" w:hAnsi="宋体"/>
                <w:color w:val="auto"/>
                <w:szCs w:val="21"/>
                <w:highlight w:val="none"/>
                <w:lang w:val="zh-CN"/>
              </w:rPr>
            </w:pPr>
          </w:p>
        </w:tc>
        <w:tc>
          <w:tcPr>
            <w:tcW w:w="1984" w:type="dxa"/>
            <w:shd w:val="clear" w:color="000000" w:fill="FFFFFF"/>
          </w:tcPr>
          <w:p w14:paraId="44136425">
            <w:pPr>
              <w:autoSpaceDE w:val="0"/>
              <w:autoSpaceDN w:val="0"/>
              <w:spacing w:line="460" w:lineRule="exact"/>
              <w:rPr>
                <w:rFonts w:ascii="宋体" w:hAnsi="宋体"/>
                <w:color w:val="auto"/>
                <w:szCs w:val="21"/>
                <w:highlight w:val="none"/>
                <w:lang w:val="zh-CN"/>
              </w:rPr>
            </w:pPr>
          </w:p>
        </w:tc>
        <w:tc>
          <w:tcPr>
            <w:tcW w:w="1985" w:type="dxa"/>
            <w:shd w:val="clear" w:color="000000" w:fill="FFFFFF"/>
          </w:tcPr>
          <w:p w14:paraId="1B14C826">
            <w:pPr>
              <w:autoSpaceDE w:val="0"/>
              <w:autoSpaceDN w:val="0"/>
              <w:spacing w:line="460" w:lineRule="exact"/>
              <w:rPr>
                <w:rFonts w:ascii="宋体" w:hAnsi="宋体"/>
                <w:color w:val="auto"/>
                <w:szCs w:val="21"/>
                <w:highlight w:val="none"/>
                <w:lang w:val="zh-CN"/>
              </w:rPr>
            </w:pPr>
          </w:p>
        </w:tc>
        <w:tc>
          <w:tcPr>
            <w:tcW w:w="1134" w:type="dxa"/>
            <w:shd w:val="clear" w:color="000000" w:fill="FFFFFF"/>
            <w:vAlign w:val="center"/>
          </w:tcPr>
          <w:p w14:paraId="4FC26CC1">
            <w:pPr>
              <w:autoSpaceDE w:val="0"/>
              <w:autoSpaceDN w:val="0"/>
              <w:spacing w:line="460" w:lineRule="exact"/>
              <w:jc w:val="center"/>
              <w:rPr>
                <w:rFonts w:ascii="宋体" w:hAnsi="宋体"/>
                <w:color w:val="auto"/>
                <w:szCs w:val="21"/>
                <w:highlight w:val="none"/>
                <w:lang w:val="zh-CN"/>
              </w:rPr>
            </w:pPr>
          </w:p>
        </w:tc>
        <w:tc>
          <w:tcPr>
            <w:tcW w:w="1134" w:type="dxa"/>
            <w:shd w:val="clear" w:color="000000" w:fill="FFFFFF"/>
          </w:tcPr>
          <w:p w14:paraId="311044AB">
            <w:pPr>
              <w:autoSpaceDE w:val="0"/>
              <w:autoSpaceDN w:val="0"/>
              <w:spacing w:line="460" w:lineRule="exact"/>
              <w:rPr>
                <w:rFonts w:ascii="宋体" w:hAnsi="宋体"/>
                <w:color w:val="auto"/>
                <w:szCs w:val="21"/>
                <w:highlight w:val="none"/>
                <w:lang w:val="zh-CN"/>
              </w:rPr>
            </w:pPr>
          </w:p>
        </w:tc>
      </w:tr>
    </w:tbl>
    <w:p w14:paraId="57767958">
      <w:pPr>
        <w:keepNext/>
        <w:keepLines/>
        <w:shd w:val="clear" w:color="auto" w:fill="FFFFFF"/>
        <w:adjustRightInd w:val="0"/>
        <w:snapToGrid w:val="0"/>
        <w:spacing w:line="500" w:lineRule="exact"/>
        <w:ind w:firstLine="422" w:firstLineChars="200"/>
        <w:outlineLvl w:val="2"/>
        <w:rPr>
          <w:rFonts w:ascii="宋体" w:hAnsi="宋体"/>
          <w:b/>
          <w:bCs/>
          <w:color w:val="auto"/>
          <w:szCs w:val="21"/>
          <w:highlight w:val="none"/>
        </w:rPr>
      </w:pPr>
      <w:r>
        <w:rPr>
          <w:rFonts w:hint="eastAsia" w:ascii="宋体" w:hAnsi="宋体" w:cs="Arial"/>
          <w:b/>
          <w:color w:val="auto"/>
          <w:szCs w:val="21"/>
          <w:highlight w:val="none"/>
        </w:rPr>
        <w:t>注：本偏离表是评委评审投标人技术条款最重要的直观材料和主要依据，投标人必须针对本招标文件中的各项要求是否满足填写偏离表。对于漏报的项目，招标人有权要求其补报，否则将导致废标。对招标件中的所有技术条款，除非本表所列明的所有偏离外，均视作投标人已对之理解和同意。</w:t>
      </w:r>
    </w:p>
    <w:p w14:paraId="105BECD1">
      <w:pPr>
        <w:spacing w:before="100" w:beforeAutospacing="1" w:line="480" w:lineRule="auto"/>
        <w:ind w:right="1584"/>
        <w:rPr>
          <w:rFonts w:ascii="宋体" w:hAnsi="宋体" w:cs="仿宋"/>
          <w:color w:val="auto"/>
          <w:spacing w:val="24"/>
          <w:sz w:val="24"/>
          <w:highlight w:val="none"/>
          <w:u w:val="single"/>
        </w:rPr>
      </w:pPr>
      <w:r>
        <w:rPr>
          <w:rFonts w:hint="eastAsia" w:ascii="宋体" w:hAnsi="宋体" w:cs="仿宋"/>
          <w:color w:val="auto"/>
          <w:spacing w:val="24"/>
          <w:sz w:val="24"/>
          <w:highlight w:val="none"/>
        </w:rPr>
        <w:t>投标人：</w:t>
      </w:r>
      <w:r>
        <w:rPr>
          <w:rFonts w:hint="eastAsia" w:ascii="宋体" w:hAnsi="宋体" w:cs="仿宋"/>
          <w:color w:val="auto"/>
          <w:spacing w:val="24"/>
          <w:sz w:val="24"/>
          <w:highlight w:val="none"/>
          <w:u w:val="single"/>
        </w:rPr>
        <w:tab/>
      </w:r>
      <w:r>
        <w:rPr>
          <w:rFonts w:hint="eastAsia" w:ascii="宋体" w:hAnsi="宋体" w:cs="仿宋"/>
          <w:color w:val="auto"/>
          <w:spacing w:val="24"/>
          <w:sz w:val="24"/>
          <w:highlight w:val="none"/>
          <w:u w:val="single"/>
        </w:rPr>
        <w:t>（盖投标人公章）</w:t>
      </w:r>
    </w:p>
    <w:p w14:paraId="673D18F7">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法定代表人或授权委托人：</w:t>
      </w:r>
      <w:r>
        <w:rPr>
          <w:rFonts w:hint="eastAsia" w:ascii="宋体" w:hAnsi="宋体" w:cs="仿宋"/>
          <w:color w:val="auto"/>
          <w:spacing w:val="24"/>
          <w:sz w:val="24"/>
          <w:highlight w:val="none"/>
          <w:u w:val="single"/>
        </w:rPr>
        <w:t>（签字或盖章）</w:t>
      </w:r>
    </w:p>
    <w:p w14:paraId="46D855FD">
      <w:pPr>
        <w:spacing w:before="100" w:beforeAutospacing="1" w:line="480" w:lineRule="auto"/>
        <w:ind w:right="576"/>
        <w:rPr>
          <w:rFonts w:ascii="宋体" w:hAnsi="宋体" w:cs="仿宋"/>
          <w:color w:val="auto"/>
          <w:spacing w:val="24"/>
          <w:sz w:val="24"/>
          <w:highlight w:val="none"/>
          <w:u w:val="single"/>
        </w:rPr>
      </w:pPr>
      <w:r>
        <w:rPr>
          <w:rFonts w:hint="eastAsia" w:ascii="宋体" w:hAnsi="宋体" w:cs="仿宋"/>
          <w:color w:val="auto"/>
          <w:spacing w:val="24"/>
          <w:sz w:val="24"/>
          <w:highlight w:val="none"/>
        </w:rPr>
        <w:t>日期：   年   月    日</w:t>
      </w:r>
    </w:p>
    <w:p w14:paraId="5ADEE50B">
      <w:pPr>
        <w:pStyle w:val="2"/>
        <w:rPr>
          <w:rFonts w:cs="宋体"/>
          <w:color w:val="auto"/>
          <w:highlight w:val="none"/>
        </w:rPr>
      </w:pPr>
    </w:p>
    <w:p w14:paraId="43ABC58B">
      <w:pPr>
        <w:pStyle w:val="2"/>
        <w:rPr>
          <w:rFonts w:cs="宋体"/>
          <w:color w:val="auto"/>
          <w:sz w:val="28"/>
          <w:highlight w:val="none"/>
        </w:rPr>
      </w:pPr>
    </w:p>
    <w:p w14:paraId="3C491673">
      <w:pPr>
        <w:rPr>
          <w:rFonts w:cs="宋体"/>
          <w:color w:val="auto"/>
          <w:sz w:val="28"/>
          <w:highlight w:val="none"/>
        </w:rPr>
      </w:pPr>
    </w:p>
    <w:p w14:paraId="26D0983E">
      <w:pPr>
        <w:pStyle w:val="18"/>
        <w:rPr>
          <w:rFonts w:cs="宋体"/>
          <w:color w:val="auto"/>
          <w:sz w:val="28"/>
          <w:highlight w:val="none"/>
        </w:rPr>
      </w:pPr>
    </w:p>
    <w:p w14:paraId="799DA2D1">
      <w:pPr>
        <w:pStyle w:val="18"/>
        <w:rPr>
          <w:rFonts w:cs="宋体"/>
          <w:color w:val="auto"/>
          <w:sz w:val="28"/>
          <w:highlight w:val="none"/>
        </w:rPr>
      </w:pPr>
    </w:p>
    <w:p w14:paraId="4021053F">
      <w:pPr>
        <w:pStyle w:val="18"/>
        <w:rPr>
          <w:rFonts w:cs="宋体"/>
          <w:color w:val="auto"/>
          <w:sz w:val="28"/>
          <w:highlight w:val="none"/>
        </w:rPr>
      </w:pPr>
    </w:p>
    <w:p w14:paraId="0BCAC566">
      <w:pPr>
        <w:pStyle w:val="18"/>
        <w:rPr>
          <w:rFonts w:cs="宋体"/>
          <w:color w:val="auto"/>
          <w:sz w:val="28"/>
          <w:highlight w:val="none"/>
        </w:rPr>
      </w:pPr>
    </w:p>
    <w:p w14:paraId="6AC6AE6B">
      <w:pPr>
        <w:pStyle w:val="18"/>
        <w:rPr>
          <w:rFonts w:cs="宋体"/>
          <w:color w:val="auto"/>
          <w:sz w:val="28"/>
          <w:highlight w:val="none"/>
        </w:rPr>
      </w:pPr>
    </w:p>
    <w:p w14:paraId="3A56F4C0">
      <w:pPr>
        <w:pStyle w:val="18"/>
        <w:rPr>
          <w:rFonts w:cs="宋体"/>
          <w:color w:val="auto"/>
          <w:sz w:val="28"/>
          <w:highlight w:val="none"/>
        </w:rPr>
      </w:pPr>
    </w:p>
    <w:p w14:paraId="603A0372">
      <w:pPr>
        <w:pStyle w:val="18"/>
        <w:rPr>
          <w:rFonts w:cs="宋体"/>
          <w:color w:val="auto"/>
          <w:sz w:val="28"/>
          <w:highlight w:val="none"/>
        </w:rPr>
      </w:pPr>
    </w:p>
    <w:p w14:paraId="441F5419">
      <w:pPr>
        <w:pStyle w:val="18"/>
        <w:rPr>
          <w:rFonts w:cs="宋体"/>
          <w:color w:val="auto"/>
          <w:sz w:val="28"/>
          <w:highlight w:val="none"/>
        </w:rPr>
      </w:pPr>
    </w:p>
    <w:p w14:paraId="62003F15">
      <w:pPr>
        <w:widowControl/>
        <w:numPr>
          <w:ilvl w:val="0"/>
          <w:numId w:val="0"/>
        </w:numPr>
        <w:snapToGrid w:val="0"/>
        <w:spacing w:line="400" w:lineRule="exact"/>
        <w:ind w:left="420" w:leftChars="0" w:hanging="420" w:firstLineChars="0"/>
        <w:jc w:val="center"/>
        <w:outlineLvl w:val="2"/>
        <w:rPr>
          <w:rFonts w:hint="eastAsia" w:ascii="宋体" w:hAnsi="宋体" w:eastAsia="宋体" w:cs="宋体"/>
          <w:b/>
          <w:bCs/>
          <w:color w:val="auto"/>
          <w:kern w:val="0"/>
          <w:sz w:val="28"/>
          <w:szCs w:val="28"/>
          <w:highlight w:val="none"/>
          <w:lang w:val="en-US" w:eastAsia="zh-CN" w:bidi="ar-SA"/>
        </w:rPr>
      </w:pPr>
      <w:r>
        <w:rPr>
          <w:rFonts w:hint="default" w:ascii="Wingdings" w:hAnsi="Wingdings" w:eastAsia="宋体" w:cs="宋体"/>
          <w:b/>
          <w:bCs/>
          <w:color w:val="auto"/>
          <w:kern w:val="0"/>
          <w:sz w:val="28"/>
          <w:szCs w:val="28"/>
          <w:highlight w:val="none"/>
          <w:lang w:val="en-US" w:eastAsia="zh-CN" w:bidi="ar-SA"/>
        </w:rPr>
        <w:t>项目实施方案</w:t>
      </w:r>
    </w:p>
    <w:p w14:paraId="16E4EEA7">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方案包括但不限于以下内容，格式自拟：</w:t>
      </w:r>
    </w:p>
    <w:p w14:paraId="15E14A1C">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①项目人员安排（包含但不限于主要人员名单及基本情况介绍、在本项目中承担的职责等）；</w:t>
      </w:r>
    </w:p>
    <w:p w14:paraId="0896BFB5">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②供货方案（包含但不限于产品来源、供货计划、供货时间、包装和运输方式等）；</w:t>
      </w:r>
    </w:p>
    <w:p w14:paraId="0A6BFCC8">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③质量管控方案（包括但不限于质量管控的标准、方法和程序等）；</w:t>
      </w:r>
    </w:p>
    <w:p w14:paraId="33C86E5E">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eastAsia" w:ascii="宋体" w:hAnsi="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④测试（调试）方案（包含但不限于人员安排、测试步骤、测试标准等）；</w:t>
      </w:r>
    </w:p>
    <w:p w14:paraId="04EAA0E7">
      <w:pPr>
        <w:rPr>
          <w:color w:val="auto"/>
          <w:highlight w:val="none"/>
        </w:rPr>
      </w:pPr>
    </w:p>
    <w:p w14:paraId="309B8B64">
      <w:pPr>
        <w:pStyle w:val="2"/>
        <w:rPr>
          <w:color w:val="auto"/>
          <w:highlight w:val="none"/>
        </w:rPr>
      </w:pPr>
    </w:p>
    <w:p w14:paraId="2ED17CC2">
      <w:pPr>
        <w:rPr>
          <w:color w:val="auto"/>
          <w:highlight w:val="none"/>
        </w:rPr>
      </w:pPr>
    </w:p>
    <w:p w14:paraId="550E9284">
      <w:pPr>
        <w:widowControl/>
        <w:numPr>
          <w:ilvl w:val="0"/>
          <w:numId w:val="0"/>
        </w:numPr>
        <w:snapToGrid w:val="0"/>
        <w:spacing w:line="400" w:lineRule="exact"/>
        <w:ind w:left="420" w:leftChars="0" w:hanging="420" w:firstLineChars="0"/>
        <w:jc w:val="center"/>
        <w:outlineLvl w:val="2"/>
        <w:rPr>
          <w:rFonts w:hint="eastAsia" w:ascii="Wingdings" w:hAnsi="Wingdings" w:eastAsia="宋体" w:cs="宋体"/>
          <w:b/>
          <w:bCs/>
          <w:color w:val="auto"/>
          <w:kern w:val="0"/>
          <w:sz w:val="28"/>
          <w:szCs w:val="28"/>
          <w:highlight w:val="none"/>
          <w:lang w:val="en-US" w:eastAsia="zh-CN" w:bidi="ar-SA"/>
        </w:rPr>
      </w:pPr>
      <w:r>
        <w:rPr>
          <w:rFonts w:hint="default" w:ascii="Wingdings" w:hAnsi="Wingdings" w:eastAsia="宋体" w:cs="宋体"/>
          <w:b/>
          <w:bCs/>
          <w:color w:val="auto"/>
          <w:kern w:val="0"/>
          <w:sz w:val="28"/>
          <w:szCs w:val="28"/>
          <w:highlight w:val="none"/>
          <w:lang w:val="en-US" w:eastAsia="zh-CN" w:bidi="ar-SA"/>
        </w:rPr>
        <w:t></w:t>
      </w:r>
      <w:r>
        <w:rPr>
          <w:rFonts w:hint="eastAsia" w:ascii="Wingdings" w:hAnsi="Wingdings" w:eastAsia="宋体" w:cs="宋体"/>
          <w:b/>
          <w:bCs/>
          <w:color w:val="auto"/>
          <w:kern w:val="0"/>
          <w:sz w:val="28"/>
          <w:szCs w:val="28"/>
          <w:highlight w:val="none"/>
          <w:lang w:val="en-US" w:eastAsia="zh-CN" w:bidi="ar-SA"/>
        </w:rPr>
        <w:t>应急预案</w:t>
      </w:r>
    </w:p>
    <w:p w14:paraId="3B904775">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格式自拟。</w:t>
      </w:r>
    </w:p>
    <w:p w14:paraId="3F586B4D">
      <w:pPr>
        <w:rPr>
          <w:color w:val="auto"/>
          <w:highlight w:val="none"/>
        </w:rPr>
      </w:pPr>
    </w:p>
    <w:p w14:paraId="4010AC4C">
      <w:pPr>
        <w:rPr>
          <w:color w:val="auto"/>
          <w:highlight w:val="none"/>
        </w:rPr>
      </w:pPr>
    </w:p>
    <w:p w14:paraId="2E24800D">
      <w:pPr>
        <w:rPr>
          <w:color w:val="auto"/>
          <w:highlight w:val="none"/>
        </w:rPr>
      </w:pPr>
    </w:p>
    <w:p w14:paraId="091ACBE5">
      <w:pPr>
        <w:widowControl/>
        <w:numPr>
          <w:ilvl w:val="0"/>
          <w:numId w:val="0"/>
        </w:numPr>
        <w:snapToGrid w:val="0"/>
        <w:spacing w:line="400" w:lineRule="exact"/>
        <w:ind w:left="420" w:leftChars="0" w:hanging="420" w:firstLineChars="0"/>
        <w:jc w:val="center"/>
        <w:outlineLvl w:val="2"/>
        <w:rPr>
          <w:rFonts w:hint="eastAsia" w:ascii="Wingdings" w:hAnsi="Wingdings" w:eastAsia="宋体" w:cs="宋体"/>
          <w:b/>
          <w:bCs/>
          <w:color w:val="auto"/>
          <w:kern w:val="0"/>
          <w:sz w:val="28"/>
          <w:szCs w:val="28"/>
          <w:highlight w:val="none"/>
          <w:lang w:val="en-US" w:eastAsia="zh-CN" w:bidi="ar-SA"/>
        </w:rPr>
      </w:pPr>
      <w:r>
        <w:rPr>
          <w:rFonts w:hint="default" w:ascii="Wingdings" w:hAnsi="Wingdings" w:eastAsia="宋体" w:cs="宋体"/>
          <w:b/>
          <w:bCs/>
          <w:color w:val="auto"/>
          <w:kern w:val="0"/>
          <w:sz w:val="28"/>
          <w:szCs w:val="28"/>
          <w:highlight w:val="none"/>
          <w:lang w:val="en-US" w:eastAsia="zh-CN" w:bidi="ar-SA"/>
        </w:rPr>
        <w:t></w:t>
      </w:r>
      <w:r>
        <w:rPr>
          <w:rFonts w:hint="eastAsia" w:ascii="Wingdings" w:hAnsi="Wingdings" w:eastAsia="宋体" w:cs="宋体"/>
          <w:b/>
          <w:bCs/>
          <w:color w:val="auto"/>
          <w:kern w:val="0"/>
          <w:sz w:val="28"/>
          <w:szCs w:val="28"/>
          <w:highlight w:val="none"/>
          <w:lang w:val="en-US" w:eastAsia="zh-CN" w:bidi="ar-SA"/>
        </w:rPr>
        <w:t>设备检测与维护方案</w:t>
      </w:r>
    </w:p>
    <w:p w14:paraId="0B8776F0">
      <w:pPr>
        <w:widowControl/>
        <w:numPr>
          <w:ilvl w:val="0"/>
          <w:numId w:val="0"/>
        </w:numPr>
        <w:snapToGrid w:val="0"/>
        <w:spacing w:line="400" w:lineRule="exact"/>
        <w:ind w:left="420" w:leftChars="0" w:hanging="420" w:firstLineChars="0"/>
        <w:jc w:val="center"/>
        <w:outlineLvl w:val="2"/>
        <w:rPr>
          <w:rFonts w:hint="default" w:ascii="Wingdings" w:hAnsi="Wingdings" w:eastAsia="宋体" w:cs="宋体"/>
          <w:b/>
          <w:bCs/>
          <w:color w:val="auto"/>
          <w:kern w:val="0"/>
          <w:sz w:val="28"/>
          <w:szCs w:val="28"/>
          <w:highlight w:val="none"/>
          <w:lang w:val="en-US" w:eastAsia="zh-CN" w:bidi="ar-SA"/>
        </w:rPr>
      </w:pPr>
    </w:p>
    <w:p w14:paraId="7F96F0C3">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格式自拟。</w:t>
      </w:r>
    </w:p>
    <w:p w14:paraId="489AC70B">
      <w:pPr>
        <w:rPr>
          <w:color w:val="auto"/>
          <w:highlight w:val="none"/>
        </w:rPr>
      </w:pPr>
    </w:p>
    <w:p w14:paraId="734AD4E2">
      <w:pPr>
        <w:rPr>
          <w:color w:val="auto"/>
          <w:highlight w:val="none"/>
        </w:rPr>
      </w:pPr>
    </w:p>
    <w:p w14:paraId="2C579F14">
      <w:pPr>
        <w:rPr>
          <w:color w:val="auto"/>
          <w:highlight w:val="none"/>
        </w:rPr>
      </w:pPr>
    </w:p>
    <w:p w14:paraId="788206BF">
      <w:pPr>
        <w:rPr>
          <w:color w:val="auto"/>
          <w:highlight w:val="none"/>
        </w:rPr>
      </w:pPr>
    </w:p>
    <w:p w14:paraId="2D7EDAD2">
      <w:pPr>
        <w:rPr>
          <w:color w:val="auto"/>
          <w:highlight w:val="none"/>
        </w:rPr>
      </w:pPr>
    </w:p>
    <w:p w14:paraId="2BE7C59D">
      <w:pPr>
        <w:widowControl/>
        <w:numPr>
          <w:ilvl w:val="0"/>
          <w:numId w:val="0"/>
        </w:numPr>
        <w:snapToGrid w:val="0"/>
        <w:spacing w:line="400" w:lineRule="exact"/>
        <w:ind w:left="420" w:leftChars="0" w:hanging="420" w:firstLineChars="0"/>
        <w:jc w:val="center"/>
        <w:outlineLvl w:val="2"/>
        <w:rPr>
          <w:rFonts w:hint="eastAsia" w:ascii="宋体" w:hAnsi="宋体" w:eastAsia="宋体" w:cs="宋体"/>
          <w:b/>
          <w:color w:val="auto"/>
          <w:sz w:val="28"/>
          <w:szCs w:val="28"/>
          <w:highlight w:val="none"/>
          <w:lang w:val="en-US" w:eastAsia="zh-CN"/>
        </w:rPr>
      </w:pPr>
      <w:r>
        <w:rPr>
          <w:rFonts w:hint="default" w:ascii="Wingdings" w:hAnsi="Wingdings" w:eastAsia="宋体" w:cs="宋体"/>
          <w:b/>
          <w:color w:val="auto"/>
          <w:kern w:val="2"/>
          <w:sz w:val="28"/>
          <w:szCs w:val="28"/>
          <w:highlight w:val="none"/>
          <w:lang w:val="en-US" w:eastAsia="zh-CN" w:bidi="ar-SA"/>
        </w:rPr>
        <w:t></w:t>
      </w:r>
      <w:r>
        <w:rPr>
          <w:rFonts w:hint="eastAsia" w:ascii="宋体" w:hAnsi="宋体" w:eastAsia="宋体" w:cs="宋体"/>
          <w:b/>
          <w:color w:val="auto"/>
          <w:sz w:val="28"/>
          <w:szCs w:val="28"/>
          <w:highlight w:val="none"/>
          <w:lang w:val="en-US" w:eastAsia="zh-CN"/>
        </w:rPr>
        <w:t>售后服务方案</w:t>
      </w:r>
    </w:p>
    <w:p w14:paraId="7B91BABD">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针对本项目采购内容提出各项售后服务承诺指标，并制订达标保障措施和不达标改善措施，包含但不限于以下内容，格式自拟：</w:t>
      </w:r>
    </w:p>
    <w:p w14:paraId="11A742E1">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①</w:t>
      </w:r>
      <w:r>
        <w:rPr>
          <w:rFonts w:hint="eastAsia" w:ascii="宋体" w:hAnsi="宋体" w:eastAsia="宋体" w:cs="宋体"/>
          <w:color w:val="auto"/>
          <w:sz w:val="24"/>
          <w:szCs w:val="24"/>
          <w:highlight w:val="none"/>
          <w:lang w:val="en-US" w:eastAsia="zh-CN"/>
        </w:rPr>
        <w:t>售后</w:t>
      </w:r>
      <w:r>
        <w:rPr>
          <w:rFonts w:hint="default" w:ascii="宋体" w:hAnsi="宋体" w:eastAsia="宋体" w:cs="宋体"/>
          <w:color w:val="auto"/>
          <w:sz w:val="24"/>
          <w:szCs w:val="24"/>
          <w:highlight w:val="none"/>
          <w:lang w:val="en-US" w:eastAsia="zh-CN"/>
        </w:rPr>
        <w:t>服务承诺</w:t>
      </w:r>
    </w:p>
    <w:p w14:paraId="3691F3FD">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②</w:t>
      </w:r>
      <w:r>
        <w:rPr>
          <w:rFonts w:hint="default" w:ascii="宋体" w:hAnsi="宋体" w:eastAsia="宋体" w:cs="宋体"/>
          <w:color w:val="auto"/>
          <w:sz w:val="24"/>
          <w:szCs w:val="24"/>
          <w:highlight w:val="none"/>
          <w:lang w:val="en-US" w:eastAsia="zh-CN"/>
        </w:rPr>
        <w:t>服务响应方案</w:t>
      </w:r>
      <w:r>
        <w:rPr>
          <w:rFonts w:hint="eastAsia" w:ascii="宋体" w:hAnsi="宋体" w:eastAsia="宋体" w:cs="宋体"/>
          <w:color w:val="auto"/>
          <w:kern w:val="0"/>
          <w:sz w:val="24"/>
          <w:highlight w:val="none"/>
          <w:lang w:val="en-US" w:eastAsia="zh-CN"/>
        </w:rPr>
        <w:t>；</w:t>
      </w:r>
    </w:p>
    <w:p w14:paraId="6DBEF411">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③</w:t>
      </w:r>
      <w:r>
        <w:rPr>
          <w:rFonts w:hint="default" w:ascii="宋体" w:hAnsi="宋体" w:eastAsia="宋体" w:cs="宋体"/>
          <w:color w:val="auto"/>
          <w:sz w:val="24"/>
          <w:szCs w:val="24"/>
          <w:highlight w:val="none"/>
          <w:lang w:val="en-US" w:eastAsia="zh-CN"/>
        </w:rPr>
        <w:t>备件（易耗品）供应方案</w:t>
      </w:r>
      <w:r>
        <w:rPr>
          <w:rFonts w:hint="eastAsia" w:ascii="宋体" w:hAnsi="宋体" w:eastAsia="宋体" w:cs="宋体"/>
          <w:color w:val="auto"/>
          <w:sz w:val="24"/>
          <w:szCs w:val="24"/>
          <w:highlight w:val="none"/>
          <w:lang w:val="en-US" w:eastAsia="zh-CN"/>
        </w:rPr>
        <w:t>（含备件价格）</w:t>
      </w:r>
      <w:r>
        <w:rPr>
          <w:rFonts w:hint="eastAsia" w:ascii="宋体" w:hAnsi="宋体" w:eastAsia="宋体" w:cs="宋体"/>
          <w:color w:val="auto"/>
          <w:kern w:val="0"/>
          <w:sz w:val="24"/>
          <w:highlight w:val="none"/>
          <w:lang w:val="en-US" w:eastAsia="zh-CN"/>
        </w:rPr>
        <w:t>；</w:t>
      </w:r>
    </w:p>
    <w:p w14:paraId="76D86EFF">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④</w:t>
      </w:r>
      <w:r>
        <w:rPr>
          <w:rFonts w:hint="default" w:ascii="宋体" w:hAnsi="宋体" w:eastAsia="宋体" w:cs="宋体"/>
          <w:color w:val="auto"/>
          <w:sz w:val="24"/>
          <w:szCs w:val="24"/>
          <w:highlight w:val="none"/>
          <w:lang w:val="en-US" w:eastAsia="zh-CN"/>
        </w:rPr>
        <w:t>服务人员配备</w:t>
      </w:r>
      <w:r>
        <w:rPr>
          <w:rFonts w:hint="eastAsia" w:ascii="宋体" w:hAnsi="宋体" w:eastAsia="宋体" w:cs="宋体"/>
          <w:color w:val="auto"/>
          <w:kern w:val="0"/>
          <w:sz w:val="24"/>
          <w:highlight w:val="none"/>
          <w:lang w:val="en-US" w:eastAsia="zh-CN"/>
        </w:rPr>
        <w:t>；</w:t>
      </w:r>
    </w:p>
    <w:p w14:paraId="283EEC27">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⑤</w:t>
      </w:r>
      <w:r>
        <w:rPr>
          <w:rFonts w:hint="default" w:ascii="宋体" w:hAnsi="宋体" w:eastAsia="宋体" w:cs="宋体"/>
          <w:color w:val="auto"/>
          <w:sz w:val="24"/>
          <w:szCs w:val="24"/>
          <w:highlight w:val="none"/>
          <w:lang w:val="en-US" w:eastAsia="zh-CN"/>
        </w:rPr>
        <w:t>故障响应</w:t>
      </w:r>
      <w:r>
        <w:rPr>
          <w:rFonts w:hint="eastAsia" w:ascii="宋体" w:hAnsi="宋体" w:eastAsia="宋体" w:cs="宋体"/>
          <w:color w:val="auto"/>
          <w:sz w:val="24"/>
          <w:szCs w:val="24"/>
          <w:highlight w:val="none"/>
          <w:lang w:val="en-US" w:eastAsia="zh-CN"/>
        </w:rPr>
        <w:t>措施；</w:t>
      </w:r>
    </w:p>
    <w:p w14:paraId="46CF4B1A">
      <w:pPr>
        <w:spacing w:line="5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val="en-US" w:eastAsia="zh-CN"/>
        </w:rPr>
        <w:t>⑥</w:t>
      </w:r>
      <w:r>
        <w:rPr>
          <w:rFonts w:hint="default" w:ascii="宋体" w:hAnsi="宋体" w:eastAsia="宋体" w:cs="宋体"/>
          <w:color w:val="auto"/>
          <w:sz w:val="24"/>
          <w:szCs w:val="24"/>
          <w:highlight w:val="none"/>
          <w:lang w:val="en-US" w:eastAsia="zh-CN"/>
        </w:rPr>
        <w:t>质保外服务措施</w:t>
      </w:r>
      <w:r>
        <w:rPr>
          <w:rFonts w:hint="eastAsia" w:ascii="宋体" w:hAnsi="宋体" w:eastAsia="宋体" w:cs="宋体"/>
          <w:color w:val="auto"/>
          <w:sz w:val="24"/>
          <w:szCs w:val="24"/>
          <w:highlight w:val="none"/>
          <w:lang w:val="en-US" w:eastAsia="zh-CN"/>
        </w:rPr>
        <w:t>等。</w:t>
      </w:r>
    </w:p>
    <w:p w14:paraId="5A9C1763">
      <w:pPr>
        <w:pStyle w:val="67"/>
        <w:keepNext/>
        <w:keepLines/>
        <w:numPr>
          <w:ilvl w:val="0"/>
          <w:numId w:val="12"/>
        </w:numPr>
        <w:spacing w:line="520" w:lineRule="exact"/>
        <w:ind w:firstLineChars="0"/>
        <w:jc w:val="center"/>
        <w:outlineLvl w:val="0"/>
        <w:rPr>
          <w:rFonts w:ascii="宋体" w:hAnsi="宋体" w:cs="宋体"/>
          <w:b/>
          <w:bCs/>
          <w:color w:val="auto"/>
          <w:kern w:val="0"/>
          <w:sz w:val="28"/>
          <w:szCs w:val="28"/>
          <w:highlight w:val="none"/>
        </w:rPr>
      </w:pPr>
      <w:bookmarkStart w:id="375" w:name="_Toc148084494"/>
      <w:bookmarkStart w:id="376" w:name="_Toc141969815"/>
      <w:bookmarkStart w:id="377" w:name="_Toc141870351"/>
      <w:r>
        <w:rPr>
          <w:rFonts w:hint="eastAsia" w:ascii="宋体" w:hAnsi="宋体" w:cs="宋体"/>
          <w:b/>
          <w:bCs/>
          <w:color w:val="auto"/>
          <w:kern w:val="0"/>
          <w:sz w:val="28"/>
          <w:szCs w:val="28"/>
          <w:highlight w:val="none"/>
        </w:rPr>
        <w:t>投标人认为有必要提供的其他材料</w:t>
      </w:r>
      <w:bookmarkEnd w:id="375"/>
      <w:bookmarkEnd w:id="376"/>
      <w:bookmarkEnd w:id="377"/>
    </w:p>
    <w:p w14:paraId="42324385">
      <w:pPr>
        <w:pStyle w:val="12"/>
        <w:rPr>
          <w:rFonts w:ascii="宋体" w:hAnsi="宋体" w:eastAsia="宋体" w:cs="宋体"/>
          <w:color w:val="auto"/>
          <w:highlight w:val="none"/>
        </w:rPr>
      </w:pPr>
    </w:p>
    <w:sectPr>
      <w:pgSz w:w="11907" w:h="16840"/>
      <w:pgMar w:top="1440" w:right="1803" w:bottom="1440" w:left="1803" w:header="851" w:footer="680" w:gutter="0"/>
      <w:cols w:space="0" w:num="1"/>
      <w:rtlGutter w:val="0"/>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AAE5D0F2-D8C4-4CA7-801F-EB203C49136F}"/>
  </w:font>
  <w:font w:name="Arial">
    <w:panose1 w:val="020B0604020202020204"/>
    <w:charset w:val="01"/>
    <w:family w:val="swiss"/>
    <w:pitch w:val="default"/>
    <w:sig w:usb0="E0002EFF" w:usb1="C000785B" w:usb2="00000009" w:usb3="00000000" w:csb0="400001FF" w:csb1="FFFF0000"/>
    <w:embedRegular r:id="rId2" w:fontKey="{E63D3AA4-036C-490E-8ED3-337D5A0D8819}"/>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3" w:fontKey="{5FAB7A37-8F4A-4037-ABEF-0F799C3B8F3B}"/>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embedRegular r:id="rId4" w:fontKey="{EB60FDAD-6218-42F6-B4DA-ABEBF1B951C2}"/>
  </w:font>
  <w:font w:name="华文中宋">
    <w:panose1 w:val="02010600040101010101"/>
    <w:charset w:val="86"/>
    <w:family w:val="roman"/>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5" w:fontKey="{2E1AFE00-64F9-454D-937D-A8B19618799A}"/>
  </w:font>
  <w:font w:name="方正仿宋_GBK">
    <w:panose1 w:val="02000000000000000000"/>
    <w:charset w:val="86"/>
    <w:family w:val="script"/>
    <w:pitch w:val="default"/>
    <w:sig w:usb0="A00002BF" w:usb1="38CF7CFA" w:usb2="00082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Book Antiqua">
    <w:panose1 w:val="02040602050305030304"/>
    <w:charset w:val="00"/>
    <w:family w:val="roman"/>
    <w:pitch w:val="default"/>
    <w:sig w:usb0="00000287" w:usb1="00000000" w:usb2="00000000" w:usb3="00000000" w:csb0="2000009F" w:csb1="DFD70000"/>
  </w:font>
  <w:font w:name="MS Mincho">
    <w:panose1 w:val="02020609040205080304"/>
    <w:charset w:val="80"/>
    <w:family w:val="modern"/>
    <w:pitch w:val="default"/>
    <w:sig w:usb0="E00002FF" w:usb1="6AC7FDFB" w:usb2="00000012" w:usb3="00000000" w:csb0="4002009F" w:csb1="DFD70000"/>
    <w:embedRegular r:id="rId6" w:fontKey="{2B3AD43B-5FA9-4901-AFD3-B9893BE99F87}"/>
  </w:font>
  <w:font w:name="仿宋">
    <w:panose1 w:val="02010609060101010101"/>
    <w:charset w:val="86"/>
    <w:family w:val="modern"/>
    <w:pitch w:val="default"/>
    <w:sig w:usb0="800002BF" w:usb1="38CF7CFA" w:usb2="00000016" w:usb3="00000000" w:csb0="00040001" w:csb1="00000000"/>
    <w:embedRegular r:id="rId7" w:fontKey="{3B15DB33-86B7-41E6-A99B-DF95B4891889}"/>
  </w:font>
  <w:font w:name="方正仿宋_GB2312">
    <w:panose1 w:val="02000000000000000000"/>
    <w:charset w:val="86"/>
    <w:family w:val="auto"/>
    <w:pitch w:val="default"/>
    <w:sig w:usb0="A00002BF" w:usb1="184F6CFA" w:usb2="00000012" w:usb3="00000000" w:csb0="00040001" w:csb1="00000000"/>
    <w:embedRegular r:id="rId8" w:fontKey="{C3C7AE31-21D2-41AB-9B69-910E1BFB27E2}"/>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F5F0C8">
    <w:pPr>
      <w:framePr w:wrap="around" w:vAnchor="text" w:hAnchor="page" w:x="5986" w:y="78"/>
      <w:tabs>
        <w:tab w:val="center" w:pos="4153"/>
        <w:tab w:val="right" w:pos="8306"/>
      </w:tabs>
      <w:snapToGrid w:val="0"/>
      <w:jc w:val="center"/>
      <w:rPr>
        <w:rFonts w:ascii="Calibri" w:hAnsi="Calibri"/>
        <w:sz w:val="18"/>
        <w:szCs w:val="22"/>
      </w:rPr>
    </w:pPr>
    <w:r>
      <w:rPr>
        <w:rFonts w:hint="eastAsia" w:ascii="Calibri" w:hAnsi="Calibri"/>
        <w:sz w:val="18"/>
        <w:szCs w:val="22"/>
        <w:highlight w:val="white"/>
      </w:rPr>
      <w:t>第</w:t>
    </w:r>
    <w:r>
      <w:rPr>
        <w:rFonts w:ascii="Calibri" w:hAnsi="Calibri"/>
        <w:sz w:val="18"/>
        <w:szCs w:val="22"/>
      </w:rPr>
      <w:fldChar w:fldCharType="begin"/>
    </w:r>
    <w:r>
      <w:rPr>
        <w:rFonts w:ascii="Calibri" w:hAnsi="Calibri"/>
        <w:sz w:val="18"/>
        <w:szCs w:val="22"/>
        <w:highlight w:val="white"/>
      </w:rPr>
      <w:instrText xml:space="preserve"> PAGE </w:instrText>
    </w:r>
    <w:r>
      <w:rPr>
        <w:rFonts w:ascii="Calibri" w:hAnsi="Calibri"/>
        <w:sz w:val="18"/>
        <w:szCs w:val="22"/>
      </w:rPr>
      <w:fldChar w:fldCharType="separate"/>
    </w:r>
    <w:r>
      <w:rPr>
        <w:rFonts w:ascii="Calibri" w:hAnsi="Calibri"/>
        <w:sz w:val="18"/>
        <w:szCs w:val="22"/>
        <w:highlight w:val="white"/>
      </w:rPr>
      <w:t>- 1 -</w:t>
    </w:r>
    <w:r>
      <w:rPr>
        <w:rFonts w:ascii="Calibri" w:hAnsi="Calibri"/>
        <w:sz w:val="18"/>
        <w:szCs w:val="22"/>
      </w:rPr>
      <w:fldChar w:fldCharType="end"/>
    </w:r>
    <w:r>
      <w:rPr>
        <w:rFonts w:hint="eastAsia" w:ascii="Calibri" w:hAnsi="Calibri"/>
        <w:sz w:val="18"/>
        <w:szCs w:val="22"/>
        <w:highlight w:val="white"/>
      </w:rPr>
      <w:t>页</w:t>
    </w:r>
  </w:p>
  <w:p w14:paraId="150C77B0">
    <w:pPr>
      <w:pBdr>
        <w:top w:val="single" w:color="auto" w:sz="4" w:space="0"/>
      </w:pBdr>
      <w:tabs>
        <w:tab w:val="center" w:pos="4153"/>
        <w:tab w:val="right" w:pos="8306"/>
      </w:tabs>
      <w:snapToGrid w:val="0"/>
      <w:rPr>
        <w:rFonts w:ascii="Calibri" w:hAnsi="Calibri"/>
        <w:b/>
        <w:sz w:val="18"/>
        <w:szCs w:val="22"/>
      </w:rPr>
    </w:pPr>
    <w:r>
      <w:rPr>
        <w:rFonts w:hint="eastAsia" w:ascii="Calibri" w:hAnsi="Calibri"/>
        <w:b/>
        <w:sz w:val="18"/>
        <w:szCs w:val="21"/>
        <w:highlight w:val="white"/>
      </w:rPr>
      <w:t xml:space="preserve">新疆天合新动力工程管理有限公司编制                                            </w:t>
    </w:r>
  </w:p>
  <w:p w14:paraId="17B3F295">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DD484">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251637">
    <w:pPr>
      <w:framePr w:wrap="around" w:vAnchor="text" w:hAnchor="page" w:x="5995" w:y="45"/>
      <w:tabs>
        <w:tab w:val="center" w:pos="4153"/>
        <w:tab w:val="right" w:pos="8306"/>
      </w:tabs>
      <w:snapToGrid w:val="0"/>
      <w:jc w:val="center"/>
      <w:rPr>
        <w:rFonts w:ascii="Calibri" w:hAnsi="Calibri"/>
        <w:sz w:val="18"/>
        <w:szCs w:val="22"/>
      </w:rPr>
    </w:pPr>
    <w:r>
      <w:rPr>
        <w:rFonts w:hint="eastAsia" w:ascii="Calibri" w:hAnsi="Calibri"/>
        <w:sz w:val="18"/>
        <w:szCs w:val="22"/>
        <w:highlight w:val="white"/>
      </w:rPr>
      <w:t>第</w:t>
    </w:r>
    <w:r>
      <w:rPr>
        <w:rFonts w:ascii="Calibri" w:hAnsi="Calibri"/>
        <w:sz w:val="18"/>
        <w:szCs w:val="22"/>
        <w:highlight w:val="white"/>
      </w:rPr>
      <w:t xml:space="preserve"> </w:t>
    </w:r>
    <w:r>
      <w:rPr>
        <w:rFonts w:ascii="Calibri" w:hAnsi="Calibri"/>
        <w:sz w:val="18"/>
        <w:szCs w:val="22"/>
      </w:rPr>
      <w:fldChar w:fldCharType="begin"/>
    </w:r>
    <w:r>
      <w:rPr>
        <w:rFonts w:ascii="Calibri" w:hAnsi="Calibri"/>
        <w:sz w:val="18"/>
        <w:szCs w:val="22"/>
        <w:highlight w:val="white"/>
      </w:rPr>
      <w:instrText xml:space="preserve"> PAGE </w:instrText>
    </w:r>
    <w:r>
      <w:rPr>
        <w:rFonts w:ascii="Calibri" w:hAnsi="Calibri"/>
        <w:sz w:val="18"/>
        <w:szCs w:val="22"/>
      </w:rPr>
      <w:fldChar w:fldCharType="separate"/>
    </w:r>
    <w:r>
      <w:rPr>
        <w:rFonts w:ascii="Calibri" w:hAnsi="Calibri"/>
        <w:sz w:val="18"/>
        <w:szCs w:val="22"/>
        <w:highlight w:val="white"/>
      </w:rPr>
      <w:t>53</w:t>
    </w:r>
    <w:r>
      <w:rPr>
        <w:rFonts w:ascii="Calibri" w:hAnsi="Calibri"/>
        <w:sz w:val="18"/>
        <w:szCs w:val="22"/>
      </w:rPr>
      <w:fldChar w:fldCharType="end"/>
    </w:r>
    <w:r>
      <w:rPr>
        <w:rFonts w:hint="eastAsia" w:ascii="Calibri" w:hAnsi="Calibri"/>
        <w:sz w:val="18"/>
        <w:szCs w:val="22"/>
      </w:rPr>
      <w:t xml:space="preserve"> </w:t>
    </w:r>
    <w:r>
      <w:rPr>
        <w:rFonts w:hint="eastAsia" w:ascii="Calibri" w:hAnsi="Calibri"/>
        <w:sz w:val="18"/>
        <w:szCs w:val="22"/>
        <w:highlight w:val="white"/>
      </w:rPr>
      <w:t>页</w:t>
    </w:r>
    <w:r>
      <w:rPr>
        <w:rFonts w:ascii="Calibri" w:hAnsi="Calibri"/>
        <w:sz w:val="18"/>
        <w:szCs w:val="22"/>
        <w:highlight w:val="white"/>
      </w:rPr>
      <w:t xml:space="preserve"> </w:t>
    </w:r>
  </w:p>
  <w:p w14:paraId="1C3463B6">
    <w:pPr>
      <w:pBdr>
        <w:top w:val="single" w:color="auto" w:sz="4" w:space="0"/>
      </w:pBdr>
      <w:tabs>
        <w:tab w:val="center" w:pos="4153"/>
        <w:tab w:val="right" w:pos="8306"/>
      </w:tabs>
      <w:snapToGrid w:val="0"/>
      <w:rPr>
        <w:rFonts w:ascii="Calibri" w:hAnsi="Calibri"/>
        <w:b/>
        <w:sz w:val="18"/>
        <w:szCs w:val="22"/>
      </w:rPr>
    </w:pPr>
    <w:r>
      <w:rPr>
        <w:rFonts w:hint="eastAsia" w:ascii="Calibri" w:hAnsi="Calibri"/>
        <w:b/>
        <w:sz w:val="18"/>
        <w:szCs w:val="21"/>
        <w:highlight w:val="white"/>
      </w:rPr>
      <w:t xml:space="preserve">新疆天合新动力工程管理有限公司编制                                            </w:t>
    </w:r>
    <w:r>
      <w:rPr>
        <w:rFonts w:hint="eastAsia" w:ascii="宋体" w:hAnsi="宋体"/>
        <w:b/>
        <w:sz w:val="18"/>
        <w:szCs w:val="21"/>
        <w:highlight w:val="white"/>
      </w:rPr>
      <w:t xml:space="preserve">   </w:t>
    </w:r>
    <w:r>
      <w:rPr>
        <w:rFonts w:hint="eastAsia" w:ascii="Calibri" w:hAnsi="Calibri"/>
        <w:b/>
        <w:sz w:val="18"/>
        <w:szCs w:val="21"/>
        <w:highlight w:val="white"/>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35BB5">
    <w:pPr>
      <w:pStyle w:val="27"/>
      <w:rPr>
        <w:rFonts w:eastAsiaTheme="minorEastAsia"/>
        <w:sz w:val="15"/>
        <w:szCs w:val="15"/>
      </w:rPr>
    </w:pPr>
    <w:r>
      <w:rPr>
        <w:sz w:val="15"/>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5"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320A65B">
                          <w:pPr>
                            <w:pStyle w:val="27"/>
                          </w:pPr>
                          <w:r>
                            <w:fldChar w:fldCharType="begin"/>
                          </w:r>
                          <w:r>
                            <w:instrText xml:space="preserve"> PAGE  \* MERGEFORMAT </w:instrText>
                          </w:r>
                          <w:r>
                            <w:fldChar w:fldCharType="separate"/>
                          </w:r>
                          <w:r>
                            <w:t>57</w:t>
                          </w:r>
                          <w:r>
                            <w:fldChar w:fldCharType="end"/>
                          </w:r>
                        </w:p>
                      </w:txbxContent>
                    </wps:txbx>
                    <wps:bodyPr wrap="none" lIns="0" tIns="0" rIns="0" bIns="0" upright="0">
                      <a:spAutoFit/>
                    </wps:bodyPr>
                  </wps:wsp>
                </a:graphicData>
              </a:graphic>
            </wp:anchor>
          </w:drawing>
        </mc:Choice>
        <mc:Fallback>
          <w:pict>
            <v:shape id="文本框 34"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VZ+bkdgBAACzAwAADgAAAAAAAAAB&#10;ACAAAAAiAQAAZHJzL2Uyb0RvYy54bWxQSwUGAAAAAAYABgBZAQAAbAUAAAAA&#10;">
              <v:fill on="f" focussize="0,0"/>
              <v:stroke on="f" weight="1.25pt"/>
              <v:imagedata o:title=""/>
              <o:lock v:ext="edit" aspectratio="f"/>
              <v:textbox inset="0mm,0mm,0mm,0mm" style="mso-fit-shape-to-text:t;">
                <w:txbxContent>
                  <w:p w14:paraId="6320A65B">
                    <w:pPr>
                      <w:pStyle w:val="27"/>
                    </w:pPr>
                    <w:r>
                      <w:fldChar w:fldCharType="begin"/>
                    </w:r>
                    <w:r>
                      <w:instrText xml:space="preserve"> PAGE  \* MERGEFORMAT </w:instrText>
                    </w:r>
                    <w:r>
                      <w:fldChar w:fldCharType="separate"/>
                    </w:r>
                    <w:r>
                      <w:t>57</w:t>
                    </w:r>
                    <w:r>
                      <w:fldChar w:fldCharType="end"/>
                    </w:r>
                  </w:p>
                </w:txbxContent>
              </v:textbox>
            </v:shape>
          </w:pict>
        </mc:Fallback>
      </mc:AlternateContent>
    </w:r>
    <w:r>
      <w:rPr>
        <w:sz w:val="15"/>
        <w:szCs w:val="15"/>
      </w:rPr>
      <mc:AlternateContent>
        <mc:Choice Requires="wps">
          <w:drawing>
            <wp:anchor distT="0" distB="0" distL="114300" distR="114300" simplePos="0" relativeHeight="251660288" behindDoc="0" locked="0" layoutInCell="1" allowOverlap="1">
              <wp:simplePos x="0" y="0"/>
              <wp:positionH relativeFrom="column">
                <wp:posOffset>-1270</wp:posOffset>
              </wp:positionH>
              <wp:positionV relativeFrom="paragraph">
                <wp:posOffset>-16510</wp:posOffset>
              </wp:positionV>
              <wp:extent cx="5286375" cy="0"/>
              <wp:effectExtent l="0" t="4445" r="0" b="5080"/>
              <wp:wrapNone/>
              <wp:docPr id="7" name="直接连接符 13"/>
              <wp:cNvGraphicFramePr/>
              <a:graphic xmlns:a="http://schemas.openxmlformats.org/drawingml/2006/main">
                <a:graphicData uri="http://schemas.microsoft.com/office/word/2010/wordprocessingShape">
                  <wps:wsp>
                    <wps:cNvCnPr/>
                    <wps:spPr>
                      <a:xfrm>
                        <a:off x="1141730" y="9987915"/>
                        <a:ext cx="5286375" cy="0"/>
                      </a:xfrm>
                      <a:prstGeom prst="line">
                        <a:avLst/>
                      </a:prstGeom>
                      <a:noFill/>
                      <a:ln w="9525" cap="flat" cmpd="sng" algn="ctr">
                        <a:solidFill>
                          <a:srgbClr val="000000">
                            <a:shade val="95000"/>
                            <a:satMod val="105000"/>
                          </a:srgbClr>
                        </a:solidFill>
                        <a:prstDash val="solid"/>
                      </a:ln>
                      <a:effectLst/>
                    </wps:spPr>
                    <wps:bodyPr/>
                  </wps:wsp>
                </a:graphicData>
              </a:graphic>
            </wp:anchor>
          </w:drawing>
        </mc:Choice>
        <mc:Fallback>
          <w:pict>
            <v:line id="直接连接符 13" o:spid="_x0000_s1026" o:spt="20" style="position:absolute;left:0pt;margin-left:-0.1pt;margin-top:-1.3pt;height:0pt;width:416.25pt;z-index:251660288;mso-width-relative:page;mso-height-relative:page;" filled="f" stroked="t" coordsize="21600,21600" o:gfxdata="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7lo8DUAAAABwEAAA8AAAAAAAAAAQAgAAAAIgAAAGRycy9k&#10;b3ducmV2LnhtbFBLAQIUABQAAAAIAIdO4kCQOvL5BgIAAO4DAAAOAAAAAAAAAAEAIAAAACMBAABk&#10;cnMvZTJvRG9jLnhtbFBLBQYAAAAABgAGAFkBAACbBQAAAAA=&#10;">
              <v:fill on="f" focussize="0,0"/>
              <v:stroke color="#000000" joinstyle="round"/>
              <v:imagedata o:title=""/>
              <o:lock v:ext="edit" aspectratio="f"/>
            </v:line>
          </w:pict>
        </mc:Fallback>
      </mc:AlternateContent>
    </w:r>
    <w:r>
      <w:rPr>
        <w:rFonts w:hint="eastAsia"/>
        <w:sz w:val="15"/>
        <w:szCs w:val="15"/>
      </w:rPr>
      <w:t>新疆天合新动力工程管理有限公司编制（0991-3508696）</w:t>
    </w:r>
  </w:p>
  <w:p w14:paraId="29546B69">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C217C">
    <w:pPr>
      <w:pStyle w:val="2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C4638">
    <w:pPr>
      <w:pStyle w:val="2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34F18">
    <w:pPr>
      <w:pStyle w:val="28"/>
      <w:pBdr>
        <w:bottom w:val="single" w:color="auto" w:sz="4"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230D6">
    <w:pPr>
      <w:pStyle w:val="28"/>
      <w:pBdr>
        <w:bottom w:val="thickThinSmallGap" w:color="auto" w:sz="12" w:space="1"/>
      </w:pBdr>
      <w:jc w:val="both"/>
      <w:rPr>
        <w:rFonts w:eastAsia="宋体"/>
        <w:b/>
        <w:bCs/>
        <w:szCs w:val="18"/>
      </w:rPr>
    </w:pPr>
    <w:r>
      <w:rPr>
        <w:rFonts w:hint="eastAsia" w:ascii="宋体" w:hAnsi="宋体" w:eastAsia="宋体" w:cs="宋体"/>
        <w:b/>
        <w:bCs/>
        <w:szCs w:val="18"/>
        <w:lang w:eastAsia="zh-CN"/>
      </w:rPr>
      <w:t>米东区铁厂沟镇八家户村速冻食品生产车间建设项目-设备采购</w:t>
    </w:r>
    <w:r>
      <w:rPr>
        <w:rFonts w:hint="eastAsia" w:ascii="宋体" w:hAnsi="宋体" w:eastAsia="宋体" w:cs="宋体"/>
        <w:b/>
        <w:bCs/>
        <w:szCs w:val="18"/>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4BBB9">
    <w:pPr>
      <w:pStyle w:val="28"/>
      <w:pBdr>
        <w:bottom w:val="thickThinSmallGap" w:color="auto" w:sz="12" w:space="1"/>
      </w:pBdr>
      <w:jc w:val="both"/>
      <w:rPr>
        <w:rFonts w:eastAsia="宋体"/>
        <w:b/>
        <w:bCs/>
        <w:szCs w:val="18"/>
      </w:rPr>
    </w:pPr>
    <w:r>
      <w:rPr>
        <w:rFonts w:hint="eastAsia" w:ascii="宋体" w:hAnsi="宋体" w:eastAsia="宋体" w:cs="宋体"/>
        <w:b/>
        <w:bCs/>
        <w:szCs w:val="18"/>
        <w:lang w:eastAsia="zh-CN"/>
      </w:rPr>
      <w:t>米东区铁厂沟镇八家户村速冻食品生产车间建设项目-设备采购</w:t>
    </w:r>
    <w:r>
      <w:rPr>
        <w:rFonts w:hint="eastAsia" w:ascii="宋体" w:hAnsi="宋体" w:eastAsia="宋体" w:cs="宋体"/>
        <w:b/>
        <w:bCs/>
        <w:szCs w:val="18"/>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A5FDA"/>
    <w:multiLevelType w:val="singleLevel"/>
    <w:tmpl w:val="811A5FDA"/>
    <w:lvl w:ilvl="0" w:tentative="0">
      <w:start w:val="1"/>
      <w:numFmt w:val="bullet"/>
      <w:lvlText w:val=""/>
      <w:lvlJc w:val="left"/>
      <w:pPr>
        <w:ind w:left="420" w:hanging="420"/>
      </w:pPr>
      <w:rPr>
        <w:rFonts w:hint="default" w:ascii="Wingdings" w:hAnsi="Wingdings"/>
      </w:rPr>
    </w:lvl>
  </w:abstractNum>
  <w:abstractNum w:abstractNumId="1">
    <w:nsid w:val="EA04170E"/>
    <w:multiLevelType w:val="singleLevel"/>
    <w:tmpl w:val="EA04170E"/>
    <w:lvl w:ilvl="0" w:tentative="0">
      <w:start w:val="1"/>
      <w:numFmt w:val="decimal"/>
      <w:suff w:val="space"/>
      <w:lvlText w:val="%1."/>
      <w:lvlJc w:val="left"/>
    </w:lvl>
  </w:abstractNum>
  <w:abstractNum w:abstractNumId="2">
    <w:nsid w:val="EF5EBABC"/>
    <w:multiLevelType w:val="singleLevel"/>
    <w:tmpl w:val="EF5EBABC"/>
    <w:lvl w:ilvl="0" w:tentative="0">
      <w:start w:val="6"/>
      <w:numFmt w:val="chineseCounting"/>
      <w:suff w:val="nothing"/>
      <w:lvlText w:val="%1、"/>
      <w:lvlJc w:val="left"/>
      <w:rPr>
        <w:rFonts w:hint="eastAsia"/>
      </w:rPr>
    </w:lvl>
  </w:abstractNum>
  <w:abstractNum w:abstractNumId="3">
    <w:nsid w:val="00000003"/>
    <w:multiLevelType w:val="multilevel"/>
    <w:tmpl w:val="00000003"/>
    <w:lvl w:ilvl="0" w:tentative="0">
      <w:start w:val="1"/>
      <w:numFmt w:val="japaneseCounting"/>
      <w:pStyle w:val="93"/>
      <w:lvlText w:val="第%1章"/>
      <w:lvlJc w:val="left"/>
      <w:pPr>
        <w:tabs>
          <w:tab w:val="left" w:pos="855"/>
        </w:tabs>
        <w:ind w:left="855" w:hanging="855"/>
      </w:pPr>
      <w:rPr>
        <w:rFonts w:hint="default"/>
        <w:b/>
      </w:rPr>
    </w:lvl>
    <w:lvl w:ilvl="1" w:tentative="0">
      <w:start w:val="6"/>
      <w:numFmt w:val="decimal"/>
      <w:pStyle w:val="104"/>
      <w:lvlText w:val="%2)"/>
      <w:lvlJc w:val="left"/>
      <w:pPr>
        <w:tabs>
          <w:tab w:val="left" w:pos="780"/>
        </w:tabs>
        <w:ind w:left="780" w:hanging="360"/>
      </w:pPr>
      <w:rPr>
        <w:rFonts w:hint="default" w:hAnsi="宋体"/>
      </w:rPr>
    </w:lvl>
    <w:lvl w:ilvl="2" w:tentative="0">
      <w:start w:val="1"/>
      <w:numFmt w:val="lowerRoman"/>
      <w:pStyle w:val="149"/>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14"/>
    <w:multiLevelType w:val="multilevel"/>
    <w:tmpl w:val="00000014"/>
    <w:lvl w:ilvl="0" w:tentative="0">
      <w:start w:val="1"/>
      <w:numFmt w:val="japaneseCounting"/>
      <w:pStyle w:val="143"/>
      <w:lvlText w:val="%1、"/>
      <w:lvlJc w:val="left"/>
      <w:pPr>
        <w:tabs>
          <w:tab w:val="left" w:pos="420"/>
        </w:tabs>
        <w:ind w:left="420" w:hanging="4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70F8E05"/>
    <w:multiLevelType w:val="singleLevel"/>
    <w:tmpl w:val="070F8E05"/>
    <w:lvl w:ilvl="0" w:tentative="0">
      <w:start w:val="2"/>
      <w:numFmt w:val="decimal"/>
      <w:suff w:val="nothing"/>
      <w:lvlText w:val="%1、"/>
      <w:lvlJc w:val="left"/>
    </w:lvl>
  </w:abstractNum>
  <w:abstractNum w:abstractNumId="6">
    <w:nsid w:val="072415DD"/>
    <w:multiLevelType w:val="multilevel"/>
    <w:tmpl w:val="072415D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7">
    <w:nsid w:val="0C694B3D"/>
    <w:multiLevelType w:val="multilevel"/>
    <w:tmpl w:val="0C694B3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
    <w:nsid w:val="15E56DB5"/>
    <w:multiLevelType w:val="singleLevel"/>
    <w:tmpl w:val="15E56DB5"/>
    <w:lvl w:ilvl="0" w:tentative="0">
      <w:start w:val="4"/>
      <w:numFmt w:val="chineseCounting"/>
      <w:suff w:val="space"/>
      <w:lvlText w:val="第%1章"/>
      <w:lvlJc w:val="left"/>
      <w:rPr>
        <w:rFonts w:hint="eastAsia"/>
      </w:rPr>
    </w:lvl>
  </w:abstractNum>
  <w:abstractNum w:abstractNumId="9">
    <w:nsid w:val="360049BA"/>
    <w:multiLevelType w:val="multilevel"/>
    <w:tmpl w:val="360049BA"/>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0">
    <w:nsid w:val="5D4AD66A"/>
    <w:multiLevelType w:val="singleLevel"/>
    <w:tmpl w:val="5D4AD66A"/>
    <w:lvl w:ilvl="0" w:tentative="0">
      <w:start w:val="1"/>
      <w:numFmt w:val="chineseCounting"/>
      <w:suff w:val="nothing"/>
      <w:lvlText w:val="%1、"/>
      <w:lvlJc w:val="left"/>
      <w:rPr>
        <w:rFonts w:hint="eastAsia"/>
      </w:rPr>
    </w:lvl>
  </w:abstractNum>
  <w:abstractNum w:abstractNumId="11">
    <w:nsid w:val="7DB72103"/>
    <w:multiLevelType w:val="multilevel"/>
    <w:tmpl w:val="7DB72103"/>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3"/>
  </w:num>
  <w:num w:numId="2">
    <w:abstractNumId w:val="4"/>
  </w:num>
  <w:num w:numId="3">
    <w:abstractNumId w:val="2"/>
  </w:num>
  <w:num w:numId="4">
    <w:abstractNumId w:val="8"/>
  </w:num>
  <w:num w:numId="5">
    <w:abstractNumId w:val="10"/>
  </w:num>
  <w:num w:numId="6">
    <w:abstractNumId w:val="7"/>
  </w:num>
  <w:num w:numId="7">
    <w:abstractNumId w:val="1"/>
  </w:num>
  <w:num w:numId="8">
    <w:abstractNumId w:val="6"/>
  </w:num>
  <w:num w:numId="9">
    <w:abstractNumId w:val="11"/>
  </w:num>
  <w:num w:numId="10">
    <w:abstractNumId w:val="0"/>
  </w:num>
  <w:num w:numId="11">
    <w:abstractNumId w:val="5"/>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TrueTypeFonts/>
  <w:saveSubsetFonts/>
  <w:bordersDoNotSurroundHeader w:val="0"/>
  <w:bordersDoNotSurroundFooter w:val="0"/>
  <w:hideSpellingErrors/>
  <w:documentProtection w:enforcement="0"/>
  <w:defaultTabStop w:val="420"/>
  <w:drawingGridHorizontalSpacing w:val="105"/>
  <w:drawingGridVerticalSpacing w:val="143"/>
  <w:displayHorizontalDrawingGridEvery w:val="1"/>
  <w:displayVerticalDrawingGridEvery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mNzNjZjljMjA4NjdlOWQxMThmZDQ1NGMxMDQ4N2QifQ=="/>
  </w:docVars>
  <w:rsids>
    <w:rsidRoot w:val="00172A27"/>
    <w:rsid w:val="00000E7F"/>
    <w:rsid w:val="0000109D"/>
    <w:rsid w:val="00001945"/>
    <w:rsid w:val="00004769"/>
    <w:rsid w:val="00004D34"/>
    <w:rsid w:val="00004F4A"/>
    <w:rsid w:val="00007CBA"/>
    <w:rsid w:val="000111EB"/>
    <w:rsid w:val="00012067"/>
    <w:rsid w:val="000120A4"/>
    <w:rsid w:val="00014106"/>
    <w:rsid w:val="000150E9"/>
    <w:rsid w:val="0001541E"/>
    <w:rsid w:val="00015E40"/>
    <w:rsid w:val="000164E0"/>
    <w:rsid w:val="00017DD2"/>
    <w:rsid w:val="00020151"/>
    <w:rsid w:val="00020A2B"/>
    <w:rsid w:val="00024F12"/>
    <w:rsid w:val="00026EB0"/>
    <w:rsid w:val="00026FB8"/>
    <w:rsid w:val="00027C3E"/>
    <w:rsid w:val="00027CED"/>
    <w:rsid w:val="00030005"/>
    <w:rsid w:val="00030514"/>
    <w:rsid w:val="00030CDE"/>
    <w:rsid w:val="0003100F"/>
    <w:rsid w:val="000311B6"/>
    <w:rsid w:val="00032002"/>
    <w:rsid w:val="00032522"/>
    <w:rsid w:val="0003271A"/>
    <w:rsid w:val="00032B76"/>
    <w:rsid w:val="00033535"/>
    <w:rsid w:val="00033BA7"/>
    <w:rsid w:val="00036268"/>
    <w:rsid w:val="000368F6"/>
    <w:rsid w:val="00036BB9"/>
    <w:rsid w:val="00037FCD"/>
    <w:rsid w:val="00040778"/>
    <w:rsid w:val="0004143E"/>
    <w:rsid w:val="00043275"/>
    <w:rsid w:val="00044A7F"/>
    <w:rsid w:val="0004514B"/>
    <w:rsid w:val="00045E97"/>
    <w:rsid w:val="00050055"/>
    <w:rsid w:val="0005044F"/>
    <w:rsid w:val="0005122F"/>
    <w:rsid w:val="000514C7"/>
    <w:rsid w:val="00052C51"/>
    <w:rsid w:val="00055C79"/>
    <w:rsid w:val="0005622D"/>
    <w:rsid w:val="00056860"/>
    <w:rsid w:val="00056991"/>
    <w:rsid w:val="00056FC3"/>
    <w:rsid w:val="00060346"/>
    <w:rsid w:val="000605B5"/>
    <w:rsid w:val="00061A6C"/>
    <w:rsid w:val="000630AB"/>
    <w:rsid w:val="00064994"/>
    <w:rsid w:val="00064C1E"/>
    <w:rsid w:val="0006660A"/>
    <w:rsid w:val="0006685F"/>
    <w:rsid w:val="000672A6"/>
    <w:rsid w:val="00072A19"/>
    <w:rsid w:val="00073345"/>
    <w:rsid w:val="000801D5"/>
    <w:rsid w:val="00080B1C"/>
    <w:rsid w:val="00084903"/>
    <w:rsid w:val="00084924"/>
    <w:rsid w:val="00085410"/>
    <w:rsid w:val="00085D2F"/>
    <w:rsid w:val="00086634"/>
    <w:rsid w:val="00086D3D"/>
    <w:rsid w:val="00092E51"/>
    <w:rsid w:val="00092E63"/>
    <w:rsid w:val="00094FBA"/>
    <w:rsid w:val="0009637C"/>
    <w:rsid w:val="000969DE"/>
    <w:rsid w:val="000A0E56"/>
    <w:rsid w:val="000A11E9"/>
    <w:rsid w:val="000A1C92"/>
    <w:rsid w:val="000A3127"/>
    <w:rsid w:val="000A39AD"/>
    <w:rsid w:val="000A4B98"/>
    <w:rsid w:val="000A75BB"/>
    <w:rsid w:val="000B04F6"/>
    <w:rsid w:val="000B05E9"/>
    <w:rsid w:val="000B18E4"/>
    <w:rsid w:val="000B1BFD"/>
    <w:rsid w:val="000B25CE"/>
    <w:rsid w:val="000B2AC1"/>
    <w:rsid w:val="000B392C"/>
    <w:rsid w:val="000B5C10"/>
    <w:rsid w:val="000B6456"/>
    <w:rsid w:val="000B6E29"/>
    <w:rsid w:val="000C08F9"/>
    <w:rsid w:val="000C38FD"/>
    <w:rsid w:val="000C390D"/>
    <w:rsid w:val="000C6357"/>
    <w:rsid w:val="000C6846"/>
    <w:rsid w:val="000C7D95"/>
    <w:rsid w:val="000D0A0A"/>
    <w:rsid w:val="000D1E1D"/>
    <w:rsid w:val="000D293B"/>
    <w:rsid w:val="000D3AB3"/>
    <w:rsid w:val="000D5B54"/>
    <w:rsid w:val="000D5F51"/>
    <w:rsid w:val="000D6993"/>
    <w:rsid w:val="000D701E"/>
    <w:rsid w:val="000D71C0"/>
    <w:rsid w:val="000D7DFC"/>
    <w:rsid w:val="000E24E3"/>
    <w:rsid w:val="000E2A1B"/>
    <w:rsid w:val="000E3CB3"/>
    <w:rsid w:val="000E478B"/>
    <w:rsid w:val="000E51F3"/>
    <w:rsid w:val="000E55C9"/>
    <w:rsid w:val="000E56A5"/>
    <w:rsid w:val="000E6721"/>
    <w:rsid w:val="000F1463"/>
    <w:rsid w:val="000F45A5"/>
    <w:rsid w:val="000F651A"/>
    <w:rsid w:val="001008DF"/>
    <w:rsid w:val="001012CF"/>
    <w:rsid w:val="0010713D"/>
    <w:rsid w:val="00107315"/>
    <w:rsid w:val="0011294E"/>
    <w:rsid w:val="00113C6F"/>
    <w:rsid w:val="001140CD"/>
    <w:rsid w:val="001146D4"/>
    <w:rsid w:val="00114EAA"/>
    <w:rsid w:val="00117F7F"/>
    <w:rsid w:val="00121A18"/>
    <w:rsid w:val="00122316"/>
    <w:rsid w:val="00123B5D"/>
    <w:rsid w:val="00125098"/>
    <w:rsid w:val="00125489"/>
    <w:rsid w:val="001264A6"/>
    <w:rsid w:val="00127862"/>
    <w:rsid w:val="00130B31"/>
    <w:rsid w:val="00130DFA"/>
    <w:rsid w:val="00130FB3"/>
    <w:rsid w:val="00131150"/>
    <w:rsid w:val="001319F3"/>
    <w:rsid w:val="00133822"/>
    <w:rsid w:val="00134B7F"/>
    <w:rsid w:val="00136656"/>
    <w:rsid w:val="00136DBD"/>
    <w:rsid w:val="001370D1"/>
    <w:rsid w:val="001408C7"/>
    <w:rsid w:val="00142A96"/>
    <w:rsid w:val="00143B74"/>
    <w:rsid w:val="00144191"/>
    <w:rsid w:val="00144D11"/>
    <w:rsid w:val="001452ED"/>
    <w:rsid w:val="001461C7"/>
    <w:rsid w:val="00147C19"/>
    <w:rsid w:val="00150B65"/>
    <w:rsid w:val="00150B70"/>
    <w:rsid w:val="00151673"/>
    <w:rsid w:val="0015365D"/>
    <w:rsid w:val="00154A11"/>
    <w:rsid w:val="00156677"/>
    <w:rsid w:val="00156EB2"/>
    <w:rsid w:val="00160888"/>
    <w:rsid w:val="00161223"/>
    <w:rsid w:val="00161A31"/>
    <w:rsid w:val="00162DA3"/>
    <w:rsid w:val="00164E0B"/>
    <w:rsid w:val="00165372"/>
    <w:rsid w:val="001656C0"/>
    <w:rsid w:val="001656E7"/>
    <w:rsid w:val="00166576"/>
    <w:rsid w:val="00170D37"/>
    <w:rsid w:val="00172A27"/>
    <w:rsid w:val="00173B57"/>
    <w:rsid w:val="00173FC8"/>
    <w:rsid w:val="00174176"/>
    <w:rsid w:val="00175013"/>
    <w:rsid w:val="001757DC"/>
    <w:rsid w:val="001759FD"/>
    <w:rsid w:val="00177BC7"/>
    <w:rsid w:val="00183126"/>
    <w:rsid w:val="0018432B"/>
    <w:rsid w:val="00184D4D"/>
    <w:rsid w:val="0018519A"/>
    <w:rsid w:val="00185BEE"/>
    <w:rsid w:val="00185F23"/>
    <w:rsid w:val="00186314"/>
    <w:rsid w:val="00186ACC"/>
    <w:rsid w:val="001876F5"/>
    <w:rsid w:val="00191D21"/>
    <w:rsid w:val="00192063"/>
    <w:rsid w:val="0019369E"/>
    <w:rsid w:val="00193BCE"/>
    <w:rsid w:val="00195F90"/>
    <w:rsid w:val="001962F5"/>
    <w:rsid w:val="001A1044"/>
    <w:rsid w:val="001A1ACE"/>
    <w:rsid w:val="001A363B"/>
    <w:rsid w:val="001A650D"/>
    <w:rsid w:val="001A73B5"/>
    <w:rsid w:val="001A7E7E"/>
    <w:rsid w:val="001B1187"/>
    <w:rsid w:val="001B133C"/>
    <w:rsid w:val="001B1F2D"/>
    <w:rsid w:val="001B2E57"/>
    <w:rsid w:val="001B4988"/>
    <w:rsid w:val="001B58B6"/>
    <w:rsid w:val="001B612C"/>
    <w:rsid w:val="001B6C83"/>
    <w:rsid w:val="001B6CCB"/>
    <w:rsid w:val="001B7018"/>
    <w:rsid w:val="001B739F"/>
    <w:rsid w:val="001C1537"/>
    <w:rsid w:val="001C1780"/>
    <w:rsid w:val="001C1D8C"/>
    <w:rsid w:val="001C2986"/>
    <w:rsid w:val="001C34D5"/>
    <w:rsid w:val="001C54D4"/>
    <w:rsid w:val="001D3947"/>
    <w:rsid w:val="001D3C36"/>
    <w:rsid w:val="001D5689"/>
    <w:rsid w:val="001D674F"/>
    <w:rsid w:val="001E04D2"/>
    <w:rsid w:val="001E28EE"/>
    <w:rsid w:val="001E49F6"/>
    <w:rsid w:val="001E7A0E"/>
    <w:rsid w:val="001F1E80"/>
    <w:rsid w:val="001F434A"/>
    <w:rsid w:val="001F4392"/>
    <w:rsid w:val="001F4AA1"/>
    <w:rsid w:val="001F4E1A"/>
    <w:rsid w:val="001F53E1"/>
    <w:rsid w:val="001F5FFE"/>
    <w:rsid w:val="001F731D"/>
    <w:rsid w:val="001F768C"/>
    <w:rsid w:val="001F7937"/>
    <w:rsid w:val="002000D2"/>
    <w:rsid w:val="00200AA2"/>
    <w:rsid w:val="00202D7E"/>
    <w:rsid w:val="00203277"/>
    <w:rsid w:val="00204468"/>
    <w:rsid w:val="00205353"/>
    <w:rsid w:val="0020659E"/>
    <w:rsid w:val="00206CD5"/>
    <w:rsid w:val="00206D44"/>
    <w:rsid w:val="002075A9"/>
    <w:rsid w:val="0021091E"/>
    <w:rsid w:val="00210AC7"/>
    <w:rsid w:val="002115D9"/>
    <w:rsid w:val="00212946"/>
    <w:rsid w:val="00212E8B"/>
    <w:rsid w:val="00213C86"/>
    <w:rsid w:val="00214F3A"/>
    <w:rsid w:val="00215A40"/>
    <w:rsid w:val="00216956"/>
    <w:rsid w:val="002170B3"/>
    <w:rsid w:val="002172B5"/>
    <w:rsid w:val="002209D0"/>
    <w:rsid w:val="00220CED"/>
    <w:rsid w:val="002217A7"/>
    <w:rsid w:val="00222A1F"/>
    <w:rsid w:val="002234B9"/>
    <w:rsid w:val="00223572"/>
    <w:rsid w:val="002235C8"/>
    <w:rsid w:val="00223883"/>
    <w:rsid w:val="00223EFC"/>
    <w:rsid w:val="00224194"/>
    <w:rsid w:val="002244F8"/>
    <w:rsid w:val="00224DB7"/>
    <w:rsid w:val="00230D40"/>
    <w:rsid w:val="00230FC5"/>
    <w:rsid w:val="0023402B"/>
    <w:rsid w:val="002341E2"/>
    <w:rsid w:val="00235D78"/>
    <w:rsid w:val="002361F1"/>
    <w:rsid w:val="00237D44"/>
    <w:rsid w:val="0024008D"/>
    <w:rsid w:val="002403AE"/>
    <w:rsid w:val="0024045D"/>
    <w:rsid w:val="002406D1"/>
    <w:rsid w:val="0024176B"/>
    <w:rsid w:val="00241C2B"/>
    <w:rsid w:val="00242078"/>
    <w:rsid w:val="00242FC5"/>
    <w:rsid w:val="002436A2"/>
    <w:rsid w:val="0024388B"/>
    <w:rsid w:val="00243DDA"/>
    <w:rsid w:val="00245F93"/>
    <w:rsid w:val="00247A46"/>
    <w:rsid w:val="00250467"/>
    <w:rsid w:val="00251886"/>
    <w:rsid w:val="00252DEE"/>
    <w:rsid w:val="00254349"/>
    <w:rsid w:val="00254460"/>
    <w:rsid w:val="00254753"/>
    <w:rsid w:val="002557C7"/>
    <w:rsid w:val="00255AEE"/>
    <w:rsid w:val="00256B00"/>
    <w:rsid w:val="00257E1F"/>
    <w:rsid w:val="00260B34"/>
    <w:rsid w:val="00261227"/>
    <w:rsid w:val="00261648"/>
    <w:rsid w:val="002624B8"/>
    <w:rsid w:val="00262608"/>
    <w:rsid w:val="0026344A"/>
    <w:rsid w:val="002637E9"/>
    <w:rsid w:val="002640E6"/>
    <w:rsid w:val="002648E3"/>
    <w:rsid w:val="00267236"/>
    <w:rsid w:val="0027103B"/>
    <w:rsid w:val="002718F0"/>
    <w:rsid w:val="00273509"/>
    <w:rsid w:val="00273D3E"/>
    <w:rsid w:val="00275218"/>
    <w:rsid w:val="00277C98"/>
    <w:rsid w:val="002810EA"/>
    <w:rsid w:val="00281D41"/>
    <w:rsid w:val="00282D30"/>
    <w:rsid w:val="002838D1"/>
    <w:rsid w:val="00283962"/>
    <w:rsid w:val="0028536F"/>
    <w:rsid w:val="00287157"/>
    <w:rsid w:val="00287D04"/>
    <w:rsid w:val="00291BC9"/>
    <w:rsid w:val="00292366"/>
    <w:rsid w:val="002944CF"/>
    <w:rsid w:val="002949FE"/>
    <w:rsid w:val="002962B2"/>
    <w:rsid w:val="002A1F5A"/>
    <w:rsid w:val="002A1F7B"/>
    <w:rsid w:val="002A21DF"/>
    <w:rsid w:val="002A3796"/>
    <w:rsid w:val="002A6280"/>
    <w:rsid w:val="002A6653"/>
    <w:rsid w:val="002A71C1"/>
    <w:rsid w:val="002A7334"/>
    <w:rsid w:val="002A774F"/>
    <w:rsid w:val="002A7DFD"/>
    <w:rsid w:val="002B0127"/>
    <w:rsid w:val="002B232D"/>
    <w:rsid w:val="002B2B34"/>
    <w:rsid w:val="002B439E"/>
    <w:rsid w:val="002B492B"/>
    <w:rsid w:val="002B6F48"/>
    <w:rsid w:val="002B75B5"/>
    <w:rsid w:val="002C15E5"/>
    <w:rsid w:val="002C1771"/>
    <w:rsid w:val="002C1FEA"/>
    <w:rsid w:val="002C2346"/>
    <w:rsid w:val="002C3180"/>
    <w:rsid w:val="002C3E98"/>
    <w:rsid w:val="002C49A1"/>
    <w:rsid w:val="002C5F57"/>
    <w:rsid w:val="002C613D"/>
    <w:rsid w:val="002C650E"/>
    <w:rsid w:val="002D197D"/>
    <w:rsid w:val="002D2080"/>
    <w:rsid w:val="002D39D4"/>
    <w:rsid w:val="002D4BDB"/>
    <w:rsid w:val="002D5313"/>
    <w:rsid w:val="002D59A8"/>
    <w:rsid w:val="002D5DF9"/>
    <w:rsid w:val="002D7872"/>
    <w:rsid w:val="002E0183"/>
    <w:rsid w:val="002E034E"/>
    <w:rsid w:val="002E0ADD"/>
    <w:rsid w:val="002E26F5"/>
    <w:rsid w:val="002E2D24"/>
    <w:rsid w:val="002E3F1D"/>
    <w:rsid w:val="002E44CB"/>
    <w:rsid w:val="002E4929"/>
    <w:rsid w:val="002E7CD1"/>
    <w:rsid w:val="002F04E9"/>
    <w:rsid w:val="002F2B3D"/>
    <w:rsid w:val="002F390A"/>
    <w:rsid w:val="002F4282"/>
    <w:rsid w:val="002F6D57"/>
    <w:rsid w:val="002F71F2"/>
    <w:rsid w:val="00300B3E"/>
    <w:rsid w:val="003036E9"/>
    <w:rsid w:val="00306143"/>
    <w:rsid w:val="003104C0"/>
    <w:rsid w:val="00310DF8"/>
    <w:rsid w:val="00311AA6"/>
    <w:rsid w:val="00312D74"/>
    <w:rsid w:val="00312F1C"/>
    <w:rsid w:val="00313261"/>
    <w:rsid w:val="003134E8"/>
    <w:rsid w:val="00313580"/>
    <w:rsid w:val="00313F62"/>
    <w:rsid w:val="003164B2"/>
    <w:rsid w:val="00317BF5"/>
    <w:rsid w:val="00320F1E"/>
    <w:rsid w:val="00322717"/>
    <w:rsid w:val="00322ABD"/>
    <w:rsid w:val="00323E7A"/>
    <w:rsid w:val="00324528"/>
    <w:rsid w:val="00324CAE"/>
    <w:rsid w:val="00325AAD"/>
    <w:rsid w:val="00325C83"/>
    <w:rsid w:val="00332BE4"/>
    <w:rsid w:val="00333ADF"/>
    <w:rsid w:val="0033445F"/>
    <w:rsid w:val="00335FF3"/>
    <w:rsid w:val="0034237A"/>
    <w:rsid w:val="00345455"/>
    <w:rsid w:val="0035275E"/>
    <w:rsid w:val="00352EA1"/>
    <w:rsid w:val="00356886"/>
    <w:rsid w:val="0035740D"/>
    <w:rsid w:val="00357A91"/>
    <w:rsid w:val="0036690B"/>
    <w:rsid w:val="00367826"/>
    <w:rsid w:val="00372D88"/>
    <w:rsid w:val="00373283"/>
    <w:rsid w:val="00373EF8"/>
    <w:rsid w:val="0037544B"/>
    <w:rsid w:val="00376EFD"/>
    <w:rsid w:val="00377B62"/>
    <w:rsid w:val="0038104F"/>
    <w:rsid w:val="00381130"/>
    <w:rsid w:val="00381EF3"/>
    <w:rsid w:val="00382A63"/>
    <w:rsid w:val="003830EC"/>
    <w:rsid w:val="00383447"/>
    <w:rsid w:val="00384C3A"/>
    <w:rsid w:val="00387434"/>
    <w:rsid w:val="003936DE"/>
    <w:rsid w:val="00393FA3"/>
    <w:rsid w:val="003958B7"/>
    <w:rsid w:val="00396A03"/>
    <w:rsid w:val="003976E3"/>
    <w:rsid w:val="003A27B9"/>
    <w:rsid w:val="003A292A"/>
    <w:rsid w:val="003A4235"/>
    <w:rsid w:val="003A4D93"/>
    <w:rsid w:val="003A75F7"/>
    <w:rsid w:val="003B21CD"/>
    <w:rsid w:val="003B2E87"/>
    <w:rsid w:val="003B3B2A"/>
    <w:rsid w:val="003B6E5D"/>
    <w:rsid w:val="003C0CB7"/>
    <w:rsid w:val="003C2703"/>
    <w:rsid w:val="003C2D75"/>
    <w:rsid w:val="003C3FAB"/>
    <w:rsid w:val="003C647E"/>
    <w:rsid w:val="003C690C"/>
    <w:rsid w:val="003C7718"/>
    <w:rsid w:val="003D0DD1"/>
    <w:rsid w:val="003D77CA"/>
    <w:rsid w:val="003E1C62"/>
    <w:rsid w:val="003E1FB5"/>
    <w:rsid w:val="003E2BC3"/>
    <w:rsid w:val="003E37EB"/>
    <w:rsid w:val="003E404C"/>
    <w:rsid w:val="003E40D1"/>
    <w:rsid w:val="003E4BBA"/>
    <w:rsid w:val="003E5B4C"/>
    <w:rsid w:val="003E60CA"/>
    <w:rsid w:val="003E67E3"/>
    <w:rsid w:val="003E6B56"/>
    <w:rsid w:val="003E7E47"/>
    <w:rsid w:val="003F03D7"/>
    <w:rsid w:val="003F066D"/>
    <w:rsid w:val="003F1281"/>
    <w:rsid w:val="003F1A8D"/>
    <w:rsid w:val="003F1E39"/>
    <w:rsid w:val="003F2E71"/>
    <w:rsid w:val="003F39F9"/>
    <w:rsid w:val="003F4BB8"/>
    <w:rsid w:val="003F4E3C"/>
    <w:rsid w:val="003F55C2"/>
    <w:rsid w:val="003F7CB5"/>
    <w:rsid w:val="00400965"/>
    <w:rsid w:val="00402536"/>
    <w:rsid w:val="0040672C"/>
    <w:rsid w:val="0040689A"/>
    <w:rsid w:val="00407854"/>
    <w:rsid w:val="0041122F"/>
    <w:rsid w:val="0041190E"/>
    <w:rsid w:val="00413A41"/>
    <w:rsid w:val="00416792"/>
    <w:rsid w:val="004172AB"/>
    <w:rsid w:val="00417ADF"/>
    <w:rsid w:val="0042010F"/>
    <w:rsid w:val="00421A2B"/>
    <w:rsid w:val="00422E2A"/>
    <w:rsid w:val="004240FB"/>
    <w:rsid w:val="004243F8"/>
    <w:rsid w:val="00424890"/>
    <w:rsid w:val="00424930"/>
    <w:rsid w:val="00425258"/>
    <w:rsid w:val="0042681A"/>
    <w:rsid w:val="0042789C"/>
    <w:rsid w:val="004302B4"/>
    <w:rsid w:val="00430991"/>
    <w:rsid w:val="00430B47"/>
    <w:rsid w:val="00432BBF"/>
    <w:rsid w:val="00434984"/>
    <w:rsid w:val="0044070F"/>
    <w:rsid w:val="004441E2"/>
    <w:rsid w:val="00444B8B"/>
    <w:rsid w:val="00444BFA"/>
    <w:rsid w:val="00444FB7"/>
    <w:rsid w:val="00445E54"/>
    <w:rsid w:val="00445E7F"/>
    <w:rsid w:val="00447156"/>
    <w:rsid w:val="0044778B"/>
    <w:rsid w:val="00447806"/>
    <w:rsid w:val="00451231"/>
    <w:rsid w:val="0045268D"/>
    <w:rsid w:val="00455D92"/>
    <w:rsid w:val="00455D94"/>
    <w:rsid w:val="00457D6C"/>
    <w:rsid w:val="0046069C"/>
    <w:rsid w:val="004617D6"/>
    <w:rsid w:val="004638B6"/>
    <w:rsid w:val="00465B2D"/>
    <w:rsid w:val="00467899"/>
    <w:rsid w:val="004706F3"/>
    <w:rsid w:val="00470DE0"/>
    <w:rsid w:val="0047142B"/>
    <w:rsid w:val="004720A8"/>
    <w:rsid w:val="00473566"/>
    <w:rsid w:val="004803CE"/>
    <w:rsid w:val="004829FF"/>
    <w:rsid w:val="00484F73"/>
    <w:rsid w:val="00485216"/>
    <w:rsid w:val="00486483"/>
    <w:rsid w:val="00486CF3"/>
    <w:rsid w:val="00491C3B"/>
    <w:rsid w:val="004929F4"/>
    <w:rsid w:val="00493DCF"/>
    <w:rsid w:val="00496F67"/>
    <w:rsid w:val="004979CC"/>
    <w:rsid w:val="004A1E2A"/>
    <w:rsid w:val="004A3405"/>
    <w:rsid w:val="004A3C09"/>
    <w:rsid w:val="004A4756"/>
    <w:rsid w:val="004A4B59"/>
    <w:rsid w:val="004A6125"/>
    <w:rsid w:val="004A6C8E"/>
    <w:rsid w:val="004A7F6F"/>
    <w:rsid w:val="004B0F95"/>
    <w:rsid w:val="004B1269"/>
    <w:rsid w:val="004B44D2"/>
    <w:rsid w:val="004B45F5"/>
    <w:rsid w:val="004B6B81"/>
    <w:rsid w:val="004B6EF4"/>
    <w:rsid w:val="004B7A49"/>
    <w:rsid w:val="004C1A5E"/>
    <w:rsid w:val="004C21A9"/>
    <w:rsid w:val="004C7A4E"/>
    <w:rsid w:val="004D07E1"/>
    <w:rsid w:val="004D18B5"/>
    <w:rsid w:val="004D2694"/>
    <w:rsid w:val="004D280A"/>
    <w:rsid w:val="004D2BDC"/>
    <w:rsid w:val="004D3FAB"/>
    <w:rsid w:val="004D4261"/>
    <w:rsid w:val="004D48F8"/>
    <w:rsid w:val="004D558C"/>
    <w:rsid w:val="004D6928"/>
    <w:rsid w:val="004E25E0"/>
    <w:rsid w:val="004E25EB"/>
    <w:rsid w:val="004E2BA6"/>
    <w:rsid w:val="004E61EE"/>
    <w:rsid w:val="004E660F"/>
    <w:rsid w:val="004E6897"/>
    <w:rsid w:val="004E68BF"/>
    <w:rsid w:val="004E6A95"/>
    <w:rsid w:val="004E6D5E"/>
    <w:rsid w:val="004F08E8"/>
    <w:rsid w:val="004F1FE9"/>
    <w:rsid w:val="004F2326"/>
    <w:rsid w:val="004F32C4"/>
    <w:rsid w:val="004F35D3"/>
    <w:rsid w:val="004F52ED"/>
    <w:rsid w:val="004F59F3"/>
    <w:rsid w:val="004F63C3"/>
    <w:rsid w:val="004F65B1"/>
    <w:rsid w:val="004F76B4"/>
    <w:rsid w:val="004F7DB1"/>
    <w:rsid w:val="004F7F9C"/>
    <w:rsid w:val="005012BD"/>
    <w:rsid w:val="005019EA"/>
    <w:rsid w:val="00501F4D"/>
    <w:rsid w:val="00503A06"/>
    <w:rsid w:val="00504929"/>
    <w:rsid w:val="00504ED4"/>
    <w:rsid w:val="00506AE8"/>
    <w:rsid w:val="00506F1E"/>
    <w:rsid w:val="00511487"/>
    <w:rsid w:val="00511E0A"/>
    <w:rsid w:val="00512C73"/>
    <w:rsid w:val="00514A64"/>
    <w:rsid w:val="00515885"/>
    <w:rsid w:val="00515BB1"/>
    <w:rsid w:val="005179BE"/>
    <w:rsid w:val="00520D4B"/>
    <w:rsid w:val="00522465"/>
    <w:rsid w:val="00526D1B"/>
    <w:rsid w:val="00527111"/>
    <w:rsid w:val="00527BEB"/>
    <w:rsid w:val="00530534"/>
    <w:rsid w:val="0053094A"/>
    <w:rsid w:val="00534578"/>
    <w:rsid w:val="00535F0B"/>
    <w:rsid w:val="0053622C"/>
    <w:rsid w:val="0053638D"/>
    <w:rsid w:val="00536EF6"/>
    <w:rsid w:val="005403B7"/>
    <w:rsid w:val="00540D5A"/>
    <w:rsid w:val="00541B30"/>
    <w:rsid w:val="00541C45"/>
    <w:rsid w:val="005424C7"/>
    <w:rsid w:val="005428E6"/>
    <w:rsid w:val="00544E49"/>
    <w:rsid w:val="005470B3"/>
    <w:rsid w:val="00547CC2"/>
    <w:rsid w:val="00547F57"/>
    <w:rsid w:val="00551162"/>
    <w:rsid w:val="005525CB"/>
    <w:rsid w:val="005530CB"/>
    <w:rsid w:val="00553173"/>
    <w:rsid w:val="005533DE"/>
    <w:rsid w:val="005553C7"/>
    <w:rsid w:val="00555528"/>
    <w:rsid w:val="00556A6E"/>
    <w:rsid w:val="00561562"/>
    <w:rsid w:val="0056183D"/>
    <w:rsid w:val="005621F3"/>
    <w:rsid w:val="005630D5"/>
    <w:rsid w:val="0056392B"/>
    <w:rsid w:val="00563953"/>
    <w:rsid w:val="005643E2"/>
    <w:rsid w:val="00565433"/>
    <w:rsid w:val="00565D36"/>
    <w:rsid w:val="00566096"/>
    <w:rsid w:val="00567D47"/>
    <w:rsid w:val="00570AFF"/>
    <w:rsid w:val="005710EF"/>
    <w:rsid w:val="00580339"/>
    <w:rsid w:val="005827D7"/>
    <w:rsid w:val="00583256"/>
    <w:rsid w:val="00583274"/>
    <w:rsid w:val="00583D9E"/>
    <w:rsid w:val="00584FD6"/>
    <w:rsid w:val="0058591D"/>
    <w:rsid w:val="00586369"/>
    <w:rsid w:val="005876D5"/>
    <w:rsid w:val="00590068"/>
    <w:rsid w:val="005906CF"/>
    <w:rsid w:val="0059239A"/>
    <w:rsid w:val="005925F7"/>
    <w:rsid w:val="005926A6"/>
    <w:rsid w:val="00592CA0"/>
    <w:rsid w:val="00595500"/>
    <w:rsid w:val="00597878"/>
    <w:rsid w:val="00597EBB"/>
    <w:rsid w:val="005A0E32"/>
    <w:rsid w:val="005A235F"/>
    <w:rsid w:val="005A27E9"/>
    <w:rsid w:val="005A368E"/>
    <w:rsid w:val="005A4632"/>
    <w:rsid w:val="005A5474"/>
    <w:rsid w:val="005A5813"/>
    <w:rsid w:val="005A593F"/>
    <w:rsid w:val="005A5F38"/>
    <w:rsid w:val="005A7BCB"/>
    <w:rsid w:val="005B2645"/>
    <w:rsid w:val="005B3071"/>
    <w:rsid w:val="005B34EA"/>
    <w:rsid w:val="005B3AE7"/>
    <w:rsid w:val="005B48F4"/>
    <w:rsid w:val="005C0201"/>
    <w:rsid w:val="005C14FE"/>
    <w:rsid w:val="005C2C7A"/>
    <w:rsid w:val="005C4BAF"/>
    <w:rsid w:val="005C4EB0"/>
    <w:rsid w:val="005C51D2"/>
    <w:rsid w:val="005C62DD"/>
    <w:rsid w:val="005C6D21"/>
    <w:rsid w:val="005C6DE3"/>
    <w:rsid w:val="005C7BE6"/>
    <w:rsid w:val="005D43B7"/>
    <w:rsid w:val="005D5C31"/>
    <w:rsid w:val="005D623E"/>
    <w:rsid w:val="005E1270"/>
    <w:rsid w:val="005E2911"/>
    <w:rsid w:val="005E2C70"/>
    <w:rsid w:val="005E2E10"/>
    <w:rsid w:val="005E30F0"/>
    <w:rsid w:val="005F01C3"/>
    <w:rsid w:val="005F0583"/>
    <w:rsid w:val="005F05B9"/>
    <w:rsid w:val="005F2B42"/>
    <w:rsid w:val="005F3FA0"/>
    <w:rsid w:val="005F7DD5"/>
    <w:rsid w:val="005F7FBD"/>
    <w:rsid w:val="00600E63"/>
    <w:rsid w:val="00601E62"/>
    <w:rsid w:val="00602E5C"/>
    <w:rsid w:val="00603B93"/>
    <w:rsid w:val="00605053"/>
    <w:rsid w:val="00606D71"/>
    <w:rsid w:val="006074D9"/>
    <w:rsid w:val="00612C39"/>
    <w:rsid w:val="00612D59"/>
    <w:rsid w:val="006146A4"/>
    <w:rsid w:val="00615789"/>
    <w:rsid w:val="006159EA"/>
    <w:rsid w:val="006165D6"/>
    <w:rsid w:val="00617596"/>
    <w:rsid w:val="0062056A"/>
    <w:rsid w:val="006206AF"/>
    <w:rsid w:val="00623659"/>
    <w:rsid w:val="0062549A"/>
    <w:rsid w:val="006257B3"/>
    <w:rsid w:val="00625F94"/>
    <w:rsid w:val="006316A8"/>
    <w:rsid w:val="00631BC6"/>
    <w:rsid w:val="00631FF6"/>
    <w:rsid w:val="006338D3"/>
    <w:rsid w:val="00634022"/>
    <w:rsid w:val="00634023"/>
    <w:rsid w:val="006340C8"/>
    <w:rsid w:val="0063448A"/>
    <w:rsid w:val="00637261"/>
    <w:rsid w:val="006375AE"/>
    <w:rsid w:val="006428CF"/>
    <w:rsid w:val="00643ED8"/>
    <w:rsid w:val="00643F47"/>
    <w:rsid w:val="00644AE2"/>
    <w:rsid w:val="00644CE4"/>
    <w:rsid w:val="006471AC"/>
    <w:rsid w:val="00650194"/>
    <w:rsid w:val="00651502"/>
    <w:rsid w:val="0065495E"/>
    <w:rsid w:val="0065617A"/>
    <w:rsid w:val="0066014F"/>
    <w:rsid w:val="006601F7"/>
    <w:rsid w:val="006608A5"/>
    <w:rsid w:val="0066173C"/>
    <w:rsid w:val="00663746"/>
    <w:rsid w:val="00664753"/>
    <w:rsid w:val="00664897"/>
    <w:rsid w:val="00664B78"/>
    <w:rsid w:val="006652CD"/>
    <w:rsid w:val="00665B4F"/>
    <w:rsid w:val="00666C5D"/>
    <w:rsid w:val="006670D4"/>
    <w:rsid w:val="00670A54"/>
    <w:rsid w:val="0067147E"/>
    <w:rsid w:val="00672A72"/>
    <w:rsid w:val="00672BEF"/>
    <w:rsid w:val="00674322"/>
    <w:rsid w:val="0067474F"/>
    <w:rsid w:val="006754C5"/>
    <w:rsid w:val="006763F5"/>
    <w:rsid w:val="0067697D"/>
    <w:rsid w:val="00676F6E"/>
    <w:rsid w:val="00680329"/>
    <w:rsid w:val="00680B30"/>
    <w:rsid w:val="00681CD5"/>
    <w:rsid w:val="006852FF"/>
    <w:rsid w:val="006858DF"/>
    <w:rsid w:val="00685D23"/>
    <w:rsid w:val="00686F5B"/>
    <w:rsid w:val="00687111"/>
    <w:rsid w:val="006942C3"/>
    <w:rsid w:val="00695638"/>
    <w:rsid w:val="0069597E"/>
    <w:rsid w:val="00695EC2"/>
    <w:rsid w:val="00697BEC"/>
    <w:rsid w:val="006A09EF"/>
    <w:rsid w:val="006A1A49"/>
    <w:rsid w:val="006A1F6A"/>
    <w:rsid w:val="006A1FA8"/>
    <w:rsid w:val="006A365A"/>
    <w:rsid w:val="006A6255"/>
    <w:rsid w:val="006A6E0A"/>
    <w:rsid w:val="006B01FA"/>
    <w:rsid w:val="006B077C"/>
    <w:rsid w:val="006B15FC"/>
    <w:rsid w:val="006B1A1D"/>
    <w:rsid w:val="006B4324"/>
    <w:rsid w:val="006B5AD3"/>
    <w:rsid w:val="006B7968"/>
    <w:rsid w:val="006C044A"/>
    <w:rsid w:val="006C095E"/>
    <w:rsid w:val="006C1011"/>
    <w:rsid w:val="006C205D"/>
    <w:rsid w:val="006C2E83"/>
    <w:rsid w:val="006C3E9F"/>
    <w:rsid w:val="006C7AF8"/>
    <w:rsid w:val="006D0414"/>
    <w:rsid w:val="006D05F1"/>
    <w:rsid w:val="006D16EC"/>
    <w:rsid w:val="006D3042"/>
    <w:rsid w:val="006D32B6"/>
    <w:rsid w:val="006D33CA"/>
    <w:rsid w:val="006D474B"/>
    <w:rsid w:val="006E49D4"/>
    <w:rsid w:val="006E4B86"/>
    <w:rsid w:val="006E64B3"/>
    <w:rsid w:val="006F073F"/>
    <w:rsid w:val="006F149A"/>
    <w:rsid w:val="006F3039"/>
    <w:rsid w:val="006F6D2A"/>
    <w:rsid w:val="006F74F8"/>
    <w:rsid w:val="006F78CF"/>
    <w:rsid w:val="00700C91"/>
    <w:rsid w:val="007018AD"/>
    <w:rsid w:val="00701EA2"/>
    <w:rsid w:val="00702ECE"/>
    <w:rsid w:val="00703FDD"/>
    <w:rsid w:val="007058A3"/>
    <w:rsid w:val="00705BEA"/>
    <w:rsid w:val="00706964"/>
    <w:rsid w:val="00707049"/>
    <w:rsid w:val="00707DC7"/>
    <w:rsid w:val="007104DC"/>
    <w:rsid w:val="00712D1F"/>
    <w:rsid w:val="0071319E"/>
    <w:rsid w:val="00713A5C"/>
    <w:rsid w:val="007143E8"/>
    <w:rsid w:val="00717E5D"/>
    <w:rsid w:val="00720533"/>
    <w:rsid w:val="00720A40"/>
    <w:rsid w:val="00720CFD"/>
    <w:rsid w:val="00721C67"/>
    <w:rsid w:val="00722808"/>
    <w:rsid w:val="00722D12"/>
    <w:rsid w:val="00722E0D"/>
    <w:rsid w:val="00723326"/>
    <w:rsid w:val="00723492"/>
    <w:rsid w:val="007243C3"/>
    <w:rsid w:val="00726DA8"/>
    <w:rsid w:val="00730231"/>
    <w:rsid w:val="00732FB5"/>
    <w:rsid w:val="00734A0C"/>
    <w:rsid w:val="00736F2D"/>
    <w:rsid w:val="007409DC"/>
    <w:rsid w:val="007425FD"/>
    <w:rsid w:val="0074335C"/>
    <w:rsid w:val="00745013"/>
    <w:rsid w:val="0075120C"/>
    <w:rsid w:val="007525FF"/>
    <w:rsid w:val="007536D2"/>
    <w:rsid w:val="00754895"/>
    <w:rsid w:val="00755ABD"/>
    <w:rsid w:val="0075743E"/>
    <w:rsid w:val="00757AFA"/>
    <w:rsid w:val="00762A57"/>
    <w:rsid w:val="00763446"/>
    <w:rsid w:val="0076488B"/>
    <w:rsid w:val="0076527C"/>
    <w:rsid w:val="007652E3"/>
    <w:rsid w:val="00766553"/>
    <w:rsid w:val="007665AA"/>
    <w:rsid w:val="00766C12"/>
    <w:rsid w:val="00771516"/>
    <w:rsid w:val="00772FAF"/>
    <w:rsid w:val="007752BA"/>
    <w:rsid w:val="00777476"/>
    <w:rsid w:val="00780071"/>
    <w:rsid w:val="00781028"/>
    <w:rsid w:val="0078134E"/>
    <w:rsid w:val="00782714"/>
    <w:rsid w:val="00782737"/>
    <w:rsid w:val="00782BE9"/>
    <w:rsid w:val="00783454"/>
    <w:rsid w:val="00785BDF"/>
    <w:rsid w:val="00787A28"/>
    <w:rsid w:val="007914B6"/>
    <w:rsid w:val="00791A96"/>
    <w:rsid w:val="00793401"/>
    <w:rsid w:val="00794640"/>
    <w:rsid w:val="00796029"/>
    <w:rsid w:val="00797B0A"/>
    <w:rsid w:val="007A0B9B"/>
    <w:rsid w:val="007A12F7"/>
    <w:rsid w:val="007A2342"/>
    <w:rsid w:val="007A420E"/>
    <w:rsid w:val="007A4277"/>
    <w:rsid w:val="007B2BD7"/>
    <w:rsid w:val="007B4B68"/>
    <w:rsid w:val="007B6DFA"/>
    <w:rsid w:val="007B7089"/>
    <w:rsid w:val="007C177F"/>
    <w:rsid w:val="007C41DF"/>
    <w:rsid w:val="007C47DB"/>
    <w:rsid w:val="007C5647"/>
    <w:rsid w:val="007C73F1"/>
    <w:rsid w:val="007D1E67"/>
    <w:rsid w:val="007D4FD5"/>
    <w:rsid w:val="007D6D03"/>
    <w:rsid w:val="007D7211"/>
    <w:rsid w:val="007E26E6"/>
    <w:rsid w:val="007E4029"/>
    <w:rsid w:val="007E50BA"/>
    <w:rsid w:val="007E51E7"/>
    <w:rsid w:val="007E5A8E"/>
    <w:rsid w:val="007E7E05"/>
    <w:rsid w:val="007F3585"/>
    <w:rsid w:val="007F3C2D"/>
    <w:rsid w:val="007F5391"/>
    <w:rsid w:val="007F57B7"/>
    <w:rsid w:val="007F5973"/>
    <w:rsid w:val="007F625F"/>
    <w:rsid w:val="007F7501"/>
    <w:rsid w:val="008017AD"/>
    <w:rsid w:val="00802761"/>
    <w:rsid w:val="00802C75"/>
    <w:rsid w:val="00803004"/>
    <w:rsid w:val="0080496B"/>
    <w:rsid w:val="00804C9C"/>
    <w:rsid w:val="00806F0E"/>
    <w:rsid w:val="0080700C"/>
    <w:rsid w:val="00811345"/>
    <w:rsid w:val="00813974"/>
    <w:rsid w:val="00815964"/>
    <w:rsid w:val="00815E30"/>
    <w:rsid w:val="00822E14"/>
    <w:rsid w:val="00824B44"/>
    <w:rsid w:val="008255C6"/>
    <w:rsid w:val="00825F35"/>
    <w:rsid w:val="00826E68"/>
    <w:rsid w:val="00830D8C"/>
    <w:rsid w:val="00831FFB"/>
    <w:rsid w:val="00832460"/>
    <w:rsid w:val="008327DA"/>
    <w:rsid w:val="00834204"/>
    <w:rsid w:val="00834B7E"/>
    <w:rsid w:val="008358DB"/>
    <w:rsid w:val="00837FE7"/>
    <w:rsid w:val="00843318"/>
    <w:rsid w:val="00844076"/>
    <w:rsid w:val="00844B91"/>
    <w:rsid w:val="00845AF9"/>
    <w:rsid w:val="0084656A"/>
    <w:rsid w:val="00847A20"/>
    <w:rsid w:val="00847FC6"/>
    <w:rsid w:val="008500BC"/>
    <w:rsid w:val="00851135"/>
    <w:rsid w:val="008514CC"/>
    <w:rsid w:val="00851530"/>
    <w:rsid w:val="00853DD0"/>
    <w:rsid w:val="008541F5"/>
    <w:rsid w:val="008560C1"/>
    <w:rsid w:val="008577CC"/>
    <w:rsid w:val="00862E0B"/>
    <w:rsid w:val="008633B7"/>
    <w:rsid w:val="00864928"/>
    <w:rsid w:val="00864B46"/>
    <w:rsid w:val="00864CD5"/>
    <w:rsid w:val="00866E24"/>
    <w:rsid w:val="00873E40"/>
    <w:rsid w:val="00873EF6"/>
    <w:rsid w:val="008746D8"/>
    <w:rsid w:val="008747DF"/>
    <w:rsid w:val="00875002"/>
    <w:rsid w:val="008753D9"/>
    <w:rsid w:val="00875F4B"/>
    <w:rsid w:val="00876184"/>
    <w:rsid w:val="00876C3C"/>
    <w:rsid w:val="0088016E"/>
    <w:rsid w:val="00882235"/>
    <w:rsid w:val="00882271"/>
    <w:rsid w:val="00883470"/>
    <w:rsid w:val="00884C4F"/>
    <w:rsid w:val="00885AFC"/>
    <w:rsid w:val="00885C55"/>
    <w:rsid w:val="00886539"/>
    <w:rsid w:val="0088702C"/>
    <w:rsid w:val="00887040"/>
    <w:rsid w:val="0089055B"/>
    <w:rsid w:val="00892330"/>
    <w:rsid w:val="00892462"/>
    <w:rsid w:val="0089283F"/>
    <w:rsid w:val="00893404"/>
    <w:rsid w:val="00893D99"/>
    <w:rsid w:val="00894B3A"/>
    <w:rsid w:val="0089679F"/>
    <w:rsid w:val="008A09C8"/>
    <w:rsid w:val="008A1A6E"/>
    <w:rsid w:val="008A29D4"/>
    <w:rsid w:val="008A2C24"/>
    <w:rsid w:val="008A3537"/>
    <w:rsid w:val="008A3643"/>
    <w:rsid w:val="008A4C00"/>
    <w:rsid w:val="008A5919"/>
    <w:rsid w:val="008A6C1A"/>
    <w:rsid w:val="008B1C25"/>
    <w:rsid w:val="008B2AAE"/>
    <w:rsid w:val="008B3420"/>
    <w:rsid w:val="008B5DD7"/>
    <w:rsid w:val="008B6A29"/>
    <w:rsid w:val="008C22C4"/>
    <w:rsid w:val="008C46DD"/>
    <w:rsid w:val="008C4D05"/>
    <w:rsid w:val="008C5DB3"/>
    <w:rsid w:val="008C6F69"/>
    <w:rsid w:val="008D207B"/>
    <w:rsid w:val="008D2978"/>
    <w:rsid w:val="008D2BCD"/>
    <w:rsid w:val="008D37AF"/>
    <w:rsid w:val="008D3E82"/>
    <w:rsid w:val="008D581E"/>
    <w:rsid w:val="008D596A"/>
    <w:rsid w:val="008D67F7"/>
    <w:rsid w:val="008D7908"/>
    <w:rsid w:val="008E3FF9"/>
    <w:rsid w:val="008E5400"/>
    <w:rsid w:val="008E669D"/>
    <w:rsid w:val="008E7045"/>
    <w:rsid w:val="008E73FB"/>
    <w:rsid w:val="008F29E3"/>
    <w:rsid w:val="008F615D"/>
    <w:rsid w:val="008F7C2E"/>
    <w:rsid w:val="00900204"/>
    <w:rsid w:val="0090069A"/>
    <w:rsid w:val="009015E2"/>
    <w:rsid w:val="00901905"/>
    <w:rsid w:val="0090247C"/>
    <w:rsid w:val="0090285F"/>
    <w:rsid w:val="00902C35"/>
    <w:rsid w:val="00905B92"/>
    <w:rsid w:val="00906A7C"/>
    <w:rsid w:val="00907676"/>
    <w:rsid w:val="009078D6"/>
    <w:rsid w:val="009109B8"/>
    <w:rsid w:val="00911179"/>
    <w:rsid w:val="00911946"/>
    <w:rsid w:val="00911C91"/>
    <w:rsid w:val="00911D82"/>
    <w:rsid w:val="009143EE"/>
    <w:rsid w:val="009146D5"/>
    <w:rsid w:val="009157E5"/>
    <w:rsid w:val="0092113A"/>
    <w:rsid w:val="0092184B"/>
    <w:rsid w:val="00923953"/>
    <w:rsid w:val="00923BDE"/>
    <w:rsid w:val="00925D5C"/>
    <w:rsid w:val="009262C3"/>
    <w:rsid w:val="009262F6"/>
    <w:rsid w:val="00926C7E"/>
    <w:rsid w:val="00926D82"/>
    <w:rsid w:val="00926F60"/>
    <w:rsid w:val="009275FF"/>
    <w:rsid w:val="00930BFD"/>
    <w:rsid w:val="00931855"/>
    <w:rsid w:val="009323AA"/>
    <w:rsid w:val="00934ACC"/>
    <w:rsid w:val="00934EF3"/>
    <w:rsid w:val="00935C88"/>
    <w:rsid w:val="00940327"/>
    <w:rsid w:val="009403D6"/>
    <w:rsid w:val="00942655"/>
    <w:rsid w:val="0094323E"/>
    <w:rsid w:val="00943FB1"/>
    <w:rsid w:val="0094458A"/>
    <w:rsid w:val="00944763"/>
    <w:rsid w:val="00946CE3"/>
    <w:rsid w:val="00946F15"/>
    <w:rsid w:val="009472FF"/>
    <w:rsid w:val="009478EF"/>
    <w:rsid w:val="0095358C"/>
    <w:rsid w:val="0095603E"/>
    <w:rsid w:val="00956D8C"/>
    <w:rsid w:val="009572F3"/>
    <w:rsid w:val="00960EF1"/>
    <w:rsid w:val="0096155D"/>
    <w:rsid w:val="00961928"/>
    <w:rsid w:val="0096475A"/>
    <w:rsid w:val="00980964"/>
    <w:rsid w:val="0098132B"/>
    <w:rsid w:val="00985454"/>
    <w:rsid w:val="009869D8"/>
    <w:rsid w:val="00986ECB"/>
    <w:rsid w:val="00987474"/>
    <w:rsid w:val="00987A45"/>
    <w:rsid w:val="00990B9E"/>
    <w:rsid w:val="00992B42"/>
    <w:rsid w:val="00993ACB"/>
    <w:rsid w:val="009941B4"/>
    <w:rsid w:val="009943D1"/>
    <w:rsid w:val="009A4ABF"/>
    <w:rsid w:val="009A64B5"/>
    <w:rsid w:val="009A6CFE"/>
    <w:rsid w:val="009A6D8C"/>
    <w:rsid w:val="009A6D93"/>
    <w:rsid w:val="009A7A7A"/>
    <w:rsid w:val="009B0FB7"/>
    <w:rsid w:val="009B1ED7"/>
    <w:rsid w:val="009B202F"/>
    <w:rsid w:val="009B260B"/>
    <w:rsid w:val="009B278C"/>
    <w:rsid w:val="009B3489"/>
    <w:rsid w:val="009B3C58"/>
    <w:rsid w:val="009B4E70"/>
    <w:rsid w:val="009B5508"/>
    <w:rsid w:val="009B6503"/>
    <w:rsid w:val="009B71E6"/>
    <w:rsid w:val="009C04B1"/>
    <w:rsid w:val="009C0B0F"/>
    <w:rsid w:val="009C20A2"/>
    <w:rsid w:val="009C25FC"/>
    <w:rsid w:val="009C604D"/>
    <w:rsid w:val="009C67A5"/>
    <w:rsid w:val="009D0433"/>
    <w:rsid w:val="009D0890"/>
    <w:rsid w:val="009D2DEB"/>
    <w:rsid w:val="009D321E"/>
    <w:rsid w:val="009D53D2"/>
    <w:rsid w:val="009D5F8E"/>
    <w:rsid w:val="009D6A11"/>
    <w:rsid w:val="009D78EA"/>
    <w:rsid w:val="009D7DB9"/>
    <w:rsid w:val="009E0DF9"/>
    <w:rsid w:val="009E445F"/>
    <w:rsid w:val="009E54BF"/>
    <w:rsid w:val="009E7A33"/>
    <w:rsid w:val="009F127B"/>
    <w:rsid w:val="009F172E"/>
    <w:rsid w:val="009F2E36"/>
    <w:rsid w:val="009F3051"/>
    <w:rsid w:val="009F4314"/>
    <w:rsid w:val="009F4508"/>
    <w:rsid w:val="009F4DF1"/>
    <w:rsid w:val="009F50F1"/>
    <w:rsid w:val="009F5B43"/>
    <w:rsid w:val="009F6273"/>
    <w:rsid w:val="00A02690"/>
    <w:rsid w:val="00A055A4"/>
    <w:rsid w:val="00A05688"/>
    <w:rsid w:val="00A066BD"/>
    <w:rsid w:val="00A06BC0"/>
    <w:rsid w:val="00A13CFD"/>
    <w:rsid w:val="00A13FC0"/>
    <w:rsid w:val="00A143A0"/>
    <w:rsid w:val="00A14592"/>
    <w:rsid w:val="00A149DB"/>
    <w:rsid w:val="00A14DBE"/>
    <w:rsid w:val="00A15A13"/>
    <w:rsid w:val="00A224BE"/>
    <w:rsid w:val="00A22AE8"/>
    <w:rsid w:val="00A23BC9"/>
    <w:rsid w:val="00A252B4"/>
    <w:rsid w:val="00A2537F"/>
    <w:rsid w:val="00A273FF"/>
    <w:rsid w:val="00A3151C"/>
    <w:rsid w:val="00A33207"/>
    <w:rsid w:val="00A33671"/>
    <w:rsid w:val="00A33769"/>
    <w:rsid w:val="00A35B49"/>
    <w:rsid w:val="00A371FA"/>
    <w:rsid w:val="00A4394F"/>
    <w:rsid w:val="00A43E54"/>
    <w:rsid w:val="00A44E1F"/>
    <w:rsid w:val="00A44F28"/>
    <w:rsid w:val="00A4587D"/>
    <w:rsid w:val="00A46147"/>
    <w:rsid w:val="00A477CA"/>
    <w:rsid w:val="00A47E85"/>
    <w:rsid w:val="00A51169"/>
    <w:rsid w:val="00A522BC"/>
    <w:rsid w:val="00A5391F"/>
    <w:rsid w:val="00A5649A"/>
    <w:rsid w:val="00A571FE"/>
    <w:rsid w:val="00A57596"/>
    <w:rsid w:val="00A637F6"/>
    <w:rsid w:val="00A64707"/>
    <w:rsid w:val="00A6497A"/>
    <w:rsid w:val="00A6619F"/>
    <w:rsid w:val="00A70B24"/>
    <w:rsid w:val="00A71F9A"/>
    <w:rsid w:val="00A72FC8"/>
    <w:rsid w:val="00A75CEC"/>
    <w:rsid w:val="00A80652"/>
    <w:rsid w:val="00A8141A"/>
    <w:rsid w:val="00A82203"/>
    <w:rsid w:val="00A823E4"/>
    <w:rsid w:val="00A856F2"/>
    <w:rsid w:val="00A85AE4"/>
    <w:rsid w:val="00A86816"/>
    <w:rsid w:val="00A86D59"/>
    <w:rsid w:val="00A87F95"/>
    <w:rsid w:val="00A9111B"/>
    <w:rsid w:val="00A914F6"/>
    <w:rsid w:val="00A91D7B"/>
    <w:rsid w:val="00A97FC5"/>
    <w:rsid w:val="00AA1962"/>
    <w:rsid w:val="00AA38FD"/>
    <w:rsid w:val="00AA61D6"/>
    <w:rsid w:val="00AA623C"/>
    <w:rsid w:val="00AA72C6"/>
    <w:rsid w:val="00AA7F12"/>
    <w:rsid w:val="00AB01AD"/>
    <w:rsid w:val="00AB058D"/>
    <w:rsid w:val="00AB0D5D"/>
    <w:rsid w:val="00AB2078"/>
    <w:rsid w:val="00AB2ABA"/>
    <w:rsid w:val="00AB2BE6"/>
    <w:rsid w:val="00AB3392"/>
    <w:rsid w:val="00AB77C6"/>
    <w:rsid w:val="00AC0328"/>
    <w:rsid w:val="00AC0A80"/>
    <w:rsid w:val="00AC1068"/>
    <w:rsid w:val="00AC2C6F"/>
    <w:rsid w:val="00AC4300"/>
    <w:rsid w:val="00AC63DA"/>
    <w:rsid w:val="00AC7DE2"/>
    <w:rsid w:val="00AD0C4D"/>
    <w:rsid w:val="00AD0EFC"/>
    <w:rsid w:val="00AD6A78"/>
    <w:rsid w:val="00AE15D3"/>
    <w:rsid w:val="00AE4362"/>
    <w:rsid w:val="00AE5FDE"/>
    <w:rsid w:val="00AE6E6D"/>
    <w:rsid w:val="00AE6F1A"/>
    <w:rsid w:val="00AE70D7"/>
    <w:rsid w:val="00AF0A16"/>
    <w:rsid w:val="00AF15AB"/>
    <w:rsid w:val="00AF25EE"/>
    <w:rsid w:val="00AF30DF"/>
    <w:rsid w:val="00AF333A"/>
    <w:rsid w:val="00AF3619"/>
    <w:rsid w:val="00AF4DC3"/>
    <w:rsid w:val="00AF4E49"/>
    <w:rsid w:val="00AF587D"/>
    <w:rsid w:val="00AF5F21"/>
    <w:rsid w:val="00AF65EF"/>
    <w:rsid w:val="00B00116"/>
    <w:rsid w:val="00B05359"/>
    <w:rsid w:val="00B10572"/>
    <w:rsid w:val="00B107EC"/>
    <w:rsid w:val="00B10A24"/>
    <w:rsid w:val="00B111BE"/>
    <w:rsid w:val="00B11541"/>
    <w:rsid w:val="00B1348E"/>
    <w:rsid w:val="00B13D87"/>
    <w:rsid w:val="00B143F8"/>
    <w:rsid w:val="00B14741"/>
    <w:rsid w:val="00B14AA2"/>
    <w:rsid w:val="00B1514C"/>
    <w:rsid w:val="00B15CAD"/>
    <w:rsid w:val="00B16E6B"/>
    <w:rsid w:val="00B16FED"/>
    <w:rsid w:val="00B20946"/>
    <w:rsid w:val="00B21C77"/>
    <w:rsid w:val="00B25069"/>
    <w:rsid w:val="00B26724"/>
    <w:rsid w:val="00B3203F"/>
    <w:rsid w:val="00B362D2"/>
    <w:rsid w:val="00B368E0"/>
    <w:rsid w:val="00B376DC"/>
    <w:rsid w:val="00B377F8"/>
    <w:rsid w:val="00B40C72"/>
    <w:rsid w:val="00B40D85"/>
    <w:rsid w:val="00B41760"/>
    <w:rsid w:val="00B41F09"/>
    <w:rsid w:val="00B4249A"/>
    <w:rsid w:val="00B43870"/>
    <w:rsid w:val="00B45ADA"/>
    <w:rsid w:val="00B47E9B"/>
    <w:rsid w:val="00B51FF4"/>
    <w:rsid w:val="00B54758"/>
    <w:rsid w:val="00B54F6F"/>
    <w:rsid w:val="00B6056B"/>
    <w:rsid w:val="00B605F2"/>
    <w:rsid w:val="00B606FB"/>
    <w:rsid w:val="00B6184C"/>
    <w:rsid w:val="00B63553"/>
    <w:rsid w:val="00B63949"/>
    <w:rsid w:val="00B63E4C"/>
    <w:rsid w:val="00B6448D"/>
    <w:rsid w:val="00B65898"/>
    <w:rsid w:val="00B6656F"/>
    <w:rsid w:val="00B66EAA"/>
    <w:rsid w:val="00B718E0"/>
    <w:rsid w:val="00B72207"/>
    <w:rsid w:val="00B731B0"/>
    <w:rsid w:val="00B74CFF"/>
    <w:rsid w:val="00B8425C"/>
    <w:rsid w:val="00B845A9"/>
    <w:rsid w:val="00B85C45"/>
    <w:rsid w:val="00B85E0D"/>
    <w:rsid w:val="00B8758A"/>
    <w:rsid w:val="00B878E0"/>
    <w:rsid w:val="00B913F0"/>
    <w:rsid w:val="00B9225E"/>
    <w:rsid w:val="00B93999"/>
    <w:rsid w:val="00B95960"/>
    <w:rsid w:val="00B95E52"/>
    <w:rsid w:val="00B97BAF"/>
    <w:rsid w:val="00BA2406"/>
    <w:rsid w:val="00BA25EB"/>
    <w:rsid w:val="00BA7403"/>
    <w:rsid w:val="00BA7E73"/>
    <w:rsid w:val="00BB0699"/>
    <w:rsid w:val="00BB10B7"/>
    <w:rsid w:val="00BB1183"/>
    <w:rsid w:val="00BB1A43"/>
    <w:rsid w:val="00BB22F8"/>
    <w:rsid w:val="00BB6D62"/>
    <w:rsid w:val="00BC2E86"/>
    <w:rsid w:val="00BC3DDD"/>
    <w:rsid w:val="00BC794D"/>
    <w:rsid w:val="00BD0B35"/>
    <w:rsid w:val="00BD0D9F"/>
    <w:rsid w:val="00BD0EB0"/>
    <w:rsid w:val="00BD143C"/>
    <w:rsid w:val="00BD2AB2"/>
    <w:rsid w:val="00BD68D6"/>
    <w:rsid w:val="00BE2522"/>
    <w:rsid w:val="00BE40DE"/>
    <w:rsid w:val="00BE50DB"/>
    <w:rsid w:val="00BE6750"/>
    <w:rsid w:val="00BF2483"/>
    <w:rsid w:val="00BF2B66"/>
    <w:rsid w:val="00BF35E3"/>
    <w:rsid w:val="00BF41B8"/>
    <w:rsid w:val="00BF4894"/>
    <w:rsid w:val="00BF5678"/>
    <w:rsid w:val="00C009E9"/>
    <w:rsid w:val="00C0168B"/>
    <w:rsid w:val="00C022AE"/>
    <w:rsid w:val="00C02C26"/>
    <w:rsid w:val="00C0543E"/>
    <w:rsid w:val="00C05EEF"/>
    <w:rsid w:val="00C06188"/>
    <w:rsid w:val="00C065AE"/>
    <w:rsid w:val="00C07799"/>
    <w:rsid w:val="00C07E01"/>
    <w:rsid w:val="00C100E9"/>
    <w:rsid w:val="00C1257C"/>
    <w:rsid w:val="00C1341A"/>
    <w:rsid w:val="00C144F2"/>
    <w:rsid w:val="00C15C22"/>
    <w:rsid w:val="00C15CEE"/>
    <w:rsid w:val="00C15D9B"/>
    <w:rsid w:val="00C17A23"/>
    <w:rsid w:val="00C17C11"/>
    <w:rsid w:val="00C20D10"/>
    <w:rsid w:val="00C211F2"/>
    <w:rsid w:val="00C21C57"/>
    <w:rsid w:val="00C21D9E"/>
    <w:rsid w:val="00C2335C"/>
    <w:rsid w:val="00C25690"/>
    <w:rsid w:val="00C257DD"/>
    <w:rsid w:val="00C25C14"/>
    <w:rsid w:val="00C2756F"/>
    <w:rsid w:val="00C3184C"/>
    <w:rsid w:val="00C32999"/>
    <w:rsid w:val="00C3300B"/>
    <w:rsid w:val="00C348AC"/>
    <w:rsid w:val="00C34BC5"/>
    <w:rsid w:val="00C364AF"/>
    <w:rsid w:val="00C3698D"/>
    <w:rsid w:val="00C36C8B"/>
    <w:rsid w:val="00C36E2B"/>
    <w:rsid w:val="00C377FC"/>
    <w:rsid w:val="00C37B45"/>
    <w:rsid w:val="00C40AB2"/>
    <w:rsid w:val="00C40F2E"/>
    <w:rsid w:val="00C41044"/>
    <w:rsid w:val="00C41D2E"/>
    <w:rsid w:val="00C4498A"/>
    <w:rsid w:val="00C47C24"/>
    <w:rsid w:val="00C50C51"/>
    <w:rsid w:val="00C51278"/>
    <w:rsid w:val="00C549B1"/>
    <w:rsid w:val="00C55E93"/>
    <w:rsid w:val="00C55EBA"/>
    <w:rsid w:val="00C5790F"/>
    <w:rsid w:val="00C57AD2"/>
    <w:rsid w:val="00C57E6C"/>
    <w:rsid w:val="00C612CA"/>
    <w:rsid w:val="00C62748"/>
    <w:rsid w:val="00C62B4D"/>
    <w:rsid w:val="00C63EB6"/>
    <w:rsid w:val="00C641CF"/>
    <w:rsid w:val="00C65B72"/>
    <w:rsid w:val="00C66FE6"/>
    <w:rsid w:val="00C70742"/>
    <w:rsid w:val="00C71CD7"/>
    <w:rsid w:val="00C71FED"/>
    <w:rsid w:val="00C72249"/>
    <w:rsid w:val="00C73F75"/>
    <w:rsid w:val="00C74198"/>
    <w:rsid w:val="00C7613F"/>
    <w:rsid w:val="00C763EF"/>
    <w:rsid w:val="00C7675C"/>
    <w:rsid w:val="00C76C78"/>
    <w:rsid w:val="00C83006"/>
    <w:rsid w:val="00C846FA"/>
    <w:rsid w:val="00C84EAD"/>
    <w:rsid w:val="00C8603D"/>
    <w:rsid w:val="00C90E71"/>
    <w:rsid w:val="00C917C8"/>
    <w:rsid w:val="00C92335"/>
    <w:rsid w:val="00C92F8C"/>
    <w:rsid w:val="00C93A1E"/>
    <w:rsid w:val="00C94065"/>
    <w:rsid w:val="00C94682"/>
    <w:rsid w:val="00CA1E2E"/>
    <w:rsid w:val="00CA24D4"/>
    <w:rsid w:val="00CA36E9"/>
    <w:rsid w:val="00CA41D5"/>
    <w:rsid w:val="00CA4674"/>
    <w:rsid w:val="00CB009D"/>
    <w:rsid w:val="00CB09FA"/>
    <w:rsid w:val="00CB318F"/>
    <w:rsid w:val="00CB5040"/>
    <w:rsid w:val="00CB59A7"/>
    <w:rsid w:val="00CB5F3B"/>
    <w:rsid w:val="00CC2EB6"/>
    <w:rsid w:val="00CC36C2"/>
    <w:rsid w:val="00CC39F4"/>
    <w:rsid w:val="00CC5B9D"/>
    <w:rsid w:val="00CC756B"/>
    <w:rsid w:val="00CC7B96"/>
    <w:rsid w:val="00CD0310"/>
    <w:rsid w:val="00CD212B"/>
    <w:rsid w:val="00CD23F9"/>
    <w:rsid w:val="00CD387E"/>
    <w:rsid w:val="00CD4397"/>
    <w:rsid w:val="00CD4923"/>
    <w:rsid w:val="00CD4CCC"/>
    <w:rsid w:val="00CD4F7F"/>
    <w:rsid w:val="00CD5E5D"/>
    <w:rsid w:val="00CE1FF9"/>
    <w:rsid w:val="00CE245A"/>
    <w:rsid w:val="00CE26DF"/>
    <w:rsid w:val="00CE56BE"/>
    <w:rsid w:val="00CE66EA"/>
    <w:rsid w:val="00CE6EF8"/>
    <w:rsid w:val="00CE7E29"/>
    <w:rsid w:val="00CF0EE6"/>
    <w:rsid w:val="00CF1B6A"/>
    <w:rsid w:val="00CF3630"/>
    <w:rsid w:val="00CF3B48"/>
    <w:rsid w:val="00CF5D6A"/>
    <w:rsid w:val="00CF70A2"/>
    <w:rsid w:val="00D008BB"/>
    <w:rsid w:val="00D00B6F"/>
    <w:rsid w:val="00D025EC"/>
    <w:rsid w:val="00D046FB"/>
    <w:rsid w:val="00D04CB1"/>
    <w:rsid w:val="00D06900"/>
    <w:rsid w:val="00D07875"/>
    <w:rsid w:val="00D14AD1"/>
    <w:rsid w:val="00D156D2"/>
    <w:rsid w:val="00D167F9"/>
    <w:rsid w:val="00D17BB0"/>
    <w:rsid w:val="00D20687"/>
    <w:rsid w:val="00D218A0"/>
    <w:rsid w:val="00D222E1"/>
    <w:rsid w:val="00D225AB"/>
    <w:rsid w:val="00D2318E"/>
    <w:rsid w:val="00D231B2"/>
    <w:rsid w:val="00D23FE0"/>
    <w:rsid w:val="00D2649A"/>
    <w:rsid w:val="00D26B0F"/>
    <w:rsid w:val="00D27B7F"/>
    <w:rsid w:val="00D31488"/>
    <w:rsid w:val="00D31725"/>
    <w:rsid w:val="00D3180D"/>
    <w:rsid w:val="00D33139"/>
    <w:rsid w:val="00D33142"/>
    <w:rsid w:val="00D33425"/>
    <w:rsid w:val="00D358E4"/>
    <w:rsid w:val="00D36176"/>
    <w:rsid w:val="00D37A76"/>
    <w:rsid w:val="00D40B28"/>
    <w:rsid w:val="00D40FEE"/>
    <w:rsid w:val="00D41A77"/>
    <w:rsid w:val="00D430D5"/>
    <w:rsid w:val="00D4368F"/>
    <w:rsid w:val="00D4475B"/>
    <w:rsid w:val="00D4609A"/>
    <w:rsid w:val="00D462B2"/>
    <w:rsid w:val="00D521F7"/>
    <w:rsid w:val="00D528B6"/>
    <w:rsid w:val="00D536E0"/>
    <w:rsid w:val="00D55463"/>
    <w:rsid w:val="00D55C82"/>
    <w:rsid w:val="00D56C6C"/>
    <w:rsid w:val="00D577BE"/>
    <w:rsid w:val="00D603C0"/>
    <w:rsid w:val="00D60BD7"/>
    <w:rsid w:val="00D610E9"/>
    <w:rsid w:val="00D636B2"/>
    <w:rsid w:val="00D63AFF"/>
    <w:rsid w:val="00D64598"/>
    <w:rsid w:val="00D653B6"/>
    <w:rsid w:val="00D66365"/>
    <w:rsid w:val="00D66B89"/>
    <w:rsid w:val="00D7016E"/>
    <w:rsid w:val="00D70640"/>
    <w:rsid w:val="00D720CF"/>
    <w:rsid w:val="00D72631"/>
    <w:rsid w:val="00D75137"/>
    <w:rsid w:val="00D75C8E"/>
    <w:rsid w:val="00D76F71"/>
    <w:rsid w:val="00D804CF"/>
    <w:rsid w:val="00D83AC6"/>
    <w:rsid w:val="00D8422B"/>
    <w:rsid w:val="00D846BB"/>
    <w:rsid w:val="00D85543"/>
    <w:rsid w:val="00D85AAA"/>
    <w:rsid w:val="00D85C89"/>
    <w:rsid w:val="00D861C3"/>
    <w:rsid w:val="00D86B58"/>
    <w:rsid w:val="00D86DCC"/>
    <w:rsid w:val="00D86E49"/>
    <w:rsid w:val="00D913C4"/>
    <w:rsid w:val="00D92F1F"/>
    <w:rsid w:val="00D94A4E"/>
    <w:rsid w:val="00D95366"/>
    <w:rsid w:val="00DA0EEC"/>
    <w:rsid w:val="00DA1151"/>
    <w:rsid w:val="00DA152E"/>
    <w:rsid w:val="00DA3E6E"/>
    <w:rsid w:val="00DA6F13"/>
    <w:rsid w:val="00DA7624"/>
    <w:rsid w:val="00DA7AF2"/>
    <w:rsid w:val="00DB2969"/>
    <w:rsid w:val="00DB2ED7"/>
    <w:rsid w:val="00DB41C1"/>
    <w:rsid w:val="00DB66E3"/>
    <w:rsid w:val="00DC07C7"/>
    <w:rsid w:val="00DC1960"/>
    <w:rsid w:val="00DC1D6D"/>
    <w:rsid w:val="00DC27A5"/>
    <w:rsid w:val="00DC2905"/>
    <w:rsid w:val="00DC2F2E"/>
    <w:rsid w:val="00DC31CA"/>
    <w:rsid w:val="00DC3EB6"/>
    <w:rsid w:val="00DC4672"/>
    <w:rsid w:val="00DC4ACA"/>
    <w:rsid w:val="00DC4F95"/>
    <w:rsid w:val="00DC59CF"/>
    <w:rsid w:val="00DD1F4A"/>
    <w:rsid w:val="00DD426C"/>
    <w:rsid w:val="00DD6A3A"/>
    <w:rsid w:val="00DE2310"/>
    <w:rsid w:val="00DE2D03"/>
    <w:rsid w:val="00DE4BB5"/>
    <w:rsid w:val="00DE65E6"/>
    <w:rsid w:val="00DE7497"/>
    <w:rsid w:val="00DE797F"/>
    <w:rsid w:val="00DE7B59"/>
    <w:rsid w:val="00DF185D"/>
    <w:rsid w:val="00DF5303"/>
    <w:rsid w:val="00DF5642"/>
    <w:rsid w:val="00DF5C7B"/>
    <w:rsid w:val="00DF5F3D"/>
    <w:rsid w:val="00E00BD1"/>
    <w:rsid w:val="00E00E52"/>
    <w:rsid w:val="00E00F95"/>
    <w:rsid w:val="00E01156"/>
    <w:rsid w:val="00E01422"/>
    <w:rsid w:val="00E01671"/>
    <w:rsid w:val="00E01F17"/>
    <w:rsid w:val="00E02844"/>
    <w:rsid w:val="00E0374A"/>
    <w:rsid w:val="00E04CDE"/>
    <w:rsid w:val="00E052DE"/>
    <w:rsid w:val="00E05B94"/>
    <w:rsid w:val="00E06712"/>
    <w:rsid w:val="00E1007E"/>
    <w:rsid w:val="00E11F9F"/>
    <w:rsid w:val="00E12948"/>
    <w:rsid w:val="00E13B69"/>
    <w:rsid w:val="00E143AB"/>
    <w:rsid w:val="00E17044"/>
    <w:rsid w:val="00E17C83"/>
    <w:rsid w:val="00E17F8F"/>
    <w:rsid w:val="00E200BB"/>
    <w:rsid w:val="00E23B28"/>
    <w:rsid w:val="00E23DD8"/>
    <w:rsid w:val="00E24A79"/>
    <w:rsid w:val="00E2555D"/>
    <w:rsid w:val="00E25B90"/>
    <w:rsid w:val="00E27F7E"/>
    <w:rsid w:val="00E31FC8"/>
    <w:rsid w:val="00E33A06"/>
    <w:rsid w:val="00E352A9"/>
    <w:rsid w:val="00E3657B"/>
    <w:rsid w:val="00E40360"/>
    <w:rsid w:val="00E435FB"/>
    <w:rsid w:val="00E4364D"/>
    <w:rsid w:val="00E43B7E"/>
    <w:rsid w:val="00E45772"/>
    <w:rsid w:val="00E5241C"/>
    <w:rsid w:val="00E538FD"/>
    <w:rsid w:val="00E53A94"/>
    <w:rsid w:val="00E540DF"/>
    <w:rsid w:val="00E544F8"/>
    <w:rsid w:val="00E55F3E"/>
    <w:rsid w:val="00E57744"/>
    <w:rsid w:val="00E57ADA"/>
    <w:rsid w:val="00E60536"/>
    <w:rsid w:val="00E60FC6"/>
    <w:rsid w:val="00E615E2"/>
    <w:rsid w:val="00E654D5"/>
    <w:rsid w:val="00E66BE4"/>
    <w:rsid w:val="00E66E3A"/>
    <w:rsid w:val="00E672D1"/>
    <w:rsid w:val="00E67973"/>
    <w:rsid w:val="00E70186"/>
    <w:rsid w:val="00E732ED"/>
    <w:rsid w:val="00E746C3"/>
    <w:rsid w:val="00E74E78"/>
    <w:rsid w:val="00E7631C"/>
    <w:rsid w:val="00E76DE2"/>
    <w:rsid w:val="00E82A64"/>
    <w:rsid w:val="00E8349F"/>
    <w:rsid w:val="00E84F85"/>
    <w:rsid w:val="00E9176C"/>
    <w:rsid w:val="00E926E1"/>
    <w:rsid w:val="00E92C74"/>
    <w:rsid w:val="00E9472B"/>
    <w:rsid w:val="00EA0510"/>
    <w:rsid w:val="00EA2F96"/>
    <w:rsid w:val="00EA40C6"/>
    <w:rsid w:val="00EA4A3A"/>
    <w:rsid w:val="00EA5866"/>
    <w:rsid w:val="00EA5D88"/>
    <w:rsid w:val="00EB0998"/>
    <w:rsid w:val="00EB0B05"/>
    <w:rsid w:val="00EB0B50"/>
    <w:rsid w:val="00EB0CBA"/>
    <w:rsid w:val="00EB1EBF"/>
    <w:rsid w:val="00EB28A5"/>
    <w:rsid w:val="00EB3468"/>
    <w:rsid w:val="00EB3572"/>
    <w:rsid w:val="00EB35D9"/>
    <w:rsid w:val="00EB5A9C"/>
    <w:rsid w:val="00EB6AB9"/>
    <w:rsid w:val="00EB6FA0"/>
    <w:rsid w:val="00EC0384"/>
    <w:rsid w:val="00EC07C4"/>
    <w:rsid w:val="00EC0EB6"/>
    <w:rsid w:val="00EC16A3"/>
    <w:rsid w:val="00EC478E"/>
    <w:rsid w:val="00ED1058"/>
    <w:rsid w:val="00ED18F4"/>
    <w:rsid w:val="00ED2A84"/>
    <w:rsid w:val="00ED6A72"/>
    <w:rsid w:val="00ED6CB6"/>
    <w:rsid w:val="00ED7051"/>
    <w:rsid w:val="00ED7D3C"/>
    <w:rsid w:val="00EE0723"/>
    <w:rsid w:val="00EE1C03"/>
    <w:rsid w:val="00EE4117"/>
    <w:rsid w:val="00EE4D24"/>
    <w:rsid w:val="00EE5FC1"/>
    <w:rsid w:val="00EF1AF7"/>
    <w:rsid w:val="00EF2805"/>
    <w:rsid w:val="00EF30F1"/>
    <w:rsid w:val="00EF472E"/>
    <w:rsid w:val="00EF5BDC"/>
    <w:rsid w:val="00EF5E72"/>
    <w:rsid w:val="00EF7CC8"/>
    <w:rsid w:val="00F02C78"/>
    <w:rsid w:val="00F03249"/>
    <w:rsid w:val="00F03789"/>
    <w:rsid w:val="00F07757"/>
    <w:rsid w:val="00F10264"/>
    <w:rsid w:val="00F109C1"/>
    <w:rsid w:val="00F10AFF"/>
    <w:rsid w:val="00F11F61"/>
    <w:rsid w:val="00F120CC"/>
    <w:rsid w:val="00F12E4D"/>
    <w:rsid w:val="00F13133"/>
    <w:rsid w:val="00F1349A"/>
    <w:rsid w:val="00F16BAF"/>
    <w:rsid w:val="00F17831"/>
    <w:rsid w:val="00F20401"/>
    <w:rsid w:val="00F21208"/>
    <w:rsid w:val="00F218BB"/>
    <w:rsid w:val="00F22641"/>
    <w:rsid w:val="00F231E3"/>
    <w:rsid w:val="00F24A8A"/>
    <w:rsid w:val="00F25DAA"/>
    <w:rsid w:val="00F2708E"/>
    <w:rsid w:val="00F32ED4"/>
    <w:rsid w:val="00F34D7F"/>
    <w:rsid w:val="00F35334"/>
    <w:rsid w:val="00F369D5"/>
    <w:rsid w:val="00F376CC"/>
    <w:rsid w:val="00F4102B"/>
    <w:rsid w:val="00F42839"/>
    <w:rsid w:val="00F42B8D"/>
    <w:rsid w:val="00F431C9"/>
    <w:rsid w:val="00F4438C"/>
    <w:rsid w:val="00F47D95"/>
    <w:rsid w:val="00F513B2"/>
    <w:rsid w:val="00F51793"/>
    <w:rsid w:val="00F5198A"/>
    <w:rsid w:val="00F52248"/>
    <w:rsid w:val="00F52E63"/>
    <w:rsid w:val="00F53540"/>
    <w:rsid w:val="00F5576A"/>
    <w:rsid w:val="00F557C2"/>
    <w:rsid w:val="00F56482"/>
    <w:rsid w:val="00F56B27"/>
    <w:rsid w:val="00F574DB"/>
    <w:rsid w:val="00F60EC7"/>
    <w:rsid w:val="00F60FDE"/>
    <w:rsid w:val="00F61DFD"/>
    <w:rsid w:val="00F634B3"/>
    <w:rsid w:val="00F64079"/>
    <w:rsid w:val="00F64168"/>
    <w:rsid w:val="00F669CD"/>
    <w:rsid w:val="00F67353"/>
    <w:rsid w:val="00F6753A"/>
    <w:rsid w:val="00F70654"/>
    <w:rsid w:val="00F706BC"/>
    <w:rsid w:val="00F70929"/>
    <w:rsid w:val="00F72AB7"/>
    <w:rsid w:val="00F755BF"/>
    <w:rsid w:val="00F75778"/>
    <w:rsid w:val="00F765FE"/>
    <w:rsid w:val="00F76DFD"/>
    <w:rsid w:val="00F819A4"/>
    <w:rsid w:val="00F87503"/>
    <w:rsid w:val="00F90BA1"/>
    <w:rsid w:val="00F90C6F"/>
    <w:rsid w:val="00F92F0B"/>
    <w:rsid w:val="00F94340"/>
    <w:rsid w:val="00F94CC7"/>
    <w:rsid w:val="00F94D30"/>
    <w:rsid w:val="00F96570"/>
    <w:rsid w:val="00FA09FF"/>
    <w:rsid w:val="00FA107B"/>
    <w:rsid w:val="00FA10B2"/>
    <w:rsid w:val="00FA290F"/>
    <w:rsid w:val="00FA2F53"/>
    <w:rsid w:val="00FA4737"/>
    <w:rsid w:val="00FA53A9"/>
    <w:rsid w:val="00FA54E9"/>
    <w:rsid w:val="00FA5897"/>
    <w:rsid w:val="00FA7BEF"/>
    <w:rsid w:val="00FA7EE4"/>
    <w:rsid w:val="00FB0518"/>
    <w:rsid w:val="00FB1040"/>
    <w:rsid w:val="00FB2B37"/>
    <w:rsid w:val="00FB395E"/>
    <w:rsid w:val="00FB43C8"/>
    <w:rsid w:val="00FB5BB5"/>
    <w:rsid w:val="00FB63AB"/>
    <w:rsid w:val="00FB663D"/>
    <w:rsid w:val="00FC1985"/>
    <w:rsid w:val="00FC37D3"/>
    <w:rsid w:val="00FC46AC"/>
    <w:rsid w:val="00FC5AC4"/>
    <w:rsid w:val="00FC6D61"/>
    <w:rsid w:val="00FC6EE2"/>
    <w:rsid w:val="00FC7AFC"/>
    <w:rsid w:val="00FD22BF"/>
    <w:rsid w:val="00FD2573"/>
    <w:rsid w:val="00FD2F80"/>
    <w:rsid w:val="00FD4BB8"/>
    <w:rsid w:val="00FD699F"/>
    <w:rsid w:val="00FD725F"/>
    <w:rsid w:val="00FE0CA2"/>
    <w:rsid w:val="00FE17CA"/>
    <w:rsid w:val="00FE37DE"/>
    <w:rsid w:val="00FE409D"/>
    <w:rsid w:val="00FE50AA"/>
    <w:rsid w:val="00FE5159"/>
    <w:rsid w:val="00FE635F"/>
    <w:rsid w:val="00FE7C02"/>
    <w:rsid w:val="00FF06CB"/>
    <w:rsid w:val="00FF19B0"/>
    <w:rsid w:val="00FF1EDE"/>
    <w:rsid w:val="00FF2640"/>
    <w:rsid w:val="00FF2646"/>
    <w:rsid w:val="00FF28EB"/>
    <w:rsid w:val="00FF586C"/>
    <w:rsid w:val="010A4D72"/>
    <w:rsid w:val="01166E31"/>
    <w:rsid w:val="011B2D5D"/>
    <w:rsid w:val="011D50FD"/>
    <w:rsid w:val="01462B7D"/>
    <w:rsid w:val="018C6953"/>
    <w:rsid w:val="018E4D37"/>
    <w:rsid w:val="01F63343"/>
    <w:rsid w:val="0220070B"/>
    <w:rsid w:val="02284C69"/>
    <w:rsid w:val="024B5FD7"/>
    <w:rsid w:val="02816A05"/>
    <w:rsid w:val="033D2179"/>
    <w:rsid w:val="03826F87"/>
    <w:rsid w:val="04101481"/>
    <w:rsid w:val="041F4410"/>
    <w:rsid w:val="04906ED5"/>
    <w:rsid w:val="04EE5010"/>
    <w:rsid w:val="0502611B"/>
    <w:rsid w:val="056B469B"/>
    <w:rsid w:val="05760DE8"/>
    <w:rsid w:val="0595281B"/>
    <w:rsid w:val="05AE32F2"/>
    <w:rsid w:val="05CE2CE8"/>
    <w:rsid w:val="06232A84"/>
    <w:rsid w:val="07102AEF"/>
    <w:rsid w:val="07DA258E"/>
    <w:rsid w:val="07E71D60"/>
    <w:rsid w:val="08085C6B"/>
    <w:rsid w:val="082011E8"/>
    <w:rsid w:val="08AA4B87"/>
    <w:rsid w:val="08B31AF5"/>
    <w:rsid w:val="09112F11"/>
    <w:rsid w:val="093548B0"/>
    <w:rsid w:val="093C55F6"/>
    <w:rsid w:val="09514748"/>
    <w:rsid w:val="0968167E"/>
    <w:rsid w:val="0A06157E"/>
    <w:rsid w:val="0A4C088C"/>
    <w:rsid w:val="0AA26D6A"/>
    <w:rsid w:val="0AC106A1"/>
    <w:rsid w:val="0ACE6BCD"/>
    <w:rsid w:val="0B317D8C"/>
    <w:rsid w:val="0B3F1488"/>
    <w:rsid w:val="0B4A7640"/>
    <w:rsid w:val="0B635D6A"/>
    <w:rsid w:val="0BCA0D3A"/>
    <w:rsid w:val="0BE56F9B"/>
    <w:rsid w:val="0C1F4799"/>
    <w:rsid w:val="0CA0564F"/>
    <w:rsid w:val="0D5862D5"/>
    <w:rsid w:val="0D8B6786"/>
    <w:rsid w:val="0DD46F40"/>
    <w:rsid w:val="0DE35865"/>
    <w:rsid w:val="0E376607"/>
    <w:rsid w:val="0E652DB8"/>
    <w:rsid w:val="0E9C09EC"/>
    <w:rsid w:val="0ED30CAE"/>
    <w:rsid w:val="0EEA4289"/>
    <w:rsid w:val="0F215032"/>
    <w:rsid w:val="0FA23F69"/>
    <w:rsid w:val="0FD107D2"/>
    <w:rsid w:val="0FDF3809"/>
    <w:rsid w:val="0FEB07AD"/>
    <w:rsid w:val="0FEC748F"/>
    <w:rsid w:val="0FF3000F"/>
    <w:rsid w:val="108E2C87"/>
    <w:rsid w:val="109B29DE"/>
    <w:rsid w:val="10F863AD"/>
    <w:rsid w:val="110C362F"/>
    <w:rsid w:val="111B300D"/>
    <w:rsid w:val="11B63E06"/>
    <w:rsid w:val="126356A7"/>
    <w:rsid w:val="126C2E1A"/>
    <w:rsid w:val="12A54476"/>
    <w:rsid w:val="130424D7"/>
    <w:rsid w:val="131A401C"/>
    <w:rsid w:val="13660293"/>
    <w:rsid w:val="137D65DC"/>
    <w:rsid w:val="13AE33FF"/>
    <w:rsid w:val="14531B4D"/>
    <w:rsid w:val="145B59AE"/>
    <w:rsid w:val="147A582B"/>
    <w:rsid w:val="14B419DC"/>
    <w:rsid w:val="151D1AE8"/>
    <w:rsid w:val="15434665"/>
    <w:rsid w:val="157E709D"/>
    <w:rsid w:val="15BA1F01"/>
    <w:rsid w:val="16491F72"/>
    <w:rsid w:val="16B447CE"/>
    <w:rsid w:val="16CC62F8"/>
    <w:rsid w:val="176819FD"/>
    <w:rsid w:val="17A24D99"/>
    <w:rsid w:val="17A2718F"/>
    <w:rsid w:val="17B476FF"/>
    <w:rsid w:val="17B6097D"/>
    <w:rsid w:val="17B620C3"/>
    <w:rsid w:val="18E17362"/>
    <w:rsid w:val="18EB44A8"/>
    <w:rsid w:val="19273990"/>
    <w:rsid w:val="19311748"/>
    <w:rsid w:val="193C34F7"/>
    <w:rsid w:val="19BC47E2"/>
    <w:rsid w:val="19DB6468"/>
    <w:rsid w:val="19EA4753"/>
    <w:rsid w:val="19F15AEA"/>
    <w:rsid w:val="1A440919"/>
    <w:rsid w:val="1A4546C3"/>
    <w:rsid w:val="1A646862"/>
    <w:rsid w:val="1AA16C6F"/>
    <w:rsid w:val="1AED1058"/>
    <w:rsid w:val="1AED6916"/>
    <w:rsid w:val="1AF06072"/>
    <w:rsid w:val="1B2110EC"/>
    <w:rsid w:val="1B3D73FD"/>
    <w:rsid w:val="1B64127C"/>
    <w:rsid w:val="1B7C2FDD"/>
    <w:rsid w:val="1BA36DC7"/>
    <w:rsid w:val="1C375592"/>
    <w:rsid w:val="1C4F675F"/>
    <w:rsid w:val="1C8F4A29"/>
    <w:rsid w:val="1DA36C2C"/>
    <w:rsid w:val="1E765A24"/>
    <w:rsid w:val="1F7720E1"/>
    <w:rsid w:val="1F8C3642"/>
    <w:rsid w:val="1FAA7646"/>
    <w:rsid w:val="1FD74DF2"/>
    <w:rsid w:val="200E6B42"/>
    <w:rsid w:val="2016587B"/>
    <w:rsid w:val="20332455"/>
    <w:rsid w:val="205556BA"/>
    <w:rsid w:val="20B93239"/>
    <w:rsid w:val="20C67174"/>
    <w:rsid w:val="20E3074A"/>
    <w:rsid w:val="210D2AF4"/>
    <w:rsid w:val="214B5186"/>
    <w:rsid w:val="215A1B64"/>
    <w:rsid w:val="21823FF0"/>
    <w:rsid w:val="21B72CFB"/>
    <w:rsid w:val="21E1583D"/>
    <w:rsid w:val="21F95202"/>
    <w:rsid w:val="221473CF"/>
    <w:rsid w:val="22495E2B"/>
    <w:rsid w:val="22771F3A"/>
    <w:rsid w:val="22F23E66"/>
    <w:rsid w:val="23DF48C1"/>
    <w:rsid w:val="23F84A91"/>
    <w:rsid w:val="25352769"/>
    <w:rsid w:val="25353ACA"/>
    <w:rsid w:val="259D1489"/>
    <w:rsid w:val="25A804F0"/>
    <w:rsid w:val="25B82D97"/>
    <w:rsid w:val="25EF1881"/>
    <w:rsid w:val="262275D1"/>
    <w:rsid w:val="26A133CC"/>
    <w:rsid w:val="26A14FA4"/>
    <w:rsid w:val="26C43214"/>
    <w:rsid w:val="26FE3B9A"/>
    <w:rsid w:val="27173282"/>
    <w:rsid w:val="276D3A16"/>
    <w:rsid w:val="27704D65"/>
    <w:rsid w:val="277368D3"/>
    <w:rsid w:val="27760B2B"/>
    <w:rsid w:val="27D157C1"/>
    <w:rsid w:val="27F75003"/>
    <w:rsid w:val="27F878F7"/>
    <w:rsid w:val="282D1085"/>
    <w:rsid w:val="28453EF7"/>
    <w:rsid w:val="28E71864"/>
    <w:rsid w:val="28EC70A9"/>
    <w:rsid w:val="291432EC"/>
    <w:rsid w:val="29DE6C65"/>
    <w:rsid w:val="2A1E0E52"/>
    <w:rsid w:val="2A1E2D2D"/>
    <w:rsid w:val="2A374F8F"/>
    <w:rsid w:val="2A3B66C3"/>
    <w:rsid w:val="2A70711A"/>
    <w:rsid w:val="2A937298"/>
    <w:rsid w:val="2CB57184"/>
    <w:rsid w:val="2D263453"/>
    <w:rsid w:val="2D427B25"/>
    <w:rsid w:val="2E460FB1"/>
    <w:rsid w:val="2EBA484A"/>
    <w:rsid w:val="2FFD6CC5"/>
    <w:rsid w:val="30427DBA"/>
    <w:rsid w:val="30ED634B"/>
    <w:rsid w:val="31034248"/>
    <w:rsid w:val="31140B85"/>
    <w:rsid w:val="31714AB4"/>
    <w:rsid w:val="324A01A3"/>
    <w:rsid w:val="32553131"/>
    <w:rsid w:val="32637CFC"/>
    <w:rsid w:val="3280290E"/>
    <w:rsid w:val="328430C6"/>
    <w:rsid w:val="332960D5"/>
    <w:rsid w:val="33613960"/>
    <w:rsid w:val="337755FE"/>
    <w:rsid w:val="33785FFA"/>
    <w:rsid w:val="33EA60D5"/>
    <w:rsid w:val="340827CB"/>
    <w:rsid w:val="34721854"/>
    <w:rsid w:val="3491478D"/>
    <w:rsid w:val="34A3444E"/>
    <w:rsid w:val="34C82A02"/>
    <w:rsid w:val="3555661D"/>
    <w:rsid w:val="35860A96"/>
    <w:rsid w:val="35A216F2"/>
    <w:rsid w:val="35D1669C"/>
    <w:rsid w:val="35FE10C0"/>
    <w:rsid w:val="36415962"/>
    <w:rsid w:val="378F4F5E"/>
    <w:rsid w:val="37C978E2"/>
    <w:rsid w:val="381C5281"/>
    <w:rsid w:val="3825437A"/>
    <w:rsid w:val="388C3D38"/>
    <w:rsid w:val="389F206B"/>
    <w:rsid w:val="391528CE"/>
    <w:rsid w:val="39400042"/>
    <w:rsid w:val="397F0B6A"/>
    <w:rsid w:val="3994208C"/>
    <w:rsid w:val="39CF5055"/>
    <w:rsid w:val="3A513DDD"/>
    <w:rsid w:val="3A6669C1"/>
    <w:rsid w:val="3A6D28CD"/>
    <w:rsid w:val="3AE05E24"/>
    <w:rsid w:val="3AE2576E"/>
    <w:rsid w:val="3BE67C5E"/>
    <w:rsid w:val="3BF63205"/>
    <w:rsid w:val="3C003DFF"/>
    <w:rsid w:val="3C1A60D0"/>
    <w:rsid w:val="3CBD6628"/>
    <w:rsid w:val="3D4C53A9"/>
    <w:rsid w:val="3D844B75"/>
    <w:rsid w:val="3DA76DDC"/>
    <w:rsid w:val="3F483AC3"/>
    <w:rsid w:val="3F585406"/>
    <w:rsid w:val="3FE12335"/>
    <w:rsid w:val="404E24F0"/>
    <w:rsid w:val="409F4CCB"/>
    <w:rsid w:val="41417647"/>
    <w:rsid w:val="41756DEE"/>
    <w:rsid w:val="41A01965"/>
    <w:rsid w:val="41E53D29"/>
    <w:rsid w:val="41E80FE3"/>
    <w:rsid w:val="4214604A"/>
    <w:rsid w:val="421B7151"/>
    <w:rsid w:val="42557ECF"/>
    <w:rsid w:val="42777EC1"/>
    <w:rsid w:val="427C57E1"/>
    <w:rsid w:val="428E4EE8"/>
    <w:rsid w:val="431E4DAF"/>
    <w:rsid w:val="43B21B3C"/>
    <w:rsid w:val="43D6335F"/>
    <w:rsid w:val="443A0603"/>
    <w:rsid w:val="4475674F"/>
    <w:rsid w:val="44FF6EE1"/>
    <w:rsid w:val="451A648E"/>
    <w:rsid w:val="457F4E7C"/>
    <w:rsid w:val="458B14EA"/>
    <w:rsid w:val="45CA345A"/>
    <w:rsid w:val="46100E8A"/>
    <w:rsid w:val="46164BF7"/>
    <w:rsid w:val="46320B61"/>
    <w:rsid w:val="4658182E"/>
    <w:rsid w:val="46630383"/>
    <w:rsid w:val="46A46590"/>
    <w:rsid w:val="47145E97"/>
    <w:rsid w:val="48936B77"/>
    <w:rsid w:val="48AF7B2B"/>
    <w:rsid w:val="494D2C73"/>
    <w:rsid w:val="49EC53B1"/>
    <w:rsid w:val="4AA00899"/>
    <w:rsid w:val="4B1F0EB4"/>
    <w:rsid w:val="4B250FFA"/>
    <w:rsid w:val="4C06008B"/>
    <w:rsid w:val="4C2668F2"/>
    <w:rsid w:val="4CA36920"/>
    <w:rsid w:val="4CAD4E11"/>
    <w:rsid w:val="4D804334"/>
    <w:rsid w:val="4E3E4B16"/>
    <w:rsid w:val="4E710235"/>
    <w:rsid w:val="4E8B17D1"/>
    <w:rsid w:val="4ECC57A0"/>
    <w:rsid w:val="4F831872"/>
    <w:rsid w:val="4FAA0208"/>
    <w:rsid w:val="4FE408D4"/>
    <w:rsid w:val="50487EFF"/>
    <w:rsid w:val="50543B80"/>
    <w:rsid w:val="50800EE4"/>
    <w:rsid w:val="508E296D"/>
    <w:rsid w:val="50A64F53"/>
    <w:rsid w:val="50D1472F"/>
    <w:rsid w:val="51377760"/>
    <w:rsid w:val="5155150D"/>
    <w:rsid w:val="51662ECB"/>
    <w:rsid w:val="51860FD2"/>
    <w:rsid w:val="51A842C2"/>
    <w:rsid w:val="51B178D7"/>
    <w:rsid w:val="51BB364F"/>
    <w:rsid w:val="51F021AD"/>
    <w:rsid w:val="521F1D52"/>
    <w:rsid w:val="52577DBB"/>
    <w:rsid w:val="52A62C44"/>
    <w:rsid w:val="52BB2D4F"/>
    <w:rsid w:val="53555FAA"/>
    <w:rsid w:val="537A36B4"/>
    <w:rsid w:val="53EE33BB"/>
    <w:rsid w:val="541549FB"/>
    <w:rsid w:val="54F21654"/>
    <w:rsid w:val="550045BE"/>
    <w:rsid w:val="553A1AFA"/>
    <w:rsid w:val="557A252F"/>
    <w:rsid w:val="564F5431"/>
    <w:rsid w:val="56936F1C"/>
    <w:rsid w:val="569E4A70"/>
    <w:rsid w:val="57120D1F"/>
    <w:rsid w:val="58333F21"/>
    <w:rsid w:val="58424CC2"/>
    <w:rsid w:val="585710CC"/>
    <w:rsid w:val="586F72DB"/>
    <w:rsid w:val="59330F78"/>
    <w:rsid w:val="594C1094"/>
    <w:rsid w:val="594F5857"/>
    <w:rsid w:val="59A06B5B"/>
    <w:rsid w:val="59AA1911"/>
    <w:rsid w:val="59F96C14"/>
    <w:rsid w:val="5A597CF5"/>
    <w:rsid w:val="5B1C3752"/>
    <w:rsid w:val="5B2163AB"/>
    <w:rsid w:val="5B7573A3"/>
    <w:rsid w:val="5BE11DC5"/>
    <w:rsid w:val="5C1949F7"/>
    <w:rsid w:val="5C1D20B7"/>
    <w:rsid w:val="5C9047A2"/>
    <w:rsid w:val="5D041F29"/>
    <w:rsid w:val="5D07369C"/>
    <w:rsid w:val="5D1949BB"/>
    <w:rsid w:val="5D8D5ABF"/>
    <w:rsid w:val="5E2E118F"/>
    <w:rsid w:val="5E6632B3"/>
    <w:rsid w:val="5E814291"/>
    <w:rsid w:val="5EB17944"/>
    <w:rsid w:val="5ED34A24"/>
    <w:rsid w:val="5F1A1FE9"/>
    <w:rsid w:val="5F261A01"/>
    <w:rsid w:val="5F6C3E91"/>
    <w:rsid w:val="5F8C34ED"/>
    <w:rsid w:val="603A7708"/>
    <w:rsid w:val="605022B8"/>
    <w:rsid w:val="60756063"/>
    <w:rsid w:val="607E5BA2"/>
    <w:rsid w:val="60C01ACF"/>
    <w:rsid w:val="60EA02FE"/>
    <w:rsid w:val="613D0A72"/>
    <w:rsid w:val="61B5567A"/>
    <w:rsid w:val="61B7396F"/>
    <w:rsid w:val="61CE7C6C"/>
    <w:rsid w:val="62062F39"/>
    <w:rsid w:val="622E4609"/>
    <w:rsid w:val="62A83BF9"/>
    <w:rsid w:val="62AB44BD"/>
    <w:rsid w:val="62D23C59"/>
    <w:rsid w:val="62D73267"/>
    <w:rsid w:val="62F47CBD"/>
    <w:rsid w:val="63062529"/>
    <w:rsid w:val="634D0F9B"/>
    <w:rsid w:val="63612B2C"/>
    <w:rsid w:val="63957059"/>
    <w:rsid w:val="63FB52E6"/>
    <w:rsid w:val="64B67064"/>
    <w:rsid w:val="64DC4899"/>
    <w:rsid w:val="652916C1"/>
    <w:rsid w:val="65402913"/>
    <w:rsid w:val="658D0DA4"/>
    <w:rsid w:val="65BD2CE9"/>
    <w:rsid w:val="662A1850"/>
    <w:rsid w:val="666900D5"/>
    <w:rsid w:val="66B724AC"/>
    <w:rsid w:val="66E15359"/>
    <w:rsid w:val="67183869"/>
    <w:rsid w:val="67671FEB"/>
    <w:rsid w:val="68454DA4"/>
    <w:rsid w:val="68565BFC"/>
    <w:rsid w:val="6881649F"/>
    <w:rsid w:val="68A74A63"/>
    <w:rsid w:val="6A102E9F"/>
    <w:rsid w:val="6A6F132D"/>
    <w:rsid w:val="6AD64E07"/>
    <w:rsid w:val="6AE20BF2"/>
    <w:rsid w:val="6AEA1A38"/>
    <w:rsid w:val="6B2A11D5"/>
    <w:rsid w:val="6B554F91"/>
    <w:rsid w:val="6B5F1EA6"/>
    <w:rsid w:val="6B7423EB"/>
    <w:rsid w:val="6B96165C"/>
    <w:rsid w:val="6BA77CE4"/>
    <w:rsid w:val="6BC05407"/>
    <w:rsid w:val="6C007868"/>
    <w:rsid w:val="6C0270E4"/>
    <w:rsid w:val="6C274DEE"/>
    <w:rsid w:val="6C9C1C8E"/>
    <w:rsid w:val="6D395430"/>
    <w:rsid w:val="6D5930C8"/>
    <w:rsid w:val="6D9222AA"/>
    <w:rsid w:val="6DAD385D"/>
    <w:rsid w:val="6DD300F1"/>
    <w:rsid w:val="6DF10258"/>
    <w:rsid w:val="6DF33865"/>
    <w:rsid w:val="6EF728D6"/>
    <w:rsid w:val="6FAB7DA4"/>
    <w:rsid w:val="6FD5761B"/>
    <w:rsid w:val="705A1860"/>
    <w:rsid w:val="70BB6367"/>
    <w:rsid w:val="70E7214C"/>
    <w:rsid w:val="70F509C5"/>
    <w:rsid w:val="710F6E42"/>
    <w:rsid w:val="711E0E36"/>
    <w:rsid w:val="713F76FF"/>
    <w:rsid w:val="727A5D97"/>
    <w:rsid w:val="72956E2E"/>
    <w:rsid w:val="736F2822"/>
    <w:rsid w:val="73911760"/>
    <w:rsid w:val="739172AB"/>
    <w:rsid w:val="739D74E8"/>
    <w:rsid w:val="73A70FEB"/>
    <w:rsid w:val="73D82F2E"/>
    <w:rsid w:val="74073419"/>
    <w:rsid w:val="74967724"/>
    <w:rsid w:val="75440A5F"/>
    <w:rsid w:val="75730E87"/>
    <w:rsid w:val="757F722E"/>
    <w:rsid w:val="75ED59BA"/>
    <w:rsid w:val="7639096B"/>
    <w:rsid w:val="76BB21D0"/>
    <w:rsid w:val="774E4CF6"/>
    <w:rsid w:val="77E5261F"/>
    <w:rsid w:val="77EF1138"/>
    <w:rsid w:val="77FA2008"/>
    <w:rsid w:val="77FD15F6"/>
    <w:rsid w:val="78ED3E94"/>
    <w:rsid w:val="790772CC"/>
    <w:rsid w:val="792034F9"/>
    <w:rsid w:val="798B00DC"/>
    <w:rsid w:val="79A045CC"/>
    <w:rsid w:val="79D375E5"/>
    <w:rsid w:val="7AB4552F"/>
    <w:rsid w:val="7AF00FBF"/>
    <w:rsid w:val="7B167885"/>
    <w:rsid w:val="7B2E5971"/>
    <w:rsid w:val="7B552EB8"/>
    <w:rsid w:val="7B5B7179"/>
    <w:rsid w:val="7B712596"/>
    <w:rsid w:val="7BD85E94"/>
    <w:rsid w:val="7C836674"/>
    <w:rsid w:val="7CC21D3C"/>
    <w:rsid w:val="7D227ABF"/>
    <w:rsid w:val="7D311861"/>
    <w:rsid w:val="7D9243A3"/>
    <w:rsid w:val="7DB41C54"/>
    <w:rsid w:val="7DC97CEA"/>
    <w:rsid w:val="7E82699D"/>
    <w:rsid w:val="7EAA15E1"/>
    <w:rsid w:val="7EB954FC"/>
    <w:rsid w:val="7F98619E"/>
    <w:rsid w:val="7FAA3943"/>
    <w:rsid w:val="7FE4485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name="index 1"/>
    <w:lsdException w:uiPriority="0" w:name="index 2"/>
    <w:lsdException w:uiPriority="0" w:name="index 3"/>
    <w:lsdException w:uiPriority="0" w:name="index 4"/>
    <w:lsdException w:uiPriority="0" w:name="index 5"/>
    <w:lsdException w:uiPriority="0" w:name="index 6"/>
    <w:lsdException w:qFormat="1"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name="index heading"/>
    <w:lsdException w:qFormat="1" w:unhideWhenUsed="0" w:uiPriority="0" w:semiHidden="0" w:name="caption"/>
    <w:lsdException w:qFormat="1" w:unhideWhenUsed="0" w:uiPriority="0" w:semiHidden="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5"/>
    <w:qFormat/>
    <w:uiPriority w:val="0"/>
    <w:pPr>
      <w:widowControl/>
      <w:spacing w:beforeLines="100" w:afterLines="100" w:line="500" w:lineRule="atLeast"/>
      <w:jc w:val="center"/>
      <w:outlineLvl w:val="0"/>
    </w:pPr>
    <w:rPr>
      <w:b/>
      <w:kern w:val="0"/>
      <w:sz w:val="44"/>
    </w:rPr>
  </w:style>
  <w:style w:type="paragraph" w:styleId="4">
    <w:name w:val="heading 2"/>
    <w:basedOn w:val="1"/>
    <w:next w:val="1"/>
    <w:link w:val="80"/>
    <w:qFormat/>
    <w:uiPriority w:val="0"/>
    <w:pPr>
      <w:keepNext/>
      <w:keepLines/>
      <w:spacing w:line="360" w:lineRule="auto"/>
      <w:outlineLvl w:val="1"/>
    </w:pPr>
    <w:rPr>
      <w:b/>
      <w:kern w:val="0"/>
      <w:sz w:val="32"/>
    </w:rPr>
  </w:style>
  <w:style w:type="paragraph" w:styleId="2">
    <w:name w:val="heading 3"/>
    <w:basedOn w:val="1"/>
    <w:next w:val="1"/>
    <w:link w:val="86"/>
    <w:qFormat/>
    <w:uiPriority w:val="0"/>
    <w:pPr>
      <w:keepNext/>
      <w:keepLines/>
      <w:shd w:val="clear" w:color="auto" w:fill="FFFFFF"/>
      <w:adjustRightInd w:val="0"/>
      <w:snapToGrid w:val="0"/>
      <w:spacing w:line="360" w:lineRule="auto"/>
      <w:jc w:val="left"/>
      <w:outlineLvl w:val="2"/>
    </w:pPr>
    <w:rPr>
      <w:rFonts w:ascii="宋体" w:hAnsi="宋体"/>
      <w:b/>
      <w:bCs/>
      <w:kern w:val="0"/>
      <w:sz w:val="24"/>
      <w:szCs w:val="32"/>
    </w:rPr>
  </w:style>
  <w:style w:type="paragraph" w:styleId="5">
    <w:name w:val="heading 4"/>
    <w:basedOn w:val="1"/>
    <w:next w:val="1"/>
    <w:link w:val="58"/>
    <w:qFormat/>
    <w:uiPriority w:val="0"/>
    <w:pPr>
      <w:keepNext/>
      <w:keepLines/>
      <w:spacing w:before="280" w:after="290" w:line="372" w:lineRule="auto"/>
      <w:outlineLvl w:val="3"/>
    </w:pPr>
    <w:rPr>
      <w:rFonts w:ascii="Arial" w:hAnsi="Arial" w:eastAsia="黑体"/>
      <w:b/>
      <w:bCs/>
      <w:sz w:val="28"/>
      <w:szCs w:val="28"/>
    </w:rPr>
  </w:style>
  <w:style w:type="paragraph" w:styleId="6">
    <w:name w:val="heading 5"/>
    <w:basedOn w:val="1"/>
    <w:next w:val="1"/>
    <w:link w:val="87"/>
    <w:qFormat/>
    <w:uiPriority w:val="0"/>
    <w:pPr>
      <w:keepNext/>
      <w:keepLines/>
      <w:spacing w:before="280" w:after="290" w:line="372" w:lineRule="auto"/>
      <w:outlineLvl w:val="4"/>
    </w:pPr>
    <w:rPr>
      <w:b/>
      <w:bCs/>
      <w:sz w:val="28"/>
      <w:szCs w:val="28"/>
    </w:rPr>
  </w:style>
  <w:style w:type="paragraph" w:styleId="7">
    <w:name w:val="heading 6"/>
    <w:basedOn w:val="1"/>
    <w:next w:val="1"/>
    <w:link w:val="68"/>
    <w:qFormat/>
    <w:uiPriority w:val="0"/>
    <w:pPr>
      <w:keepNext/>
      <w:keepLines/>
      <w:tabs>
        <w:tab w:val="left" w:pos="1152"/>
      </w:tabs>
      <w:snapToGrid w:val="0"/>
      <w:spacing w:before="120" w:after="120"/>
      <w:ind w:left="1152" w:hanging="1152"/>
      <w:outlineLvl w:val="5"/>
    </w:pPr>
    <w:rPr>
      <w:szCs w:val="20"/>
    </w:rPr>
  </w:style>
  <w:style w:type="paragraph" w:styleId="8">
    <w:name w:val="heading 7"/>
    <w:basedOn w:val="1"/>
    <w:next w:val="1"/>
    <w:link w:val="69"/>
    <w:qFormat/>
    <w:uiPriority w:val="0"/>
    <w:pPr>
      <w:keepNext/>
      <w:keepLines/>
      <w:tabs>
        <w:tab w:val="left" w:pos="1296"/>
      </w:tabs>
      <w:snapToGrid w:val="0"/>
      <w:spacing w:before="240" w:after="64" w:line="317" w:lineRule="auto"/>
      <w:ind w:left="1296" w:hanging="1296"/>
      <w:outlineLvl w:val="6"/>
    </w:pPr>
    <w:rPr>
      <w:rFonts w:eastAsia="楷体_GB2312"/>
      <w:b/>
      <w:sz w:val="24"/>
      <w:szCs w:val="20"/>
    </w:rPr>
  </w:style>
  <w:style w:type="paragraph" w:styleId="9">
    <w:name w:val="heading 8"/>
    <w:basedOn w:val="1"/>
    <w:next w:val="1"/>
    <w:link w:val="88"/>
    <w:qFormat/>
    <w:uiPriority w:val="0"/>
    <w:pPr>
      <w:keepNext/>
      <w:keepLines/>
      <w:tabs>
        <w:tab w:val="left" w:pos="1440"/>
      </w:tabs>
      <w:snapToGrid w:val="0"/>
      <w:spacing w:before="240" w:after="64" w:line="317" w:lineRule="auto"/>
      <w:ind w:left="1440" w:hanging="1440"/>
      <w:outlineLvl w:val="7"/>
    </w:pPr>
    <w:rPr>
      <w:rFonts w:ascii="Arial" w:hAnsi="Arial" w:eastAsia="黑体"/>
      <w:sz w:val="24"/>
      <w:szCs w:val="20"/>
    </w:rPr>
  </w:style>
  <w:style w:type="paragraph" w:styleId="10">
    <w:name w:val="heading 9"/>
    <w:basedOn w:val="1"/>
    <w:next w:val="1"/>
    <w:link w:val="64"/>
    <w:qFormat/>
    <w:uiPriority w:val="0"/>
    <w:pPr>
      <w:keepNext/>
      <w:keepLines/>
      <w:tabs>
        <w:tab w:val="left" w:pos="1584"/>
      </w:tabs>
      <w:snapToGrid w:val="0"/>
      <w:spacing w:before="240" w:after="64" w:line="317" w:lineRule="auto"/>
      <w:ind w:left="1584" w:hanging="1584"/>
      <w:outlineLvl w:val="8"/>
    </w:pPr>
    <w:rPr>
      <w:rFonts w:ascii="Arial" w:hAnsi="Arial" w:eastAsia="黑体"/>
      <w:sz w:val="30"/>
      <w:szCs w:val="20"/>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rPr>
      <w:rFonts w:ascii="Calibri" w:hAnsi="Calibri"/>
      <w:szCs w:val="22"/>
    </w:rPr>
  </w:style>
  <w:style w:type="paragraph" w:styleId="12">
    <w:name w:val="Normal Indent"/>
    <w:basedOn w:val="1"/>
    <w:next w:val="1"/>
    <w:qFormat/>
    <w:uiPriority w:val="0"/>
    <w:pPr>
      <w:ind w:firstLine="420"/>
    </w:pPr>
    <w:rPr>
      <w:rFonts w:eastAsia="仿宋_GB2312"/>
      <w:spacing w:val="24"/>
      <w:sz w:val="28"/>
      <w:szCs w:val="20"/>
    </w:rPr>
  </w:style>
  <w:style w:type="paragraph" w:styleId="13">
    <w:name w:val="caption"/>
    <w:basedOn w:val="1"/>
    <w:next w:val="1"/>
    <w:qFormat/>
    <w:uiPriority w:val="0"/>
    <w:pPr>
      <w:spacing w:line="480" w:lineRule="auto"/>
    </w:pPr>
    <w:rPr>
      <w:rFonts w:hint="eastAsia" w:ascii="华文中宋" w:hAnsi="华文中宋" w:eastAsia="华文中宋"/>
      <w:sz w:val="36"/>
      <w:szCs w:val="20"/>
    </w:rPr>
  </w:style>
  <w:style w:type="paragraph" w:styleId="14">
    <w:name w:val="Document Map"/>
    <w:basedOn w:val="1"/>
    <w:link w:val="75"/>
    <w:qFormat/>
    <w:uiPriority w:val="99"/>
    <w:pPr>
      <w:shd w:val="clear" w:color="auto" w:fill="000080"/>
    </w:pPr>
  </w:style>
  <w:style w:type="paragraph" w:styleId="15">
    <w:name w:val="toa heading"/>
    <w:basedOn w:val="1"/>
    <w:next w:val="1"/>
    <w:qFormat/>
    <w:uiPriority w:val="0"/>
    <w:pPr>
      <w:spacing w:before="120"/>
    </w:pPr>
    <w:rPr>
      <w:rFonts w:ascii="Arial" w:hAnsi="Arial"/>
      <w:sz w:val="24"/>
    </w:rPr>
  </w:style>
  <w:style w:type="paragraph" w:styleId="16">
    <w:name w:val="annotation text"/>
    <w:basedOn w:val="1"/>
    <w:link w:val="60"/>
    <w:qFormat/>
    <w:uiPriority w:val="0"/>
    <w:pPr>
      <w:jc w:val="left"/>
    </w:pPr>
    <w:rPr>
      <w:szCs w:val="20"/>
    </w:rPr>
  </w:style>
  <w:style w:type="paragraph" w:styleId="17">
    <w:name w:val="Body Text 3"/>
    <w:basedOn w:val="1"/>
    <w:link w:val="57"/>
    <w:qFormat/>
    <w:uiPriority w:val="0"/>
    <w:pPr>
      <w:adjustRightInd w:val="0"/>
      <w:spacing w:after="120" w:line="360" w:lineRule="auto"/>
      <w:ind w:left="200" w:leftChars="200"/>
      <w:textAlignment w:val="baseline"/>
    </w:pPr>
    <w:rPr>
      <w:kern w:val="0"/>
      <w:sz w:val="16"/>
      <w:szCs w:val="16"/>
    </w:rPr>
  </w:style>
  <w:style w:type="paragraph" w:styleId="18">
    <w:name w:val="Body Text"/>
    <w:basedOn w:val="1"/>
    <w:link w:val="76"/>
    <w:qFormat/>
    <w:uiPriority w:val="0"/>
    <w:pPr>
      <w:snapToGrid w:val="0"/>
      <w:spacing w:line="360" w:lineRule="auto"/>
    </w:pPr>
    <w:rPr>
      <w:sz w:val="24"/>
      <w:szCs w:val="20"/>
    </w:rPr>
  </w:style>
  <w:style w:type="paragraph" w:styleId="19">
    <w:name w:val="Body Text Indent"/>
    <w:basedOn w:val="1"/>
    <w:next w:val="12"/>
    <w:link w:val="77"/>
    <w:qFormat/>
    <w:uiPriority w:val="0"/>
    <w:pPr>
      <w:spacing w:line="500" w:lineRule="exact"/>
      <w:ind w:left="360"/>
    </w:pPr>
    <w:rPr>
      <w:kern w:val="0"/>
    </w:rPr>
  </w:style>
  <w:style w:type="paragraph" w:styleId="20">
    <w:name w:val="toc 5"/>
    <w:basedOn w:val="1"/>
    <w:next w:val="1"/>
    <w:unhideWhenUsed/>
    <w:qFormat/>
    <w:uiPriority w:val="39"/>
    <w:pPr>
      <w:ind w:left="1680" w:leftChars="800"/>
    </w:pPr>
    <w:rPr>
      <w:rFonts w:ascii="Calibri" w:hAnsi="Calibri"/>
      <w:szCs w:val="22"/>
    </w:rPr>
  </w:style>
  <w:style w:type="paragraph" w:styleId="21">
    <w:name w:val="toc 3"/>
    <w:basedOn w:val="1"/>
    <w:next w:val="1"/>
    <w:qFormat/>
    <w:uiPriority w:val="39"/>
    <w:pPr>
      <w:tabs>
        <w:tab w:val="right" w:leader="dot" w:pos="8776"/>
      </w:tabs>
      <w:ind w:left="400" w:leftChars="400"/>
    </w:pPr>
    <w:rPr>
      <w:kern w:val="0"/>
      <w:szCs w:val="30"/>
    </w:rPr>
  </w:style>
  <w:style w:type="paragraph" w:styleId="22">
    <w:name w:val="Plain Text"/>
    <w:basedOn w:val="1"/>
    <w:link w:val="81"/>
    <w:qFormat/>
    <w:uiPriority w:val="0"/>
    <w:pPr>
      <w:spacing w:line="500" w:lineRule="atLeast"/>
    </w:pPr>
    <w:rPr>
      <w:rFonts w:ascii="宋体" w:hAnsi="Courier New"/>
      <w:kern w:val="0"/>
      <w:szCs w:val="20"/>
    </w:rPr>
  </w:style>
  <w:style w:type="paragraph" w:styleId="23">
    <w:name w:val="toc 8"/>
    <w:basedOn w:val="1"/>
    <w:next w:val="1"/>
    <w:unhideWhenUsed/>
    <w:qFormat/>
    <w:uiPriority w:val="39"/>
    <w:pPr>
      <w:ind w:left="2940" w:leftChars="1400"/>
    </w:pPr>
    <w:rPr>
      <w:rFonts w:ascii="Calibri" w:hAnsi="Calibri"/>
      <w:szCs w:val="22"/>
    </w:rPr>
  </w:style>
  <w:style w:type="paragraph" w:styleId="24">
    <w:name w:val="Date"/>
    <w:basedOn w:val="1"/>
    <w:next w:val="1"/>
    <w:link w:val="74"/>
    <w:qFormat/>
    <w:uiPriority w:val="0"/>
    <w:rPr>
      <w:sz w:val="24"/>
      <w:szCs w:val="20"/>
    </w:rPr>
  </w:style>
  <w:style w:type="paragraph" w:styleId="25">
    <w:name w:val="Body Text Indent 2"/>
    <w:basedOn w:val="1"/>
    <w:link w:val="73"/>
    <w:qFormat/>
    <w:uiPriority w:val="0"/>
    <w:pPr>
      <w:spacing w:line="360" w:lineRule="auto"/>
      <w:ind w:firstLine="420"/>
    </w:pPr>
    <w:rPr>
      <w:sz w:val="24"/>
    </w:rPr>
  </w:style>
  <w:style w:type="paragraph" w:styleId="26">
    <w:name w:val="Balloon Text"/>
    <w:basedOn w:val="1"/>
    <w:link w:val="91"/>
    <w:qFormat/>
    <w:uiPriority w:val="99"/>
    <w:rPr>
      <w:sz w:val="18"/>
      <w:szCs w:val="18"/>
    </w:rPr>
  </w:style>
  <w:style w:type="paragraph" w:styleId="27">
    <w:name w:val="footer"/>
    <w:basedOn w:val="1"/>
    <w:link w:val="83"/>
    <w:qFormat/>
    <w:uiPriority w:val="99"/>
    <w:pPr>
      <w:tabs>
        <w:tab w:val="center" w:pos="4153"/>
        <w:tab w:val="right" w:pos="8306"/>
      </w:tabs>
      <w:snapToGrid w:val="0"/>
      <w:jc w:val="left"/>
    </w:pPr>
    <w:rPr>
      <w:sz w:val="18"/>
      <w:szCs w:val="18"/>
    </w:rPr>
  </w:style>
  <w:style w:type="paragraph" w:styleId="28">
    <w:name w:val="header"/>
    <w:basedOn w:val="1"/>
    <w:link w:val="61"/>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9">
    <w:name w:val="toc 1"/>
    <w:basedOn w:val="1"/>
    <w:next w:val="1"/>
    <w:qFormat/>
    <w:uiPriority w:val="39"/>
    <w:pPr>
      <w:tabs>
        <w:tab w:val="right" w:leader="dot" w:pos="9360"/>
      </w:tabs>
      <w:spacing w:line="460" w:lineRule="exact"/>
      <w:ind w:firstLine="361" w:firstLineChars="150"/>
    </w:pPr>
    <w:rPr>
      <w:rFonts w:ascii="仿宋_GB2312" w:eastAsia="仿宋_GB2312"/>
      <w:b/>
      <w:bCs/>
      <w:color w:val="000000"/>
      <w:kern w:val="0"/>
      <w:sz w:val="24"/>
    </w:rPr>
  </w:style>
  <w:style w:type="paragraph" w:styleId="30">
    <w:name w:val="toc 4"/>
    <w:basedOn w:val="1"/>
    <w:next w:val="1"/>
    <w:qFormat/>
    <w:uiPriority w:val="39"/>
    <w:pPr>
      <w:ind w:left="1260" w:leftChars="600"/>
    </w:pPr>
  </w:style>
  <w:style w:type="paragraph" w:styleId="31">
    <w:name w:val="index heading"/>
    <w:basedOn w:val="1"/>
    <w:next w:val="32"/>
    <w:semiHidden/>
    <w:unhideWhenUsed/>
    <w:qFormat/>
    <w:uiPriority w:val="0"/>
    <w:rPr>
      <w:rFonts w:asciiTheme="majorHAnsi" w:hAnsiTheme="majorHAnsi" w:eastAsiaTheme="majorEastAsia" w:cstheme="majorBidi"/>
      <w:b/>
      <w:bCs/>
    </w:rPr>
  </w:style>
  <w:style w:type="paragraph" w:styleId="32">
    <w:name w:val="index 1"/>
    <w:basedOn w:val="1"/>
    <w:next w:val="1"/>
    <w:semiHidden/>
    <w:unhideWhenUsed/>
    <w:qFormat/>
    <w:uiPriority w:val="0"/>
  </w:style>
  <w:style w:type="paragraph" w:styleId="33">
    <w:name w:val="Subtitle"/>
    <w:basedOn w:val="1"/>
    <w:next w:val="1"/>
    <w:link w:val="181"/>
    <w:qFormat/>
    <w:uiPriority w:val="11"/>
    <w:pPr>
      <w:widowControl/>
      <w:spacing w:before="240" w:after="60" w:line="312" w:lineRule="auto"/>
      <w:jc w:val="center"/>
      <w:outlineLvl w:val="1"/>
    </w:pPr>
    <w:rPr>
      <w:rFonts w:ascii="Calibri Light" w:hAnsi="Calibri Light"/>
      <w:b/>
      <w:bCs/>
      <w:kern w:val="28"/>
      <w:sz w:val="32"/>
      <w:szCs w:val="32"/>
    </w:rPr>
  </w:style>
  <w:style w:type="paragraph" w:styleId="34">
    <w:name w:val="footnote text"/>
    <w:basedOn w:val="1"/>
    <w:qFormat/>
    <w:uiPriority w:val="0"/>
    <w:pPr>
      <w:snapToGrid w:val="0"/>
      <w:jc w:val="left"/>
    </w:pPr>
    <w:rPr>
      <w:sz w:val="18"/>
    </w:rPr>
  </w:style>
  <w:style w:type="paragraph" w:styleId="35">
    <w:name w:val="toc 6"/>
    <w:basedOn w:val="1"/>
    <w:next w:val="1"/>
    <w:unhideWhenUsed/>
    <w:qFormat/>
    <w:uiPriority w:val="39"/>
    <w:pPr>
      <w:ind w:left="2100" w:leftChars="1000"/>
    </w:pPr>
    <w:rPr>
      <w:rFonts w:ascii="Calibri" w:hAnsi="Calibri"/>
      <w:szCs w:val="22"/>
    </w:rPr>
  </w:style>
  <w:style w:type="paragraph" w:styleId="36">
    <w:name w:val="Body Text Indent 3"/>
    <w:basedOn w:val="1"/>
    <w:qFormat/>
    <w:uiPriority w:val="0"/>
    <w:pPr>
      <w:spacing w:after="120"/>
      <w:ind w:left="420" w:leftChars="200"/>
    </w:pPr>
    <w:rPr>
      <w:sz w:val="16"/>
      <w:szCs w:val="16"/>
    </w:rPr>
  </w:style>
  <w:style w:type="paragraph" w:styleId="37">
    <w:name w:val="index 7"/>
    <w:basedOn w:val="1"/>
    <w:next w:val="1"/>
    <w:semiHidden/>
    <w:unhideWhenUsed/>
    <w:qFormat/>
    <w:uiPriority w:val="0"/>
    <w:pPr>
      <w:ind w:left="1200" w:leftChars="1200"/>
    </w:pPr>
  </w:style>
  <w:style w:type="paragraph" w:styleId="38">
    <w:name w:val="table of figures"/>
    <w:basedOn w:val="1"/>
    <w:next w:val="1"/>
    <w:qFormat/>
    <w:uiPriority w:val="0"/>
    <w:pPr>
      <w:ind w:left="200" w:leftChars="200" w:hanging="200" w:hangingChars="200"/>
    </w:pPr>
  </w:style>
  <w:style w:type="paragraph" w:styleId="39">
    <w:name w:val="toc 2"/>
    <w:basedOn w:val="1"/>
    <w:next w:val="1"/>
    <w:qFormat/>
    <w:uiPriority w:val="39"/>
    <w:pPr>
      <w:tabs>
        <w:tab w:val="right" w:leader="dot" w:pos="9360"/>
      </w:tabs>
      <w:spacing w:line="460" w:lineRule="exact"/>
      <w:ind w:firstLine="360" w:firstLineChars="150"/>
    </w:pPr>
    <w:rPr>
      <w:rFonts w:ascii="仿宋_GB2312" w:eastAsia="仿宋_GB2312"/>
      <w:bCs/>
      <w:color w:val="000000"/>
      <w:kern w:val="0"/>
      <w:sz w:val="24"/>
    </w:rPr>
  </w:style>
  <w:style w:type="paragraph" w:styleId="40">
    <w:name w:val="toc 9"/>
    <w:basedOn w:val="1"/>
    <w:next w:val="1"/>
    <w:unhideWhenUsed/>
    <w:qFormat/>
    <w:uiPriority w:val="39"/>
    <w:pPr>
      <w:ind w:left="3360" w:leftChars="1600"/>
    </w:pPr>
    <w:rPr>
      <w:rFonts w:ascii="Calibri" w:hAnsi="Calibri"/>
      <w:szCs w:val="22"/>
    </w:rPr>
  </w:style>
  <w:style w:type="paragraph" w:styleId="41">
    <w:name w:val="Body Text 2"/>
    <w:basedOn w:val="1"/>
    <w:qFormat/>
    <w:uiPriority w:val="0"/>
    <w:pPr>
      <w:spacing w:after="120" w:line="480" w:lineRule="auto"/>
    </w:pPr>
  </w:style>
  <w:style w:type="paragraph" w:styleId="42">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43">
    <w:name w:val="Title"/>
    <w:basedOn w:val="1"/>
    <w:next w:val="1"/>
    <w:link w:val="78"/>
    <w:qFormat/>
    <w:uiPriority w:val="0"/>
    <w:pPr>
      <w:jc w:val="center"/>
    </w:pPr>
    <w:rPr>
      <w:b/>
      <w:sz w:val="44"/>
      <w:szCs w:val="22"/>
    </w:rPr>
  </w:style>
  <w:style w:type="paragraph" w:styleId="44">
    <w:name w:val="annotation subject"/>
    <w:basedOn w:val="16"/>
    <w:next w:val="16"/>
    <w:link w:val="59"/>
    <w:qFormat/>
    <w:uiPriority w:val="0"/>
    <w:rPr>
      <w:b/>
      <w:bCs/>
      <w:szCs w:val="24"/>
    </w:rPr>
  </w:style>
  <w:style w:type="paragraph" w:styleId="45">
    <w:name w:val="Body Text First Indent"/>
    <w:basedOn w:val="18"/>
    <w:link w:val="65"/>
    <w:qFormat/>
    <w:uiPriority w:val="0"/>
    <w:pPr>
      <w:snapToGrid/>
      <w:spacing w:after="120" w:line="240" w:lineRule="auto"/>
      <w:ind w:firstLine="420" w:firstLineChars="100"/>
    </w:pPr>
    <w:rPr>
      <w:sz w:val="21"/>
      <w:szCs w:val="24"/>
    </w:rPr>
  </w:style>
  <w:style w:type="paragraph" w:styleId="46">
    <w:name w:val="Body Text First Indent 2"/>
    <w:basedOn w:val="19"/>
    <w:next w:val="1"/>
    <w:qFormat/>
    <w:uiPriority w:val="0"/>
    <w:pPr>
      <w:spacing w:line="360" w:lineRule="auto"/>
      <w:ind w:firstLine="420" w:firstLineChars="200"/>
    </w:pPr>
    <w:rPr>
      <w:rFonts w:ascii="宋体" w:hAnsi="宋体" w:eastAsia="宋体"/>
      <w:sz w:val="21"/>
      <w:szCs w:val="20"/>
    </w:rPr>
  </w:style>
  <w:style w:type="table" w:styleId="48">
    <w:name w:val="Table Grid"/>
    <w:basedOn w:val="4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Strong"/>
    <w:basedOn w:val="49"/>
    <w:qFormat/>
    <w:uiPriority w:val="22"/>
    <w:rPr>
      <w:b/>
      <w:bCs/>
    </w:rPr>
  </w:style>
  <w:style w:type="character" w:styleId="51">
    <w:name w:val="page number"/>
    <w:basedOn w:val="49"/>
    <w:qFormat/>
    <w:uiPriority w:val="0"/>
  </w:style>
  <w:style w:type="character" w:styleId="52">
    <w:name w:val="FollowedHyperlink"/>
    <w:basedOn w:val="49"/>
    <w:qFormat/>
    <w:uiPriority w:val="99"/>
    <w:rPr>
      <w:rFonts w:hint="eastAsia" w:ascii="微软雅黑" w:hAnsi="微软雅黑" w:eastAsia="微软雅黑" w:cs="微软雅黑"/>
      <w:color w:val="02396F"/>
      <w:u w:val="single"/>
    </w:rPr>
  </w:style>
  <w:style w:type="character" w:styleId="53">
    <w:name w:val="Hyperlink"/>
    <w:basedOn w:val="49"/>
    <w:qFormat/>
    <w:uiPriority w:val="99"/>
    <w:rPr>
      <w:rFonts w:hint="eastAsia" w:ascii="微软雅黑" w:hAnsi="微软雅黑" w:eastAsia="微软雅黑" w:cs="微软雅黑"/>
      <w:color w:val="02396F"/>
      <w:u w:val="single"/>
    </w:rPr>
  </w:style>
  <w:style w:type="character" w:styleId="54">
    <w:name w:val="annotation reference"/>
    <w:qFormat/>
    <w:uiPriority w:val="0"/>
    <w:rPr>
      <w:sz w:val="21"/>
      <w:szCs w:val="21"/>
    </w:rPr>
  </w:style>
  <w:style w:type="paragraph" w:customStyle="1" w:styleId="55">
    <w:name w:val="Normal Indent1"/>
    <w:basedOn w:val="1"/>
    <w:qFormat/>
    <w:uiPriority w:val="0"/>
    <w:pPr>
      <w:ind w:firstLine="200" w:firstLineChars="200"/>
    </w:pPr>
    <w:rPr>
      <w:rFonts w:eastAsia="Arial"/>
    </w:rPr>
  </w:style>
  <w:style w:type="character" w:customStyle="1" w:styleId="56">
    <w:name w:val="批注主题 Char"/>
    <w:qFormat/>
    <w:uiPriority w:val="0"/>
    <w:rPr>
      <w:b/>
      <w:bCs/>
      <w:kern w:val="2"/>
      <w:sz w:val="21"/>
      <w:szCs w:val="24"/>
    </w:rPr>
  </w:style>
  <w:style w:type="character" w:customStyle="1" w:styleId="57">
    <w:name w:val="正文文本 3 Char"/>
    <w:link w:val="17"/>
    <w:qFormat/>
    <w:uiPriority w:val="0"/>
    <w:rPr>
      <w:sz w:val="16"/>
      <w:szCs w:val="16"/>
    </w:rPr>
  </w:style>
  <w:style w:type="character" w:customStyle="1" w:styleId="58">
    <w:name w:val="标题 4 Char"/>
    <w:link w:val="5"/>
    <w:qFormat/>
    <w:uiPriority w:val="0"/>
    <w:rPr>
      <w:rFonts w:ascii="Arial" w:hAnsi="Arial" w:eastAsia="黑体"/>
      <w:b/>
      <w:bCs/>
      <w:kern w:val="2"/>
      <w:sz w:val="28"/>
      <w:szCs w:val="28"/>
    </w:rPr>
  </w:style>
  <w:style w:type="character" w:customStyle="1" w:styleId="59">
    <w:name w:val="批注主题 Char1"/>
    <w:basedOn w:val="60"/>
    <w:link w:val="44"/>
    <w:qFormat/>
    <w:uiPriority w:val="0"/>
    <w:rPr>
      <w:kern w:val="2"/>
      <w:sz w:val="21"/>
    </w:rPr>
  </w:style>
  <w:style w:type="character" w:customStyle="1" w:styleId="60">
    <w:name w:val="批注文字 Char1"/>
    <w:link w:val="16"/>
    <w:qFormat/>
    <w:uiPriority w:val="0"/>
    <w:rPr>
      <w:kern w:val="2"/>
      <w:sz w:val="21"/>
    </w:rPr>
  </w:style>
  <w:style w:type="character" w:customStyle="1" w:styleId="61">
    <w:name w:val="页眉 Char"/>
    <w:link w:val="28"/>
    <w:qFormat/>
    <w:uiPriority w:val="99"/>
    <w:rPr>
      <w:rFonts w:eastAsia="仿宋_GB2312"/>
      <w:kern w:val="2"/>
      <w:sz w:val="18"/>
      <w:lang w:val="en-US" w:eastAsia="zh-CN" w:bidi="ar-SA"/>
    </w:rPr>
  </w:style>
  <w:style w:type="character" w:customStyle="1" w:styleId="62">
    <w:name w:val="文章正文 Char"/>
    <w:link w:val="63"/>
    <w:qFormat/>
    <w:uiPriority w:val="0"/>
    <w:rPr>
      <w:rFonts w:ascii="仿宋_GB2312" w:eastAsia="仿宋_GB2312"/>
      <w:kern w:val="2"/>
      <w:sz w:val="28"/>
      <w:szCs w:val="24"/>
    </w:rPr>
  </w:style>
  <w:style w:type="paragraph" w:customStyle="1" w:styleId="63">
    <w:name w:val="文章正文"/>
    <w:basedOn w:val="1"/>
    <w:link w:val="62"/>
    <w:qFormat/>
    <w:uiPriority w:val="0"/>
    <w:pPr>
      <w:tabs>
        <w:tab w:val="left" w:pos="720"/>
      </w:tabs>
      <w:spacing w:beforeLines="50" w:afterLines="50" w:line="320" w:lineRule="exact"/>
      <w:ind w:firstLine="200" w:firstLineChars="200"/>
    </w:pPr>
    <w:rPr>
      <w:rFonts w:ascii="仿宋_GB2312" w:eastAsia="仿宋_GB2312"/>
      <w:sz w:val="28"/>
    </w:rPr>
  </w:style>
  <w:style w:type="character" w:customStyle="1" w:styleId="64">
    <w:name w:val="标题 9 Char"/>
    <w:link w:val="10"/>
    <w:qFormat/>
    <w:uiPriority w:val="0"/>
    <w:rPr>
      <w:rFonts w:ascii="Arial" w:hAnsi="Arial" w:eastAsia="黑体"/>
      <w:kern w:val="2"/>
      <w:sz w:val="30"/>
    </w:rPr>
  </w:style>
  <w:style w:type="character" w:customStyle="1" w:styleId="65">
    <w:name w:val="正文首行缩进 Char"/>
    <w:link w:val="45"/>
    <w:qFormat/>
    <w:uiPriority w:val="0"/>
    <w:rPr>
      <w:kern w:val="2"/>
      <w:sz w:val="21"/>
      <w:szCs w:val="24"/>
      <w:lang w:val="en-US" w:eastAsia="zh-CN"/>
    </w:rPr>
  </w:style>
  <w:style w:type="character" w:customStyle="1" w:styleId="66">
    <w:name w:val="列出段落 Char"/>
    <w:link w:val="67"/>
    <w:qFormat/>
    <w:uiPriority w:val="34"/>
    <w:rPr>
      <w:rFonts w:ascii="Calibri" w:hAnsi="Calibri"/>
      <w:kern w:val="2"/>
      <w:sz w:val="21"/>
      <w:szCs w:val="22"/>
    </w:rPr>
  </w:style>
  <w:style w:type="paragraph" w:styleId="67">
    <w:name w:val="List Paragraph"/>
    <w:basedOn w:val="1"/>
    <w:link w:val="66"/>
    <w:qFormat/>
    <w:uiPriority w:val="34"/>
    <w:pPr>
      <w:ind w:firstLine="420" w:firstLineChars="200"/>
    </w:pPr>
    <w:rPr>
      <w:rFonts w:ascii="Calibri" w:hAnsi="Calibri"/>
      <w:szCs w:val="22"/>
    </w:rPr>
  </w:style>
  <w:style w:type="character" w:customStyle="1" w:styleId="68">
    <w:name w:val="标题 6 Char"/>
    <w:link w:val="7"/>
    <w:qFormat/>
    <w:uiPriority w:val="0"/>
    <w:rPr>
      <w:kern w:val="2"/>
      <w:sz w:val="21"/>
    </w:rPr>
  </w:style>
  <w:style w:type="character" w:customStyle="1" w:styleId="69">
    <w:name w:val="标题 7 Char"/>
    <w:link w:val="8"/>
    <w:qFormat/>
    <w:uiPriority w:val="0"/>
    <w:rPr>
      <w:rFonts w:eastAsia="楷体_GB2312"/>
      <w:b/>
      <w:kern w:val="2"/>
      <w:sz w:val="24"/>
    </w:rPr>
  </w:style>
  <w:style w:type="character" w:customStyle="1" w:styleId="70">
    <w:name w:val="正文-2 Char"/>
    <w:link w:val="71"/>
    <w:qFormat/>
    <w:uiPriority w:val="0"/>
    <w:rPr>
      <w:rFonts w:ascii="宋体" w:eastAsia="宋体"/>
      <w:kern w:val="2"/>
      <w:sz w:val="28"/>
      <w:lang w:val="en-US" w:eastAsia="zh-CN" w:bidi="ar-SA"/>
    </w:rPr>
  </w:style>
  <w:style w:type="paragraph" w:customStyle="1" w:styleId="71">
    <w:name w:val="正文-2"/>
    <w:basedOn w:val="1"/>
    <w:link w:val="70"/>
    <w:qFormat/>
    <w:uiPriority w:val="0"/>
    <w:pPr>
      <w:spacing w:line="500" w:lineRule="exact"/>
      <w:ind w:firstLine="200" w:firstLineChars="200"/>
    </w:pPr>
    <w:rPr>
      <w:rFonts w:ascii="宋体"/>
      <w:sz w:val="28"/>
      <w:szCs w:val="20"/>
    </w:rPr>
  </w:style>
  <w:style w:type="character" w:customStyle="1" w:styleId="72">
    <w:name w:val="apple-style-span"/>
    <w:basedOn w:val="49"/>
    <w:qFormat/>
    <w:uiPriority w:val="0"/>
  </w:style>
  <w:style w:type="character" w:customStyle="1" w:styleId="73">
    <w:name w:val="正文文本缩进 2 Char"/>
    <w:link w:val="25"/>
    <w:qFormat/>
    <w:uiPriority w:val="0"/>
    <w:rPr>
      <w:kern w:val="2"/>
      <w:sz w:val="24"/>
      <w:szCs w:val="24"/>
      <w:lang w:val="en-US" w:eastAsia="zh-CN"/>
    </w:rPr>
  </w:style>
  <w:style w:type="character" w:customStyle="1" w:styleId="74">
    <w:name w:val="日期 Char"/>
    <w:link w:val="24"/>
    <w:qFormat/>
    <w:uiPriority w:val="0"/>
    <w:rPr>
      <w:kern w:val="2"/>
      <w:sz w:val="24"/>
    </w:rPr>
  </w:style>
  <w:style w:type="character" w:customStyle="1" w:styleId="75">
    <w:name w:val="文档结构图 Char"/>
    <w:link w:val="14"/>
    <w:qFormat/>
    <w:uiPriority w:val="99"/>
    <w:rPr>
      <w:rFonts w:eastAsia="宋体"/>
      <w:kern w:val="2"/>
      <w:sz w:val="21"/>
      <w:szCs w:val="24"/>
      <w:lang w:val="en-US" w:eastAsia="zh-CN" w:bidi="ar-SA"/>
    </w:rPr>
  </w:style>
  <w:style w:type="character" w:customStyle="1" w:styleId="76">
    <w:name w:val="正文文本 Char"/>
    <w:link w:val="18"/>
    <w:qFormat/>
    <w:uiPriority w:val="0"/>
    <w:rPr>
      <w:rFonts w:eastAsia="宋体"/>
      <w:kern w:val="2"/>
      <w:sz w:val="24"/>
      <w:lang w:val="en-US" w:eastAsia="zh-CN" w:bidi="ar-SA"/>
    </w:rPr>
  </w:style>
  <w:style w:type="character" w:customStyle="1" w:styleId="77">
    <w:name w:val="正文文本缩进 Char"/>
    <w:link w:val="19"/>
    <w:qFormat/>
    <w:uiPriority w:val="0"/>
    <w:rPr>
      <w:sz w:val="21"/>
      <w:szCs w:val="24"/>
    </w:rPr>
  </w:style>
  <w:style w:type="character" w:customStyle="1" w:styleId="78">
    <w:name w:val="标题 Char"/>
    <w:link w:val="43"/>
    <w:qFormat/>
    <w:uiPriority w:val="0"/>
    <w:rPr>
      <w:b/>
      <w:kern w:val="2"/>
      <w:sz w:val="44"/>
      <w:szCs w:val="22"/>
    </w:rPr>
  </w:style>
  <w:style w:type="character" w:customStyle="1" w:styleId="79">
    <w:name w:val="announ-title1"/>
    <w:basedOn w:val="49"/>
    <w:qFormat/>
    <w:uiPriority w:val="0"/>
  </w:style>
  <w:style w:type="character" w:customStyle="1" w:styleId="80">
    <w:name w:val="标题 2 Char"/>
    <w:link w:val="4"/>
    <w:qFormat/>
    <w:uiPriority w:val="0"/>
    <w:rPr>
      <w:b/>
      <w:sz w:val="32"/>
      <w:szCs w:val="24"/>
    </w:rPr>
  </w:style>
  <w:style w:type="character" w:customStyle="1" w:styleId="81">
    <w:name w:val="纯文本 Char"/>
    <w:link w:val="22"/>
    <w:qFormat/>
    <w:uiPriority w:val="0"/>
    <w:rPr>
      <w:rFonts w:ascii="宋体" w:hAnsi="Courier New" w:eastAsia="宋体"/>
      <w:sz w:val="21"/>
      <w:lang w:val="en-US" w:eastAsia="zh-CN" w:bidi="ar-SA"/>
    </w:rPr>
  </w:style>
  <w:style w:type="character" w:customStyle="1" w:styleId="82">
    <w:name w:val="标题 1 Char Char"/>
    <w:qFormat/>
    <w:uiPriority w:val="0"/>
    <w:rPr>
      <w:rFonts w:eastAsia="黑体"/>
      <w:kern w:val="44"/>
      <w:sz w:val="32"/>
    </w:rPr>
  </w:style>
  <w:style w:type="character" w:customStyle="1" w:styleId="83">
    <w:name w:val="页脚 Char"/>
    <w:link w:val="27"/>
    <w:qFormat/>
    <w:uiPriority w:val="99"/>
    <w:rPr>
      <w:rFonts w:eastAsia="宋体"/>
      <w:kern w:val="2"/>
      <w:sz w:val="18"/>
      <w:szCs w:val="18"/>
      <w:lang w:val="en-US" w:eastAsia="zh-CN" w:bidi="ar-SA"/>
    </w:rPr>
  </w:style>
  <w:style w:type="character" w:customStyle="1" w:styleId="84">
    <w:name w:val="font01"/>
    <w:qFormat/>
    <w:uiPriority w:val="0"/>
    <w:rPr>
      <w:rFonts w:hint="eastAsia" w:ascii="宋体" w:hAnsi="宋体" w:eastAsia="宋体" w:cs="宋体"/>
      <w:color w:val="000000"/>
      <w:sz w:val="24"/>
      <w:szCs w:val="24"/>
      <w:u w:val="none"/>
    </w:rPr>
  </w:style>
  <w:style w:type="character" w:customStyle="1" w:styleId="85">
    <w:name w:val="标题 1 Char"/>
    <w:link w:val="3"/>
    <w:qFormat/>
    <w:uiPriority w:val="0"/>
    <w:rPr>
      <w:b/>
      <w:sz w:val="44"/>
      <w:szCs w:val="24"/>
    </w:rPr>
  </w:style>
  <w:style w:type="character" w:customStyle="1" w:styleId="86">
    <w:name w:val="标题 3 Char"/>
    <w:link w:val="2"/>
    <w:qFormat/>
    <w:uiPriority w:val="0"/>
    <w:rPr>
      <w:rFonts w:ascii="宋体" w:hAnsi="宋体"/>
      <w:b/>
      <w:bCs/>
      <w:sz w:val="24"/>
      <w:szCs w:val="32"/>
      <w:shd w:val="clear" w:color="auto" w:fill="FFFFFF"/>
    </w:rPr>
  </w:style>
  <w:style w:type="character" w:customStyle="1" w:styleId="87">
    <w:name w:val="标题 5 Char"/>
    <w:link w:val="6"/>
    <w:qFormat/>
    <w:uiPriority w:val="0"/>
    <w:rPr>
      <w:b/>
      <w:bCs/>
      <w:kern w:val="2"/>
      <w:sz w:val="28"/>
      <w:szCs w:val="28"/>
    </w:rPr>
  </w:style>
  <w:style w:type="character" w:customStyle="1" w:styleId="88">
    <w:name w:val="标题 8 Char"/>
    <w:link w:val="9"/>
    <w:qFormat/>
    <w:uiPriority w:val="0"/>
    <w:rPr>
      <w:rFonts w:ascii="Arial" w:hAnsi="Arial" w:eastAsia="黑体"/>
      <w:kern w:val="2"/>
      <w:sz w:val="24"/>
    </w:rPr>
  </w:style>
  <w:style w:type="character" w:customStyle="1" w:styleId="89">
    <w:name w:val="正文缩进 Char"/>
    <w:qFormat/>
    <w:uiPriority w:val="0"/>
  </w:style>
  <w:style w:type="character" w:customStyle="1" w:styleId="90">
    <w:name w:val="批注文字 Char"/>
    <w:qFormat/>
    <w:uiPriority w:val="0"/>
    <w:rPr>
      <w:kern w:val="2"/>
      <w:sz w:val="21"/>
      <w:szCs w:val="24"/>
    </w:rPr>
  </w:style>
  <w:style w:type="character" w:customStyle="1" w:styleId="91">
    <w:name w:val="批注框文本 Char"/>
    <w:link w:val="26"/>
    <w:qFormat/>
    <w:uiPriority w:val="99"/>
    <w:rPr>
      <w:kern w:val="2"/>
      <w:sz w:val="18"/>
      <w:szCs w:val="18"/>
    </w:rPr>
  </w:style>
  <w:style w:type="character" w:customStyle="1" w:styleId="92">
    <w:name w:val="样式 标题 1H1Heading 0R1H11H12H13H14H15H16H17H18H19H110... Char"/>
    <w:link w:val="93"/>
    <w:qFormat/>
    <w:uiPriority w:val="0"/>
    <w:rPr>
      <w:rFonts w:ascii="宋体" w:hAnsi="宋体" w:eastAsia="方正仿宋_GBK"/>
      <w:b/>
      <w:bCs/>
      <w:kern w:val="2"/>
      <w:sz w:val="32"/>
      <w:szCs w:val="32"/>
    </w:rPr>
  </w:style>
  <w:style w:type="paragraph" w:customStyle="1" w:styleId="93">
    <w:name w:val="样式 标题 1H1Heading 0R1H11H12H13H14H15H16H17H18H19H110..."/>
    <w:basedOn w:val="3"/>
    <w:link w:val="92"/>
    <w:qFormat/>
    <w:uiPriority w:val="0"/>
    <w:pPr>
      <w:keepNext/>
      <w:keepLines/>
      <w:widowControl w:val="0"/>
      <w:numPr>
        <w:ilvl w:val="0"/>
        <w:numId w:val="1"/>
      </w:numPr>
      <w:spacing w:beforeLines="0" w:afterLines="0" w:line="360" w:lineRule="auto"/>
      <w:ind w:left="0" w:firstLine="0"/>
      <w:jc w:val="left"/>
    </w:pPr>
    <w:rPr>
      <w:rFonts w:ascii="宋体" w:hAnsi="宋体" w:eastAsia="方正仿宋_GBK"/>
      <w:bCs/>
      <w:kern w:val="2"/>
      <w:sz w:val="32"/>
      <w:szCs w:val="32"/>
    </w:rPr>
  </w:style>
  <w:style w:type="paragraph" w:customStyle="1" w:styleId="94">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5">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6">
    <w:name w:val="Style1"/>
    <w:basedOn w:val="1"/>
    <w:qFormat/>
    <w:uiPriority w:val="0"/>
    <w:pPr>
      <w:widowControl/>
      <w:tabs>
        <w:tab w:val="left" w:pos="-720"/>
      </w:tabs>
      <w:spacing w:after="120"/>
    </w:pPr>
    <w:rPr>
      <w:spacing w:val="-3"/>
      <w:kern w:val="0"/>
      <w:sz w:val="24"/>
      <w:szCs w:val="20"/>
      <w:lang w:val="en-AU" w:eastAsia="en-US"/>
    </w:rPr>
  </w:style>
  <w:style w:type="paragraph" w:customStyle="1" w:styleId="97">
    <w:name w:val="_Style 501"/>
    <w:unhideWhenUsed/>
    <w:qFormat/>
    <w:uiPriority w:val="99"/>
    <w:rPr>
      <w:rFonts w:ascii="Times New Roman" w:hAnsi="Times New Roman" w:eastAsia="宋体" w:cs="Times New Roman"/>
      <w:lang w:val="en-US" w:eastAsia="zh-CN" w:bidi="ar-SA"/>
    </w:rPr>
  </w:style>
  <w:style w:type="paragraph" w:customStyle="1" w:styleId="98">
    <w:name w:val="样式 标题 5 + 首行缩进:  2 字符1"/>
    <w:basedOn w:val="6"/>
    <w:qFormat/>
    <w:uiPriority w:val="0"/>
    <w:pPr>
      <w:widowControl/>
      <w:spacing w:before="120" w:after="120" w:line="360" w:lineRule="auto"/>
      <w:ind w:firstLine="562" w:firstLineChars="200"/>
      <w:jc w:val="left"/>
    </w:pPr>
    <w:rPr>
      <w:rFonts w:ascii="仿宋_GB2312" w:hAnsi="宋体" w:eastAsia="仿宋_GB2312" w:cs="宋体"/>
      <w:b w:val="0"/>
      <w:bCs w:val="0"/>
      <w:kern w:val="0"/>
      <w:szCs w:val="20"/>
    </w:rPr>
  </w:style>
  <w:style w:type="paragraph" w:customStyle="1" w:styleId="99">
    <w:name w:val="xl65"/>
    <w:basedOn w:val="1"/>
    <w:qFormat/>
    <w:uiPriority w:val="0"/>
    <w:pPr>
      <w:widowControl/>
      <w:spacing w:before="100" w:beforeAutospacing="1" w:after="100" w:afterAutospacing="1"/>
      <w:jc w:val="left"/>
    </w:pPr>
    <w:rPr>
      <w:rFonts w:ascii="宋体" w:hAnsi="宋体" w:cs="宋体"/>
      <w:kern w:val="0"/>
      <w:sz w:val="24"/>
    </w:rPr>
  </w:style>
  <w:style w:type="paragraph" w:customStyle="1" w:styleId="100">
    <w:name w:val="Default Text:1"/>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101">
    <w:name w:val="xl72"/>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02">
    <w:name w:val="±í¸ñÎÄ±¾"/>
    <w:basedOn w:val="1"/>
    <w:qFormat/>
    <w:uiPriority w:val="0"/>
    <w:pPr>
      <w:widowControl/>
      <w:tabs>
        <w:tab w:val="decimal" w:pos="0"/>
      </w:tabs>
      <w:overflowPunct w:val="0"/>
      <w:autoSpaceDE w:val="0"/>
      <w:autoSpaceDN w:val="0"/>
      <w:adjustRightInd w:val="0"/>
      <w:textAlignment w:val="baseline"/>
    </w:pPr>
    <w:rPr>
      <w:kern w:val="0"/>
      <w:sz w:val="24"/>
      <w:szCs w:val="20"/>
    </w:rPr>
  </w:style>
  <w:style w:type="paragraph" w:customStyle="1" w:styleId="103">
    <w:name w:val="列出段落1"/>
    <w:basedOn w:val="1"/>
    <w:qFormat/>
    <w:uiPriority w:val="99"/>
    <w:pPr>
      <w:ind w:firstLine="420" w:firstLineChars="200"/>
    </w:pPr>
  </w:style>
  <w:style w:type="paragraph" w:customStyle="1" w:styleId="104">
    <w:name w:val="样式 标题 2sect 1.2H2H21R2Heading 2 HiddenHeading 2 CCBSheadi..."/>
    <w:basedOn w:val="4"/>
    <w:qFormat/>
    <w:uiPriority w:val="0"/>
    <w:pPr>
      <w:numPr>
        <w:ilvl w:val="1"/>
        <w:numId w:val="1"/>
      </w:numPr>
      <w:tabs>
        <w:tab w:val="left" w:pos="720"/>
      </w:tabs>
      <w:spacing w:before="260" w:after="260"/>
      <w:jc w:val="left"/>
    </w:pPr>
    <w:rPr>
      <w:rFonts w:hint="eastAsia" w:ascii="宋体" w:hAnsi="宋体" w:eastAsia="方正仿宋_GBK"/>
      <w:bCs/>
      <w:kern w:val="2"/>
      <w:szCs w:val="32"/>
    </w:rPr>
  </w:style>
  <w:style w:type="paragraph" w:customStyle="1" w:styleId="105">
    <w:name w:val="Char Char Char"/>
    <w:basedOn w:val="1"/>
    <w:qFormat/>
    <w:uiPriority w:val="0"/>
    <w:pPr>
      <w:spacing w:line="360" w:lineRule="auto"/>
      <w:ind w:firstLine="200" w:firstLineChars="200"/>
    </w:pPr>
    <w:rPr>
      <w:rFonts w:ascii="宋体" w:hAnsi="宋体" w:cs="宋体"/>
      <w:sz w:val="24"/>
    </w:rPr>
  </w:style>
  <w:style w:type="paragraph" w:customStyle="1" w:styleId="10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07">
    <w:name w:val="条款"/>
    <w:basedOn w:val="22"/>
    <w:qFormat/>
    <w:uiPriority w:val="0"/>
    <w:pPr>
      <w:spacing w:line="240" w:lineRule="auto"/>
    </w:pPr>
    <w:rPr>
      <w:rFonts w:hAnsi="宋体"/>
      <w:sz w:val="24"/>
    </w:rPr>
  </w:style>
  <w:style w:type="paragraph" w:customStyle="1" w:styleId="108">
    <w:name w:val="标题1"/>
    <w:basedOn w:val="25"/>
    <w:next w:val="3"/>
    <w:qFormat/>
    <w:uiPriority w:val="0"/>
    <w:pPr>
      <w:adjustRightInd w:val="0"/>
      <w:spacing w:beforeLines="100" w:afterLines="100" w:line="440" w:lineRule="exact"/>
      <w:ind w:firstLine="0"/>
      <w:textAlignment w:val="baseline"/>
    </w:pPr>
    <w:rPr>
      <w:rFonts w:eastAsia="黑体"/>
      <w:kern w:val="0"/>
      <w:sz w:val="28"/>
    </w:rPr>
  </w:style>
  <w:style w:type="paragraph" w:customStyle="1" w:styleId="109">
    <w:name w:val="xl6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cs="宋体"/>
      <w:kern w:val="0"/>
      <w:sz w:val="24"/>
    </w:rPr>
  </w:style>
  <w:style w:type="paragraph" w:customStyle="1" w:styleId="110">
    <w:name w:val="日期1"/>
    <w:basedOn w:val="1"/>
    <w:next w:val="1"/>
    <w:qFormat/>
    <w:uiPriority w:val="0"/>
    <w:pPr>
      <w:adjustRightInd w:val="0"/>
      <w:spacing w:line="410" w:lineRule="atLeast"/>
      <w:textAlignment w:val="baseline"/>
    </w:pPr>
    <w:rPr>
      <w:rFonts w:ascii="宋体"/>
      <w:kern w:val="0"/>
      <w:position w:val="20"/>
      <w:sz w:val="24"/>
      <w:szCs w:val="20"/>
    </w:rPr>
  </w:style>
  <w:style w:type="paragraph" w:customStyle="1" w:styleId="111">
    <w:name w:val="表格正文"/>
    <w:basedOn w:val="1"/>
    <w:qFormat/>
    <w:uiPriority w:val="0"/>
    <w:pPr>
      <w:widowControl/>
      <w:overflowPunct w:val="0"/>
      <w:adjustRightInd w:val="0"/>
      <w:spacing w:before="60" w:after="60" w:line="240" w:lineRule="exact"/>
      <w:textAlignment w:val="baseline"/>
    </w:pPr>
    <w:rPr>
      <w:kern w:val="0"/>
      <w:szCs w:val="20"/>
    </w:rPr>
  </w:style>
  <w:style w:type="paragraph" w:customStyle="1" w:styleId="112">
    <w:name w:val="表格文字"/>
    <w:basedOn w:val="1"/>
    <w:qFormat/>
    <w:uiPriority w:val="0"/>
    <w:rPr>
      <w:rFonts w:ascii="宋体"/>
      <w:szCs w:val="20"/>
    </w:rPr>
  </w:style>
  <w:style w:type="paragraph" w:customStyle="1" w:styleId="113">
    <w:name w:val="xl67"/>
    <w:basedOn w:val="1"/>
    <w:qFormat/>
    <w:uiPriority w:val="0"/>
    <w:pPr>
      <w:widowControl/>
      <w:pBdr>
        <w:bottom w:val="single" w:color="auto" w:sz="4" w:space="0"/>
      </w:pBdr>
      <w:spacing w:before="100" w:beforeAutospacing="1" w:after="100" w:afterAutospacing="1"/>
      <w:jc w:val="left"/>
    </w:pPr>
    <w:rPr>
      <w:rFonts w:ascii="宋体" w:hAnsi="宋体" w:cs="宋体"/>
      <w:kern w:val="0"/>
      <w:sz w:val="24"/>
    </w:rPr>
  </w:style>
  <w:style w:type="paragraph" w:customStyle="1" w:styleId="114">
    <w:name w:val="Normal0"/>
    <w:qFormat/>
    <w:uiPriority w:val="0"/>
    <w:rPr>
      <w:rFonts w:ascii="Times New Roman" w:hAnsi="Times New Roman" w:eastAsia="宋体" w:cs="Times New Roman"/>
      <w:lang w:val="en-US" w:eastAsia="en-US" w:bidi="ar-SA"/>
    </w:rPr>
  </w:style>
  <w:style w:type="paragraph" w:customStyle="1" w:styleId="115">
    <w:name w:val="样式 样式2 + 宋体 24 磅"/>
    <w:basedOn w:val="1"/>
    <w:qFormat/>
    <w:uiPriority w:val="0"/>
    <w:pPr>
      <w:widowControl/>
      <w:spacing w:line="360" w:lineRule="auto"/>
    </w:pPr>
    <w:rPr>
      <w:rFonts w:ascii="宋体" w:hAnsi="宋体"/>
      <w:b/>
      <w:bCs/>
      <w:color w:val="000000"/>
      <w:kern w:val="0"/>
      <w:sz w:val="30"/>
      <w:szCs w:val="30"/>
    </w:rPr>
  </w:style>
  <w:style w:type="paragraph" w:customStyle="1" w:styleId="116">
    <w:name w:val="font0"/>
    <w:basedOn w:val="1"/>
    <w:qFormat/>
    <w:uiPriority w:val="0"/>
    <w:pPr>
      <w:widowControl/>
      <w:spacing w:before="100" w:beforeAutospacing="1" w:after="100" w:afterAutospacing="1"/>
      <w:jc w:val="left"/>
    </w:pPr>
    <w:rPr>
      <w:rFonts w:ascii="宋体" w:hAnsi="宋体" w:cs="宋体"/>
      <w:kern w:val="0"/>
      <w:sz w:val="24"/>
    </w:rPr>
  </w:style>
  <w:style w:type="paragraph" w:customStyle="1" w:styleId="117">
    <w:name w:val="目录"/>
    <w:basedOn w:val="1"/>
    <w:qFormat/>
    <w:uiPriority w:val="0"/>
    <w:pPr>
      <w:widowControl/>
      <w:jc w:val="center"/>
    </w:pPr>
    <w:rPr>
      <w:rFonts w:ascii="宋体"/>
      <w:b/>
      <w:kern w:val="0"/>
      <w:sz w:val="36"/>
      <w:szCs w:val="20"/>
    </w:rPr>
  </w:style>
  <w:style w:type="paragraph" w:customStyle="1" w:styleId="118">
    <w:name w:val="xl68"/>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19">
    <w:name w:val="p0"/>
    <w:basedOn w:val="1"/>
    <w:qFormat/>
    <w:uiPriority w:val="0"/>
    <w:pPr>
      <w:widowControl/>
    </w:pPr>
    <w:rPr>
      <w:kern w:val="0"/>
      <w:szCs w:val="21"/>
    </w:rPr>
  </w:style>
  <w:style w:type="paragraph" w:customStyle="1" w:styleId="120">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12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22">
    <w:name w:val="正文1"/>
    <w:basedOn w:val="1"/>
    <w:qFormat/>
    <w:uiPriority w:val="0"/>
    <w:pPr>
      <w:adjustRightInd w:val="0"/>
      <w:spacing w:line="410" w:lineRule="atLeast"/>
      <w:textAlignment w:val="baseline"/>
    </w:pPr>
    <w:rPr>
      <w:rFonts w:ascii="宋体"/>
      <w:kern w:val="0"/>
      <w:sz w:val="24"/>
      <w:szCs w:val="20"/>
    </w:rPr>
  </w:style>
  <w:style w:type="paragraph" w:customStyle="1" w:styleId="123">
    <w:name w:val="xl74"/>
    <w:basedOn w:val="1"/>
    <w:qFormat/>
    <w:uiPriority w:val="0"/>
    <w:pPr>
      <w:widowControl/>
      <w:pBdr>
        <w:top w:val="single" w:color="auto" w:sz="4" w:space="0"/>
      </w:pBdr>
      <w:spacing w:before="100" w:beforeAutospacing="1" w:after="100" w:afterAutospacing="1"/>
      <w:jc w:val="center"/>
    </w:pPr>
    <w:rPr>
      <w:rFonts w:ascii="宋体" w:hAnsi="宋体" w:cs="宋体"/>
      <w:kern w:val="0"/>
      <w:sz w:val="24"/>
    </w:rPr>
  </w:style>
  <w:style w:type="paragraph" w:customStyle="1" w:styleId="124">
    <w:name w:val="样式 标题 2 + Times New Roman 四号 非加粗 段前: 5 磅 段后: 0 磅 行距: 固定值 20..."/>
    <w:basedOn w:val="4"/>
    <w:qFormat/>
    <w:uiPriority w:val="0"/>
    <w:pPr>
      <w:spacing w:before="100" w:line="400" w:lineRule="exact"/>
    </w:pPr>
    <w:rPr>
      <w:rFonts w:eastAsia="黑体" w:cs="宋体"/>
      <w:b w:val="0"/>
      <w:kern w:val="2"/>
      <w:sz w:val="28"/>
      <w:szCs w:val="20"/>
    </w:rPr>
  </w:style>
  <w:style w:type="paragraph" w:customStyle="1" w:styleId="125">
    <w:name w:val="xl75"/>
    <w:basedOn w:val="1"/>
    <w:qFormat/>
    <w:uiPriority w:val="0"/>
    <w:pPr>
      <w:widowControl/>
      <w:pBdr>
        <w:top w:val="single" w:color="auto" w:sz="4" w:space="0"/>
      </w:pBdr>
      <w:spacing w:before="100" w:beforeAutospacing="1" w:after="100" w:afterAutospacing="1"/>
      <w:jc w:val="left"/>
    </w:pPr>
    <w:rPr>
      <w:rFonts w:ascii="宋体" w:hAnsi="宋体" w:cs="宋体"/>
      <w:kern w:val="0"/>
      <w:sz w:val="24"/>
    </w:rPr>
  </w:style>
  <w:style w:type="paragraph" w:customStyle="1" w:styleId="126">
    <w:name w:val="样式1"/>
    <w:basedOn w:val="1"/>
    <w:qFormat/>
    <w:uiPriority w:val="0"/>
    <w:pPr>
      <w:spacing w:line="440" w:lineRule="exact"/>
    </w:pPr>
    <w:rPr>
      <w:szCs w:val="20"/>
    </w:rPr>
  </w:style>
  <w:style w:type="paragraph" w:customStyle="1" w:styleId="127">
    <w:name w:val="Char2"/>
    <w:basedOn w:val="1"/>
    <w:qFormat/>
    <w:uiPriority w:val="0"/>
    <w:pPr>
      <w:snapToGrid w:val="0"/>
      <w:spacing w:line="360" w:lineRule="auto"/>
      <w:ind w:firstLine="200" w:firstLineChars="200"/>
    </w:pPr>
    <w:rPr>
      <w:sz w:val="24"/>
      <w:szCs w:val="20"/>
    </w:rPr>
  </w:style>
  <w:style w:type="paragraph" w:customStyle="1" w:styleId="128">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129">
    <w:name w:val="CM33"/>
    <w:basedOn w:val="130"/>
    <w:next w:val="130"/>
    <w:qFormat/>
    <w:uiPriority w:val="0"/>
    <w:pPr>
      <w:spacing w:after="68"/>
    </w:pPr>
    <w:rPr>
      <w:color w:val="auto"/>
    </w:rPr>
  </w:style>
  <w:style w:type="paragraph" w:customStyle="1" w:styleId="130">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31">
    <w:name w:val="Char"/>
    <w:basedOn w:val="1"/>
    <w:qFormat/>
    <w:uiPriority w:val="0"/>
    <w:pPr>
      <w:snapToGrid w:val="0"/>
      <w:spacing w:line="360" w:lineRule="auto"/>
      <w:ind w:firstLine="200" w:firstLineChars="200"/>
    </w:pPr>
    <w:rPr>
      <w:rFonts w:eastAsia="仿宋_GB2312"/>
      <w:sz w:val="24"/>
    </w:rPr>
  </w:style>
  <w:style w:type="paragraph" w:customStyle="1" w:styleId="132">
    <w:name w:val="1"/>
    <w:basedOn w:val="1"/>
    <w:qFormat/>
    <w:uiPriority w:val="0"/>
    <w:rPr>
      <w:rFonts w:ascii="Arial" w:hAnsi="宋体" w:cs="Arial"/>
      <w:b/>
      <w:bCs/>
      <w:color w:val="000000"/>
      <w:sz w:val="24"/>
    </w:rPr>
  </w:style>
  <w:style w:type="paragraph" w:customStyle="1" w:styleId="133">
    <w:name w:val="正文正文"/>
    <w:basedOn w:val="1"/>
    <w:qFormat/>
    <w:uiPriority w:val="0"/>
    <w:pPr>
      <w:spacing w:afterLines="50"/>
      <w:ind w:firstLine="480" w:firstLineChars="200"/>
    </w:pPr>
    <w:rPr>
      <w:rFonts w:ascii="Arial" w:hAnsi="Arial"/>
      <w:sz w:val="24"/>
      <w:szCs w:val="21"/>
    </w:rPr>
  </w:style>
  <w:style w:type="paragraph" w:customStyle="1" w:styleId="134">
    <w:name w:val="WPS Plain"/>
    <w:qFormat/>
    <w:uiPriority w:val="0"/>
    <w:rPr>
      <w:rFonts w:ascii="Times New Roman" w:hAnsi="Times New Roman" w:eastAsia="宋体" w:cs="Times New Roman"/>
      <w:lang w:val="en-US" w:eastAsia="zh-CN" w:bidi="ar-SA"/>
    </w:rPr>
  </w:style>
  <w:style w:type="paragraph" w:customStyle="1" w:styleId="135">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32"/>
      <w:szCs w:val="32"/>
    </w:rPr>
  </w:style>
  <w:style w:type="paragraph" w:customStyle="1" w:styleId="136">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37">
    <w:name w:val="J正文"/>
    <w:basedOn w:val="1"/>
    <w:qFormat/>
    <w:uiPriority w:val="0"/>
    <w:pPr>
      <w:spacing w:line="360" w:lineRule="auto"/>
      <w:jc w:val="left"/>
    </w:pPr>
    <w:rPr>
      <w:rFonts w:ascii="宋体" w:hAnsi="宋体"/>
      <w:sz w:val="24"/>
    </w:rPr>
  </w:style>
  <w:style w:type="paragraph" w:customStyle="1" w:styleId="138">
    <w:name w:val="正文缩进1"/>
    <w:basedOn w:val="1"/>
    <w:qFormat/>
    <w:uiPriority w:val="0"/>
    <w:pPr>
      <w:tabs>
        <w:tab w:val="left" w:pos="7080"/>
      </w:tabs>
      <w:spacing w:line="360" w:lineRule="auto"/>
    </w:pPr>
    <w:rPr>
      <w:szCs w:val="21"/>
    </w:rPr>
  </w:style>
  <w:style w:type="paragraph" w:customStyle="1" w:styleId="139">
    <w:name w:val="默认段落字体 Para Char"/>
    <w:basedOn w:val="1"/>
    <w:qFormat/>
    <w:uiPriority w:val="0"/>
    <w:pPr>
      <w:adjustRightInd w:val="0"/>
      <w:spacing w:line="360" w:lineRule="auto"/>
    </w:pPr>
    <w:rPr>
      <w:kern w:val="0"/>
      <w:sz w:val="24"/>
      <w:szCs w:val="20"/>
    </w:rPr>
  </w:style>
  <w:style w:type="paragraph" w:customStyle="1" w:styleId="140">
    <w:name w:val="正文2"/>
    <w:qFormat/>
    <w:uiPriority w:val="0"/>
    <w:pPr>
      <w:jc w:val="both"/>
    </w:pPr>
    <w:rPr>
      <w:rFonts w:ascii="Times New Roman" w:hAnsi="Times New Roman" w:eastAsia="宋体" w:cs="Times New Roman"/>
      <w:kern w:val="2"/>
      <w:sz w:val="21"/>
      <w:lang w:val="en-US" w:eastAsia="zh-CN" w:bidi="ar-SA"/>
    </w:rPr>
  </w:style>
  <w:style w:type="paragraph" w:customStyle="1" w:styleId="141">
    <w:name w:val="正文编号3"/>
    <w:basedOn w:val="1"/>
    <w:qFormat/>
    <w:uiPriority w:val="0"/>
    <w:pPr>
      <w:tabs>
        <w:tab w:val="left" w:pos="1177"/>
      </w:tabs>
      <w:adjustRightInd w:val="0"/>
      <w:spacing w:line="360" w:lineRule="auto"/>
      <w:ind w:left="1044" w:firstLine="36"/>
      <w:textAlignment w:val="baseline"/>
    </w:pPr>
    <w:rPr>
      <w:kern w:val="0"/>
      <w:szCs w:val="20"/>
    </w:rPr>
  </w:style>
  <w:style w:type="paragraph" w:customStyle="1" w:styleId="142">
    <w:name w:val="TOC 标题1"/>
    <w:basedOn w:val="3"/>
    <w:next w:val="1"/>
    <w:qFormat/>
    <w:uiPriority w:val="39"/>
    <w:pPr>
      <w:keepNext/>
      <w:keepLines/>
      <w:widowControl w:val="0"/>
      <w:tabs>
        <w:tab w:val="left" w:pos="2268"/>
      </w:tabs>
      <w:spacing w:beforeLines="0" w:afterLines="0" w:line="578" w:lineRule="auto"/>
      <w:jc w:val="both"/>
      <w:outlineLvl w:val="9"/>
    </w:pPr>
    <w:rPr>
      <w:bCs/>
      <w:kern w:val="44"/>
      <w:szCs w:val="44"/>
    </w:rPr>
  </w:style>
  <w:style w:type="paragraph" w:customStyle="1" w:styleId="143">
    <w:name w:val="正文4"/>
    <w:basedOn w:val="1"/>
    <w:qFormat/>
    <w:uiPriority w:val="0"/>
    <w:pPr>
      <w:numPr>
        <w:ilvl w:val="0"/>
        <w:numId w:val="2"/>
      </w:numPr>
      <w:tabs>
        <w:tab w:val="left" w:pos="1000"/>
      </w:tabs>
      <w:spacing w:beforeLines="50" w:afterLines="50" w:line="360" w:lineRule="auto"/>
      <w:jc w:val="center"/>
    </w:pPr>
    <w:rPr>
      <w:rFonts w:ascii="Book Antiqua" w:hAnsi="Book Antiqua"/>
      <w:sz w:val="24"/>
      <w:szCs w:val="21"/>
    </w:rPr>
  </w:style>
  <w:style w:type="paragraph" w:customStyle="1" w:styleId="144">
    <w:name w:val="_Style 50"/>
    <w:unhideWhenUsed/>
    <w:qFormat/>
    <w:uiPriority w:val="99"/>
    <w:rPr>
      <w:rFonts w:ascii="Times New Roman" w:hAnsi="Times New Roman" w:eastAsia="宋体" w:cs="Times New Roman"/>
      <w:lang w:val="en-US" w:eastAsia="zh-CN" w:bidi="ar-SA"/>
    </w:rPr>
  </w:style>
  <w:style w:type="paragraph" w:customStyle="1" w:styleId="145">
    <w:name w:val="xl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46">
    <w:name w:val="xl7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47">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32"/>
      <w:szCs w:val="32"/>
    </w:rPr>
  </w:style>
  <w:style w:type="paragraph" w:customStyle="1" w:styleId="148">
    <w:name w:val="_Style 7"/>
    <w:basedOn w:val="1"/>
    <w:qFormat/>
    <w:uiPriority w:val="99"/>
    <w:pPr>
      <w:spacing w:line="360" w:lineRule="auto"/>
      <w:ind w:firstLine="420" w:firstLineChars="200"/>
    </w:pPr>
    <w:rPr>
      <w:rFonts w:ascii="Calibri" w:hAnsi="Calibri"/>
      <w:szCs w:val="22"/>
    </w:rPr>
  </w:style>
  <w:style w:type="paragraph" w:customStyle="1" w:styleId="149">
    <w:name w:val="IDH 标题（3）"/>
    <w:basedOn w:val="1"/>
    <w:qFormat/>
    <w:uiPriority w:val="0"/>
    <w:pPr>
      <w:keepNext/>
      <w:keepLines/>
      <w:numPr>
        <w:ilvl w:val="2"/>
        <w:numId w:val="1"/>
      </w:numPr>
      <w:spacing w:before="260" w:after="260" w:line="416" w:lineRule="auto"/>
      <w:outlineLvl w:val="2"/>
    </w:pPr>
    <w:rPr>
      <w:rFonts w:ascii="Calibri" w:hAnsi="Calibri"/>
      <w:b/>
      <w:bCs/>
      <w:sz w:val="24"/>
      <w:szCs w:val="32"/>
    </w:rPr>
  </w:style>
  <w:style w:type="paragraph" w:customStyle="1" w:styleId="150">
    <w:name w:val="列出段落11"/>
    <w:basedOn w:val="1"/>
    <w:qFormat/>
    <w:uiPriority w:val="34"/>
    <w:pPr>
      <w:ind w:firstLine="420" w:firstLineChars="200"/>
    </w:pPr>
    <w:rPr>
      <w:rFonts w:ascii="Calibri" w:hAnsi="Calibri"/>
      <w:szCs w:val="22"/>
    </w:rPr>
  </w:style>
  <w:style w:type="paragraph" w:customStyle="1" w:styleId="151">
    <w:name w:val="IDH 标题（4。）"/>
    <w:basedOn w:val="5"/>
    <w:qFormat/>
    <w:uiPriority w:val="0"/>
    <w:pPr>
      <w:spacing w:line="376" w:lineRule="auto"/>
      <w:ind w:left="930" w:hanging="930"/>
    </w:pPr>
    <w:rPr>
      <w:rFonts w:ascii="Calibri Light" w:hAnsi="Calibri Light" w:eastAsia="宋体"/>
      <w:sz w:val="21"/>
      <w:szCs w:val="21"/>
    </w:rPr>
  </w:style>
  <w:style w:type="paragraph" w:customStyle="1" w:styleId="152">
    <w:name w:val="表格样式"/>
    <w:basedOn w:val="1"/>
    <w:qFormat/>
    <w:uiPriority w:val="0"/>
    <w:pPr>
      <w:adjustRightInd w:val="0"/>
      <w:snapToGrid w:val="0"/>
      <w:spacing w:line="360" w:lineRule="exact"/>
    </w:pPr>
    <w:rPr>
      <w:rFonts w:ascii="Calibri" w:hAnsi="Calibri" w:cs="宋体"/>
      <w:kern w:val="0"/>
      <w:szCs w:val="20"/>
    </w:rPr>
  </w:style>
  <w:style w:type="character" w:customStyle="1" w:styleId="153">
    <w:name w:val="apple-converted-space"/>
    <w:basedOn w:val="49"/>
    <w:qFormat/>
    <w:uiPriority w:val="0"/>
  </w:style>
  <w:style w:type="paragraph" w:styleId="154">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155">
    <w:name w:val="正文缩进 字符"/>
    <w:qFormat/>
    <w:uiPriority w:val="0"/>
    <w:rPr>
      <w:kern w:val="2"/>
      <w:sz w:val="21"/>
      <w:szCs w:val="24"/>
    </w:rPr>
  </w:style>
  <w:style w:type="paragraph" w:customStyle="1" w:styleId="156">
    <w:name w:val="_Style 2"/>
    <w:basedOn w:val="1"/>
    <w:qFormat/>
    <w:uiPriority w:val="34"/>
    <w:pPr>
      <w:ind w:firstLine="420" w:firstLineChars="200"/>
    </w:pPr>
    <w:rPr>
      <w:rFonts w:ascii="宋体"/>
      <w:kern w:val="0"/>
      <w:sz w:val="18"/>
      <w:szCs w:val="18"/>
    </w:rPr>
  </w:style>
  <w:style w:type="paragraph" w:customStyle="1" w:styleId="157">
    <w:name w:val="样式 10 磅"/>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58">
    <w:name w:val="样式 2 10 磅"/>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59">
    <w:name w:val="Table Paragraph"/>
    <w:basedOn w:val="1"/>
    <w:qFormat/>
    <w:uiPriority w:val="1"/>
    <w:pPr>
      <w:jc w:val="left"/>
    </w:pPr>
    <w:rPr>
      <w:rFonts w:ascii="宋体" w:hAnsi="宋体" w:cs="宋体"/>
      <w:kern w:val="0"/>
      <w:sz w:val="22"/>
      <w:szCs w:val="22"/>
      <w:lang w:eastAsia="en-US"/>
    </w:rPr>
  </w:style>
  <w:style w:type="character" w:customStyle="1" w:styleId="160">
    <w:name w:val="cfdate"/>
    <w:basedOn w:val="49"/>
    <w:qFormat/>
    <w:uiPriority w:val="0"/>
    <w:rPr>
      <w:color w:val="333333"/>
      <w:sz w:val="18"/>
      <w:szCs w:val="18"/>
    </w:rPr>
  </w:style>
  <w:style w:type="character" w:customStyle="1" w:styleId="161">
    <w:name w:val="redfilenumber"/>
    <w:basedOn w:val="49"/>
    <w:qFormat/>
    <w:uiPriority w:val="0"/>
    <w:rPr>
      <w:color w:val="BA2636"/>
      <w:sz w:val="18"/>
      <w:szCs w:val="18"/>
    </w:rPr>
  </w:style>
  <w:style w:type="character" w:customStyle="1" w:styleId="162">
    <w:name w:val="redfilefwwh"/>
    <w:basedOn w:val="49"/>
    <w:qFormat/>
    <w:uiPriority w:val="0"/>
    <w:rPr>
      <w:color w:val="BA2636"/>
      <w:sz w:val="18"/>
      <w:szCs w:val="18"/>
    </w:rPr>
  </w:style>
  <w:style w:type="character" w:customStyle="1" w:styleId="163">
    <w:name w:val="gjfg"/>
    <w:basedOn w:val="49"/>
    <w:qFormat/>
    <w:uiPriority w:val="0"/>
  </w:style>
  <w:style w:type="character" w:customStyle="1" w:styleId="164">
    <w:name w:val="next"/>
    <w:basedOn w:val="49"/>
    <w:qFormat/>
    <w:uiPriority w:val="0"/>
    <w:rPr>
      <w:rFonts w:ascii="微软雅黑" w:hAnsi="微软雅黑" w:eastAsia="微软雅黑" w:cs="微软雅黑"/>
      <w:sz w:val="21"/>
      <w:szCs w:val="21"/>
    </w:rPr>
  </w:style>
  <w:style w:type="character" w:customStyle="1" w:styleId="165">
    <w:name w:val="next1"/>
    <w:basedOn w:val="49"/>
    <w:qFormat/>
    <w:uiPriority w:val="0"/>
    <w:rPr>
      <w:color w:val="888888"/>
    </w:rPr>
  </w:style>
  <w:style w:type="character" w:customStyle="1" w:styleId="166">
    <w:name w:val="displayarti"/>
    <w:basedOn w:val="49"/>
    <w:qFormat/>
    <w:uiPriority w:val="0"/>
    <w:rPr>
      <w:color w:val="FFFFFF"/>
      <w:shd w:val="clear" w:color="auto" w:fill="A00000"/>
    </w:rPr>
  </w:style>
  <w:style w:type="character" w:customStyle="1" w:styleId="167">
    <w:name w:val="qxdate"/>
    <w:basedOn w:val="49"/>
    <w:qFormat/>
    <w:uiPriority w:val="0"/>
    <w:rPr>
      <w:color w:val="333333"/>
      <w:sz w:val="18"/>
      <w:szCs w:val="18"/>
    </w:rPr>
  </w:style>
  <w:style w:type="character" w:customStyle="1" w:styleId="168">
    <w:name w:val="prev"/>
    <w:basedOn w:val="49"/>
    <w:qFormat/>
    <w:uiPriority w:val="0"/>
    <w:rPr>
      <w:rFonts w:hint="eastAsia" w:ascii="微软雅黑" w:hAnsi="微软雅黑" w:eastAsia="微软雅黑" w:cs="微软雅黑"/>
      <w:sz w:val="21"/>
      <w:szCs w:val="21"/>
    </w:rPr>
  </w:style>
  <w:style w:type="character" w:customStyle="1" w:styleId="169">
    <w:name w:val="prev1"/>
    <w:basedOn w:val="49"/>
    <w:qFormat/>
    <w:uiPriority w:val="0"/>
    <w:rPr>
      <w:color w:val="888888"/>
    </w:rPr>
  </w:style>
  <w:style w:type="character" w:customStyle="1" w:styleId="170">
    <w:name w:val="hover15"/>
    <w:basedOn w:val="49"/>
    <w:qFormat/>
    <w:uiPriority w:val="0"/>
    <w:rPr>
      <w:sz w:val="21"/>
      <w:szCs w:val="21"/>
    </w:rPr>
  </w:style>
  <w:style w:type="character" w:customStyle="1" w:styleId="171">
    <w:name w:val="hover16"/>
    <w:basedOn w:val="49"/>
    <w:qFormat/>
    <w:uiPriority w:val="0"/>
    <w:rPr>
      <w:shd w:val="clear" w:color="auto" w:fill="F3F3F3"/>
    </w:rPr>
  </w:style>
  <w:style w:type="character" w:customStyle="1" w:styleId="172">
    <w:name w:val="hover17"/>
    <w:basedOn w:val="49"/>
    <w:qFormat/>
    <w:uiPriority w:val="0"/>
    <w:rPr>
      <w:shd w:val="clear" w:color="auto" w:fill="F3F3F3"/>
    </w:rPr>
  </w:style>
  <w:style w:type="table" w:customStyle="1" w:styleId="173">
    <w:name w:val="Table Normal"/>
    <w:semiHidden/>
    <w:unhideWhenUsed/>
    <w:qFormat/>
    <w:uiPriority w:val="2"/>
    <w:tblPr>
      <w:tblCellMar>
        <w:top w:w="0" w:type="dxa"/>
        <w:left w:w="0" w:type="dxa"/>
        <w:bottom w:w="0" w:type="dxa"/>
        <w:right w:w="0" w:type="dxa"/>
      </w:tblCellMar>
    </w:tblPr>
  </w:style>
  <w:style w:type="character" w:customStyle="1" w:styleId="174">
    <w:name w:val="next2"/>
    <w:basedOn w:val="49"/>
    <w:qFormat/>
    <w:uiPriority w:val="0"/>
    <w:rPr>
      <w:color w:val="888888"/>
    </w:rPr>
  </w:style>
  <w:style w:type="character" w:customStyle="1" w:styleId="175">
    <w:name w:val="prev2"/>
    <w:basedOn w:val="49"/>
    <w:qFormat/>
    <w:uiPriority w:val="0"/>
    <w:rPr>
      <w:color w:val="888888"/>
    </w:rPr>
  </w:style>
  <w:style w:type="character" w:customStyle="1" w:styleId="176">
    <w:name w:val="prev3"/>
    <w:basedOn w:val="49"/>
    <w:qFormat/>
    <w:uiPriority w:val="0"/>
    <w:rPr>
      <w:rFonts w:ascii="微软雅黑" w:hAnsi="微软雅黑" w:eastAsia="微软雅黑" w:cs="微软雅黑"/>
      <w:sz w:val="21"/>
      <w:szCs w:val="21"/>
    </w:rPr>
  </w:style>
  <w:style w:type="character" w:customStyle="1" w:styleId="177">
    <w:name w:val="next3"/>
    <w:basedOn w:val="49"/>
    <w:qFormat/>
    <w:uiPriority w:val="0"/>
    <w:rPr>
      <w:rFonts w:ascii="微软雅黑" w:hAnsi="微软雅黑" w:eastAsia="微软雅黑" w:cs="微软雅黑"/>
      <w:sz w:val="21"/>
      <w:szCs w:val="21"/>
    </w:rPr>
  </w:style>
  <w:style w:type="paragraph" w:customStyle="1" w:styleId="178">
    <w:name w:val="WPSOffice手动目录 1"/>
    <w:qFormat/>
    <w:uiPriority w:val="0"/>
    <w:rPr>
      <w:rFonts w:eastAsia="微软雅黑" w:asciiTheme="minorHAnsi" w:hAnsiTheme="minorHAnsi" w:cstheme="minorBidi"/>
      <w:lang w:val="en-US" w:eastAsia="zh-CN" w:bidi="ar-SA"/>
    </w:rPr>
  </w:style>
  <w:style w:type="paragraph" w:customStyle="1" w:styleId="179">
    <w:name w:val="zhang"/>
    <w:basedOn w:val="1"/>
    <w:qFormat/>
    <w:uiPriority w:val="0"/>
    <w:pPr>
      <w:widowControl/>
      <w:spacing w:before="100" w:beforeAutospacing="1" w:after="100" w:afterAutospacing="1"/>
    </w:pPr>
    <w:rPr>
      <w:b/>
      <w:bCs/>
      <w:smallCaps/>
      <w:color w:val="000000"/>
      <w:sz w:val="20"/>
      <w:szCs w:val="20"/>
    </w:rPr>
  </w:style>
  <w:style w:type="character" w:customStyle="1" w:styleId="180">
    <w:name w:val="15"/>
    <w:qFormat/>
    <w:uiPriority w:val="0"/>
    <w:rPr>
      <w:rFonts w:hint="default" w:ascii="Times New Roman" w:hAnsi="Times New Roman" w:cs="Times New Roman"/>
      <w:color w:val="464445"/>
      <w:u w:val="none"/>
    </w:rPr>
  </w:style>
  <w:style w:type="character" w:customStyle="1" w:styleId="181">
    <w:name w:val="副标题 Char"/>
    <w:link w:val="33"/>
    <w:qFormat/>
    <w:uiPriority w:val="11"/>
    <w:rPr>
      <w:rFonts w:ascii="Calibri Light" w:hAnsi="Calibri Light"/>
      <w:b/>
      <w:bCs/>
      <w:kern w:val="28"/>
      <w:sz w:val="32"/>
      <w:szCs w:val="32"/>
    </w:rPr>
  </w:style>
  <w:style w:type="paragraph" w:customStyle="1" w:styleId="182">
    <w:name w:val="样式 26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83">
    <w:name w:val="样式 25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84">
    <w:name w:val="样式 24 10 磅"/>
    <w:next w:val="1"/>
    <w:qFormat/>
    <w:uiPriority w:val="0"/>
    <w:pPr>
      <w:widowControl w:val="0"/>
      <w:jc w:val="both"/>
    </w:pPr>
    <w:rPr>
      <w:rFonts w:ascii="Calibri" w:hAnsi="Calibri" w:eastAsia="宋体" w:cs="Times New Roman"/>
      <w:kern w:val="2"/>
      <w:sz w:val="21"/>
      <w:szCs w:val="28"/>
      <w:lang w:val="en-US" w:eastAsia="en-US" w:bidi="ar-SA"/>
    </w:rPr>
  </w:style>
  <w:style w:type="paragraph" w:customStyle="1" w:styleId="185">
    <w:name w:val="样式 23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86">
    <w:name w:val="样式 22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87">
    <w:name w:val="样式 21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88">
    <w:name w:val="样式 20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89">
    <w:name w:val="样式 19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0">
    <w:name w:val="样式 18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1">
    <w:name w:val="样式 17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2">
    <w:name w:val="样式 16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3">
    <w:name w:val="样式 15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4">
    <w:name w:val="样式 8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5">
    <w:name w:val="样式 7 10 磅"/>
    <w:next w:val="1"/>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96">
    <w:name w:val="样式 47 10 磅"/>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7">
    <w:name w:val="样式 505 10 磅"/>
    <w:next w:val="3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8">
    <w:name w:val="正文_2"/>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9">
    <w:name w:val="正文_3"/>
    <w:next w:val="37"/>
    <w:qFormat/>
    <w:uiPriority w:val="0"/>
    <w:pPr>
      <w:widowControl w:val="0"/>
      <w:spacing w:line="360" w:lineRule="auto"/>
      <w:jc w:val="both"/>
    </w:pPr>
    <w:rPr>
      <w:rFonts w:ascii="Times New Roman" w:hAnsi="Times New Roman" w:eastAsia="宋体" w:cs="Times New Roman"/>
      <w:kern w:val="2"/>
      <w:sz w:val="21"/>
      <w:szCs w:val="22"/>
      <w:lang w:val="en-US" w:eastAsia="en-US" w:bidi="ar-SA"/>
    </w:rPr>
  </w:style>
  <w:style w:type="paragraph" w:customStyle="1" w:styleId="200">
    <w:name w:val="样式 1 10 磅"/>
    <w:qFormat/>
    <w:uiPriority w:val="0"/>
    <w:pPr>
      <w:widowControl w:val="0"/>
      <w:jc w:val="both"/>
    </w:pPr>
    <w:rPr>
      <w:rFonts w:ascii="Times New Roman" w:hAnsi="Times New Roman" w:eastAsia="宋体" w:cs="Times New Roman"/>
      <w:kern w:val="2"/>
      <w:sz w:val="21"/>
      <w:szCs w:val="24"/>
      <w:lang w:val="en-US" w:eastAsia="zh-CN" w:bidi="ar-SA"/>
    </w:rPr>
  </w:style>
  <w:style w:type="table" w:customStyle="1" w:styleId="201">
    <w:name w:val="Table Normal1"/>
    <w:semiHidden/>
    <w:unhideWhenUsed/>
    <w:qFormat/>
    <w:uiPriority w:val="2"/>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paragraph" w:customStyle="1" w:styleId="202">
    <w:name w:val="Table Text"/>
    <w:basedOn w:val="1"/>
    <w:semiHidden/>
    <w:qFormat/>
    <w:uiPriority w:val="0"/>
    <w:rPr>
      <w:rFonts w:ascii="宋体" w:hAnsi="宋体" w:eastAsia="宋体" w:cs="宋体"/>
      <w:sz w:val="21"/>
      <w:szCs w:val="21"/>
      <w:lang w:val="en-US" w:eastAsia="en-US" w:bidi="ar-SA"/>
    </w:rPr>
  </w:style>
  <w:style w:type="paragraph" w:customStyle="1" w:styleId="203">
    <w:name w:val="正文_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4">
    <w:name w:val="表格"/>
    <w:basedOn w:val="1"/>
    <w:qFormat/>
    <w:uiPriority w:val="0"/>
    <w:pPr>
      <w:ind w:firstLine="0" w:firstLineChars="0"/>
    </w:pPr>
    <w:rPr>
      <w:rFonts w:hint="default"/>
      <w:color w:val="000000"/>
      <w:sz w:val="24"/>
    </w:rPr>
  </w:style>
  <w:style w:type="paragraph" w:customStyle="1" w:styleId="205">
    <w:name w:val="表头"/>
    <w:basedOn w:val="1"/>
    <w:qFormat/>
    <w:uiPriority w:val="0"/>
    <w:pPr>
      <w:ind w:firstLine="0" w:firstLineChars="0"/>
      <w:jc w:val="center"/>
    </w:pPr>
    <w:rPr>
      <w:b/>
      <w:color w:val="00000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8.png"/><Relationship Id="rId20" Type="http://schemas.openxmlformats.org/officeDocument/2006/relationships/image" Target="media/image7.png"/><Relationship Id="rId2" Type="http://schemas.openxmlformats.org/officeDocument/2006/relationships/settings" Target="settings.xml"/><Relationship Id="rId19" Type="http://schemas.openxmlformats.org/officeDocument/2006/relationships/image" Target="media/image6.png"/><Relationship Id="rId18" Type="http://schemas.openxmlformats.org/officeDocument/2006/relationships/image" Target="file:///C:\Users\ADMINI~1\AppData\Local\Temp\ksohtml9916\wps24.png" TargetMode="External"/><Relationship Id="rId17" Type="http://schemas.openxmlformats.org/officeDocument/2006/relationships/image" Target="media/image5.png"/><Relationship Id="rId16" Type="http://schemas.openxmlformats.org/officeDocument/2006/relationships/image" Target="media/image4.png"/><Relationship Id="rId15" Type="http://schemas.openxmlformats.org/officeDocument/2006/relationships/image" Target="media/image3.png"/><Relationship Id="rId14" Type="http://schemas.openxmlformats.org/officeDocument/2006/relationships/image" Target="media/image2.jpe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362994F-139B-4A5E-9CB8-07A435B7C72C}">
  <ds:schemaRefs/>
</ds:datastoreItem>
</file>

<file path=docProps/app.xml><?xml version="1.0" encoding="utf-8"?>
<Properties xmlns="http://schemas.openxmlformats.org/officeDocument/2006/extended-properties" xmlns:vt="http://schemas.openxmlformats.org/officeDocument/2006/docPropsVTypes">
  <Template>Normal.dotm</Template>
  <Company>Huawei Technologies Co.,Ltd.</Company>
  <Pages>85</Pages>
  <Words>709</Words>
  <Characters>834</Characters>
  <Lines>258</Lines>
  <Paragraphs>72</Paragraphs>
  <TotalTime>27</TotalTime>
  <ScaleCrop>false</ScaleCrop>
  <LinksUpToDate>false</LinksUpToDate>
  <CharactersWithSpaces>859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2023-02-09T15:17:00Z</dcterms:created>
  <dc:creator>gzh</dc:creator>
  <cp:lastModifiedBy>将心比心</cp:lastModifiedBy>
  <cp:lastPrinted>2024-08-12T02:34:00Z</cp:lastPrinted>
  <dcterms:modified xsi:type="dcterms:W3CDTF">2025-04-09T08:19:26Z</dcterms:modified>
  <dc:title>招标编号：BZ2005-010</dc:title>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_readonly">
    <vt:lpwstr/>
  </property>
  <property fmtid="{D5CDD505-2E9C-101B-9397-08002B2CF9AE}" pid="4" name="_change">
    <vt:lpwstr/>
  </property>
  <property fmtid="{D5CDD505-2E9C-101B-9397-08002B2CF9AE}" pid="5" name="_full-control">
    <vt:lpwstr/>
  </property>
  <property fmtid="{D5CDD505-2E9C-101B-9397-08002B2CF9AE}" pid="6" name="sflag">
    <vt:lpwstr>1520398540</vt:lpwstr>
  </property>
  <property fmtid="{D5CDD505-2E9C-101B-9397-08002B2CF9AE}" pid="7" name="ICV">
    <vt:lpwstr>037F6E36A2F444EEABE49CF8DBDF1620_13</vt:lpwstr>
  </property>
  <property fmtid="{D5CDD505-2E9C-101B-9397-08002B2CF9AE}" pid="8" name="KSOSaveFontToCloudKey">
    <vt:lpwstr>447375586_btnclosed</vt:lpwstr>
  </property>
  <property fmtid="{D5CDD505-2E9C-101B-9397-08002B2CF9AE}" pid="9" name="KSOTemplateDocerSaveRecord">
    <vt:lpwstr>eyJoZGlkIjoiZjBmNDFkOWEwNzNlNjA0NDFjYmE5Y2VhY2NkNDE2YWQiLCJ1c2VySWQiOiI3NDg0MDg0MzcifQ==</vt:lpwstr>
  </property>
</Properties>
</file>