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9859">
      <w:pPr>
        <w:pStyle w:val="28"/>
        <w:ind w:firstLine="0"/>
        <w:rPr>
          <w:rFonts w:ascii="微软雅黑" w:hAnsi="微软雅黑" w:eastAsia="微软雅黑" w:cs="微软雅黑"/>
          <w:b/>
          <w:color w:val="auto"/>
          <w:kern w:val="2"/>
          <w:sz w:val="44"/>
          <w:szCs w:val="44"/>
          <w:highlight w:val="none"/>
        </w:rPr>
      </w:pPr>
    </w:p>
    <w:p w14:paraId="19BF7216">
      <w:pPr>
        <w:pStyle w:val="29"/>
        <w:ind w:left="0" w:leftChars="0" w:firstLine="0" w:firstLineChars="0"/>
        <w:rPr>
          <w:rFonts w:ascii="微软雅黑" w:hAnsi="微软雅黑" w:eastAsia="微软雅黑" w:cs="微软雅黑"/>
          <w:b/>
          <w:color w:val="auto"/>
          <w:sz w:val="44"/>
          <w:szCs w:val="44"/>
          <w:highlight w:val="none"/>
        </w:rPr>
      </w:pPr>
    </w:p>
    <w:p w14:paraId="1F95FD6B">
      <w:pPr>
        <w:spacing w:line="240" w:lineRule="atLeast"/>
        <w:jc w:val="center"/>
        <w:rPr>
          <w:rFonts w:ascii="微软雅黑" w:hAnsi="微软雅黑" w:eastAsia="微软雅黑" w:cs="微软雅黑"/>
          <w:bCs/>
          <w:color w:val="auto"/>
          <w:sz w:val="44"/>
          <w:szCs w:val="44"/>
          <w:highlight w:val="none"/>
        </w:rPr>
      </w:pPr>
      <w:r>
        <w:rPr>
          <w:rFonts w:hint="eastAsia" w:ascii="微软雅黑" w:hAnsi="微软雅黑" w:eastAsia="微软雅黑" w:cs="微软雅黑"/>
          <w:b/>
          <w:color w:val="auto"/>
          <w:sz w:val="44"/>
          <w:szCs w:val="44"/>
          <w:highlight w:val="none"/>
          <w:lang w:val="en-US" w:eastAsia="zh-CN"/>
        </w:rPr>
        <w:t>莎车县教育系统2025年学生营养膳食食材大米、小麦粉、清油、鲜鸡蛋、玉米粉采购项目（第四标段）</w:t>
      </w:r>
      <w:r>
        <w:rPr>
          <w:rFonts w:hint="eastAsia" w:ascii="微软雅黑" w:hAnsi="微软雅黑" w:eastAsia="微软雅黑" w:cs="微软雅黑"/>
          <w:b/>
          <w:color w:val="auto"/>
          <w:sz w:val="44"/>
          <w:szCs w:val="44"/>
          <w:highlight w:val="none"/>
        </w:rPr>
        <w:t>公开招标文件</w:t>
      </w:r>
    </w:p>
    <w:p w14:paraId="2398DBCC">
      <w:pPr>
        <w:spacing w:line="240" w:lineRule="atLeast"/>
        <w:rPr>
          <w:rFonts w:ascii="微软雅黑" w:hAnsi="微软雅黑" w:eastAsia="微软雅黑" w:cs="微软雅黑"/>
          <w:bCs/>
          <w:color w:val="auto"/>
          <w:sz w:val="32"/>
          <w:szCs w:val="32"/>
          <w:highlight w:val="none"/>
        </w:rPr>
      </w:pPr>
    </w:p>
    <w:p w14:paraId="03FC177A">
      <w:pPr>
        <w:pStyle w:val="28"/>
        <w:rPr>
          <w:color w:val="auto"/>
          <w:highlight w:val="none"/>
        </w:rPr>
      </w:pPr>
    </w:p>
    <w:p w14:paraId="1B78A9DC">
      <w:pPr>
        <w:spacing w:line="240" w:lineRule="atLeast"/>
        <w:ind w:left="1080" w:leftChars="257" w:hanging="540"/>
        <w:jc w:val="center"/>
        <w:rPr>
          <w:rFonts w:ascii="微软雅黑" w:hAnsi="微软雅黑" w:eastAsia="微软雅黑" w:cs="微软雅黑"/>
          <w:b/>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YXGJ(GK)2025-01号</w:t>
      </w:r>
      <w:r>
        <w:rPr>
          <w:rFonts w:hint="eastAsia" w:ascii="微软雅黑" w:hAnsi="微软雅黑" w:eastAsia="微软雅黑" w:cs="微软雅黑"/>
          <w:bCs/>
          <w:color w:val="auto"/>
          <w:sz w:val="32"/>
          <w:szCs w:val="32"/>
          <w:highlight w:val="none"/>
        </w:rPr>
        <w:t>）</w:t>
      </w:r>
    </w:p>
    <w:p w14:paraId="173C5C9B">
      <w:pPr>
        <w:pStyle w:val="4"/>
        <w:ind w:firstLine="0"/>
        <w:rPr>
          <w:rFonts w:ascii="微软雅黑" w:hAnsi="微软雅黑" w:eastAsia="微软雅黑" w:cs="微软雅黑"/>
          <w:color w:val="auto"/>
          <w:sz w:val="28"/>
          <w:szCs w:val="28"/>
          <w:highlight w:val="none"/>
        </w:rPr>
      </w:pPr>
    </w:p>
    <w:p w14:paraId="2999CD3D">
      <w:pPr>
        <w:pStyle w:val="5"/>
        <w:rPr>
          <w:color w:val="auto"/>
          <w:highlight w:val="none"/>
        </w:rPr>
      </w:pPr>
    </w:p>
    <w:p w14:paraId="3B8CDEC6">
      <w:pPr>
        <w:spacing w:line="360" w:lineRule="auto"/>
        <w:ind w:firstLine="837" w:firstLineChars="299"/>
        <w:jc w:val="left"/>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采购单位：</w:t>
      </w:r>
      <w:r>
        <w:rPr>
          <w:rFonts w:hint="eastAsia" w:ascii="微软雅黑" w:hAnsi="微软雅黑" w:eastAsia="微软雅黑" w:cs="微软雅黑"/>
          <w:color w:val="auto"/>
          <w:sz w:val="28"/>
          <w:szCs w:val="28"/>
          <w:highlight w:val="none"/>
          <w:lang w:eastAsia="zh-CN"/>
        </w:rPr>
        <w:t>莎车县教育局</w:t>
      </w:r>
    </w:p>
    <w:p w14:paraId="6423C5B2">
      <w:pPr>
        <w:pStyle w:val="4"/>
        <w:ind w:firstLine="840" w:firstLineChars="3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rPr>
        <w:t xml:space="preserve">联 系 </w:t>
      </w:r>
      <w:r>
        <w:rPr>
          <w:rFonts w:hint="eastAsia" w:ascii="微软雅黑" w:hAnsi="微软雅黑" w:eastAsia="微软雅黑" w:cs="微软雅黑"/>
          <w:color w:val="auto"/>
          <w:kern w:val="2"/>
          <w:sz w:val="28"/>
          <w:szCs w:val="28"/>
          <w:highlight w:val="none"/>
        </w:rPr>
        <w:t>人：闫茂</w:t>
      </w:r>
      <w:r>
        <w:rPr>
          <w:rFonts w:hint="eastAsia" w:ascii="微软雅黑" w:hAnsi="微软雅黑" w:eastAsia="微软雅黑" w:cs="微软雅黑"/>
          <w:color w:val="auto"/>
          <w:kern w:val="2"/>
          <w:sz w:val="28"/>
          <w:szCs w:val="28"/>
          <w:highlight w:val="none"/>
          <w:lang w:val="en-US" w:eastAsia="zh-CN"/>
        </w:rPr>
        <w:t>义</w:t>
      </w:r>
    </w:p>
    <w:p w14:paraId="48BAE353">
      <w:pPr>
        <w:pStyle w:val="5"/>
        <w:ind w:firstLine="840" w:firstLineChars="300"/>
        <w:rPr>
          <w:rFonts w:hint="eastAsia" w:eastAsia="微软雅黑"/>
          <w:color w:val="auto"/>
          <w:highlight w:val="none"/>
          <w:lang w:val="en-US" w:eastAsia="zh-CN"/>
        </w:rPr>
      </w:pPr>
      <w:r>
        <w:rPr>
          <w:rFonts w:hint="eastAsia" w:ascii="微软雅黑" w:hAnsi="微软雅黑" w:eastAsia="微软雅黑" w:cs="微软雅黑"/>
          <w:color w:val="auto"/>
          <w:sz w:val="28"/>
          <w:szCs w:val="28"/>
          <w:highlight w:val="none"/>
        </w:rPr>
        <w:t>联系电话：18699857582</w:t>
      </w:r>
    </w:p>
    <w:p w14:paraId="6BBE6ABF">
      <w:pPr>
        <w:pStyle w:val="5"/>
        <w:rPr>
          <w:color w:val="auto"/>
          <w:highlight w:val="none"/>
        </w:rPr>
      </w:pPr>
    </w:p>
    <w:p w14:paraId="637BA0BD">
      <w:pPr>
        <w:spacing w:line="360" w:lineRule="auto"/>
        <w:ind w:firstLine="837" w:firstLineChars="299"/>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lang w:eastAsia="zh-CN"/>
        </w:rPr>
        <w:t>新疆永信国金工程管理咨询有限公司</w:t>
      </w:r>
    </w:p>
    <w:p w14:paraId="48EF0716">
      <w:pPr>
        <w:pStyle w:val="4"/>
        <w:ind w:firstLine="840" w:firstLineChars="3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联 系 人：</w:t>
      </w:r>
      <w:r>
        <w:rPr>
          <w:rFonts w:hint="eastAsia" w:ascii="微软雅黑" w:hAnsi="微软雅黑" w:eastAsia="微软雅黑" w:cs="微软雅黑"/>
          <w:color w:val="auto"/>
          <w:sz w:val="28"/>
          <w:szCs w:val="28"/>
          <w:highlight w:val="none"/>
          <w:lang w:eastAsia="zh-CN"/>
        </w:rPr>
        <w:t>陈玉杰</w:t>
      </w:r>
    </w:p>
    <w:p w14:paraId="3B74B30E">
      <w:pPr>
        <w:pStyle w:val="5"/>
        <w:ind w:firstLine="840" w:firstLineChars="300"/>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eastAsia="zh-CN"/>
        </w:rPr>
        <w:t>15569228338</w:t>
      </w:r>
    </w:p>
    <w:p w14:paraId="784423E5">
      <w:pPr>
        <w:rPr>
          <w:rFonts w:ascii="微软雅黑" w:hAnsi="微软雅黑" w:eastAsia="微软雅黑" w:cs="微软雅黑"/>
          <w:color w:val="auto"/>
          <w:sz w:val="28"/>
          <w:szCs w:val="28"/>
          <w:highlight w:val="none"/>
        </w:rPr>
      </w:pPr>
    </w:p>
    <w:p w14:paraId="610770B7">
      <w:pPr>
        <w:rPr>
          <w:rFonts w:ascii="微软雅黑" w:hAnsi="微软雅黑" w:eastAsia="微软雅黑" w:cs="微软雅黑"/>
          <w:color w:val="auto"/>
          <w:sz w:val="28"/>
          <w:szCs w:val="28"/>
          <w:highlight w:val="none"/>
        </w:rPr>
      </w:pPr>
    </w:p>
    <w:p w14:paraId="4C512296">
      <w:pPr>
        <w:pStyle w:val="21"/>
        <w:rPr>
          <w:color w:val="auto"/>
          <w:highlight w:val="none"/>
        </w:rPr>
      </w:pPr>
    </w:p>
    <w:p w14:paraId="79EC71CE">
      <w:pPr>
        <w:spacing w:line="360" w:lineRule="auto"/>
        <w:jc w:val="center"/>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发出日期：202</w:t>
      </w:r>
      <w:r>
        <w:rPr>
          <w:rFonts w:hint="eastAsia" w:ascii="微软雅黑" w:hAnsi="微软雅黑" w:eastAsia="微软雅黑" w:cs="微软雅黑"/>
          <w:color w:val="auto"/>
          <w:sz w:val="28"/>
          <w:szCs w:val="28"/>
          <w:highlight w:val="none"/>
          <w:lang w:val="en-US" w:eastAsia="zh-CN"/>
        </w:rPr>
        <w:t>5</w:t>
      </w:r>
      <w:r>
        <w:rPr>
          <w:rFonts w:hint="eastAsia" w:ascii="微软雅黑" w:hAnsi="微软雅黑" w:eastAsia="微软雅黑" w:cs="微软雅黑"/>
          <w:color w:val="auto"/>
          <w:sz w:val="28"/>
          <w:szCs w:val="28"/>
          <w:highlight w:val="none"/>
        </w:rPr>
        <w:t>年</w:t>
      </w:r>
      <w:r>
        <w:rPr>
          <w:rFonts w:hint="eastAsia" w:ascii="微软雅黑" w:hAnsi="微软雅黑" w:eastAsia="微软雅黑" w:cs="微软雅黑"/>
          <w:color w:val="auto"/>
          <w:sz w:val="28"/>
          <w:szCs w:val="28"/>
          <w:highlight w:val="none"/>
          <w:lang w:val="en-US" w:eastAsia="zh-CN"/>
        </w:rPr>
        <w:t>1</w:t>
      </w:r>
      <w:r>
        <w:rPr>
          <w:rFonts w:hint="eastAsia" w:ascii="微软雅黑" w:hAnsi="微软雅黑" w:eastAsia="微软雅黑" w:cs="微软雅黑"/>
          <w:color w:val="auto"/>
          <w:sz w:val="28"/>
          <w:szCs w:val="28"/>
          <w:highlight w:val="none"/>
        </w:rPr>
        <w:t>月</w:t>
      </w:r>
    </w:p>
    <w:p w14:paraId="2D64F477">
      <w:pPr>
        <w:pStyle w:val="21"/>
        <w:rPr>
          <w:rFonts w:ascii="微软雅黑" w:hAnsi="微软雅黑" w:eastAsia="微软雅黑" w:cs="微软雅黑"/>
          <w:color w:val="auto"/>
          <w:sz w:val="28"/>
          <w:szCs w:val="28"/>
          <w:highlight w:val="none"/>
        </w:rPr>
      </w:pPr>
    </w:p>
    <w:p w14:paraId="29FB9FD2">
      <w:pPr>
        <w:pStyle w:val="21"/>
        <w:rPr>
          <w:rFonts w:ascii="微软雅黑" w:hAnsi="微软雅黑" w:eastAsia="微软雅黑" w:cs="微软雅黑"/>
          <w:color w:val="auto"/>
          <w:sz w:val="28"/>
          <w:szCs w:val="28"/>
          <w:highlight w:val="none"/>
        </w:rPr>
      </w:pPr>
    </w:p>
    <w:p w14:paraId="584EE9B7">
      <w:pPr>
        <w:pStyle w:val="21"/>
        <w:rPr>
          <w:rFonts w:ascii="微软雅黑" w:hAnsi="微软雅黑" w:eastAsia="微软雅黑" w:cs="微软雅黑"/>
          <w:color w:val="auto"/>
          <w:sz w:val="28"/>
          <w:szCs w:val="28"/>
          <w:highlight w:val="none"/>
        </w:rPr>
      </w:pPr>
    </w:p>
    <w:p w14:paraId="1402D5CF">
      <w:pPr>
        <w:pStyle w:val="28"/>
        <w:ind w:left="0" w:leftChars="0" w:firstLine="0" w:firstLineChars="0"/>
        <w:rPr>
          <w:color w:val="auto"/>
          <w:highlight w:val="none"/>
        </w:rPr>
        <w:sectPr>
          <w:headerReference r:id="rId3" w:type="default"/>
          <w:footerReference r:id="rId4" w:type="default"/>
          <w:pgSz w:w="11905" w:h="16838"/>
          <w:pgMar w:top="1440" w:right="1080" w:bottom="1440" w:left="1080" w:header="851" w:footer="992" w:gutter="0"/>
          <w:cols w:space="0" w:num="1"/>
          <w:docGrid w:linePitch="312" w:charSpace="0"/>
        </w:sectPr>
      </w:pPr>
    </w:p>
    <w:p w14:paraId="12D90372">
      <w:pPr>
        <w:rPr>
          <w:color w:val="auto"/>
        </w:rPr>
      </w:pPr>
    </w:p>
    <w:p w14:paraId="737D4836">
      <w:pPr>
        <w:spacing w:line="520" w:lineRule="exact"/>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目录</w:t>
      </w:r>
    </w:p>
    <w:p w14:paraId="60C7531F">
      <w:pPr>
        <w:pStyle w:val="20"/>
        <w:tabs>
          <w:tab w:val="right" w:leader="dot" w:pos="9745"/>
        </w:tabs>
        <w:rPr>
          <w:color w:val="auto"/>
        </w:rPr>
      </w:pPr>
      <w:r>
        <w:rPr>
          <w:rFonts w:hint="eastAsia" w:ascii="微软雅黑" w:hAnsi="微软雅黑" w:eastAsia="微软雅黑" w:cs="微软雅黑"/>
          <w:color w:val="auto"/>
          <w:kern w:val="0"/>
          <w:sz w:val="28"/>
          <w:szCs w:val="28"/>
          <w:highlight w:val="none"/>
        </w:rPr>
        <w:fldChar w:fldCharType="begin"/>
      </w:r>
      <w:r>
        <w:rPr>
          <w:rFonts w:hint="eastAsia" w:ascii="微软雅黑" w:hAnsi="微软雅黑" w:eastAsia="微软雅黑" w:cs="微软雅黑"/>
          <w:color w:val="auto"/>
          <w:kern w:val="0"/>
          <w:sz w:val="28"/>
          <w:szCs w:val="28"/>
          <w:highlight w:val="none"/>
        </w:rPr>
        <w:instrText xml:space="preserve">TOC \o "1-2" \h \u </w:instrText>
      </w:r>
      <w:r>
        <w:rPr>
          <w:rFonts w:hint="eastAsia" w:ascii="微软雅黑" w:hAnsi="微软雅黑" w:eastAsia="微软雅黑" w:cs="微软雅黑"/>
          <w:color w:val="auto"/>
          <w:kern w:val="0"/>
          <w:sz w:val="28"/>
          <w:szCs w:val="28"/>
          <w:highlight w:val="none"/>
        </w:rPr>
        <w:fldChar w:fldCharType="separate"/>
      </w:r>
      <w:bookmarkStart w:id="794" w:name="_GoBack"/>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_Toc29977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32"/>
          <w:highlight w:val="none"/>
        </w:rPr>
        <w:t>第1章  供应商须知</w:t>
      </w:r>
      <w:r>
        <w:rPr>
          <w:color w:val="auto"/>
        </w:rPr>
        <w:tab/>
      </w:r>
      <w:r>
        <w:rPr>
          <w:color w:val="auto"/>
        </w:rPr>
        <w:fldChar w:fldCharType="begin"/>
      </w:r>
      <w:r>
        <w:rPr>
          <w:color w:val="auto"/>
        </w:rPr>
        <w:instrText xml:space="preserve"> PAGEREF _Toc29977 \h </w:instrText>
      </w:r>
      <w:r>
        <w:rPr>
          <w:color w:val="auto"/>
        </w:rPr>
        <w:fldChar w:fldCharType="separate"/>
      </w:r>
      <w:r>
        <w:rPr>
          <w:color w:val="auto"/>
        </w:rPr>
        <w:t>2</w:t>
      </w:r>
      <w:r>
        <w:rPr>
          <w:color w:val="auto"/>
        </w:rPr>
        <w:fldChar w:fldCharType="end"/>
      </w:r>
      <w:r>
        <w:rPr>
          <w:rFonts w:hint="eastAsia" w:ascii="微软雅黑" w:hAnsi="微软雅黑" w:eastAsia="微软雅黑" w:cs="微软雅黑"/>
          <w:color w:val="auto"/>
          <w:kern w:val="0"/>
          <w:szCs w:val="28"/>
          <w:highlight w:val="none"/>
        </w:rPr>
        <w:fldChar w:fldCharType="end"/>
      </w:r>
    </w:p>
    <w:p w14:paraId="3C7C1B6B">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_Toc1490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8"/>
          <w:highlight w:val="none"/>
        </w:rPr>
        <w:t>一   总 则</w:t>
      </w:r>
      <w:r>
        <w:rPr>
          <w:color w:val="auto"/>
        </w:rPr>
        <w:tab/>
      </w:r>
      <w:r>
        <w:rPr>
          <w:color w:val="auto"/>
        </w:rPr>
        <w:fldChar w:fldCharType="begin"/>
      </w:r>
      <w:r>
        <w:rPr>
          <w:color w:val="auto"/>
        </w:rPr>
        <w:instrText xml:space="preserve"> PAGEREF _Toc1490 \h </w:instrText>
      </w:r>
      <w:r>
        <w:rPr>
          <w:color w:val="auto"/>
        </w:rPr>
        <w:fldChar w:fldCharType="separate"/>
      </w:r>
      <w:r>
        <w:rPr>
          <w:color w:val="auto"/>
        </w:rPr>
        <w:t>2</w:t>
      </w:r>
      <w:r>
        <w:rPr>
          <w:color w:val="auto"/>
        </w:rPr>
        <w:fldChar w:fldCharType="end"/>
      </w:r>
      <w:r>
        <w:rPr>
          <w:rFonts w:hint="eastAsia" w:ascii="微软雅黑" w:hAnsi="微软雅黑" w:eastAsia="微软雅黑" w:cs="微软雅黑"/>
          <w:color w:val="auto"/>
          <w:kern w:val="0"/>
          <w:szCs w:val="28"/>
          <w:highlight w:val="none"/>
        </w:rPr>
        <w:fldChar w:fldCharType="end"/>
      </w:r>
    </w:p>
    <w:p w14:paraId="0C03CFC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_Toc21935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二   招标文件</w:t>
      </w:r>
      <w:r>
        <w:rPr>
          <w:color w:val="auto"/>
        </w:rPr>
        <w:tab/>
      </w:r>
      <w:r>
        <w:rPr>
          <w:color w:val="auto"/>
        </w:rPr>
        <w:fldChar w:fldCharType="begin"/>
      </w:r>
      <w:r>
        <w:rPr>
          <w:color w:val="auto"/>
        </w:rPr>
        <w:instrText xml:space="preserve"> PAGEREF _Toc21935 \h </w:instrText>
      </w:r>
      <w:r>
        <w:rPr>
          <w:color w:val="auto"/>
        </w:rPr>
        <w:fldChar w:fldCharType="separate"/>
      </w:r>
      <w:r>
        <w:rPr>
          <w:color w:val="auto"/>
        </w:rPr>
        <w:t>3</w:t>
      </w:r>
      <w:r>
        <w:rPr>
          <w:color w:val="auto"/>
        </w:rPr>
        <w:fldChar w:fldCharType="end"/>
      </w:r>
      <w:r>
        <w:rPr>
          <w:rFonts w:hint="eastAsia" w:ascii="微软雅黑" w:hAnsi="微软雅黑" w:eastAsia="微软雅黑" w:cs="微软雅黑"/>
          <w:color w:val="auto"/>
          <w:kern w:val="0"/>
          <w:szCs w:val="28"/>
          <w:highlight w:val="none"/>
        </w:rPr>
        <w:fldChar w:fldCharType="end"/>
      </w:r>
    </w:p>
    <w:p w14:paraId="154E9E62">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_Toc11373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22"/>
          <w:highlight w:val="none"/>
        </w:rPr>
        <w:t>三   投标文件的编制</w:t>
      </w:r>
      <w:r>
        <w:rPr>
          <w:color w:val="auto"/>
        </w:rPr>
        <w:tab/>
      </w:r>
      <w:r>
        <w:rPr>
          <w:color w:val="auto"/>
        </w:rPr>
        <w:fldChar w:fldCharType="begin"/>
      </w:r>
      <w:r>
        <w:rPr>
          <w:color w:val="auto"/>
        </w:rPr>
        <w:instrText xml:space="preserve"> PAGEREF _Toc11373 \h </w:instrText>
      </w:r>
      <w:r>
        <w:rPr>
          <w:color w:val="auto"/>
        </w:rPr>
        <w:fldChar w:fldCharType="separate"/>
      </w:r>
      <w:r>
        <w:rPr>
          <w:color w:val="auto"/>
        </w:rPr>
        <w:t>4</w:t>
      </w:r>
      <w:r>
        <w:rPr>
          <w:color w:val="auto"/>
        </w:rPr>
        <w:fldChar w:fldCharType="end"/>
      </w:r>
      <w:r>
        <w:rPr>
          <w:rFonts w:hint="eastAsia" w:ascii="微软雅黑" w:hAnsi="微软雅黑" w:eastAsia="微软雅黑" w:cs="微软雅黑"/>
          <w:color w:val="auto"/>
          <w:kern w:val="0"/>
          <w:szCs w:val="28"/>
          <w:highlight w:val="none"/>
        </w:rPr>
        <w:fldChar w:fldCharType="end"/>
      </w:r>
    </w:p>
    <w:p w14:paraId="64AC9A72">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_Toc12257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四   投标文件的递交</w:t>
      </w:r>
      <w:r>
        <w:rPr>
          <w:color w:val="auto"/>
        </w:rPr>
        <w:tab/>
      </w:r>
      <w:r>
        <w:rPr>
          <w:color w:val="auto"/>
        </w:rPr>
        <w:fldChar w:fldCharType="begin"/>
      </w:r>
      <w:r>
        <w:rPr>
          <w:color w:val="auto"/>
        </w:rPr>
        <w:instrText xml:space="preserve"> PAGEREF _Toc12257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szCs w:val="28"/>
          <w:highlight w:val="none"/>
        </w:rPr>
        <w:fldChar w:fldCharType="end"/>
      </w:r>
    </w:p>
    <w:p w14:paraId="54D5E59B">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_Toc15987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五   开标及评标</w:t>
      </w:r>
      <w:r>
        <w:rPr>
          <w:color w:val="auto"/>
        </w:rPr>
        <w:tab/>
      </w:r>
      <w:r>
        <w:rPr>
          <w:color w:val="auto"/>
        </w:rPr>
        <w:fldChar w:fldCharType="begin"/>
      </w:r>
      <w:r>
        <w:rPr>
          <w:color w:val="auto"/>
        </w:rPr>
        <w:instrText xml:space="preserve"> PAGEREF _Toc15987 \h </w:instrText>
      </w:r>
      <w:r>
        <w:rPr>
          <w:color w:val="auto"/>
        </w:rPr>
        <w:fldChar w:fldCharType="separate"/>
      </w:r>
      <w:r>
        <w:rPr>
          <w:color w:val="auto"/>
        </w:rPr>
        <w:t>7</w:t>
      </w:r>
      <w:r>
        <w:rPr>
          <w:color w:val="auto"/>
        </w:rPr>
        <w:fldChar w:fldCharType="end"/>
      </w:r>
      <w:r>
        <w:rPr>
          <w:rFonts w:hint="eastAsia" w:ascii="微软雅黑" w:hAnsi="微软雅黑" w:eastAsia="微软雅黑" w:cs="微软雅黑"/>
          <w:color w:val="auto"/>
          <w:kern w:val="0"/>
          <w:szCs w:val="28"/>
          <w:highlight w:val="none"/>
        </w:rPr>
        <w:fldChar w:fldCharType="end"/>
      </w:r>
    </w:p>
    <w:p w14:paraId="5C6A6F66">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_Toc30753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六   确定中标</w:t>
      </w:r>
      <w:r>
        <w:rPr>
          <w:color w:val="auto"/>
        </w:rPr>
        <w:tab/>
      </w:r>
      <w:r>
        <w:rPr>
          <w:color w:val="auto"/>
        </w:rPr>
        <w:fldChar w:fldCharType="begin"/>
      </w:r>
      <w:r>
        <w:rPr>
          <w:color w:val="auto"/>
        </w:rPr>
        <w:instrText xml:space="preserve"> PAGEREF _Toc30753 \h </w:instrText>
      </w:r>
      <w:r>
        <w:rPr>
          <w:color w:val="auto"/>
        </w:rPr>
        <w:fldChar w:fldCharType="separate"/>
      </w:r>
      <w:r>
        <w:rPr>
          <w:color w:val="auto"/>
        </w:rPr>
        <w:t>12</w:t>
      </w:r>
      <w:r>
        <w:rPr>
          <w:color w:val="auto"/>
        </w:rPr>
        <w:fldChar w:fldCharType="end"/>
      </w:r>
      <w:r>
        <w:rPr>
          <w:rFonts w:hint="eastAsia" w:ascii="微软雅黑" w:hAnsi="微软雅黑" w:eastAsia="微软雅黑" w:cs="微软雅黑"/>
          <w:color w:val="auto"/>
          <w:kern w:val="0"/>
          <w:szCs w:val="28"/>
          <w:highlight w:val="none"/>
        </w:rPr>
        <w:fldChar w:fldCharType="end"/>
      </w:r>
    </w:p>
    <w:p w14:paraId="5848922F">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第2章   投标文件格式</w:t>
      </w:r>
      <w:r>
        <w:rPr>
          <w:color w:val="auto"/>
        </w:rPr>
        <w:tab/>
      </w:r>
      <w:r>
        <w:rPr>
          <w:color w:val="auto"/>
        </w:rPr>
        <w:fldChar w:fldCharType="begin"/>
      </w:r>
      <w:r>
        <w:rPr>
          <w:color w:val="auto"/>
        </w:rPr>
        <w:instrText xml:space="preserve"> PAGEREF _Toc317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szCs w:val="28"/>
          <w:highlight w:val="none"/>
        </w:rPr>
        <w:fldChar w:fldCharType="end"/>
      </w:r>
    </w:p>
    <w:p w14:paraId="1B3703BF">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_Toc13463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24"/>
          <w:highlight w:val="none"/>
        </w:rPr>
        <w:t>第一部分 开标一览表及资格证明文件</w:t>
      </w:r>
      <w:r>
        <w:rPr>
          <w:color w:val="auto"/>
        </w:rPr>
        <w:tab/>
      </w:r>
      <w:r>
        <w:rPr>
          <w:color w:val="auto"/>
        </w:rPr>
        <w:fldChar w:fldCharType="begin"/>
      </w:r>
      <w:r>
        <w:rPr>
          <w:color w:val="auto"/>
        </w:rPr>
        <w:instrText xml:space="preserve"> PAGEREF _Toc13463 \h </w:instrText>
      </w:r>
      <w:r>
        <w:rPr>
          <w:color w:val="auto"/>
        </w:rPr>
        <w:fldChar w:fldCharType="separate"/>
      </w:r>
      <w:r>
        <w:rPr>
          <w:color w:val="auto"/>
        </w:rPr>
        <w:t>18</w:t>
      </w:r>
      <w:r>
        <w:rPr>
          <w:color w:val="auto"/>
        </w:rPr>
        <w:fldChar w:fldCharType="end"/>
      </w:r>
      <w:r>
        <w:rPr>
          <w:rFonts w:hint="eastAsia" w:ascii="微软雅黑" w:hAnsi="微软雅黑" w:eastAsia="微软雅黑" w:cs="微软雅黑"/>
          <w:color w:val="auto"/>
          <w:kern w:val="0"/>
          <w:szCs w:val="28"/>
          <w:highlight w:val="none"/>
        </w:rPr>
        <w:fldChar w:fldCharType="end"/>
      </w:r>
    </w:p>
    <w:p w14:paraId="43A3C92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_Toc4062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  开标一览表</w:t>
      </w:r>
      <w:r>
        <w:rPr>
          <w:color w:val="auto"/>
        </w:rPr>
        <w:tab/>
      </w:r>
      <w:r>
        <w:rPr>
          <w:color w:val="auto"/>
        </w:rPr>
        <w:fldChar w:fldCharType="begin"/>
      </w:r>
      <w:r>
        <w:rPr>
          <w:color w:val="auto"/>
        </w:rPr>
        <w:instrText xml:space="preserve"> PAGEREF _Toc4062 \h </w:instrText>
      </w:r>
      <w:r>
        <w:rPr>
          <w:color w:val="auto"/>
        </w:rPr>
        <w:fldChar w:fldCharType="separate"/>
      </w:r>
      <w:r>
        <w:rPr>
          <w:color w:val="auto"/>
        </w:rPr>
        <w:t>20</w:t>
      </w:r>
      <w:r>
        <w:rPr>
          <w:color w:val="auto"/>
        </w:rPr>
        <w:fldChar w:fldCharType="end"/>
      </w:r>
      <w:r>
        <w:rPr>
          <w:rFonts w:hint="eastAsia" w:ascii="微软雅黑" w:hAnsi="微软雅黑" w:eastAsia="微软雅黑" w:cs="微软雅黑"/>
          <w:color w:val="auto"/>
          <w:kern w:val="0"/>
          <w:szCs w:val="28"/>
          <w:highlight w:val="none"/>
        </w:rPr>
        <w:fldChar w:fldCharType="end"/>
      </w:r>
    </w:p>
    <w:p w14:paraId="297B1466">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_Toc10807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2  符合《中华人民共和国政府采购法》第二十二条的规定</w:t>
      </w:r>
      <w:r>
        <w:rPr>
          <w:color w:val="auto"/>
        </w:rPr>
        <w:tab/>
      </w:r>
      <w:r>
        <w:rPr>
          <w:color w:val="auto"/>
        </w:rPr>
        <w:fldChar w:fldCharType="begin"/>
      </w:r>
      <w:r>
        <w:rPr>
          <w:color w:val="auto"/>
        </w:rPr>
        <w:instrText xml:space="preserve"> PAGEREF _Toc10807 \h </w:instrText>
      </w:r>
      <w:r>
        <w:rPr>
          <w:color w:val="auto"/>
        </w:rPr>
        <w:fldChar w:fldCharType="separate"/>
      </w:r>
      <w:r>
        <w:rPr>
          <w:color w:val="auto"/>
        </w:rPr>
        <w:t>21</w:t>
      </w:r>
      <w:r>
        <w:rPr>
          <w:color w:val="auto"/>
        </w:rPr>
        <w:fldChar w:fldCharType="end"/>
      </w:r>
      <w:r>
        <w:rPr>
          <w:rFonts w:hint="eastAsia" w:ascii="微软雅黑" w:hAnsi="微软雅黑" w:eastAsia="微软雅黑" w:cs="微软雅黑"/>
          <w:color w:val="auto"/>
          <w:kern w:val="0"/>
          <w:szCs w:val="28"/>
          <w:highlight w:val="none"/>
        </w:rPr>
        <w:fldChar w:fldCharType="end"/>
      </w:r>
    </w:p>
    <w:p w14:paraId="6A4E9E4A">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_Toc29196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highlight w:val="none"/>
        </w:rPr>
        <w:t>3  投标保证金有效凭证；</w:t>
      </w:r>
      <w:r>
        <w:rPr>
          <w:color w:val="auto"/>
        </w:rPr>
        <w:tab/>
      </w:r>
      <w:r>
        <w:rPr>
          <w:color w:val="auto"/>
        </w:rPr>
        <w:fldChar w:fldCharType="begin"/>
      </w:r>
      <w:r>
        <w:rPr>
          <w:color w:val="auto"/>
        </w:rPr>
        <w:instrText xml:space="preserve"> PAGEREF _Toc29196 \h </w:instrText>
      </w:r>
      <w:r>
        <w:rPr>
          <w:color w:val="auto"/>
        </w:rPr>
        <w:fldChar w:fldCharType="separate"/>
      </w:r>
      <w:r>
        <w:rPr>
          <w:color w:val="auto"/>
        </w:rPr>
        <w:t>25</w:t>
      </w:r>
      <w:r>
        <w:rPr>
          <w:color w:val="auto"/>
        </w:rPr>
        <w:fldChar w:fldCharType="end"/>
      </w:r>
      <w:r>
        <w:rPr>
          <w:rFonts w:hint="eastAsia" w:ascii="微软雅黑" w:hAnsi="微软雅黑" w:eastAsia="微软雅黑" w:cs="微软雅黑"/>
          <w:color w:val="auto"/>
          <w:kern w:val="0"/>
          <w:szCs w:val="28"/>
          <w:highlight w:val="none"/>
        </w:rPr>
        <w:fldChar w:fldCharType="end"/>
      </w:r>
    </w:p>
    <w:p w14:paraId="1E15437E">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_Toc19107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kern w:val="2"/>
          <w:szCs w:val="32"/>
        </w:rPr>
        <w:t xml:space="preserve">第二部分 </w:t>
      </w:r>
      <w:r>
        <w:rPr>
          <w:rFonts w:hint="eastAsia" w:ascii="微软雅黑" w:hAnsi="微软雅黑" w:eastAsia="微软雅黑" w:cs="微软雅黑"/>
          <w:color w:val="auto"/>
          <w:kern w:val="2"/>
          <w:szCs w:val="32"/>
          <w:highlight w:val="none"/>
        </w:rPr>
        <w:t>商务及技术文件</w:t>
      </w:r>
      <w:r>
        <w:rPr>
          <w:color w:val="auto"/>
        </w:rPr>
        <w:tab/>
      </w:r>
      <w:r>
        <w:rPr>
          <w:color w:val="auto"/>
        </w:rPr>
        <w:fldChar w:fldCharType="begin"/>
      </w:r>
      <w:r>
        <w:rPr>
          <w:color w:val="auto"/>
        </w:rPr>
        <w:instrText xml:space="preserve"> PAGEREF _Toc19107 \h </w:instrText>
      </w:r>
      <w:r>
        <w:rPr>
          <w:color w:val="auto"/>
        </w:rPr>
        <w:fldChar w:fldCharType="separate"/>
      </w:r>
      <w:r>
        <w:rPr>
          <w:color w:val="auto"/>
        </w:rPr>
        <w:t>26</w:t>
      </w:r>
      <w:r>
        <w:rPr>
          <w:color w:val="auto"/>
        </w:rPr>
        <w:fldChar w:fldCharType="end"/>
      </w:r>
      <w:r>
        <w:rPr>
          <w:rFonts w:hint="eastAsia" w:ascii="微软雅黑" w:hAnsi="微软雅黑" w:eastAsia="微软雅黑" w:cs="微软雅黑"/>
          <w:color w:val="auto"/>
          <w:kern w:val="0"/>
          <w:szCs w:val="28"/>
          <w:highlight w:val="none"/>
        </w:rPr>
        <w:fldChar w:fldCharType="end"/>
      </w:r>
    </w:p>
    <w:p w14:paraId="72711211">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_Toc7566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1、投标书</w:t>
      </w:r>
      <w:r>
        <w:rPr>
          <w:color w:val="auto"/>
        </w:rPr>
        <w:tab/>
      </w:r>
      <w:r>
        <w:rPr>
          <w:color w:val="auto"/>
        </w:rPr>
        <w:fldChar w:fldCharType="begin"/>
      </w:r>
      <w:r>
        <w:rPr>
          <w:color w:val="auto"/>
        </w:rPr>
        <w:instrText xml:space="preserve"> PAGEREF _Toc7566 \h </w:instrText>
      </w:r>
      <w:r>
        <w:rPr>
          <w:color w:val="auto"/>
        </w:rPr>
        <w:fldChar w:fldCharType="separate"/>
      </w:r>
      <w:r>
        <w:rPr>
          <w:color w:val="auto"/>
        </w:rPr>
        <w:t>27</w:t>
      </w:r>
      <w:r>
        <w:rPr>
          <w:color w:val="auto"/>
        </w:rPr>
        <w:fldChar w:fldCharType="end"/>
      </w:r>
      <w:r>
        <w:rPr>
          <w:rFonts w:hint="eastAsia" w:ascii="微软雅黑" w:hAnsi="微软雅黑" w:eastAsia="微软雅黑" w:cs="微软雅黑"/>
          <w:color w:val="auto"/>
          <w:kern w:val="0"/>
          <w:szCs w:val="28"/>
          <w:highlight w:val="none"/>
        </w:rPr>
        <w:fldChar w:fldCharType="end"/>
      </w:r>
    </w:p>
    <w:p w14:paraId="1641C1B1">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_Toc6994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2、投标分项报价表</w:t>
      </w:r>
      <w:r>
        <w:rPr>
          <w:color w:val="auto"/>
        </w:rPr>
        <w:tab/>
      </w:r>
      <w:r>
        <w:rPr>
          <w:color w:val="auto"/>
        </w:rPr>
        <w:fldChar w:fldCharType="begin"/>
      </w:r>
      <w:r>
        <w:rPr>
          <w:color w:val="auto"/>
        </w:rPr>
        <w:instrText xml:space="preserve"> PAGEREF _Toc6994 \h </w:instrText>
      </w:r>
      <w:r>
        <w:rPr>
          <w:color w:val="auto"/>
        </w:rPr>
        <w:fldChar w:fldCharType="separate"/>
      </w:r>
      <w:r>
        <w:rPr>
          <w:color w:val="auto"/>
        </w:rPr>
        <w:t>28</w:t>
      </w:r>
      <w:r>
        <w:rPr>
          <w:color w:val="auto"/>
        </w:rPr>
        <w:fldChar w:fldCharType="end"/>
      </w:r>
      <w:r>
        <w:rPr>
          <w:rFonts w:hint="eastAsia" w:ascii="微软雅黑" w:hAnsi="微软雅黑" w:eastAsia="微软雅黑" w:cs="微软雅黑"/>
          <w:color w:val="auto"/>
          <w:kern w:val="0"/>
          <w:szCs w:val="28"/>
          <w:highlight w:val="none"/>
        </w:rPr>
        <w:fldChar w:fldCharType="end"/>
      </w:r>
    </w:p>
    <w:p w14:paraId="4AFAC1C3">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_Toc29478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3、货物说明一览表</w:t>
      </w:r>
      <w:r>
        <w:rPr>
          <w:color w:val="auto"/>
        </w:rPr>
        <w:tab/>
      </w:r>
      <w:r>
        <w:rPr>
          <w:color w:val="auto"/>
        </w:rPr>
        <w:fldChar w:fldCharType="begin"/>
      </w:r>
      <w:r>
        <w:rPr>
          <w:color w:val="auto"/>
        </w:rPr>
        <w:instrText xml:space="preserve"> PAGEREF _Toc29478 \h </w:instrText>
      </w:r>
      <w:r>
        <w:rPr>
          <w:color w:val="auto"/>
        </w:rPr>
        <w:fldChar w:fldCharType="separate"/>
      </w:r>
      <w:r>
        <w:rPr>
          <w:color w:val="auto"/>
        </w:rPr>
        <w:t>30</w:t>
      </w:r>
      <w:r>
        <w:rPr>
          <w:color w:val="auto"/>
        </w:rPr>
        <w:fldChar w:fldCharType="end"/>
      </w:r>
      <w:r>
        <w:rPr>
          <w:rFonts w:hint="eastAsia" w:ascii="微软雅黑" w:hAnsi="微软雅黑" w:eastAsia="微软雅黑" w:cs="微软雅黑"/>
          <w:color w:val="auto"/>
          <w:kern w:val="0"/>
          <w:szCs w:val="28"/>
          <w:highlight w:val="none"/>
        </w:rPr>
        <w:fldChar w:fldCharType="end"/>
      </w:r>
    </w:p>
    <w:p w14:paraId="0D19BB2D">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_Toc6715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highlight w:val="none"/>
        </w:rPr>
        <w:t>4、技术规格偏离表</w:t>
      </w:r>
      <w:r>
        <w:rPr>
          <w:color w:val="auto"/>
        </w:rPr>
        <w:tab/>
      </w:r>
      <w:r>
        <w:rPr>
          <w:color w:val="auto"/>
        </w:rPr>
        <w:fldChar w:fldCharType="begin"/>
      </w:r>
      <w:r>
        <w:rPr>
          <w:color w:val="auto"/>
        </w:rPr>
        <w:instrText xml:space="preserve"> PAGEREF _Toc6715 \h </w:instrText>
      </w:r>
      <w:r>
        <w:rPr>
          <w:color w:val="auto"/>
        </w:rPr>
        <w:fldChar w:fldCharType="separate"/>
      </w:r>
      <w:r>
        <w:rPr>
          <w:color w:val="auto"/>
        </w:rPr>
        <w:t>31</w:t>
      </w:r>
      <w:r>
        <w:rPr>
          <w:color w:val="auto"/>
        </w:rPr>
        <w:fldChar w:fldCharType="end"/>
      </w:r>
      <w:r>
        <w:rPr>
          <w:rFonts w:hint="eastAsia" w:ascii="微软雅黑" w:hAnsi="微软雅黑" w:eastAsia="微软雅黑" w:cs="微软雅黑"/>
          <w:color w:val="auto"/>
          <w:kern w:val="0"/>
          <w:szCs w:val="28"/>
          <w:highlight w:val="none"/>
        </w:rPr>
        <w:fldChar w:fldCharType="end"/>
      </w:r>
    </w:p>
    <w:p w14:paraId="52F789F6">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_Toc29562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rPr>
        <w:t>5、商务条款偏离表</w:t>
      </w:r>
      <w:r>
        <w:rPr>
          <w:color w:val="auto"/>
        </w:rPr>
        <w:tab/>
      </w:r>
      <w:r>
        <w:rPr>
          <w:color w:val="auto"/>
        </w:rPr>
        <w:fldChar w:fldCharType="begin"/>
      </w:r>
      <w:r>
        <w:rPr>
          <w:color w:val="auto"/>
        </w:rPr>
        <w:instrText xml:space="preserve"> PAGEREF _Toc29562 \h </w:instrText>
      </w:r>
      <w:r>
        <w:rPr>
          <w:color w:val="auto"/>
        </w:rPr>
        <w:fldChar w:fldCharType="separate"/>
      </w:r>
      <w:r>
        <w:rPr>
          <w:color w:val="auto"/>
        </w:rPr>
        <w:t>32</w:t>
      </w:r>
      <w:r>
        <w:rPr>
          <w:color w:val="auto"/>
        </w:rPr>
        <w:fldChar w:fldCharType="end"/>
      </w:r>
      <w:r>
        <w:rPr>
          <w:rFonts w:hint="eastAsia" w:ascii="微软雅黑" w:hAnsi="微软雅黑" w:eastAsia="微软雅黑" w:cs="微软雅黑"/>
          <w:color w:val="auto"/>
          <w:kern w:val="0"/>
          <w:szCs w:val="28"/>
          <w:highlight w:val="none"/>
        </w:rPr>
        <w:fldChar w:fldCharType="end"/>
      </w:r>
    </w:p>
    <w:p w14:paraId="6019481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_Toc11701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6、</w:t>
      </w:r>
      <w:r>
        <w:rPr>
          <w:rFonts w:hint="eastAsia" w:ascii="微软雅黑" w:hAnsi="微软雅黑" w:eastAsia="微软雅黑" w:cs="微软雅黑"/>
          <w:bCs/>
          <w:color w:val="auto"/>
          <w:kern w:val="2"/>
          <w:szCs w:val="24"/>
          <w:highlight w:val="none"/>
        </w:rPr>
        <w:t>中小企业声明函（货物）</w:t>
      </w:r>
      <w:r>
        <w:rPr>
          <w:color w:val="auto"/>
        </w:rPr>
        <w:tab/>
      </w:r>
      <w:r>
        <w:rPr>
          <w:color w:val="auto"/>
        </w:rPr>
        <w:fldChar w:fldCharType="begin"/>
      </w:r>
      <w:r>
        <w:rPr>
          <w:color w:val="auto"/>
        </w:rPr>
        <w:instrText xml:space="preserve"> PAGEREF _Toc11701 \h </w:instrText>
      </w:r>
      <w:r>
        <w:rPr>
          <w:color w:val="auto"/>
        </w:rPr>
        <w:fldChar w:fldCharType="separate"/>
      </w:r>
      <w:r>
        <w:rPr>
          <w:color w:val="auto"/>
        </w:rPr>
        <w:t>33</w:t>
      </w:r>
      <w:r>
        <w:rPr>
          <w:color w:val="auto"/>
        </w:rPr>
        <w:fldChar w:fldCharType="end"/>
      </w:r>
      <w:r>
        <w:rPr>
          <w:rFonts w:hint="eastAsia" w:ascii="微软雅黑" w:hAnsi="微软雅黑" w:eastAsia="微软雅黑" w:cs="微软雅黑"/>
          <w:color w:val="auto"/>
          <w:kern w:val="0"/>
          <w:szCs w:val="28"/>
          <w:highlight w:val="none"/>
        </w:rPr>
        <w:fldChar w:fldCharType="end"/>
      </w:r>
    </w:p>
    <w:p w14:paraId="0D2E09E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_Toc22735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7</w:t>
      </w:r>
      <w:r>
        <w:rPr>
          <w:rFonts w:hint="eastAsia" w:ascii="微软雅黑" w:hAnsi="微软雅黑" w:eastAsia="微软雅黑" w:cs="微软雅黑"/>
          <w:bCs/>
          <w:color w:val="auto"/>
          <w:kern w:val="2"/>
          <w:szCs w:val="24"/>
          <w:highlight w:val="none"/>
        </w:rPr>
        <w:t>、残疾人福利性单位声明函</w:t>
      </w:r>
      <w:r>
        <w:rPr>
          <w:color w:val="auto"/>
        </w:rPr>
        <w:tab/>
      </w:r>
      <w:r>
        <w:rPr>
          <w:color w:val="auto"/>
        </w:rPr>
        <w:fldChar w:fldCharType="begin"/>
      </w:r>
      <w:r>
        <w:rPr>
          <w:color w:val="auto"/>
        </w:rPr>
        <w:instrText xml:space="preserve"> PAGEREF _Toc22735 \h </w:instrText>
      </w:r>
      <w:r>
        <w:rPr>
          <w:color w:val="auto"/>
        </w:rPr>
        <w:fldChar w:fldCharType="separate"/>
      </w:r>
      <w:r>
        <w:rPr>
          <w:color w:val="auto"/>
        </w:rPr>
        <w:t>38</w:t>
      </w:r>
      <w:r>
        <w:rPr>
          <w:color w:val="auto"/>
        </w:rPr>
        <w:fldChar w:fldCharType="end"/>
      </w:r>
      <w:r>
        <w:rPr>
          <w:rFonts w:hint="eastAsia" w:ascii="微软雅黑" w:hAnsi="微软雅黑" w:eastAsia="微软雅黑" w:cs="微软雅黑"/>
          <w:color w:val="auto"/>
          <w:kern w:val="0"/>
          <w:szCs w:val="28"/>
          <w:highlight w:val="none"/>
        </w:rPr>
        <w:fldChar w:fldCharType="end"/>
      </w:r>
    </w:p>
    <w:p w14:paraId="35FC66FA">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_Toc1808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8</w:t>
      </w:r>
      <w:r>
        <w:rPr>
          <w:rFonts w:hint="eastAsia" w:ascii="微软雅黑" w:hAnsi="微软雅黑" w:eastAsia="微软雅黑" w:cs="微软雅黑"/>
          <w:bCs/>
          <w:color w:val="auto"/>
          <w:kern w:val="2"/>
          <w:szCs w:val="24"/>
          <w:highlight w:val="none"/>
        </w:rPr>
        <w:t>、供应商关联单位的说明</w:t>
      </w:r>
      <w:r>
        <w:rPr>
          <w:color w:val="auto"/>
        </w:rPr>
        <w:tab/>
      </w:r>
      <w:r>
        <w:rPr>
          <w:color w:val="auto"/>
        </w:rPr>
        <w:fldChar w:fldCharType="begin"/>
      </w:r>
      <w:r>
        <w:rPr>
          <w:color w:val="auto"/>
        </w:rPr>
        <w:instrText xml:space="preserve"> PAGEREF _Toc1808 \h </w:instrText>
      </w:r>
      <w:r>
        <w:rPr>
          <w:color w:val="auto"/>
        </w:rPr>
        <w:fldChar w:fldCharType="separate"/>
      </w:r>
      <w:r>
        <w:rPr>
          <w:color w:val="auto"/>
        </w:rPr>
        <w:t>38</w:t>
      </w:r>
      <w:r>
        <w:rPr>
          <w:color w:val="auto"/>
        </w:rPr>
        <w:fldChar w:fldCharType="end"/>
      </w:r>
      <w:r>
        <w:rPr>
          <w:rFonts w:hint="eastAsia" w:ascii="微软雅黑" w:hAnsi="微软雅黑" w:eastAsia="微软雅黑" w:cs="微软雅黑"/>
          <w:color w:val="auto"/>
          <w:kern w:val="0"/>
          <w:szCs w:val="28"/>
          <w:highlight w:val="none"/>
        </w:rPr>
        <w:fldChar w:fldCharType="end"/>
      </w:r>
    </w:p>
    <w:p w14:paraId="563AB59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_Toc30413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2"/>
          <w:szCs w:val="24"/>
          <w:highlight w:val="none"/>
          <w:lang w:val="en-US" w:eastAsia="zh-CN"/>
        </w:rPr>
        <w:t>9</w:t>
      </w:r>
      <w:r>
        <w:rPr>
          <w:rFonts w:hint="eastAsia" w:ascii="微软雅黑" w:hAnsi="微软雅黑" w:eastAsia="微软雅黑" w:cs="微软雅黑"/>
          <w:bCs/>
          <w:color w:val="auto"/>
          <w:kern w:val="2"/>
          <w:szCs w:val="24"/>
          <w:highlight w:val="none"/>
        </w:rPr>
        <w:t>、供应商可提供有利于投标的其他资格证明材料</w:t>
      </w:r>
      <w:r>
        <w:rPr>
          <w:color w:val="auto"/>
        </w:rPr>
        <w:tab/>
      </w:r>
      <w:r>
        <w:rPr>
          <w:color w:val="auto"/>
        </w:rPr>
        <w:fldChar w:fldCharType="begin"/>
      </w:r>
      <w:r>
        <w:rPr>
          <w:color w:val="auto"/>
        </w:rPr>
        <w:instrText xml:space="preserve"> PAGEREF _Toc30413 \h </w:instrText>
      </w:r>
      <w:r>
        <w:rPr>
          <w:color w:val="auto"/>
        </w:rPr>
        <w:fldChar w:fldCharType="separate"/>
      </w:r>
      <w:r>
        <w:rPr>
          <w:color w:val="auto"/>
        </w:rPr>
        <w:t>38</w:t>
      </w:r>
      <w:r>
        <w:rPr>
          <w:color w:val="auto"/>
        </w:rPr>
        <w:fldChar w:fldCharType="end"/>
      </w:r>
      <w:r>
        <w:rPr>
          <w:rFonts w:hint="eastAsia" w:ascii="微软雅黑" w:hAnsi="微软雅黑" w:eastAsia="微软雅黑" w:cs="微软雅黑"/>
          <w:color w:val="auto"/>
          <w:kern w:val="0"/>
          <w:szCs w:val="28"/>
          <w:highlight w:val="none"/>
        </w:rPr>
        <w:fldChar w:fldCharType="end"/>
      </w:r>
    </w:p>
    <w:p w14:paraId="2A157DC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_Toc23691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24"/>
          <w:highlight w:val="none"/>
          <w:lang w:val="en-US" w:eastAsia="zh-CN"/>
        </w:rPr>
        <w:t>10</w:t>
      </w:r>
      <w:r>
        <w:rPr>
          <w:rFonts w:hint="eastAsia" w:ascii="微软雅黑" w:hAnsi="微软雅黑" w:eastAsia="微软雅黑" w:cs="微软雅黑"/>
          <w:bCs/>
          <w:color w:val="auto"/>
          <w:kern w:val="0"/>
          <w:szCs w:val="24"/>
          <w:highlight w:val="none"/>
        </w:rPr>
        <w:t>、投标文件格式范本</w:t>
      </w:r>
      <w:r>
        <w:rPr>
          <w:color w:val="auto"/>
        </w:rPr>
        <w:tab/>
      </w:r>
      <w:r>
        <w:rPr>
          <w:color w:val="auto"/>
        </w:rPr>
        <w:fldChar w:fldCharType="begin"/>
      </w:r>
      <w:r>
        <w:rPr>
          <w:color w:val="auto"/>
        </w:rPr>
        <w:instrText xml:space="preserve"> PAGEREF _Toc23691 \h </w:instrText>
      </w:r>
      <w:r>
        <w:rPr>
          <w:color w:val="auto"/>
        </w:rPr>
        <w:fldChar w:fldCharType="separate"/>
      </w:r>
      <w:r>
        <w:rPr>
          <w:color w:val="auto"/>
        </w:rPr>
        <w:t>39</w:t>
      </w:r>
      <w:r>
        <w:rPr>
          <w:color w:val="auto"/>
        </w:rPr>
        <w:fldChar w:fldCharType="end"/>
      </w:r>
      <w:r>
        <w:rPr>
          <w:rFonts w:hint="eastAsia" w:ascii="微软雅黑" w:hAnsi="微软雅黑" w:eastAsia="微软雅黑" w:cs="微软雅黑"/>
          <w:color w:val="auto"/>
          <w:kern w:val="0"/>
          <w:szCs w:val="28"/>
          <w:highlight w:val="none"/>
        </w:rPr>
        <w:fldChar w:fldCharType="end"/>
      </w:r>
    </w:p>
    <w:p w14:paraId="4D2EDF64">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_Toc24354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rPr>
        <w:t xml:space="preserve">第3章 </w:t>
      </w:r>
      <w:r>
        <w:rPr>
          <w:rFonts w:hint="eastAsia" w:ascii="微软雅黑" w:hAnsi="微软雅黑" w:eastAsia="微软雅黑" w:cs="微软雅黑"/>
          <w:bCs/>
          <w:color w:val="auto"/>
          <w:highlight w:val="none"/>
        </w:rPr>
        <w:t>投标邀请</w:t>
      </w:r>
      <w:r>
        <w:rPr>
          <w:color w:val="auto"/>
        </w:rPr>
        <w:tab/>
      </w:r>
      <w:r>
        <w:rPr>
          <w:color w:val="auto"/>
        </w:rPr>
        <w:fldChar w:fldCharType="begin"/>
      </w:r>
      <w:r>
        <w:rPr>
          <w:color w:val="auto"/>
        </w:rPr>
        <w:instrText xml:space="preserve"> PAGEREF _Toc24354 \h </w:instrText>
      </w:r>
      <w:r>
        <w:rPr>
          <w:color w:val="auto"/>
        </w:rPr>
        <w:fldChar w:fldCharType="separate"/>
      </w:r>
      <w:r>
        <w:rPr>
          <w:color w:val="auto"/>
        </w:rPr>
        <w:t>41</w:t>
      </w:r>
      <w:r>
        <w:rPr>
          <w:color w:val="auto"/>
        </w:rPr>
        <w:fldChar w:fldCharType="end"/>
      </w:r>
      <w:r>
        <w:rPr>
          <w:rFonts w:hint="eastAsia" w:ascii="微软雅黑" w:hAnsi="微软雅黑" w:eastAsia="微软雅黑" w:cs="微软雅黑"/>
          <w:color w:val="auto"/>
          <w:kern w:val="0"/>
          <w:szCs w:val="28"/>
          <w:highlight w:val="none"/>
        </w:rPr>
        <w:fldChar w:fldCharType="end"/>
      </w:r>
    </w:p>
    <w:p w14:paraId="146A96A4">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_Toc984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rPr>
        <w:t xml:space="preserve">第4章 </w:t>
      </w:r>
      <w:r>
        <w:rPr>
          <w:rFonts w:hint="eastAsia" w:ascii="微软雅黑" w:hAnsi="微软雅黑" w:eastAsia="微软雅黑" w:cs="微软雅黑"/>
          <w:bCs/>
          <w:color w:val="auto"/>
          <w:highlight w:val="none"/>
        </w:rPr>
        <w:t>供应商须知资料表</w:t>
      </w:r>
      <w:r>
        <w:rPr>
          <w:color w:val="auto"/>
        </w:rPr>
        <w:tab/>
      </w:r>
      <w:r>
        <w:rPr>
          <w:color w:val="auto"/>
        </w:rPr>
        <w:fldChar w:fldCharType="begin"/>
      </w:r>
      <w:r>
        <w:rPr>
          <w:color w:val="auto"/>
        </w:rPr>
        <w:instrText xml:space="preserve"> PAGEREF _Toc984 \h </w:instrText>
      </w:r>
      <w:r>
        <w:rPr>
          <w:color w:val="auto"/>
        </w:rPr>
        <w:fldChar w:fldCharType="separate"/>
      </w:r>
      <w:r>
        <w:rPr>
          <w:color w:val="auto"/>
        </w:rPr>
        <w:t>45</w:t>
      </w:r>
      <w:r>
        <w:rPr>
          <w:color w:val="auto"/>
        </w:rPr>
        <w:fldChar w:fldCharType="end"/>
      </w:r>
      <w:r>
        <w:rPr>
          <w:rFonts w:hint="eastAsia" w:ascii="微软雅黑" w:hAnsi="微软雅黑" w:eastAsia="微软雅黑" w:cs="微软雅黑"/>
          <w:color w:val="auto"/>
          <w:kern w:val="0"/>
          <w:szCs w:val="28"/>
          <w:highlight w:val="none"/>
        </w:rPr>
        <w:fldChar w:fldCharType="end"/>
      </w:r>
    </w:p>
    <w:p w14:paraId="25CF26C4">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_Toc30834 </w:instrText>
      </w:r>
      <w:r>
        <w:rPr>
          <w:rFonts w:hint="eastAsia" w:ascii="微软雅黑" w:hAnsi="微软雅黑" w:eastAsia="微软雅黑" w:cs="微软雅黑"/>
          <w:color w:val="auto"/>
          <w:kern w:val="0"/>
          <w:szCs w:val="28"/>
          <w:highlight w:val="none"/>
        </w:rPr>
        <w:fldChar w:fldCharType="separate"/>
      </w:r>
      <w:r>
        <w:rPr>
          <w:rFonts w:ascii="微软雅黑" w:hAnsi="微软雅黑" w:eastAsia="微软雅黑" w:cs="微软雅黑"/>
          <w:bCs/>
          <w:color w:val="auto"/>
          <w:kern w:val="44"/>
          <w:szCs w:val="28"/>
        </w:rPr>
        <w:t xml:space="preserve">第5章 </w:t>
      </w:r>
      <w:r>
        <w:rPr>
          <w:rFonts w:hint="eastAsia" w:ascii="微软雅黑" w:hAnsi="微软雅黑" w:eastAsia="微软雅黑" w:cs="微软雅黑"/>
          <w:bCs/>
          <w:color w:val="auto"/>
          <w:kern w:val="44"/>
          <w:szCs w:val="28"/>
          <w:highlight w:val="none"/>
        </w:rPr>
        <w:t>货物需求一览表及技术规格</w:t>
      </w:r>
      <w:r>
        <w:rPr>
          <w:color w:val="auto"/>
        </w:rPr>
        <w:tab/>
      </w:r>
      <w:r>
        <w:rPr>
          <w:color w:val="auto"/>
        </w:rPr>
        <w:fldChar w:fldCharType="begin"/>
      </w:r>
      <w:r>
        <w:rPr>
          <w:color w:val="auto"/>
        </w:rPr>
        <w:instrText xml:space="preserve"> PAGEREF _Toc30834 \h </w:instrText>
      </w:r>
      <w:r>
        <w:rPr>
          <w:color w:val="auto"/>
        </w:rPr>
        <w:fldChar w:fldCharType="separate"/>
      </w:r>
      <w:r>
        <w:rPr>
          <w:color w:val="auto"/>
        </w:rPr>
        <w:t>50</w:t>
      </w:r>
      <w:r>
        <w:rPr>
          <w:color w:val="auto"/>
        </w:rPr>
        <w:fldChar w:fldCharType="end"/>
      </w:r>
      <w:r>
        <w:rPr>
          <w:rFonts w:hint="eastAsia" w:ascii="微软雅黑" w:hAnsi="微软雅黑" w:eastAsia="微软雅黑" w:cs="微软雅黑"/>
          <w:color w:val="auto"/>
          <w:kern w:val="0"/>
          <w:szCs w:val="28"/>
          <w:highlight w:val="none"/>
        </w:rPr>
        <w:fldChar w:fldCharType="end"/>
      </w:r>
    </w:p>
    <w:p w14:paraId="206987E4">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_Toc31204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4"/>
        </w:rPr>
        <w:t xml:space="preserve">一、 </w:t>
      </w:r>
      <w:r>
        <w:rPr>
          <w:rFonts w:hint="eastAsia" w:ascii="微软雅黑" w:hAnsi="微软雅黑" w:eastAsia="微软雅黑" w:cs="微软雅黑"/>
          <w:bCs/>
          <w:color w:val="auto"/>
          <w:szCs w:val="28"/>
          <w:highlight w:val="none"/>
          <w:lang w:val="en-US" w:eastAsia="zh-CN"/>
        </w:rPr>
        <w:t>货物需求</w:t>
      </w:r>
      <w:r>
        <w:rPr>
          <w:color w:val="auto"/>
        </w:rPr>
        <w:tab/>
      </w:r>
      <w:r>
        <w:rPr>
          <w:color w:val="auto"/>
        </w:rPr>
        <w:fldChar w:fldCharType="begin"/>
      </w:r>
      <w:r>
        <w:rPr>
          <w:color w:val="auto"/>
        </w:rPr>
        <w:instrText xml:space="preserve"> PAGEREF _Toc31204 \h </w:instrText>
      </w:r>
      <w:r>
        <w:rPr>
          <w:color w:val="auto"/>
        </w:rPr>
        <w:fldChar w:fldCharType="separate"/>
      </w:r>
      <w:r>
        <w:rPr>
          <w:color w:val="auto"/>
        </w:rPr>
        <w:t>50</w:t>
      </w:r>
      <w:r>
        <w:rPr>
          <w:color w:val="auto"/>
        </w:rPr>
        <w:fldChar w:fldCharType="end"/>
      </w:r>
      <w:r>
        <w:rPr>
          <w:rFonts w:hint="eastAsia" w:ascii="微软雅黑" w:hAnsi="微软雅黑" w:eastAsia="微软雅黑" w:cs="微软雅黑"/>
          <w:color w:val="auto"/>
          <w:kern w:val="0"/>
          <w:szCs w:val="28"/>
          <w:highlight w:val="none"/>
        </w:rPr>
        <w:fldChar w:fldCharType="end"/>
      </w:r>
    </w:p>
    <w:p w14:paraId="43AE8A8F">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_Toc386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szCs w:val="32"/>
          <w:highlight w:val="none"/>
        </w:rPr>
        <w:t>第6章  评标方法和标准</w:t>
      </w:r>
      <w:r>
        <w:rPr>
          <w:color w:val="auto"/>
        </w:rPr>
        <w:tab/>
      </w:r>
      <w:r>
        <w:rPr>
          <w:color w:val="auto"/>
        </w:rPr>
        <w:fldChar w:fldCharType="begin"/>
      </w:r>
      <w:r>
        <w:rPr>
          <w:color w:val="auto"/>
        </w:rPr>
        <w:instrText xml:space="preserve"> PAGEREF _Toc386 \h </w:instrText>
      </w:r>
      <w:r>
        <w:rPr>
          <w:color w:val="auto"/>
        </w:rPr>
        <w:fldChar w:fldCharType="separate"/>
      </w:r>
      <w:r>
        <w:rPr>
          <w:color w:val="auto"/>
        </w:rPr>
        <w:t>60</w:t>
      </w:r>
      <w:r>
        <w:rPr>
          <w:color w:val="auto"/>
        </w:rPr>
        <w:fldChar w:fldCharType="end"/>
      </w:r>
      <w:r>
        <w:rPr>
          <w:rFonts w:hint="eastAsia" w:ascii="微软雅黑" w:hAnsi="微软雅黑" w:eastAsia="微软雅黑" w:cs="微软雅黑"/>
          <w:color w:val="auto"/>
          <w:kern w:val="0"/>
          <w:szCs w:val="28"/>
          <w:highlight w:val="none"/>
        </w:rPr>
        <w:fldChar w:fldCharType="end"/>
      </w:r>
    </w:p>
    <w:p w14:paraId="52D5E188">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_Toc2492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2"/>
          <w:highlight w:val="none"/>
        </w:rPr>
        <w:t>初步评审—资格性审查表</w:t>
      </w:r>
      <w:r>
        <w:rPr>
          <w:color w:val="auto"/>
        </w:rPr>
        <w:tab/>
      </w:r>
      <w:r>
        <w:rPr>
          <w:color w:val="auto"/>
        </w:rPr>
        <w:fldChar w:fldCharType="begin"/>
      </w:r>
      <w:r>
        <w:rPr>
          <w:color w:val="auto"/>
        </w:rPr>
        <w:instrText xml:space="preserve"> PAGEREF _Toc2492 \h </w:instrText>
      </w:r>
      <w:r>
        <w:rPr>
          <w:color w:val="auto"/>
        </w:rPr>
        <w:fldChar w:fldCharType="separate"/>
      </w:r>
      <w:r>
        <w:rPr>
          <w:color w:val="auto"/>
        </w:rPr>
        <w:t>69</w:t>
      </w:r>
      <w:r>
        <w:rPr>
          <w:color w:val="auto"/>
        </w:rPr>
        <w:fldChar w:fldCharType="end"/>
      </w:r>
      <w:r>
        <w:rPr>
          <w:rFonts w:hint="eastAsia" w:ascii="微软雅黑" w:hAnsi="微软雅黑" w:eastAsia="微软雅黑" w:cs="微软雅黑"/>
          <w:color w:val="auto"/>
          <w:kern w:val="0"/>
          <w:szCs w:val="28"/>
          <w:highlight w:val="none"/>
        </w:rPr>
        <w:fldChar w:fldCharType="end"/>
      </w:r>
    </w:p>
    <w:p w14:paraId="3C205640">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_Toc2816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szCs w:val="21"/>
          <w:highlight w:val="none"/>
        </w:rPr>
        <w:t>初步评审—符合性审查表</w:t>
      </w:r>
      <w:r>
        <w:rPr>
          <w:color w:val="auto"/>
        </w:rPr>
        <w:tab/>
      </w:r>
      <w:r>
        <w:rPr>
          <w:color w:val="auto"/>
        </w:rPr>
        <w:fldChar w:fldCharType="begin"/>
      </w:r>
      <w:r>
        <w:rPr>
          <w:color w:val="auto"/>
        </w:rPr>
        <w:instrText xml:space="preserve"> PAGEREF _Toc2816 \h </w:instrText>
      </w:r>
      <w:r>
        <w:rPr>
          <w:color w:val="auto"/>
        </w:rPr>
        <w:fldChar w:fldCharType="separate"/>
      </w:r>
      <w:r>
        <w:rPr>
          <w:color w:val="auto"/>
        </w:rPr>
        <w:t>71</w:t>
      </w:r>
      <w:r>
        <w:rPr>
          <w:color w:val="auto"/>
        </w:rPr>
        <w:fldChar w:fldCharType="end"/>
      </w:r>
      <w:r>
        <w:rPr>
          <w:rFonts w:hint="eastAsia" w:ascii="微软雅黑" w:hAnsi="微软雅黑" w:eastAsia="微软雅黑" w:cs="微软雅黑"/>
          <w:color w:val="auto"/>
          <w:kern w:val="0"/>
          <w:szCs w:val="28"/>
          <w:highlight w:val="none"/>
        </w:rPr>
        <w:fldChar w:fldCharType="end"/>
      </w:r>
    </w:p>
    <w:p w14:paraId="16B86F09">
      <w:pPr>
        <w:pStyle w:val="23"/>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_Toc5066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bCs/>
          <w:color w:val="auto"/>
          <w:kern w:val="0"/>
          <w:szCs w:val="32"/>
          <w:highlight w:val="none"/>
        </w:rPr>
        <w:t>综合评分法评分标准</w:t>
      </w:r>
      <w:r>
        <w:rPr>
          <w:color w:val="auto"/>
        </w:rPr>
        <w:tab/>
      </w:r>
      <w:r>
        <w:rPr>
          <w:color w:val="auto"/>
        </w:rPr>
        <w:fldChar w:fldCharType="begin"/>
      </w:r>
      <w:r>
        <w:rPr>
          <w:color w:val="auto"/>
        </w:rPr>
        <w:instrText xml:space="preserve"> PAGEREF _Toc5066 \h </w:instrText>
      </w:r>
      <w:r>
        <w:rPr>
          <w:color w:val="auto"/>
        </w:rPr>
        <w:fldChar w:fldCharType="separate"/>
      </w:r>
      <w:r>
        <w:rPr>
          <w:color w:val="auto"/>
        </w:rPr>
        <w:t>73</w:t>
      </w:r>
      <w:r>
        <w:rPr>
          <w:color w:val="auto"/>
        </w:rPr>
        <w:fldChar w:fldCharType="end"/>
      </w:r>
      <w:r>
        <w:rPr>
          <w:rFonts w:hint="eastAsia" w:ascii="微软雅黑" w:hAnsi="微软雅黑" w:eastAsia="微软雅黑" w:cs="微软雅黑"/>
          <w:color w:val="auto"/>
          <w:kern w:val="0"/>
          <w:szCs w:val="28"/>
          <w:highlight w:val="none"/>
        </w:rPr>
        <w:fldChar w:fldCharType="end"/>
      </w:r>
    </w:p>
    <w:p w14:paraId="538C52FB">
      <w:pPr>
        <w:pStyle w:val="20"/>
        <w:tabs>
          <w:tab w:val="right" w:leader="dot" w:pos="9745"/>
        </w:tabs>
        <w:rPr>
          <w:color w:val="auto"/>
        </w:rPr>
      </w:pPr>
      <w:r>
        <w:rPr>
          <w:rFonts w:hint="eastAsia" w:ascii="微软雅黑" w:hAnsi="微软雅黑" w:eastAsia="微软雅黑" w:cs="微软雅黑"/>
          <w:color w:val="auto"/>
          <w:kern w:val="0"/>
          <w:szCs w:val="28"/>
          <w:highlight w:val="none"/>
        </w:rPr>
        <w:fldChar w:fldCharType="begin"/>
      </w:r>
      <w:r>
        <w:rPr>
          <w:rFonts w:hint="eastAsia" w:ascii="微软雅黑" w:hAnsi="微软雅黑" w:eastAsia="微软雅黑" w:cs="微软雅黑"/>
          <w:color w:val="auto"/>
          <w:kern w:val="0"/>
          <w:szCs w:val="28"/>
          <w:highlight w:val="none"/>
        </w:rPr>
        <w:instrText xml:space="preserve"> HYPERLINK \l _Toc16314 </w:instrText>
      </w:r>
      <w:r>
        <w:rPr>
          <w:rFonts w:hint="eastAsia" w:ascii="微软雅黑" w:hAnsi="微软雅黑" w:eastAsia="微软雅黑" w:cs="微软雅黑"/>
          <w:color w:val="auto"/>
          <w:kern w:val="0"/>
          <w:szCs w:val="28"/>
          <w:highlight w:val="none"/>
        </w:rPr>
        <w:fldChar w:fldCharType="separate"/>
      </w:r>
      <w:r>
        <w:rPr>
          <w:rFonts w:hint="eastAsia" w:ascii="微软雅黑" w:hAnsi="微软雅黑" w:eastAsia="微软雅黑" w:cs="微软雅黑"/>
          <w:color w:val="auto"/>
          <w:highlight w:val="none"/>
        </w:rPr>
        <w:t>第7章 政府采购合同</w:t>
      </w:r>
      <w:r>
        <w:rPr>
          <w:color w:val="auto"/>
        </w:rPr>
        <w:tab/>
      </w:r>
      <w:r>
        <w:rPr>
          <w:color w:val="auto"/>
        </w:rPr>
        <w:fldChar w:fldCharType="begin"/>
      </w:r>
      <w:r>
        <w:rPr>
          <w:color w:val="auto"/>
        </w:rPr>
        <w:instrText xml:space="preserve"> PAGEREF _Toc16314 \h </w:instrText>
      </w:r>
      <w:r>
        <w:rPr>
          <w:color w:val="auto"/>
        </w:rPr>
        <w:fldChar w:fldCharType="separate"/>
      </w:r>
      <w:r>
        <w:rPr>
          <w:color w:val="auto"/>
        </w:rPr>
        <w:t>76</w:t>
      </w:r>
      <w:r>
        <w:rPr>
          <w:color w:val="auto"/>
        </w:rPr>
        <w:fldChar w:fldCharType="end"/>
      </w:r>
      <w:r>
        <w:rPr>
          <w:rFonts w:hint="eastAsia" w:ascii="微软雅黑" w:hAnsi="微软雅黑" w:eastAsia="微软雅黑" w:cs="微软雅黑"/>
          <w:color w:val="auto"/>
          <w:kern w:val="0"/>
          <w:szCs w:val="28"/>
          <w:highlight w:val="none"/>
        </w:rPr>
        <w:fldChar w:fldCharType="end"/>
      </w:r>
      <w:bookmarkEnd w:id="794"/>
    </w:p>
    <w:p w14:paraId="75862D84">
      <w:pPr>
        <w:pStyle w:val="20"/>
        <w:tabs>
          <w:tab w:val="right" w:leader="dot" w:pos="8312"/>
        </w:tabs>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fldChar w:fldCharType="end"/>
      </w:r>
    </w:p>
    <w:p w14:paraId="06358F60">
      <w:pPr>
        <w:rPr>
          <w:rFonts w:hint="eastAsia" w:ascii="微软雅黑" w:hAnsi="微软雅黑" w:eastAsia="微软雅黑" w:cs="微软雅黑"/>
          <w:color w:val="auto"/>
          <w:kern w:val="0"/>
          <w:szCs w:val="28"/>
          <w:highlight w:val="none"/>
        </w:rPr>
      </w:pPr>
    </w:p>
    <w:p w14:paraId="62C603A1">
      <w:pPr>
        <w:pStyle w:val="38"/>
        <w:rPr>
          <w:rFonts w:hint="eastAsia"/>
          <w:color w:val="auto"/>
        </w:rPr>
      </w:pPr>
    </w:p>
    <w:p w14:paraId="2233990C">
      <w:pPr>
        <w:pStyle w:val="20"/>
        <w:tabs>
          <w:tab w:val="right" w:leader="dot" w:pos="8312"/>
        </w:tabs>
        <w:jc w:val="center"/>
        <w:outlineLvl w:val="0"/>
        <w:rPr>
          <w:rFonts w:ascii="微软雅黑" w:hAnsi="微软雅黑" w:eastAsia="微软雅黑" w:cs="微软雅黑"/>
          <w:b/>
          <w:bCs/>
          <w:color w:val="auto"/>
          <w:sz w:val="32"/>
          <w:szCs w:val="32"/>
          <w:highlight w:val="none"/>
        </w:rPr>
      </w:pPr>
      <w:bookmarkStart w:id="0" w:name="_Toc29977"/>
      <w:r>
        <w:rPr>
          <w:rFonts w:hint="eastAsia" w:ascii="微软雅黑" w:hAnsi="微软雅黑" w:eastAsia="微软雅黑" w:cs="微软雅黑"/>
          <w:b/>
          <w:bCs/>
          <w:color w:val="auto"/>
          <w:sz w:val="32"/>
          <w:szCs w:val="32"/>
          <w:highlight w:val="none"/>
        </w:rPr>
        <w:t>第1章  供应商须知</w:t>
      </w:r>
      <w:bookmarkEnd w:id="0"/>
    </w:p>
    <w:p w14:paraId="7D544254">
      <w:pPr>
        <w:pStyle w:val="3"/>
        <w:spacing w:before="0" w:line="240" w:lineRule="auto"/>
        <w:ind w:left="1080" w:leftChars="257" w:hanging="540"/>
        <w:rPr>
          <w:rFonts w:ascii="微软雅黑" w:hAnsi="微软雅黑" w:eastAsia="微软雅黑" w:cs="微软雅黑"/>
          <w:color w:val="auto"/>
          <w:highlight w:val="none"/>
        </w:rPr>
      </w:pPr>
      <w:bookmarkStart w:id="1" w:name="_Toc520356143"/>
      <w:bookmarkStart w:id="2" w:name="_Toc216582805"/>
      <w:bookmarkStart w:id="3" w:name="_Toc515647757"/>
      <w:bookmarkStart w:id="4" w:name="_Toc21215"/>
      <w:bookmarkStart w:id="5" w:name="_Toc16706"/>
      <w:bookmarkStart w:id="6" w:name="_Toc1490"/>
      <w:bookmarkStart w:id="7" w:name="_Toc5597"/>
      <w:bookmarkStart w:id="8" w:name="_Toc21015"/>
      <w:r>
        <w:rPr>
          <w:rFonts w:hint="eastAsia" w:ascii="微软雅黑" w:hAnsi="微软雅黑" w:eastAsia="微软雅黑" w:cs="微软雅黑"/>
          <w:color w:val="auto"/>
          <w:sz w:val="28"/>
          <w:szCs w:val="28"/>
          <w:highlight w:val="none"/>
        </w:rPr>
        <w:t xml:space="preserve">一   </w:t>
      </w:r>
      <w:bookmarkEnd w:id="1"/>
      <w:bookmarkEnd w:id="2"/>
      <w:bookmarkEnd w:id="3"/>
      <w:r>
        <w:rPr>
          <w:rFonts w:hint="eastAsia" w:ascii="微软雅黑" w:hAnsi="微软雅黑" w:eastAsia="微软雅黑" w:cs="微软雅黑"/>
          <w:color w:val="auto"/>
          <w:sz w:val="28"/>
          <w:szCs w:val="28"/>
          <w:highlight w:val="none"/>
        </w:rPr>
        <w:t>总 则</w:t>
      </w:r>
      <w:bookmarkEnd w:id="4"/>
      <w:bookmarkEnd w:id="5"/>
      <w:bookmarkEnd w:id="6"/>
      <w:bookmarkEnd w:id="7"/>
      <w:bookmarkEnd w:id="8"/>
    </w:p>
    <w:p w14:paraId="212CD20F">
      <w:pPr>
        <w:pStyle w:val="6"/>
        <w:spacing w:before="0" w:after="0" w:line="440" w:lineRule="exact"/>
        <w:rPr>
          <w:rFonts w:ascii="微软雅黑" w:hAnsi="微软雅黑" w:eastAsia="微软雅黑" w:cs="微软雅黑"/>
          <w:color w:val="auto"/>
          <w:sz w:val="22"/>
          <w:szCs w:val="22"/>
          <w:highlight w:val="none"/>
          <w:u w:val="none"/>
        </w:rPr>
      </w:pPr>
      <w:bookmarkStart w:id="9" w:name="_Toc520356144"/>
      <w:bookmarkStart w:id="10" w:name="_Toc515647758"/>
      <w:bookmarkStart w:id="11" w:name="_Toc32189"/>
      <w:bookmarkStart w:id="12" w:name="_Toc1120"/>
      <w:bookmarkStart w:id="13" w:name="_Toc32623"/>
      <w:bookmarkStart w:id="14" w:name="_Toc515647780"/>
      <w:bookmarkStart w:id="15" w:name="_Toc14136"/>
      <w:bookmarkStart w:id="16" w:name="_Toc19296"/>
      <w:bookmarkStart w:id="17" w:name="_Toc21372"/>
      <w:bookmarkStart w:id="18" w:name="_Toc515647776"/>
      <w:bookmarkStart w:id="19" w:name="_Toc520356161"/>
      <w:bookmarkStart w:id="20" w:name="_Toc12751"/>
      <w:bookmarkStart w:id="21" w:name="_Toc18574"/>
      <w:bookmarkStart w:id="22" w:name="_Toc9840"/>
      <w:r>
        <w:rPr>
          <w:rFonts w:hint="eastAsia" w:ascii="微软雅黑" w:hAnsi="微软雅黑" w:eastAsia="微软雅黑" w:cs="微软雅黑"/>
          <w:color w:val="auto"/>
          <w:sz w:val="22"/>
          <w:szCs w:val="22"/>
          <w:highlight w:val="none"/>
          <w:u w:val="none"/>
        </w:rPr>
        <w:t>1.采购人、采购代理机构及</w:t>
      </w:r>
      <w:bookmarkEnd w:id="9"/>
      <w:bookmarkEnd w:id="10"/>
      <w:bookmarkEnd w:id="11"/>
      <w:bookmarkEnd w:id="12"/>
      <w:bookmarkEnd w:id="13"/>
      <w:r>
        <w:rPr>
          <w:rFonts w:hint="eastAsia" w:ascii="微软雅黑" w:hAnsi="微软雅黑" w:eastAsia="微软雅黑" w:cs="微软雅黑"/>
          <w:color w:val="auto"/>
          <w:sz w:val="22"/>
          <w:szCs w:val="22"/>
          <w:highlight w:val="none"/>
          <w:u w:val="none"/>
        </w:rPr>
        <w:t>供应商</w:t>
      </w:r>
    </w:p>
    <w:p w14:paraId="149F3406">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采购人：是指依法开展政府采购活动的国家机关、事业单位、团体组织。</w:t>
      </w:r>
    </w:p>
    <w:p w14:paraId="03B9FFF3">
      <w:pPr>
        <w:tabs>
          <w:tab w:val="left" w:pos="0"/>
        </w:tabs>
        <w:spacing w:line="440" w:lineRule="exact"/>
        <w:ind w:left="9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本项目的采购人见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56DC7EA9">
      <w:pPr>
        <w:numPr>
          <w:ilvl w:val="1"/>
          <w:numId w:val="2"/>
        </w:numPr>
        <w:tabs>
          <w:tab w:val="clear" w:pos="900"/>
        </w:tabs>
        <w:spacing w:line="440" w:lineRule="exact"/>
        <w:ind w:hanging="89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采购代理机构：是指在集中采购机构或从事采购代理业务的社会中介机构。本项目的采购代理机构见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694E9C0">
      <w:pPr>
        <w:numPr>
          <w:ilvl w:val="1"/>
          <w:numId w:val="2"/>
        </w:num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供应商：是指向采购人提供货物、工程或者服务的法人、非法人组织或者自然人。 本项目的供应商及其投标货物须满足以下条件：</w:t>
      </w:r>
    </w:p>
    <w:p w14:paraId="59303A0A">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在中华人民共和国境内注册，能够独立承担民事责任，有生产或供应能力的本国供应商。</w:t>
      </w:r>
    </w:p>
    <w:p w14:paraId="587410D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  具备《中华人民共和国政府采购法》第二十二条关于供应商条件的规定，遵守本项目采购人本级和上级财政部门政府采购的有关规定。</w:t>
      </w:r>
    </w:p>
    <w:p w14:paraId="0CD38E1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1.3.3   以采购代理机构认可的方式获得了本项目的招标文件。</w:t>
      </w:r>
    </w:p>
    <w:p w14:paraId="005F4A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1.3.4   符合</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中规定的其他要求。</w:t>
      </w:r>
    </w:p>
    <w:p w14:paraId="6FF2689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1.3.5   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中写明允许采购进口产品，供应商应保证所投产品可履行合法通关手续进入中国关境内。</w:t>
      </w:r>
    </w:p>
    <w:p w14:paraId="3286FA57">
      <w:pPr>
        <w:spacing w:line="440" w:lineRule="exact"/>
        <w:ind w:left="899" w:leftChars="428"/>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中未写明允许采购进口产品，如供应商所投产品为进口产品，其投标将被认定为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0A11DD9">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1.3.6  若</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中写明专门面向中小企业采购的，如供应商为非中小企业且所投产品为非中小企业产品，其投标将被认定为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2F09BE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     如</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中允许联合体投标，对联合体规定如下：</w:t>
      </w:r>
    </w:p>
    <w:p w14:paraId="1A4F3D6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1.4.1   两个以上供应商可以组成一个投标联合体，以一个供应商的身份投标。</w:t>
      </w:r>
    </w:p>
    <w:p w14:paraId="08BF98D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1.4.2   联合体各方均应符合《中华人民共和国政府采购法》第二十二条规定的条件。</w:t>
      </w:r>
    </w:p>
    <w:p w14:paraId="4F73179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1.4.3   采购人根据采购项目对供应商的特殊要求，联合体中至少应当有一方符合相关规定。</w:t>
      </w:r>
    </w:p>
    <w:p w14:paraId="3C20D0B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1.4.4   联合体各方应签订共同投标协议，明确约定联合体各方承担的工作和相应的责任，并将共同投标协议连同作为投标文件第一部分的内容提交。</w:t>
      </w:r>
    </w:p>
    <w:p w14:paraId="7BE24D70">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3976459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1.4.6  联合体中有同类资质的供应商按照联合体分工承担相同工作的，按照较低的资质等级确定联合体的资质等级。</w:t>
      </w:r>
    </w:p>
    <w:p w14:paraId="75388B8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2BEDA73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1.4.8   对联合体投标的其他资格要求见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71AB813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BDEDF9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    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D36D0E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供应商在投标过程中不得向采购人提供、给予任何有价值的物品，影响其正常决策行为。一经发现，其将被认定为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F62BC9">
      <w:pPr>
        <w:pStyle w:val="6"/>
        <w:spacing w:before="0" w:after="0" w:line="440" w:lineRule="exact"/>
        <w:rPr>
          <w:rFonts w:ascii="微软雅黑" w:hAnsi="微软雅黑" w:eastAsia="微软雅黑" w:cs="微软雅黑"/>
          <w:color w:val="auto"/>
          <w:sz w:val="22"/>
          <w:szCs w:val="22"/>
          <w:highlight w:val="none"/>
          <w:u w:val="none"/>
        </w:rPr>
      </w:pPr>
      <w:bookmarkStart w:id="23" w:name="_Toc12139"/>
      <w:bookmarkStart w:id="24" w:name="_Toc5286"/>
      <w:bookmarkStart w:id="25" w:name="_Toc515647759"/>
      <w:bookmarkStart w:id="26" w:name="_Toc4067"/>
      <w:r>
        <w:rPr>
          <w:rFonts w:hint="eastAsia" w:ascii="微软雅黑" w:hAnsi="微软雅黑" w:eastAsia="微软雅黑" w:cs="微软雅黑"/>
          <w:color w:val="auto"/>
          <w:sz w:val="22"/>
          <w:szCs w:val="22"/>
          <w:highlight w:val="none"/>
          <w:u w:val="none"/>
        </w:rPr>
        <w:t>2.资金来源</w:t>
      </w:r>
      <w:bookmarkEnd w:id="23"/>
      <w:bookmarkEnd w:id="24"/>
      <w:bookmarkEnd w:id="25"/>
      <w:bookmarkEnd w:id="26"/>
    </w:p>
    <w:p w14:paraId="57BCCB8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本项目的采购人已获得足以支付本次招标后所签订的合同项下的资金（包括财政性资金和本项目采购中无法与财政性资金分割的非财政性资金）。</w:t>
      </w:r>
    </w:p>
    <w:p w14:paraId="2F14460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    项目预算金额和分项或分包最高限价</w:t>
      </w:r>
      <w:r>
        <w:rPr>
          <w:rFonts w:hint="eastAsia" w:ascii="微软雅黑" w:hAnsi="微软雅黑" w:eastAsia="微软雅黑" w:cs="微软雅黑"/>
          <w:b w:val="0"/>
          <w:bCs w:val="0"/>
          <w:color w:val="auto"/>
          <w:sz w:val="22"/>
          <w:szCs w:val="22"/>
          <w:highlight w:val="none"/>
          <w:u w:val="single"/>
        </w:rPr>
        <w:t>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3D284A3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    供应商报价超过招标文件规定的预算金额或者分项、分包最高限价的，其投标将被认定为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87B7434">
      <w:pPr>
        <w:pStyle w:val="6"/>
        <w:spacing w:before="0" w:after="0" w:line="440" w:lineRule="exact"/>
        <w:rPr>
          <w:rFonts w:ascii="微软雅黑" w:hAnsi="微软雅黑" w:eastAsia="微软雅黑" w:cs="微软雅黑"/>
          <w:color w:val="auto"/>
          <w:sz w:val="22"/>
          <w:szCs w:val="22"/>
          <w:highlight w:val="none"/>
          <w:u w:val="none"/>
        </w:rPr>
      </w:pPr>
      <w:bookmarkStart w:id="27" w:name="_Toc4840"/>
      <w:bookmarkStart w:id="28" w:name="_Toc20526"/>
      <w:bookmarkStart w:id="29" w:name="_Toc15936"/>
      <w:bookmarkStart w:id="30" w:name="_Toc520356145"/>
      <w:bookmarkStart w:id="31" w:name="_Toc515647760"/>
      <w:r>
        <w:rPr>
          <w:rFonts w:hint="eastAsia" w:ascii="微软雅黑" w:hAnsi="微软雅黑" w:eastAsia="微软雅黑" w:cs="微软雅黑"/>
          <w:color w:val="auto"/>
          <w:sz w:val="22"/>
          <w:szCs w:val="22"/>
          <w:highlight w:val="none"/>
          <w:u w:val="none"/>
        </w:rPr>
        <w:t>3.投标费用</w:t>
      </w:r>
      <w:bookmarkEnd w:id="27"/>
      <w:bookmarkEnd w:id="28"/>
      <w:bookmarkEnd w:id="29"/>
      <w:bookmarkEnd w:id="30"/>
      <w:bookmarkEnd w:id="31"/>
    </w:p>
    <w:p w14:paraId="578EFA0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不论投标的结果如何，供应商应承担所有与准备和参加投标有关的费用。</w:t>
      </w:r>
    </w:p>
    <w:p w14:paraId="2D45A5C5">
      <w:pPr>
        <w:pStyle w:val="6"/>
        <w:spacing w:before="0" w:after="0" w:line="440" w:lineRule="exact"/>
        <w:rPr>
          <w:rFonts w:ascii="微软雅黑" w:hAnsi="微软雅黑" w:eastAsia="微软雅黑" w:cs="微软雅黑"/>
          <w:color w:val="auto"/>
          <w:sz w:val="22"/>
          <w:szCs w:val="22"/>
          <w:highlight w:val="none"/>
          <w:u w:val="none"/>
        </w:rPr>
      </w:pPr>
      <w:bookmarkStart w:id="32" w:name="_Toc515647761"/>
      <w:bookmarkStart w:id="33" w:name="_Toc4463"/>
      <w:bookmarkStart w:id="34" w:name="_Toc22810"/>
      <w:bookmarkStart w:id="35" w:name="_Toc6116"/>
      <w:r>
        <w:rPr>
          <w:rFonts w:hint="eastAsia" w:ascii="微软雅黑" w:hAnsi="微软雅黑" w:eastAsia="微软雅黑" w:cs="微软雅黑"/>
          <w:color w:val="auto"/>
          <w:sz w:val="22"/>
          <w:szCs w:val="22"/>
          <w:highlight w:val="none"/>
          <w:u w:val="none"/>
        </w:rPr>
        <w:t>4.适用法律</w:t>
      </w:r>
      <w:bookmarkEnd w:id="32"/>
      <w:bookmarkEnd w:id="33"/>
      <w:bookmarkEnd w:id="34"/>
      <w:bookmarkEnd w:id="35"/>
    </w:p>
    <w:p w14:paraId="41C5705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44C71525">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36" w:name="_Toc216582806"/>
      <w:bookmarkStart w:id="37" w:name="_Toc21935"/>
      <w:bookmarkStart w:id="38" w:name="_Toc6382"/>
      <w:bookmarkStart w:id="39" w:name="_Toc21566"/>
      <w:bookmarkStart w:id="40" w:name="_Toc25381"/>
      <w:bookmarkStart w:id="41" w:name="_Toc4365"/>
      <w:bookmarkStart w:id="42" w:name="_Toc515647762"/>
      <w:bookmarkStart w:id="43" w:name="_Toc520356146"/>
      <w:r>
        <w:rPr>
          <w:rFonts w:hint="eastAsia" w:ascii="微软雅黑" w:hAnsi="微软雅黑" w:eastAsia="微软雅黑" w:cs="微软雅黑"/>
          <w:color w:val="auto"/>
          <w:sz w:val="22"/>
          <w:szCs w:val="22"/>
          <w:highlight w:val="none"/>
        </w:rPr>
        <w:t>二   招标文件</w:t>
      </w:r>
      <w:bookmarkEnd w:id="36"/>
      <w:bookmarkEnd w:id="37"/>
      <w:bookmarkEnd w:id="38"/>
      <w:bookmarkEnd w:id="39"/>
      <w:bookmarkEnd w:id="40"/>
      <w:bookmarkEnd w:id="41"/>
      <w:bookmarkEnd w:id="42"/>
      <w:bookmarkEnd w:id="43"/>
    </w:p>
    <w:p w14:paraId="21B7B408">
      <w:pPr>
        <w:pStyle w:val="6"/>
        <w:spacing w:before="0" w:after="0" w:line="440" w:lineRule="exact"/>
        <w:rPr>
          <w:rFonts w:ascii="微软雅黑" w:hAnsi="微软雅黑" w:eastAsia="微软雅黑" w:cs="微软雅黑"/>
          <w:color w:val="auto"/>
          <w:sz w:val="22"/>
          <w:szCs w:val="22"/>
          <w:highlight w:val="none"/>
          <w:u w:val="none"/>
        </w:rPr>
      </w:pPr>
      <w:bookmarkStart w:id="44" w:name="_Toc25743"/>
      <w:bookmarkStart w:id="45" w:name="_Toc520356147"/>
      <w:bookmarkStart w:id="46" w:name="_Toc25000"/>
      <w:bookmarkStart w:id="47" w:name="_Toc515647763"/>
      <w:bookmarkStart w:id="48" w:name="_Toc14084"/>
      <w:r>
        <w:rPr>
          <w:rFonts w:hint="eastAsia" w:ascii="微软雅黑" w:hAnsi="微软雅黑" w:eastAsia="微软雅黑" w:cs="微软雅黑"/>
          <w:color w:val="auto"/>
          <w:sz w:val="22"/>
          <w:szCs w:val="22"/>
          <w:highlight w:val="none"/>
          <w:u w:val="none"/>
        </w:rPr>
        <w:t>5.招标文件构成</w:t>
      </w:r>
      <w:bookmarkEnd w:id="44"/>
      <w:bookmarkEnd w:id="45"/>
      <w:bookmarkEnd w:id="46"/>
      <w:bookmarkEnd w:id="47"/>
      <w:bookmarkEnd w:id="48"/>
    </w:p>
    <w:p w14:paraId="372D3C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招标文件分为三册共7章，内容如下：</w:t>
      </w:r>
    </w:p>
    <w:p w14:paraId="16A42AA4">
      <w:pPr>
        <w:spacing w:line="440" w:lineRule="exact"/>
        <w:ind w:left="1064" w:leftChars="428" w:hanging="165" w:hangingChars="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第一册</w:t>
      </w:r>
    </w:p>
    <w:p w14:paraId="6EE43112">
      <w:pPr>
        <w:numPr>
          <w:ilvl w:val="0"/>
          <w:numId w:val="3"/>
        </w:numPr>
        <w:tabs>
          <w:tab w:val="left" w:pos="0"/>
        </w:tabs>
        <w:spacing w:line="440" w:lineRule="exact"/>
        <w:ind w:hanging="829"/>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w:t>
      </w:r>
    </w:p>
    <w:p w14:paraId="7449AA91">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投标文件格式</w:t>
      </w:r>
    </w:p>
    <w:p w14:paraId="0D6710C8">
      <w:p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第二册</w:t>
      </w:r>
    </w:p>
    <w:p w14:paraId="0399CF6A">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投标邀请</w:t>
      </w:r>
    </w:p>
    <w:p w14:paraId="25319FF9">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供应商须知资料表</w:t>
      </w:r>
    </w:p>
    <w:p w14:paraId="3E70BD55">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货物需求一览表及技术规格</w:t>
      </w:r>
    </w:p>
    <w:p w14:paraId="42DEA350">
      <w:pPr>
        <w:numPr>
          <w:ilvl w:val="0"/>
          <w:numId w:val="3"/>
        </w:numPr>
        <w:spacing w:line="440" w:lineRule="exact"/>
        <w:ind w:left="1081" w:leftChars="429"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评标方法和标准</w:t>
      </w:r>
    </w:p>
    <w:p w14:paraId="0891213B">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第三册</w:t>
      </w:r>
    </w:p>
    <w:p w14:paraId="762C5E4E">
      <w:pPr>
        <w:numPr>
          <w:ilvl w:val="0"/>
          <w:numId w:val="3"/>
        </w:numPr>
        <w:spacing w:line="440" w:lineRule="exact"/>
        <w:ind w:left="718" w:leftChars="342"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政府采购合同格式</w:t>
      </w:r>
    </w:p>
    <w:p w14:paraId="1A6DB10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如本文件的前后内容不一致，以最后描述为准。</w:t>
      </w:r>
    </w:p>
    <w:p w14:paraId="13B599A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53AEDCD">
      <w:pPr>
        <w:pStyle w:val="6"/>
        <w:spacing w:before="0" w:after="0" w:line="440" w:lineRule="exact"/>
        <w:rPr>
          <w:rFonts w:ascii="微软雅黑" w:hAnsi="微软雅黑" w:eastAsia="微软雅黑" w:cs="微软雅黑"/>
          <w:color w:val="auto"/>
          <w:sz w:val="22"/>
          <w:szCs w:val="22"/>
          <w:highlight w:val="none"/>
          <w:u w:val="none"/>
        </w:rPr>
      </w:pPr>
      <w:bookmarkStart w:id="49" w:name="_Toc515904805"/>
      <w:bookmarkStart w:id="50" w:name="_Toc520356148"/>
      <w:bookmarkStart w:id="51" w:name="_Toc28810"/>
      <w:bookmarkStart w:id="52" w:name="_Toc26044"/>
      <w:bookmarkStart w:id="53" w:name="_Toc9232"/>
      <w:r>
        <w:rPr>
          <w:rFonts w:hint="eastAsia" w:ascii="微软雅黑" w:hAnsi="微软雅黑" w:eastAsia="微软雅黑" w:cs="微软雅黑"/>
          <w:color w:val="auto"/>
          <w:sz w:val="22"/>
          <w:szCs w:val="22"/>
          <w:highlight w:val="none"/>
          <w:u w:val="none"/>
        </w:rPr>
        <w:t>6.招标文件的澄清</w:t>
      </w:r>
      <w:bookmarkEnd w:id="49"/>
      <w:bookmarkEnd w:id="50"/>
      <w:r>
        <w:rPr>
          <w:rFonts w:hint="eastAsia" w:ascii="微软雅黑" w:hAnsi="微软雅黑" w:eastAsia="微软雅黑" w:cs="微软雅黑"/>
          <w:color w:val="auto"/>
          <w:sz w:val="22"/>
          <w:szCs w:val="22"/>
          <w:highlight w:val="none"/>
          <w:u w:val="none"/>
        </w:rPr>
        <w:t>与修改</w:t>
      </w:r>
      <w:bookmarkEnd w:id="51"/>
      <w:bookmarkEnd w:id="52"/>
      <w:bookmarkEnd w:id="53"/>
    </w:p>
    <w:p w14:paraId="4AA78DB7">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6.1    为了保证对招标文件的澄清和修改满足法律的时限要求，任何要求对招标文件进行澄清的供应商，均应在投标截止期十五日前，以书面形式将澄清要求通知采购人或采购代理机构。</w:t>
      </w:r>
    </w:p>
    <w:p w14:paraId="21BD6CB0">
      <w:pPr>
        <w:pStyle w:val="4"/>
        <w:spacing w:line="440" w:lineRule="exact"/>
        <w:ind w:left="770" w:hanging="770" w:hangingChars="350"/>
        <w:rPr>
          <w:rFonts w:ascii="微软雅黑" w:hAnsi="微软雅黑" w:eastAsia="微软雅黑" w:cs="微软雅黑"/>
          <w:color w:val="auto"/>
          <w:sz w:val="22"/>
          <w:szCs w:val="22"/>
          <w:highlight w:val="none"/>
        </w:rPr>
      </w:pPr>
      <w:bookmarkStart w:id="54" w:name="_Toc520356149"/>
      <w:bookmarkStart w:id="55" w:name="_Ref467378678"/>
      <w:bookmarkStart w:id="56" w:name="_Toc515904806"/>
      <w:r>
        <w:rPr>
          <w:rFonts w:hint="eastAsia" w:ascii="微软雅黑" w:hAnsi="微软雅黑" w:eastAsia="微软雅黑" w:cs="微软雅黑"/>
          <w:color w:val="auto"/>
          <w:sz w:val="22"/>
          <w:szCs w:val="22"/>
          <w:highlight w:val="none"/>
        </w:rPr>
        <w:t>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采购人可主动地或在解答供应商提出的澄清问题时对招标文件进行澄清或修改。采购代理机构将以发布澄清（更正）公告的方式，澄清或修改招标文件，澄清或修改内容作为招标文件的组成部分。</w:t>
      </w:r>
    </w:p>
    <w:p w14:paraId="3745F53A">
      <w:pPr>
        <w:pStyle w:val="4"/>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澄清或者修改的内容可能影响投标文件编制的，采购代理机构将以书面形式通知所有购买招标文件的潜在供应商，并对其具有约束力。供应商在收到上述通知后，应及时向采购代理机构回函确认。</w:t>
      </w:r>
    </w:p>
    <w:p w14:paraId="198BC4AB">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57" w:name="_Toc14569"/>
      <w:bookmarkStart w:id="58" w:name="_Toc17311"/>
      <w:bookmarkStart w:id="59" w:name="_Toc25635"/>
      <w:r>
        <w:rPr>
          <w:rFonts w:hint="eastAsia" w:ascii="微软雅黑" w:hAnsi="微软雅黑" w:eastAsia="微软雅黑" w:cs="微软雅黑"/>
          <w:color w:val="auto"/>
          <w:sz w:val="22"/>
          <w:szCs w:val="22"/>
          <w:highlight w:val="none"/>
          <w:u w:val="none"/>
        </w:rPr>
        <w:t>7</w:t>
      </w:r>
      <w:bookmarkEnd w:id="54"/>
      <w:bookmarkEnd w:id="55"/>
      <w:bookmarkEnd w:id="56"/>
      <w:r>
        <w:rPr>
          <w:rFonts w:hint="eastAsia" w:ascii="微软雅黑" w:hAnsi="微软雅黑" w:eastAsia="微软雅黑" w:cs="微软雅黑"/>
          <w:color w:val="auto"/>
          <w:sz w:val="22"/>
          <w:szCs w:val="22"/>
          <w:highlight w:val="none"/>
          <w:u w:val="none"/>
        </w:rPr>
        <w:t>.投标截止时间的顺延</w:t>
      </w:r>
      <w:bookmarkEnd w:id="57"/>
      <w:bookmarkEnd w:id="58"/>
      <w:bookmarkEnd w:id="59"/>
    </w:p>
    <w:p w14:paraId="784B1EA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为使供应商准备投标时有足够的时间对招标文件的澄清或者修改部分进行研究，采购人将依法决定是否顺延投标截止时间。</w:t>
      </w:r>
    </w:p>
    <w:p w14:paraId="0EC7D346">
      <w:pPr>
        <w:pStyle w:val="3"/>
        <w:tabs>
          <w:tab w:val="left" w:pos="900"/>
        </w:tabs>
        <w:spacing w:before="0" w:line="440" w:lineRule="exact"/>
        <w:ind w:left="1080" w:leftChars="257" w:hanging="540"/>
        <w:rPr>
          <w:rFonts w:ascii="微软雅黑" w:hAnsi="微软雅黑" w:eastAsia="微软雅黑" w:cs="微软雅黑"/>
          <w:color w:val="auto"/>
          <w:sz w:val="22"/>
          <w:szCs w:val="22"/>
          <w:highlight w:val="none"/>
        </w:rPr>
      </w:pPr>
      <w:bookmarkStart w:id="60" w:name="_Toc516367020"/>
      <w:bookmarkStart w:id="61" w:name="_Toc23138"/>
      <w:bookmarkStart w:id="62" w:name="_Toc30808"/>
      <w:bookmarkStart w:id="63" w:name="_Toc11373"/>
      <w:bookmarkStart w:id="64" w:name="_Toc7636"/>
      <w:bookmarkStart w:id="65" w:name="_Toc520356150"/>
      <w:bookmarkStart w:id="66" w:name="_Toc20381"/>
      <w:bookmarkStart w:id="67" w:name="_Toc216582807"/>
      <w:bookmarkStart w:id="68" w:name="_Toc515647766"/>
      <w:r>
        <w:rPr>
          <w:rFonts w:hint="eastAsia" w:ascii="微软雅黑" w:hAnsi="微软雅黑" w:eastAsia="微软雅黑" w:cs="微软雅黑"/>
          <w:color w:val="auto"/>
          <w:sz w:val="22"/>
          <w:szCs w:val="22"/>
          <w:highlight w:val="none"/>
        </w:rPr>
        <w:t>三   投标文件</w:t>
      </w:r>
      <w:bookmarkEnd w:id="60"/>
      <w:r>
        <w:rPr>
          <w:rFonts w:hint="eastAsia" w:ascii="微软雅黑" w:hAnsi="微软雅黑" w:eastAsia="微软雅黑" w:cs="微软雅黑"/>
          <w:color w:val="auto"/>
          <w:sz w:val="22"/>
          <w:szCs w:val="22"/>
          <w:highlight w:val="none"/>
        </w:rPr>
        <w:t>的编制</w:t>
      </w:r>
      <w:bookmarkEnd w:id="61"/>
      <w:bookmarkEnd w:id="62"/>
      <w:bookmarkEnd w:id="63"/>
      <w:bookmarkEnd w:id="64"/>
      <w:bookmarkEnd w:id="65"/>
      <w:bookmarkEnd w:id="66"/>
      <w:bookmarkEnd w:id="67"/>
      <w:bookmarkEnd w:id="68"/>
    </w:p>
    <w:p w14:paraId="135902B7">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69" w:name="_Toc7786"/>
      <w:bookmarkStart w:id="70" w:name="_Toc516367021"/>
      <w:bookmarkStart w:id="71" w:name="_Toc520356151"/>
      <w:bookmarkStart w:id="72" w:name="_Toc515647767"/>
      <w:bookmarkStart w:id="73" w:name="_Toc3553"/>
      <w:bookmarkStart w:id="74" w:name="_Toc30852"/>
      <w:r>
        <w:rPr>
          <w:rFonts w:hint="eastAsia" w:ascii="微软雅黑" w:hAnsi="微软雅黑" w:eastAsia="微软雅黑" w:cs="微软雅黑"/>
          <w:color w:val="auto"/>
          <w:sz w:val="22"/>
          <w:szCs w:val="22"/>
          <w:highlight w:val="none"/>
          <w:u w:val="none"/>
        </w:rPr>
        <w:t>8.</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投标范围及投标文件中标准和计量单位的使用</w:t>
      </w:r>
      <w:bookmarkEnd w:id="69"/>
      <w:bookmarkEnd w:id="70"/>
      <w:bookmarkEnd w:id="71"/>
      <w:bookmarkEnd w:id="72"/>
      <w:bookmarkEnd w:id="73"/>
      <w:bookmarkEnd w:id="74"/>
    </w:p>
    <w:p w14:paraId="0574C5D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项目有分包的，供应商可对招标文件其中某一个或几个分包货物进行投标，除非在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中另有规定。</w:t>
      </w:r>
    </w:p>
    <w:p w14:paraId="405799C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8.2     供应商应当对所投分包招标文件中“货物需求”所列的所有内容进行投标，如仅响应某一包中的部分内容，其该包投标将被认定为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3D101F1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8.3     无论招标文件第5章货物需求一览表及技术规格中是否要求，供应商所投货物均应符合国家强制性标准。</w:t>
      </w:r>
    </w:p>
    <w:p w14:paraId="7A1DD47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8.4     除招标文件中有特殊要求外，投标文件中所使用的计量单位，应采用中华人民共和国法定计量单位。</w:t>
      </w:r>
    </w:p>
    <w:p w14:paraId="45FD3BEA">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75" w:name="_Toc516367022"/>
      <w:bookmarkStart w:id="76" w:name="_Ref467306195"/>
      <w:bookmarkStart w:id="77" w:name="_Ref467306676"/>
      <w:bookmarkStart w:id="78" w:name="_Toc515647768"/>
      <w:bookmarkStart w:id="79" w:name="_Toc28307"/>
      <w:bookmarkStart w:id="80" w:name="_Toc520356152"/>
      <w:bookmarkStart w:id="81" w:name="_Toc10364"/>
      <w:bookmarkStart w:id="82" w:name="_Toc32655"/>
      <w:r>
        <w:rPr>
          <w:rFonts w:hint="eastAsia" w:ascii="微软雅黑" w:hAnsi="微软雅黑" w:eastAsia="微软雅黑" w:cs="微软雅黑"/>
          <w:color w:val="auto"/>
          <w:sz w:val="22"/>
          <w:szCs w:val="22"/>
          <w:highlight w:val="none"/>
          <w:u w:val="none"/>
        </w:rPr>
        <w:t>9.投标文件</w:t>
      </w:r>
      <w:bookmarkEnd w:id="75"/>
      <w:bookmarkEnd w:id="76"/>
      <w:bookmarkEnd w:id="77"/>
      <w:r>
        <w:rPr>
          <w:rFonts w:hint="eastAsia" w:ascii="微软雅黑" w:hAnsi="微软雅黑" w:eastAsia="微软雅黑" w:cs="微软雅黑"/>
          <w:color w:val="auto"/>
          <w:sz w:val="22"/>
          <w:szCs w:val="22"/>
          <w:highlight w:val="none"/>
          <w:u w:val="none"/>
        </w:rPr>
        <w:t>构成</w:t>
      </w:r>
      <w:bookmarkEnd w:id="78"/>
      <w:bookmarkEnd w:id="79"/>
      <w:bookmarkEnd w:id="80"/>
      <w:bookmarkEnd w:id="81"/>
      <w:bookmarkEnd w:id="82"/>
    </w:p>
    <w:p w14:paraId="5EA447A0">
      <w:pPr>
        <w:tabs>
          <w:tab w:val="left" w:pos="900"/>
          <w:tab w:val="left" w:pos="5580"/>
        </w:tabs>
        <w:spacing w:line="440" w:lineRule="exact"/>
        <w:ind w:left="880" w:hanging="880" w:hangingChars="400"/>
        <w:jc w:val="left"/>
        <w:rPr>
          <w:rFonts w:ascii="微软雅黑" w:hAnsi="微软雅黑" w:eastAsia="微软雅黑" w:cs="微软雅黑"/>
          <w:color w:val="auto"/>
          <w:sz w:val="22"/>
          <w:szCs w:val="22"/>
          <w:highlight w:val="none"/>
          <w:u w:val="single"/>
        </w:rPr>
      </w:pPr>
      <w:bookmarkStart w:id="83" w:name="_Ref467052588"/>
      <w:r>
        <w:rPr>
          <w:rFonts w:hint="eastAsia" w:ascii="微软雅黑" w:hAnsi="微软雅黑" w:eastAsia="微软雅黑" w:cs="微软雅黑"/>
          <w:color w:val="auto"/>
          <w:sz w:val="22"/>
          <w:szCs w:val="22"/>
          <w:highlight w:val="none"/>
        </w:rPr>
        <w:t xml:space="preserve">9.1     </w:t>
      </w:r>
      <w:r>
        <w:rPr>
          <w:rFonts w:hint="eastAsia" w:ascii="微软雅黑" w:hAnsi="微软雅黑" w:eastAsia="微软雅黑" w:cs="微软雅黑"/>
          <w:b/>
          <w:bCs/>
          <w:color w:val="auto"/>
          <w:sz w:val="22"/>
          <w:szCs w:val="22"/>
          <w:highlight w:val="none"/>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r>
        <w:rPr>
          <w:rFonts w:hint="eastAsia" w:ascii="微软雅黑" w:hAnsi="微软雅黑" w:eastAsia="微软雅黑" w:cs="微软雅黑"/>
          <w:b/>
          <w:bCs/>
          <w:color w:val="auto"/>
          <w:sz w:val="22"/>
          <w:szCs w:val="22"/>
          <w:highlight w:val="none"/>
          <w:u w:val="single"/>
          <w:lang w:eastAsia="zh-CN"/>
        </w:rPr>
        <w:t>。</w:t>
      </w:r>
    </w:p>
    <w:p w14:paraId="3032F559">
      <w:pPr>
        <w:spacing w:line="440" w:lineRule="exact"/>
        <w:ind w:left="825" w:hanging="825" w:hangingChars="375"/>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9.2    上述文件应按照招标文件规定的格式填写、签署和盖章</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逾期上传投标文件的、未按规定方式上传的电子投标文件，采购单位不予受理</w:t>
      </w:r>
      <w:r>
        <w:rPr>
          <w:rFonts w:hint="eastAsia" w:ascii="微软雅黑" w:hAnsi="微软雅黑" w:eastAsia="微软雅黑" w:cs="微软雅黑"/>
          <w:color w:val="auto"/>
          <w:sz w:val="22"/>
          <w:szCs w:val="22"/>
          <w:highlight w:val="none"/>
          <w:lang w:eastAsia="zh-CN"/>
        </w:rPr>
        <w:t>。</w:t>
      </w:r>
    </w:p>
    <w:bookmarkEnd w:id="83"/>
    <w:p w14:paraId="3B8E8F11">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84" w:name="_Toc27659"/>
      <w:bookmarkStart w:id="85" w:name="_Toc515647769"/>
      <w:bookmarkStart w:id="86" w:name="_Toc516367023"/>
      <w:bookmarkStart w:id="87" w:name="_Toc4601"/>
      <w:bookmarkStart w:id="88" w:name="_Toc520356153"/>
      <w:bookmarkStart w:id="89" w:name="_Toc10379"/>
      <w:r>
        <w:rPr>
          <w:rFonts w:hint="eastAsia" w:ascii="微软雅黑" w:hAnsi="微软雅黑" w:eastAsia="微软雅黑" w:cs="微软雅黑"/>
          <w:color w:val="auto"/>
          <w:sz w:val="22"/>
          <w:szCs w:val="22"/>
          <w:highlight w:val="none"/>
          <w:u w:val="none"/>
        </w:rPr>
        <w:t>10.</w:t>
      </w:r>
      <w:r>
        <w:rPr>
          <w:rFonts w:hint="eastAsia" w:ascii="微软雅黑" w:hAnsi="微软雅黑" w:eastAsia="微软雅黑" w:cs="微软雅黑"/>
          <w:color w:val="auto"/>
          <w:sz w:val="22"/>
          <w:szCs w:val="22"/>
          <w:highlight w:val="none"/>
          <w:u w:val="none"/>
        </w:rPr>
        <w:tab/>
      </w:r>
      <w:r>
        <w:rPr>
          <w:rFonts w:hint="eastAsia" w:ascii="微软雅黑" w:hAnsi="微软雅黑" w:eastAsia="微软雅黑" w:cs="微软雅黑"/>
          <w:color w:val="auto"/>
          <w:sz w:val="22"/>
          <w:szCs w:val="22"/>
          <w:highlight w:val="none"/>
          <w:u w:val="none"/>
        </w:rPr>
        <w:t>证明投标标的的合格性和符合招标文件规定的技术文件</w:t>
      </w:r>
      <w:bookmarkEnd w:id="84"/>
      <w:bookmarkEnd w:id="85"/>
      <w:bookmarkEnd w:id="86"/>
      <w:bookmarkEnd w:id="87"/>
      <w:bookmarkEnd w:id="88"/>
      <w:bookmarkEnd w:id="89"/>
    </w:p>
    <w:p w14:paraId="54ECCC0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供应商应提交证明文件，证明其投标内容符合招标文件规定。该证明文件是投标文件的一部分。</w:t>
      </w:r>
    </w:p>
    <w:p w14:paraId="58651428">
      <w:pPr>
        <w:spacing w:line="440" w:lineRule="exact"/>
        <w:ind w:left="825" w:hanging="825" w:hangingChars="375"/>
        <w:rPr>
          <w:rFonts w:hint="eastAsia" w:ascii="微软雅黑" w:hAnsi="微软雅黑" w:eastAsia="微软雅黑" w:cs="微软雅黑"/>
          <w:color w:val="auto"/>
          <w:sz w:val="22"/>
          <w:szCs w:val="22"/>
          <w:highlight w:val="none"/>
          <w:lang w:eastAsia="zh-CN"/>
        </w:rPr>
      </w:pPr>
      <w:bookmarkStart w:id="90" w:name="_Ref467306244"/>
      <w:r>
        <w:rPr>
          <w:rFonts w:hint="eastAsia" w:ascii="微软雅黑" w:hAnsi="微软雅黑" w:eastAsia="微软雅黑" w:cs="微软雅黑"/>
          <w:color w:val="auto"/>
          <w:sz w:val="22"/>
          <w:szCs w:val="22"/>
          <w:highlight w:val="none"/>
        </w:rPr>
        <w:t>10.2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上款所述的证明文件，可以是文字资料、图纸和数据</w:t>
      </w:r>
      <w:bookmarkEnd w:id="90"/>
      <w:r>
        <w:rPr>
          <w:rFonts w:hint="eastAsia" w:ascii="微软雅黑" w:hAnsi="微软雅黑" w:eastAsia="微软雅黑" w:cs="微软雅黑"/>
          <w:color w:val="auto"/>
          <w:sz w:val="22"/>
          <w:szCs w:val="22"/>
          <w:highlight w:val="none"/>
          <w:lang w:eastAsia="zh-CN"/>
        </w:rPr>
        <w:t>。</w:t>
      </w:r>
    </w:p>
    <w:p w14:paraId="47D5C6D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货物主要技术指标和性能的详细说明；</w:t>
      </w:r>
    </w:p>
    <w:p w14:paraId="79DE941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货物从买方开始使用至招标文件规定的保质期内正常、连续地使用所必需的备件和专用工具清单，包括备件和专用工具的货源及现行价格；</w:t>
      </w:r>
    </w:p>
    <w:p w14:paraId="5359E5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10.2.3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对照招标文件技术规格，逐条说明所提供货物及伴随的工程和服务已对招标文件的技术规格做出了实质性的响应，或申明与技术规格条文的偏差和例外。</w:t>
      </w:r>
    </w:p>
    <w:p w14:paraId="11AA0EA4">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10.3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723BE99">
      <w:pPr>
        <w:spacing w:line="440" w:lineRule="exact"/>
        <w:ind w:left="825" w:hanging="825" w:hangingChars="375"/>
        <w:rPr>
          <w:rFonts w:hint="default" w:ascii="微软雅黑" w:hAnsi="微软雅黑" w:eastAsia="微软雅黑" w:cs="微软雅黑"/>
          <w:b/>
          <w:bCs/>
          <w:color w:val="auto"/>
          <w:sz w:val="22"/>
          <w:szCs w:val="22"/>
          <w:highlight w:val="none"/>
          <w:lang w:val="en-US" w:eastAsia="zh-CN"/>
        </w:rPr>
      </w:pPr>
      <w:r>
        <w:rPr>
          <w:rFonts w:hint="eastAsia" w:ascii="微软雅黑" w:hAnsi="微软雅黑" w:eastAsia="微软雅黑" w:cs="微软雅黑"/>
          <w:b/>
          <w:bCs/>
          <w:color w:val="auto"/>
          <w:sz w:val="22"/>
          <w:szCs w:val="22"/>
          <w:highlight w:val="none"/>
          <w:lang w:val="en-US" w:eastAsia="zh-CN"/>
        </w:rPr>
        <w:t>10.4   为了保证电子标书的合法性、安全性和完整性，电子响应文件转换完成后， 应在规定区域加盖单位和法定代表人 CA 印章。电子响应文件若无 CA 电子签章， 则视为投标无效。</w:t>
      </w:r>
    </w:p>
    <w:p w14:paraId="418D9225">
      <w:pPr>
        <w:pStyle w:val="6"/>
        <w:spacing w:before="0" w:after="0" w:line="440" w:lineRule="exact"/>
        <w:rPr>
          <w:rFonts w:ascii="微软雅黑" w:hAnsi="微软雅黑" w:eastAsia="微软雅黑" w:cs="微软雅黑"/>
          <w:color w:val="auto"/>
          <w:sz w:val="22"/>
          <w:szCs w:val="22"/>
          <w:highlight w:val="none"/>
          <w:u w:val="none"/>
        </w:rPr>
      </w:pPr>
      <w:bookmarkStart w:id="91" w:name="_Toc28654"/>
      <w:bookmarkStart w:id="92" w:name="_Toc515647770"/>
      <w:bookmarkStart w:id="93" w:name="_Toc23231"/>
      <w:bookmarkStart w:id="94" w:name="_Toc520356155"/>
      <w:bookmarkStart w:id="95" w:name="_Toc2248"/>
      <w:r>
        <w:rPr>
          <w:rFonts w:hint="eastAsia" w:ascii="微软雅黑" w:hAnsi="微软雅黑" w:eastAsia="微软雅黑" w:cs="微软雅黑"/>
          <w:color w:val="auto"/>
          <w:sz w:val="22"/>
          <w:szCs w:val="22"/>
          <w:highlight w:val="none"/>
          <w:u w:val="none"/>
        </w:rPr>
        <w:t>11.投标报价</w:t>
      </w:r>
      <w:bookmarkEnd w:id="91"/>
      <w:bookmarkEnd w:id="92"/>
      <w:bookmarkEnd w:id="93"/>
      <w:bookmarkEnd w:id="94"/>
      <w:bookmarkEnd w:id="95"/>
    </w:p>
    <w:p w14:paraId="3A62184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D05B64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供应商应在投标分项报价表上标明投标货物及相关服务的单价（如适用）和总价，并由法定代表人或其授权代表签署。</w:t>
      </w:r>
    </w:p>
    <w:p w14:paraId="131450A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投标分项报价表上的价格应按下列方式填写：</w:t>
      </w:r>
    </w:p>
    <w:p w14:paraId="08B465F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11.3.1  投标货物（包括备品备件、专用工具等）的出厂价（包括已在中国国内的进口货物完税后的仓库交货价、展室交货价或货架交货价），投标货物安装、调试、检验、技术服务和培训等费用；</w:t>
      </w:r>
    </w:p>
    <w:p w14:paraId="4EA9BC2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11.3.2  货物运至最终目的地的运输费和保险费用。</w:t>
      </w:r>
    </w:p>
    <w:p w14:paraId="665C22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661914D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11.5</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每种货物只能有一个投标报价。采购人不接受具有附加条件的报价。</w:t>
      </w:r>
    </w:p>
    <w:p w14:paraId="07EEBCF3">
      <w:pPr>
        <w:pStyle w:val="6"/>
        <w:spacing w:before="0" w:after="0" w:line="440" w:lineRule="exact"/>
        <w:rPr>
          <w:rFonts w:ascii="微软雅黑" w:hAnsi="微软雅黑" w:eastAsia="微软雅黑" w:cs="微软雅黑"/>
          <w:color w:val="auto"/>
          <w:sz w:val="22"/>
          <w:szCs w:val="22"/>
          <w:highlight w:val="none"/>
          <w:u w:val="none"/>
        </w:rPr>
      </w:pPr>
      <w:bookmarkStart w:id="96" w:name="_Ref467306513"/>
      <w:bookmarkStart w:id="97" w:name="_Toc17788"/>
      <w:bookmarkStart w:id="98" w:name="_Toc520356156"/>
      <w:bookmarkStart w:id="99" w:name="_Toc515647771"/>
      <w:bookmarkStart w:id="100" w:name="_Toc23985"/>
      <w:bookmarkStart w:id="101" w:name="_Toc11514"/>
      <w:r>
        <w:rPr>
          <w:rFonts w:hint="eastAsia" w:ascii="微软雅黑" w:hAnsi="微软雅黑" w:eastAsia="微软雅黑" w:cs="微软雅黑"/>
          <w:color w:val="auto"/>
          <w:sz w:val="22"/>
          <w:szCs w:val="22"/>
          <w:highlight w:val="none"/>
          <w:u w:val="none"/>
        </w:rPr>
        <w:t>12.投标保证金</w:t>
      </w:r>
      <w:bookmarkEnd w:id="96"/>
      <w:bookmarkEnd w:id="97"/>
      <w:bookmarkEnd w:id="98"/>
      <w:bookmarkEnd w:id="99"/>
      <w:bookmarkEnd w:id="100"/>
      <w:bookmarkEnd w:id="101"/>
    </w:p>
    <w:p w14:paraId="7EDEDE9D">
      <w:pPr>
        <w:spacing w:line="440" w:lineRule="exact"/>
        <w:ind w:left="825" w:hanging="825" w:hangingChars="375"/>
        <w:rPr>
          <w:rFonts w:ascii="微软雅黑" w:hAnsi="微软雅黑" w:eastAsia="微软雅黑" w:cs="微软雅黑"/>
          <w:color w:val="auto"/>
          <w:sz w:val="22"/>
          <w:szCs w:val="22"/>
          <w:highlight w:val="none"/>
        </w:rPr>
      </w:pPr>
      <w:bookmarkStart w:id="102" w:name="_Ref467306302"/>
      <w:r>
        <w:rPr>
          <w:rFonts w:hint="eastAsia" w:ascii="微软雅黑" w:hAnsi="微软雅黑" w:eastAsia="微软雅黑" w:cs="微软雅黑"/>
          <w:color w:val="auto"/>
          <w:sz w:val="22"/>
          <w:szCs w:val="22"/>
          <w:highlight w:val="none"/>
        </w:rPr>
        <w:t>12.1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供应商应提交</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中规定的投标保证金</w:t>
      </w:r>
      <w:bookmarkEnd w:id="102"/>
      <w:r>
        <w:rPr>
          <w:rFonts w:hint="eastAsia" w:ascii="微软雅黑" w:hAnsi="微软雅黑" w:eastAsia="微软雅黑" w:cs="微软雅黑"/>
          <w:color w:val="auto"/>
          <w:sz w:val="22"/>
          <w:szCs w:val="22"/>
          <w:highlight w:val="none"/>
        </w:rPr>
        <w:t>，并作为其投标的一部分。</w:t>
      </w:r>
    </w:p>
    <w:p w14:paraId="04D74A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供应商存在下列情形的，投标保证金不予退还：</w:t>
      </w:r>
    </w:p>
    <w:p w14:paraId="3499008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（1）在投标有效期内，撤销投标的；</w:t>
      </w:r>
    </w:p>
    <w:p w14:paraId="124B8811">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（2）中标后不按本须知第30条的规定与采购人签订合同的；</w:t>
      </w:r>
    </w:p>
    <w:p w14:paraId="71D01533">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（3）中标后不按本须知第31条的规定提交履约保证金的；</w:t>
      </w:r>
    </w:p>
    <w:p w14:paraId="6143D08A">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（4）中标后不按本须知第32条的规定缴纳中标服务费的；</w:t>
      </w:r>
    </w:p>
    <w:p w14:paraId="44FACBA5">
      <w:pPr>
        <w:pStyle w:val="15"/>
        <w:tabs>
          <w:tab w:val="left" w:pos="2240"/>
        </w:tabs>
        <w:spacing w:line="440" w:lineRule="exact"/>
        <w:ind w:left="1054" w:leftChars="371" w:hanging="275" w:hangingChars="12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（5）存在其他违法违规行为的。</w:t>
      </w:r>
    </w:p>
    <w:p w14:paraId="530AA043">
      <w:pPr>
        <w:spacing w:line="440" w:lineRule="exact"/>
        <w:ind w:left="825" w:hanging="825" w:hangingChars="375"/>
        <w:rPr>
          <w:rFonts w:ascii="微软雅黑" w:hAnsi="微软雅黑" w:eastAsia="微软雅黑" w:cs="微软雅黑"/>
          <w:color w:val="auto"/>
          <w:sz w:val="22"/>
          <w:szCs w:val="22"/>
          <w:highlight w:val="none"/>
        </w:rPr>
      </w:pPr>
      <w:bookmarkStart w:id="103" w:name="_Ref467306336"/>
      <w:r>
        <w:rPr>
          <w:rFonts w:hint="eastAsia" w:ascii="微软雅黑" w:hAnsi="微软雅黑" w:eastAsia="微软雅黑" w:cs="微软雅黑"/>
          <w:color w:val="auto"/>
          <w:sz w:val="22"/>
          <w:szCs w:val="22"/>
          <w:highlight w:val="none"/>
        </w:rPr>
        <w:t>12.3</w:t>
      </w:r>
      <w:r>
        <w:rPr>
          <w:rFonts w:hint="eastAsia" w:ascii="微软雅黑" w:hAnsi="微软雅黑" w:eastAsia="微软雅黑" w:cs="微软雅黑"/>
          <w:color w:val="auto"/>
          <w:sz w:val="22"/>
          <w:szCs w:val="22"/>
          <w:highlight w:val="none"/>
        </w:rPr>
        <w:tab/>
      </w:r>
      <w:bookmarkEnd w:id="103"/>
      <w:r>
        <w:rPr>
          <w:rFonts w:hint="eastAsia" w:ascii="微软雅黑" w:hAnsi="微软雅黑" w:eastAsia="微软雅黑" w:cs="微软雅黑"/>
          <w:color w:val="auto"/>
          <w:sz w:val="22"/>
          <w:szCs w:val="22"/>
          <w:highlight w:val="none"/>
        </w:rPr>
        <w:t>政府采购信用担保试点范围内的项目，接受符合财政部门规定的政府采购投标担保函原件。</w:t>
      </w:r>
    </w:p>
    <w:p w14:paraId="75C85CC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供应商未按本须知第12.1和12.3条规定提交投标保证金的，其投标将被认定为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7ED0AD10">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12.4.1  采用电汇形式的，一般可以实时入账。</w:t>
      </w:r>
    </w:p>
    <w:p w14:paraId="6D071FE6">
      <w:pPr>
        <w:spacing w:line="440" w:lineRule="exact"/>
        <w:ind w:left="880" w:hanging="880" w:hangingChars="4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21CA3D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12.5   联合体投标的，可以由联合体中的一方或者共同提交投标保证金。以一方名义提交投标保证金的，对联合体各方均具有约束力。</w:t>
      </w:r>
    </w:p>
    <w:p w14:paraId="7E23224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投标保证金的退还</w:t>
      </w:r>
    </w:p>
    <w:p w14:paraId="523EA6E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12.6.1  中标人应在与采购人签订合同之日起5个工作日内，及时联系保证金收受机构办理投标保证金无息退还手续。</w:t>
      </w:r>
    </w:p>
    <w:p w14:paraId="256D382A">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12.6.2  未中标供应商的投标保证金将在中标通知书发出之日暨中标结果公告公布之日起5个工作日内无息退还。供应商应及时联系保证金收受机构办理退还投标保证金手续。</w:t>
      </w:r>
    </w:p>
    <w:p w14:paraId="041CA7A3">
      <w:pPr>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12.6.3  政府采购投标担保函不予退回。</w:t>
      </w:r>
    </w:p>
    <w:p w14:paraId="7EF99013">
      <w:pPr>
        <w:spacing w:line="440" w:lineRule="exact"/>
        <w:ind w:left="880" w:hanging="880" w:hangingChars="4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12.7    因供应商自身原因导致无法及时退还的，采购人或采购代理机构将不承担相应责任。</w:t>
      </w:r>
    </w:p>
    <w:p w14:paraId="634E8217">
      <w:pPr>
        <w:pStyle w:val="6"/>
        <w:spacing w:before="0" w:after="0" w:line="440" w:lineRule="exact"/>
        <w:rPr>
          <w:rFonts w:ascii="微软雅黑" w:hAnsi="微软雅黑" w:eastAsia="微软雅黑" w:cs="微软雅黑"/>
          <w:color w:val="auto"/>
          <w:sz w:val="22"/>
          <w:szCs w:val="22"/>
          <w:highlight w:val="none"/>
          <w:u w:val="none"/>
        </w:rPr>
      </w:pPr>
      <w:bookmarkStart w:id="104" w:name="_Toc520356157"/>
      <w:bookmarkStart w:id="105" w:name="_Toc32569"/>
      <w:bookmarkStart w:id="106" w:name="_Toc23590"/>
      <w:bookmarkStart w:id="107" w:name="_Toc26580"/>
      <w:bookmarkStart w:id="108" w:name="_Toc515647772"/>
      <w:r>
        <w:rPr>
          <w:rFonts w:hint="eastAsia" w:ascii="微软雅黑" w:hAnsi="微软雅黑" w:eastAsia="微软雅黑" w:cs="微软雅黑"/>
          <w:color w:val="auto"/>
          <w:sz w:val="22"/>
          <w:szCs w:val="22"/>
          <w:highlight w:val="none"/>
          <w:u w:val="none"/>
        </w:rPr>
        <w:t>13.投标有效期</w:t>
      </w:r>
      <w:bookmarkEnd w:id="104"/>
      <w:bookmarkEnd w:id="105"/>
      <w:bookmarkEnd w:id="106"/>
      <w:bookmarkEnd w:id="107"/>
      <w:bookmarkEnd w:id="108"/>
    </w:p>
    <w:p w14:paraId="48907C4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投标应在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中规定时间内保持有效。投标有效期不满足要求的投标，其投标将被认定为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1769B2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13.2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5D246B90">
      <w:pPr>
        <w:pStyle w:val="6"/>
        <w:spacing w:before="0" w:after="0" w:line="440" w:lineRule="exact"/>
        <w:rPr>
          <w:rFonts w:ascii="微软雅黑" w:hAnsi="微软雅黑" w:eastAsia="微软雅黑" w:cs="微软雅黑"/>
          <w:color w:val="auto"/>
          <w:sz w:val="22"/>
          <w:szCs w:val="22"/>
          <w:highlight w:val="none"/>
          <w:u w:val="none"/>
        </w:rPr>
      </w:pPr>
      <w:bookmarkStart w:id="109" w:name="_Toc520356158"/>
      <w:bookmarkStart w:id="110" w:name="_Toc493"/>
      <w:bookmarkStart w:id="111" w:name="_Toc17074"/>
      <w:bookmarkStart w:id="112" w:name="_Toc515647773"/>
      <w:bookmarkStart w:id="113" w:name="_Toc20503"/>
      <w:r>
        <w:rPr>
          <w:rFonts w:hint="eastAsia" w:ascii="微软雅黑" w:hAnsi="微软雅黑" w:eastAsia="微软雅黑" w:cs="微软雅黑"/>
          <w:color w:val="auto"/>
          <w:sz w:val="22"/>
          <w:szCs w:val="22"/>
          <w:highlight w:val="none"/>
          <w:u w:val="none"/>
        </w:rPr>
        <w:t>14.投标文件的签署</w:t>
      </w:r>
      <w:bookmarkEnd w:id="109"/>
      <w:r>
        <w:rPr>
          <w:rFonts w:hint="eastAsia" w:ascii="微软雅黑" w:hAnsi="微软雅黑" w:eastAsia="微软雅黑" w:cs="微软雅黑"/>
          <w:color w:val="auto"/>
          <w:sz w:val="22"/>
          <w:szCs w:val="22"/>
          <w:highlight w:val="none"/>
          <w:u w:val="none"/>
        </w:rPr>
        <w:t>及规定</w:t>
      </w:r>
      <w:bookmarkEnd w:id="110"/>
      <w:bookmarkEnd w:id="111"/>
      <w:bookmarkEnd w:id="112"/>
      <w:bookmarkEnd w:id="113"/>
      <w:r>
        <w:rPr>
          <w:rFonts w:hint="eastAsia" w:ascii="微软雅黑" w:hAnsi="微软雅黑" w:eastAsia="微软雅黑" w:cs="微软雅黑"/>
          <w:color w:val="auto"/>
          <w:sz w:val="22"/>
          <w:szCs w:val="22"/>
          <w:highlight w:val="none"/>
          <w:u w:val="none"/>
        </w:rPr>
        <w:t>（全面电子开评标）</w:t>
      </w:r>
    </w:p>
    <w:p w14:paraId="5F4E982F">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14.1</w:t>
      </w: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lang w:val="en-US" w:eastAsia="zh-CN"/>
        </w:rPr>
        <w:t>为了保证电子标书的合法性、安全性和完整性，电子响应文件转换完成后，应在规定区域加盖单位和法定代表人 CA 印章。电子响应文件若无 CA 电子签章， 则视为投标无效。</w:t>
      </w:r>
    </w:p>
    <w:p w14:paraId="77511512">
      <w:pPr>
        <w:pStyle w:val="4"/>
        <w:spacing w:line="440" w:lineRule="exact"/>
        <w:rPr>
          <w:rFonts w:ascii="微软雅黑" w:hAnsi="微软雅黑" w:eastAsia="微软雅黑" w:cs="微软雅黑"/>
          <w:color w:val="auto"/>
          <w:sz w:val="22"/>
          <w:szCs w:val="22"/>
          <w:highlight w:val="none"/>
        </w:rPr>
      </w:pPr>
    </w:p>
    <w:p w14:paraId="2B2CE8B7">
      <w:pPr>
        <w:pStyle w:val="3"/>
        <w:spacing w:before="0" w:line="440" w:lineRule="exact"/>
        <w:ind w:left="1080" w:leftChars="257" w:hanging="540"/>
        <w:rPr>
          <w:rFonts w:ascii="微软雅黑" w:hAnsi="微软雅黑" w:eastAsia="微软雅黑" w:cs="微软雅黑"/>
          <w:b/>
          <w:bCs/>
          <w:color w:val="auto"/>
          <w:sz w:val="22"/>
          <w:szCs w:val="22"/>
          <w:highlight w:val="none"/>
        </w:rPr>
      </w:pPr>
      <w:bookmarkStart w:id="114" w:name="_Toc17149"/>
      <w:bookmarkStart w:id="115" w:name="_Toc16504"/>
      <w:bookmarkStart w:id="116" w:name="_Toc12257"/>
      <w:r>
        <w:rPr>
          <w:rFonts w:hint="eastAsia" w:ascii="微软雅黑" w:hAnsi="微软雅黑" w:eastAsia="微软雅黑" w:cs="微软雅黑"/>
          <w:b/>
          <w:bCs/>
          <w:color w:val="auto"/>
          <w:sz w:val="22"/>
          <w:szCs w:val="22"/>
          <w:highlight w:val="none"/>
        </w:rPr>
        <w:t>四   投标文件的递交</w:t>
      </w:r>
      <w:bookmarkEnd w:id="114"/>
      <w:bookmarkEnd w:id="115"/>
      <w:bookmarkEnd w:id="116"/>
    </w:p>
    <w:p w14:paraId="0ECC9306">
      <w:pPr>
        <w:pStyle w:val="6"/>
        <w:spacing w:before="0" w:after="0" w:line="440" w:lineRule="exact"/>
        <w:rPr>
          <w:rFonts w:ascii="微软雅黑" w:hAnsi="微软雅黑" w:eastAsia="微软雅黑" w:cs="微软雅黑"/>
          <w:color w:val="auto"/>
          <w:sz w:val="22"/>
          <w:szCs w:val="22"/>
          <w:highlight w:val="none"/>
          <w:u w:val="none"/>
        </w:rPr>
      </w:pPr>
      <w:bookmarkStart w:id="117" w:name="_Toc32337"/>
      <w:bookmarkStart w:id="118" w:name="_Toc520356160"/>
      <w:bookmarkStart w:id="119" w:name="_Toc25849_WPSOffice_Level2"/>
      <w:bookmarkStart w:id="120" w:name="_Toc21645"/>
      <w:bookmarkStart w:id="121" w:name="_Toc28066_WPSOffice_Level2"/>
      <w:bookmarkStart w:id="122" w:name="_Toc515647775"/>
      <w:bookmarkStart w:id="123" w:name="_Toc31822"/>
      <w:r>
        <w:rPr>
          <w:rFonts w:hint="eastAsia" w:ascii="微软雅黑" w:hAnsi="微软雅黑" w:eastAsia="微软雅黑" w:cs="微软雅黑"/>
          <w:color w:val="auto"/>
          <w:sz w:val="22"/>
          <w:szCs w:val="22"/>
          <w:highlight w:val="none"/>
          <w:u w:val="none"/>
        </w:rPr>
        <w:t>15.投标文件的密封和标记</w:t>
      </w:r>
      <w:bookmarkEnd w:id="117"/>
      <w:bookmarkEnd w:id="118"/>
      <w:bookmarkEnd w:id="119"/>
      <w:bookmarkEnd w:id="120"/>
      <w:bookmarkEnd w:id="121"/>
      <w:bookmarkEnd w:id="122"/>
      <w:bookmarkEnd w:id="123"/>
    </w:p>
    <w:p w14:paraId="0E5A9F71">
      <w:pPr>
        <w:spacing w:line="440" w:lineRule="exact"/>
        <w:ind w:left="825" w:hanging="825" w:hangingChars="375"/>
        <w:rPr>
          <w:rFonts w:ascii="微软雅黑" w:hAnsi="微软雅黑" w:eastAsia="微软雅黑" w:cs="微软雅黑"/>
          <w:b/>
          <w:bCs/>
          <w:color w:val="auto"/>
          <w:sz w:val="22"/>
          <w:szCs w:val="22"/>
          <w:highlight w:val="none"/>
          <w:u w:val="single"/>
        </w:rPr>
      </w:pPr>
      <w:r>
        <w:rPr>
          <w:rFonts w:hint="eastAsia" w:ascii="微软雅黑" w:hAnsi="微软雅黑" w:eastAsia="微软雅黑" w:cs="微软雅黑"/>
          <w:color w:val="auto"/>
          <w:sz w:val="22"/>
          <w:szCs w:val="22"/>
          <w:highlight w:val="none"/>
        </w:rPr>
        <w:t xml:space="preserve">15.1  </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b/>
          <w:bCs/>
          <w:color w:val="auto"/>
          <w:sz w:val="22"/>
          <w:szCs w:val="22"/>
          <w:highlight w:val="none"/>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03604623">
      <w:pPr>
        <w:pStyle w:val="21"/>
        <w:rPr>
          <w:rFonts w:ascii="微软雅黑" w:hAnsi="微软雅黑" w:eastAsia="微软雅黑" w:cs="微软雅黑"/>
          <w:color w:val="auto"/>
          <w:sz w:val="22"/>
          <w:szCs w:val="22"/>
          <w:highlight w:val="none"/>
        </w:rPr>
      </w:pPr>
      <w:bookmarkStart w:id="124" w:name="_Toc28106"/>
      <w:r>
        <w:rPr>
          <w:rFonts w:hint="eastAsia" w:ascii="微软雅黑" w:hAnsi="微软雅黑" w:eastAsia="微软雅黑" w:cs="微软雅黑"/>
          <w:color w:val="auto"/>
          <w:sz w:val="22"/>
          <w:szCs w:val="22"/>
          <w:highlight w:val="none"/>
        </w:rPr>
        <w:t xml:space="preserve">15.2 </w:t>
      </w:r>
      <w:bookmarkEnd w:id="124"/>
      <w:r>
        <w:rPr>
          <w:rFonts w:hint="eastAsia" w:ascii="微软雅黑" w:hAnsi="微软雅黑" w:eastAsia="微软雅黑" w:cs="微软雅黑"/>
          <w:color w:val="auto"/>
          <w:sz w:val="22"/>
          <w:szCs w:val="22"/>
          <w:highlight w:val="none"/>
        </w:rPr>
        <w:t xml:space="preserve">  供应商因自身原因导致电子投标文件无法导入电子评标系统的，该响应文件视为</w:t>
      </w:r>
      <w:r>
        <w:rPr>
          <w:rFonts w:hint="eastAsia" w:ascii="微软雅黑" w:hAnsi="微软雅黑" w:eastAsia="微软雅黑" w:cs="微软雅黑"/>
          <w:b/>
          <w:bCs/>
          <w:color w:val="auto"/>
          <w:sz w:val="22"/>
          <w:szCs w:val="22"/>
          <w:highlight w:val="none"/>
        </w:rPr>
        <w:t>无效文件</w:t>
      </w:r>
      <w:r>
        <w:rPr>
          <w:rFonts w:hint="eastAsia" w:ascii="微软雅黑" w:hAnsi="微软雅黑" w:eastAsia="微软雅黑" w:cs="微软雅黑"/>
          <w:color w:val="auto"/>
          <w:sz w:val="22"/>
          <w:szCs w:val="22"/>
          <w:highlight w:val="none"/>
        </w:rPr>
        <w:t>。</w:t>
      </w:r>
    </w:p>
    <w:p w14:paraId="2F1B2A4B">
      <w:pPr>
        <w:pStyle w:val="21"/>
        <w:ind w:left="660" w:hanging="660" w:hangingChars="300"/>
        <w:rPr>
          <w:color w:val="auto"/>
          <w:highlight w:val="none"/>
        </w:rPr>
      </w:pPr>
      <w:r>
        <w:rPr>
          <w:rFonts w:hint="eastAsia" w:ascii="微软雅黑" w:hAnsi="微软雅黑" w:eastAsia="微软雅黑" w:cs="微软雅黑"/>
          <w:color w:val="auto"/>
          <w:sz w:val="22"/>
          <w:szCs w:val="22"/>
          <w:highlight w:val="none"/>
        </w:rPr>
        <w:t>15.3   电子投标文件具有法律效力,与其他形式的响应文件在内容和格式上等同，若投标文件与招标文件要求不一致，其内容影响成交结果时，责任由供应商自行承担。</w:t>
      </w:r>
    </w:p>
    <w:p w14:paraId="7755D354">
      <w:pPr>
        <w:pStyle w:val="6"/>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16.投标截止</w:t>
      </w:r>
    </w:p>
    <w:p w14:paraId="55239017">
      <w:pPr>
        <w:spacing w:line="440" w:lineRule="exact"/>
        <w:ind w:left="770" w:hanging="770" w:hangingChars="350"/>
        <w:rPr>
          <w:rFonts w:ascii="微软雅黑" w:hAnsi="微软雅黑" w:eastAsia="微软雅黑" w:cs="微软雅黑"/>
          <w:color w:val="auto"/>
          <w:sz w:val="22"/>
          <w:szCs w:val="22"/>
          <w:highlight w:val="none"/>
        </w:rPr>
      </w:pPr>
      <w:bookmarkStart w:id="125" w:name="_Toc32303"/>
      <w:bookmarkStart w:id="126" w:name="_Toc520356162"/>
      <w:bookmarkStart w:id="127" w:name="_Toc24275"/>
      <w:bookmarkStart w:id="128" w:name="_Toc515647777"/>
      <w:bookmarkStart w:id="129" w:name="_Toc18537"/>
      <w:r>
        <w:rPr>
          <w:rFonts w:hint="eastAsia" w:ascii="微软雅黑" w:hAnsi="微软雅黑" w:eastAsia="微软雅黑" w:cs="微软雅黑"/>
          <w:color w:val="auto"/>
          <w:sz w:val="22"/>
          <w:szCs w:val="22"/>
          <w:highlight w:val="none"/>
        </w:rPr>
        <w:t>16.1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供应商应在</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中规定的投标截止时间前，将投标文件上传到公开招标公告中规定的地点。</w:t>
      </w:r>
      <w:r>
        <w:rPr>
          <w:rFonts w:hint="eastAsia" w:ascii="微软雅黑" w:hAnsi="微软雅黑" w:eastAsia="微软雅黑" w:cs="微软雅黑"/>
          <w:b/>
          <w:bCs/>
          <w:color w:val="auto"/>
          <w:sz w:val="22"/>
          <w:szCs w:val="22"/>
          <w:highlight w:val="none"/>
        </w:rPr>
        <w:t>解密时间30分钟，逾期未解密的视为投标无效。</w:t>
      </w:r>
    </w:p>
    <w:p w14:paraId="23B72764">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采购人和采购代理机构有权按本须知的规定，延迟投标截止时间。在此情况下，采购人、采购代理机构和供应商受投标截止时间制约的所有权利和义务均应延长至新的截止时间。</w:t>
      </w:r>
    </w:p>
    <w:p w14:paraId="1573E525">
      <w:pPr>
        <w:spacing w:line="440" w:lineRule="exact"/>
        <w:ind w:left="770" w:hanging="770" w:hangingChars="35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16.3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采购人和采购代理机构将拒绝接收在投标截止时间后上传的投标文件。</w:t>
      </w:r>
    </w:p>
    <w:p w14:paraId="3FA6398B">
      <w:pPr>
        <w:pStyle w:val="6"/>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17.投标文件的接收、修改与撤回</w:t>
      </w:r>
      <w:bookmarkEnd w:id="125"/>
      <w:bookmarkEnd w:id="126"/>
      <w:bookmarkEnd w:id="127"/>
      <w:bookmarkEnd w:id="128"/>
      <w:bookmarkEnd w:id="129"/>
    </w:p>
    <w:p w14:paraId="2C519A6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17.1   在投标截止时间后上传投标文件的，采购人和采购代理机构将拒绝接收。</w:t>
      </w:r>
    </w:p>
    <w:p w14:paraId="73CEDB53">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上传投标文件以后，如果供应商要进行修改或撤回投标，供应商对投标文件的修改或撤回通知应按本须知规定编制、标记。采购人和采购代理机构将予以接收，并视为投标文件的组成部分。。</w:t>
      </w:r>
    </w:p>
    <w:p w14:paraId="2B7A159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17.3</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在投标截止期之后，采购人和采购代理机构不接受</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主动对其投标文件做任何修改。</w:t>
      </w:r>
    </w:p>
    <w:p w14:paraId="07354680">
      <w:pPr>
        <w:pStyle w:val="29"/>
        <w:spacing w:line="440" w:lineRule="exact"/>
        <w:ind w:firstLine="0" w:firstLineChars="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17.4</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采购人和采购代理机构对所接收投标文件概不退回。</w:t>
      </w:r>
    </w:p>
    <w:p w14:paraId="76BF3132">
      <w:pPr>
        <w:pStyle w:val="3"/>
        <w:spacing w:before="0" w:line="440" w:lineRule="exact"/>
        <w:ind w:left="1080" w:leftChars="257" w:hanging="540"/>
        <w:rPr>
          <w:rFonts w:ascii="微软雅黑" w:hAnsi="微软雅黑" w:eastAsia="微软雅黑" w:cs="微软雅黑"/>
          <w:color w:val="auto"/>
          <w:sz w:val="22"/>
          <w:szCs w:val="22"/>
          <w:highlight w:val="none"/>
        </w:rPr>
      </w:pPr>
      <w:bookmarkStart w:id="130" w:name="_Toc15987"/>
      <w:bookmarkStart w:id="131" w:name="_Toc28397"/>
      <w:bookmarkStart w:id="132" w:name="_Toc28398"/>
      <w:bookmarkStart w:id="133" w:name="_Toc28911"/>
      <w:bookmarkStart w:id="134" w:name="_Toc515647778"/>
      <w:bookmarkStart w:id="135" w:name="_Toc216582809"/>
      <w:bookmarkStart w:id="136" w:name="_Toc520356163"/>
      <w:bookmarkStart w:id="137" w:name="_Toc12436"/>
      <w:r>
        <w:rPr>
          <w:rFonts w:hint="eastAsia" w:ascii="微软雅黑" w:hAnsi="微软雅黑" w:eastAsia="微软雅黑" w:cs="微软雅黑"/>
          <w:b/>
          <w:bCs/>
          <w:color w:val="auto"/>
          <w:sz w:val="22"/>
          <w:szCs w:val="22"/>
          <w:highlight w:val="none"/>
        </w:rPr>
        <w:t>五   开标及评标</w:t>
      </w:r>
      <w:bookmarkEnd w:id="130"/>
      <w:bookmarkEnd w:id="131"/>
      <w:bookmarkEnd w:id="132"/>
      <w:bookmarkEnd w:id="133"/>
      <w:bookmarkEnd w:id="134"/>
      <w:bookmarkEnd w:id="135"/>
      <w:bookmarkEnd w:id="136"/>
      <w:bookmarkEnd w:id="137"/>
      <w:bookmarkStart w:id="138" w:name="_Toc515647779"/>
      <w:bookmarkStart w:id="139" w:name="_Toc520356164"/>
      <w:bookmarkStart w:id="140" w:name="_Toc7186"/>
      <w:bookmarkStart w:id="141" w:name="_Toc31842"/>
      <w:bookmarkStart w:id="142" w:name="_Toc25345"/>
    </w:p>
    <w:p w14:paraId="5684F106">
      <w:pPr>
        <w:pStyle w:val="6"/>
        <w:spacing w:line="440" w:lineRule="exac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18.开标</w:t>
      </w:r>
      <w:bookmarkEnd w:id="138"/>
      <w:bookmarkEnd w:id="139"/>
      <w:bookmarkEnd w:id="140"/>
      <w:bookmarkEnd w:id="141"/>
      <w:bookmarkEnd w:id="142"/>
    </w:p>
    <w:p w14:paraId="0ECEEBE5">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18.1   供应商按照须知资料表中规定的开标时间和地点，在规定时间内上传投标文件。</w:t>
      </w:r>
    </w:p>
    <w:p w14:paraId="3780AB12">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18.2   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  </w:t>
      </w:r>
    </w:p>
    <w:p w14:paraId="0B8B424B">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18.3   在开标记录时，代理机构开启签字时段，须供应商使用CA锁在政采云平台进行签字确认报价。</w:t>
      </w:r>
    </w:p>
    <w:p w14:paraId="69D26BD1">
      <w:pPr>
        <w:spacing w:line="440" w:lineRule="exact"/>
        <w:ind w:left="660" w:hanging="660" w:hangingChars="3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18.4    采购人登录政采云平台对供应商的资格证明材料进行审查。</w:t>
      </w:r>
    </w:p>
    <w:p w14:paraId="4F92C91E">
      <w:pPr>
        <w:pStyle w:val="6"/>
        <w:spacing w:before="0" w:after="0" w:line="440" w:lineRule="exact"/>
        <w:rPr>
          <w:rFonts w:ascii="微软雅黑" w:hAnsi="微软雅黑" w:eastAsia="微软雅黑" w:cs="微软雅黑"/>
          <w:color w:val="auto"/>
          <w:sz w:val="22"/>
          <w:szCs w:val="22"/>
          <w:highlight w:val="none"/>
          <w:u w:val="none"/>
        </w:rPr>
      </w:pPr>
      <w:r>
        <w:rPr>
          <w:rFonts w:hint="eastAsia" w:ascii="微软雅黑" w:hAnsi="微软雅黑" w:eastAsia="微软雅黑" w:cs="微软雅黑"/>
          <w:color w:val="auto"/>
          <w:sz w:val="22"/>
          <w:szCs w:val="22"/>
          <w:highlight w:val="none"/>
          <w:u w:val="none"/>
        </w:rPr>
        <w:t>19.资格审查及组建评标委员会</w:t>
      </w:r>
      <w:bookmarkEnd w:id="14"/>
      <w:bookmarkEnd w:id="15"/>
      <w:bookmarkEnd w:id="16"/>
      <w:bookmarkEnd w:id="17"/>
    </w:p>
    <w:p w14:paraId="178B00EC">
      <w:pPr>
        <w:keepNext w:val="0"/>
        <w:keepLines w:val="0"/>
        <w:pageBreakBefore w:val="0"/>
        <w:widowControl w:val="0"/>
        <w:kinsoku/>
        <w:wordWrap/>
        <w:overflowPunct/>
        <w:topLinePunct w:val="0"/>
        <w:autoSpaceDE/>
        <w:autoSpaceDN/>
        <w:bidi w:val="0"/>
        <w:adjustRightInd/>
        <w:snapToGrid/>
        <w:spacing w:line="440" w:lineRule="exact"/>
        <w:ind w:left="825" w:hanging="825"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19.1    采购人或采购代理机构依据法律法规和招标文件中规定的内容，对供应商的资格进行审查，未通过资格审查的</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不进入评标；进入评标的</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不足3家的，不得评标。</w:t>
      </w:r>
    </w:p>
    <w:p w14:paraId="6A50E98C">
      <w:pPr>
        <w:keepNext w:val="0"/>
        <w:keepLines w:val="0"/>
        <w:pageBreakBefore w:val="0"/>
        <w:widowControl w:val="0"/>
        <w:kinsoku/>
        <w:wordWrap/>
        <w:overflowPunct/>
        <w:topLinePunct w:val="0"/>
        <w:autoSpaceDE/>
        <w:autoSpaceDN/>
        <w:bidi w:val="0"/>
        <w:adjustRightInd/>
        <w:snapToGrid/>
        <w:spacing w:line="440" w:lineRule="exact"/>
        <w:ind w:left="874" w:leftChars="416" w:firstLine="55" w:firstLineChars="25"/>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合格供应商资格要求</w:t>
      </w:r>
      <w:r>
        <w:rPr>
          <w:rFonts w:hint="eastAsia" w:ascii="微软雅黑" w:hAnsi="微软雅黑" w:eastAsia="微软雅黑" w:cs="微软雅黑"/>
          <w:color w:val="auto"/>
          <w:sz w:val="22"/>
          <w:szCs w:val="22"/>
          <w:highlight w:val="none"/>
        </w:rPr>
        <w:t>：</w:t>
      </w:r>
    </w:p>
    <w:p w14:paraId="4F9D4448">
      <w:pPr>
        <w:pStyle w:val="4"/>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1、满足《中华人民共和国政府采购法》第二十二条规定；</w:t>
      </w:r>
    </w:p>
    <w:p w14:paraId="48BD3EC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①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7615917">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②供应商为生产商的需提供有效期的《食品生产许可证》；供应商为经销商的需提供有效期《食品经营许可证》或《仅销售预包装食品备案表》；</w:t>
      </w:r>
    </w:p>
    <w:p w14:paraId="4AC4FBD5">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③被授权委托人参与投标提供法定代表人授权书及被授权人身份证；法人本人参与投标提供法人身份证及法人资格证明；</w:t>
      </w:r>
    </w:p>
    <w:p w14:paraId="5E5D0EE1">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④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622A77FE">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⑤提供近期（投标截止日期前六个月内任意一个月）依法缴纳税收的证明材料（税务部门出具的完税凭证或缴税证明，新成立公司提供相关证明文件）；</w:t>
      </w:r>
    </w:p>
    <w:p w14:paraId="2CA66442">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⑥提供2023 年或2024年的财务审计报告与财务会计制度（新成立的公司近三个月内的银行资信证明与财务会计制度）；</w:t>
      </w:r>
    </w:p>
    <w:p w14:paraId="07074D8C">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⑦参与政府采购活动前3年内未被列入失信、重大税收违法案件、财政部门禁止参加政府采购活动的承诺书；</w:t>
      </w:r>
    </w:p>
    <w:p w14:paraId="37531FF1">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⑧提供针对本次项目的反商业贿赂承诺书；</w:t>
      </w:r>
    </w:p>
    <w:p w14:paraId="217FE763">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⑨根据《财政部关于在政府采购活动中查询及使用信用记录有关问题的通知》（财库﹝2016﹞125号）的要求，凡拟参加本次招标项目的供应商，如在“信用中国”网站（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E8CD488">
      <w:pPr>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⑩必须具有履行合同所必需的设备和专业技术能力。</w:t>
      </w:r>
    </w:p>
    <w:p w14:paraId="24725FD1">
      <w:pPr>
        <w:pStyle w:val="4"/>
        <w:keepNext w:val="0"/>
        <w:keepLines w:val="0"/>
        <w:pageBreakBefore w:val="0"/>
        <w:widowControl w:val="0"/>
        <w:numPr>
          <w:ilvl w:val="0"/>
          <w:numId w:val="4"/>
        </w:numPr>
        <w:kinsoku/>
        <w:wordWrap/>
        <w:overflowPunct/>
        <w:topLinePunct w:val="0"/>
        <w:bidi w:val="0"/>
        <w:snapToGrid/>
        <w:ind w:left="420"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投标保证金有效凭证。</w:t>
      </w:r>
    </w:p>
    <w:p w14:paraId="729E528B">
      <w:pPr>
        <w:pStyle w:val="4"/>
        <w:keepNext w:val="0"/>
        <w:keepLines w:val="0"/>
        <w:pageBreakBefore w:val="0"/>
        <w:widowControl w:val="0"/>
        <w:kinsoku/>
        <w:wordWrap/>
        <w:overflowPunct/>
        <w:topLinePunct w:val="0"/>
        <w:bidi w:val="0"/>
        <w:snapToGrid/>
        <w:spacing w:line="440" w:lineRule="exact"/>
        <w:ind w:left="840" w:leftChars="400" w:firstLine="0" w:firstLineChars="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提示：1、完税证明中“税种”非养老保险、医疗保险、失业保险、工伤保险和生育保险。请各投标供应商注意！</w:t>
      </w:r>
    </w:p>
    <w:p w14:paraId="3E0723AD">
      <w:pPr>
        <w:keepNext w:val="0"/>
        <w:keepLines w:val="0"/>
        <w:pageBreakBefore w:val="0"/>
        <w:widowControl w:val="0"/>
        <w:numPr>
          <w:ilvl w:val="0"/>
          <w:numId w:val="0"/>
        </w:numPr>
        <w:kinsoku/>
        <w:wordWrap/>
        <w:overflowPunct/>
        <w:topLinePunct w:val="0"/>
        <w:bidi w:val="0"/>
        <w:snapToGrid/>
        <w:spacing w:line="440" w:lineRule="exact"/>
        <w:ind w:leftChars="200"/>
        <w:textAlignment w:val="auto"/>
        <w:rPr>
          <w:rFonts w:hint="eastAsia" w:ascii="微软雅黑" w:hAnsi="微软雅黑" w:eastAsia="微软雅黑" w:cs="微软雅黑"/>
          <w:b/>
          <w:bCs/>
          <w:color w:val="auto"/>
          <w:kern w:val="2"/>
          <w:sz w:val="22"/>
          <w:szCs w:val="22"/>
          <w:highlight w:val="none"/>
          <w:lang w:val="en-US" w:eastAsia="zh-CN" w:bidi="ar-SA"/>
        </w:rPr>
      </w:pPr>
      <w:r>
        <w:rPr>
          <w:rFonts w:hint="eastAsia" w:ascii="微软雅黑" w:hAnsi="微软雅黑" w:eastAsia="微软雅黑" w:cs="微软雅黑"/>
          <w:b/>
          <w:bCs/>
          <w:color w:val="auto"/>
          <w:kern w:val="2"/>
          <w:sz w:val="22"/>
          <w:szCs w:val="22"/>
          <w:highlight w:val="none"/>
          <w:lang w:val="en-US" w:eastAsia="zh-CN" w:bidi="ar-SA"/>
        </w:rPr>
        <w:t>2未通过资格审查的供应商不进入评标；通过资格审查的供应商少于不足三家的，不得评标。</w:t>
      </w:r>
    </w:p>
    <w:p w14:paraId="1797E720">
      <w:pPr>
        <w:numPr>
          <w:ilvl w:val="0"/>
          <w:numId w:val="0"/>
        </w:numPr>
        <w:snapToGrid w:val="0"/>
        <w:spacing w:line="380" w:lineRule="exact"/>
        <w:ind w:firstLine="480" w:firstLineChars="200"/>
        <w:textAlignment w:val="baseline"/>
        <w:rPr>
          <w:rFonts w:hint="default"/>
          <w:color w:val="auto"/>
          <w:lang w:val="en-US" w:eastAsia="zh-CN"/>
        </w:rPr>
      </w:pPr>
      <w:r>
        <w:rPr>
          <w:rFonts w:hint="eastAsia" w:ascii="微软雅黑" w:hAnsi="微软雅黑" w:eastAsia="微软雅黑" w:cs="微软雅黑"/>
          <w:b/>
          <w:bCs/>
          <w:color w:val="auto"/>
          <w:sz w:val="24"/>
          <w:lang w:val="en-US" w:eastAsia="zh-CN"/>
        </w:rPr>
        <w:t>3、上述资质能够通过官方网络查证的，均视为合格供应商。</w:t>
      </w:r>
    </w:p>
    <w:bookmarkEnd w:id="18"/>
    <w:bookmarkEnd w:id="19"/>
    <w:bookmarkEnd w:id="20"/>
    <w:bookmarkEnd w:id="21"/>
    <w:bookmarkEnd w:id="22"/>
    <w:p w14:paraId="3A7A9EFE">
      <w:pPr>
        <w:spacing w:line="440" w:lineRule="exact"/>
        <w:ind w:left="891" w:leftChars="104" w:hanging="673" w:hangingChars="306"/>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   采购人或采购代理机构将在开标前1个工作日至投标截止后1小时的期间内查询供应商的信用记录。供应商存在不良信用记录的，其投标将被认定为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4A11F983">
      <w:pPr>
        <w:spacing w:line="440" w:lineRule="exact"/>
        <w:ind w:left="891" w:leftChars="104" w:hanging="673" w:hangingChars="306"/>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19.2.1 不良信用记录指：在</w:t>
      </w:r>
      <w:r>
        <w:rPr>
          <w:rFonts w:hint="eastAsia" w:ascii="微软雅黑" w:hAnsi="微软雅黑" w:eastAsia="微软雅黑" w:cs="微软雅黑"/>
          <w:color w:val="auto"/>
          <w:sz w:val="22"/>
          <w:szCs w:val="22"/>
          <w:highlight w:val="none"/>
          <w:lang w:val="en-US" w:eastAsia="zh-CN"/>
        </w:rPr>
        <w:t>“信用中国”网站(www.creditchina.gov.cn)（失信被执行人名单、重大税收违法失信主体名单）</w:t>
      </w:r>
      <w:r>
        <w:rPr>
          <w:rFonts w:hint="eastAsia" w:ascii="微软雅黑" w:hAnsi="微软雅黑" w:eastAsia="微软雅黑" w:cs="微软雅黑"/>
          <w:color w:val="auto"/>
          <w:sz w:val="22"/>
          <w:szCs w:val="22"/>
          <w:highlight w:val="none"/>
        </w:rPr>
        <w:t>（信用服务－失信惩戒对象查询－搜索栏输入单位全称－截图）、</w:t>
      </w:r>
      <w:r>
        <w:rPr>
          <w:rFonts w:hint="eastAsia" w:ascii="微软雅黑" w:hAnsi="微软雅黑" w:eastAsia="微软雅黑" w:cs="微软雅黑"/>
          <w:color w:val="auto"/>
          <w:sz w:val="22"/>
          <w:szCs w:val="22"/>
          <w:highlight w:val="none"/>
          <w:lang w:val="en-US" w:eastAsia="zh-CN"/>
        </w:rPr>
        <w:t>中国政府采购网(www.ccgp.gov.cn)（政府采购严重违法失信行为记录名单），国家企业公示信息系统（www.gsxt.gov.cn）（经营异常名录、严重违法失信名单）</w:t>
      </w:r>
      <w:r>
        <w:rPr>
          <w:rFonts w:hint="eastAsia" w:ascii="微软雅黑" w:hAnsi="微软雅黑" w:eastAsia="微软雅黑" w:cs="微软雅黑"/>
          <w:color w:val="auto"/>
          <w:sz w:val="22"/>
          <w:szCs w:val="22"/>
          <w:highlight w:val="none"/>
        </w:rPr>
        <w:t>；将拒绝其参加本次招标活动。</w:t>
      </w:r>
    </w:p>
    <w:p w14:paraId="18E6B8AC">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以联合体形式参加投标的，联合体任何成员存在以上不良信用记录的，联合体投标将被认定为投标无效。</w:t>
      </w:r>
    </w:p>
    <w:p w14:paraId="412E7F21">
      <w:pPr>
        <w:pStyle w:val="4"/>
        <w:spacing w:line="440" w:lineRule="exact"/>
        <w:ind w:left="779" w:hanging="778" w:hangingChars="354"/>
        <w:jc w:val="both"/>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E7317E1">
      <w:pPr>
        <w:spacing w:line="440" w:lineRule="exact"/>
        <w:ind w:left="767" w:leftChars="312" w:hanging="112" w:hangingChars="51"/>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在本招标文件规定的查询时间之后，网站信息发生的任何变更均不再作为评标依据。供应商自行提供的与网站信息不一致的其他证明材料亦不作为资格审查依据。</w:t>
      </w:r>
    </w:p>
    <w:p w14:paraId="53A2C9E4">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19.3   </w:t>
      </w:r>
      <w:r>
        <w:rPr>
          <w:rFonts w:hint="eastAsia" w:ascii="微软雅黑" w:hAnsi="微软雅黑" w:eastAsia="微软雅黑" w:cs="微软雅黑"/>
          <w:b/>
          <w:bCs/>
          <w:color w:val="auto"/>
          <w:sz w:val="22"/>
          <w:szCs w:val="22"/>
          <w:highlight w:val="none"/>
        </w:rPr>
        <w:t>按照《中华人民共和国政府采购法》《中华人民共和国政府采购法实施条例》及本项目本级和上级财政部门的有关规定依法在政采云平台随机抽取</w:t>
      </w:r>
      <w:r>
        <w:rPr>
          <w:rFonts w:hint="eastAsia" w:ascii="微软雅黑" w:hAnsi="微软雅黑" w:eastAsia="微软雅黑" w:cs="微软雅黑"/>
          <w:b/>
          <w:bCs/>
          <w:color w:val="auto"/>
          <w:sz w:val="22"/>
          <w:szCs w:val="22"/>
          <w:highlight w:val="none"/>
          <w:lang w:val="en-US" w:eastAsia="zh-CN"/>
        </w:rPr>
        <w:t>6</w:t>
      </w:r>
      <w:r>
        <w:rPr>
          <w:rFonts w:hint="eastAsia" w:ascii="微软雅黑" w:hAnsi="微软雅黑" w:eastAsia="微软雅黑" w:cs="微软雅黑"/>
          <w:b/>
          <w:bCs/>
          <w:color w:val="auto"/>
          <w:sz w:val="24"/>
          <w:highlight w:val="none"/>
        </w:rPr>
        <w:t>人</w:t>
      </w:r>
      <w:r>
        <w:rPr>
          <w:rFonts w:hint="eastAsia" w:ascii="微软雅黑" w:hAnsi="微软雅黑" w:eastAsia="微软雅黑" w:cs="微软雅黑"/>
          <w:b/>
          <w:bCs/>
          <w:color w:val="auto"/>
          <w:sz w:val="24"/>
          <w:highlight w:val="none"/>
          <w:lang w:eastAsia="zh-CN"/>
        </w:rPr>
        <w:t>，采购人代表</w:t>
      </w:r>
      <w:r>
        <w:rPr>
          <w:rFonts w:hint="eastAsia" w:ascii="微软雅黑" w:hAnsi="微软雅黑" w:eastAsia="微软雅黑" w:cs="微软雅黑"/>
          <w:b/>
          <w:bCs/>
          <w:color w:val="auto"/>
          <w:sz w:val="24"/>
          <w:highlight w:val="none"/>
          <w:lang w:val="en-US" w:eastAsia="zh-CN"/>
        </w:rPr>
        <w:t>1人，共计7人</w:t>
      </w:r>
      <w:r>
        <w:rPr>
          <w:rFonts w:hint="eastAsia" w:ascii="微软雅黑" w:hAnsi="微软雅黑" w:eastAsia="微软雅黑" w:cs="微软雅黑"/>
          <w:b/>
          <w:bCs/>
          <w:color w:val="auto"/>
          <w:sz w:val="22"/>
          <w:szCs w:val="22"/>
          <w:highlight w:val="none"/>
        </w:rPr>
        <w:t>组成评标小组，负责评标工作。</w:t>
      </w:r>
    </w:p>
    <w:p w14:paraId="6D5112C8">
      <w:pPr>
        <w:pStyle w:val="6"/>
        <w:spacing w:before="0" w:after="0" w:line="440" w:lineRule="exact"/>
        <w:rPr>
          <w:rFonts w:ascii="微软雅黑" w:hAnsi="微软雅黑" w:eastAsia="微软雅黑" w:cs="微软雅黑"/>
          <w:b w:val="0"/>
          <w:bCs w:val="0"/>
          <w:color w:val="auto"/>
          <w:sz w:val="22"/>
          <w:szCs w:val="22"/>
          <w:highlight w:val="none"/>
          <w:bdr w:val="single" w:color="auto" w:sz="4" w:space="0"/>
        </w:rPr>
      </w:pPr>
      <w:bookmarkStart w:id="143" w:name="_Toc520356166"/>
      <w:bookmarkStart w:id="144" w:name="_Toc25607"/>
      <w:bookmarkStart w:id="145" w:name="_Toc515647781"/>
      <w:bookmarkStart w:id="146" w:name="_Toc19949"/>
      <w:bookmarkStart w:id="147" w:name="_Toc28479"/>
      <w:r>
        <w:rPr>
          <w:rFonts w:hint="eastAsia" w:ascii="微软雅黑" w:hAnsi="微软雅黑" w:eastAsia="微软雅黑" w:cs="微软雅黑"/>
          <w:color w:val="auto"/>
          <w:sz w:val="22"/>
          <w:szCs w:val="22"/>
          <w:highlight w:val="none"/>
          <w:u w:val="none"/>
        </w:rPr>
        <w:t>20.投标文件</w:t>
      </w:r>
      <w:bookmarkEnd w:id="143"/>
      <w:r>
        <w:rPr>
          <w:rFonts w:hint="eastAsia" w:ascii="微软雅黑" w:hAnsi="微软雅黑" w:eastAsia="微软雅黑" w:cs="微软雅黑"/>
          <w:color w:val="auto"/>
          <w:sz w:val="22"/>
          <w:szCs w:val="22"/>
          <w:highlight w:val="none"/>
          <w:u w:val="none"/>
        </w:rPr>
        <w:t>符合性审查与澄清</w:t>
      </w:r>
      <w:bookmarkEnd w:id="144"/>
      <w:bookmarkEnd w:id="145"/>
      <w:bookmarkEnd w:id="146"/>
      <w:bookmarkEnd w:id="147"/>
    </w:p>
    <w:p w14:paraId="4D9E08E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20.1   符合性审查是指依据招标文件的规定，从投标文件的有效性和完整性对招标文件的响应程度进行审查，以确定是否对招标文件的实质性要求做出响应。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12491BA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投标文件的澄清</w:t>
      </w:r>
    </w:p>
    <w:p w14:paraId="141B9A1A">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4449D02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20.2.2  供应商的澄清、说明或补正将作为投标文件的一部分。</w:t>
      </w:r>
    </w:p>
    <w:p w14:paraId="5FA61AC7">
      <w:pPr>
        <w:spacing w:line="440" w:lineRule="exact"/>
        <w:ind w:left="825" w:hanging="825" w:hangingChars="3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20.3  投标文件报价出现前后不一致的，按照下列规定修正：</w:t>
      </w:r>
    </w:p>
    <w:p w14:paraId="10CFD1FC">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（一）</w:t>
      </w:r>
      <w:r>
        <w:rPr>
          <w:rFonts w:hint="eastAsia" w:ascii="微软雅黑" w:hAnsi="微软雅黑" w:eastAsia="微软雅黑" w:cs="微软雅黑"/>
          <w:color w:val="auto"/>
          <w:sz w:val="22"/>
          <w:szCs w:val="22"/>
          <w:highlight w:val="none"/>
        </w:rPr>
        <w:t>电子交易平台客户端里开标一览表录入的投标报价或优惠率与扫描上传的报价文件信息不一致的，以扫描上传的报价文件信息为准进行修正：</w:t>
      </w:r>
    </w:p>
    <w:p w14:paraId="0B47483B">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（二）</w:t>
      </w:r>
      <w:r>
        <w:rPr>
          <w:rFonts w:hint="eastAsia" w:ascii="微软雅黑" w:hAnsi="微软雅黑" w:eastAsia="微软雅黑" w:cs="微软雅黑"/>
          <w:color w:val="auto"/>
          <w:sz w:val="22"/>
          <w:szCs w:val="22"/>
          <w:highlight w:val="none"/>
        </w:rPr>
        <w:t xml:space="preserve"> 投标函中表述的内容与报价表中不一致的，以报价表为准；报价表中的内容与报价明细表不一致的，以报价表为准；</w:t>
      </w:r>
    </w:p>
    <w:p w14:paraId="64FA928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（三）</w:t>
      </w:r>
      <w:r>
        <w:rPr>
          <w:rFonts w:hint="eastAsia" w:ascii="微软雅黑" w:hAnsi="微软雅黑" w:eastAsia="微软雅黑" w:cs="微软雅黑"/>
          <w:color w:val="auto"/>
          <w:sz w:val="22"/>
          <w:szCs w:val="22"/>
          <w:highlight w:val="none"/>
        </w:rPr>
        <w:t>投标文件中的大写金额和小写金额不一致的，以大写金额为准；</w:t>
      </w:r>
    </w:p>
    <w:p w14:paraId="2DB3074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（四）</w:t>
      </w:r>
      <w:r>
        <w:rPr>
          <w:rFonts w:hint="eastAsia" w:ascii="微软雅黑" w:hAnsi="微软雅黑" w:eastAsia="微软雅黑" w:cs="微软雅黑"/>
          <w:color w:val="auto"/>
          <w:sz w:val="22"/>
          <w:szCs w:val="22"/>
          <w:highlight w:val="none"/>
        </w:rPr>
        <w:t>单价金额小数点或者百分比有明显错位的，以开标一览表的总价为准，并修改单价；</w:t>
      </w:r>
    </w:p>
    <w:p w14:paraId="089D6C04">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（五）</w:t>
      </w:r>
      <w:r>
        <w:rPr>
          <w:rFonts w:hint="eastAsia" w:ascii="微软雅黑" w:hAnsi="微软雅黑" w:eastAsia="微软雅黑" w:cs="微软雅黑"/>
          <w:color w:val="auto"/>
          <w:sz w:val="22"/>
          <w:szCs w:val="22"/>
          <w:highlight w:val="none"/>
        </w:rPr>
        <w:t>总价金额与按单价汇总金额不一致的，以单价金额计算结果为准；</w:t>
      </w:r>
    </w:p>
    <w:p w14:paraId="1C771821">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（六）</w:t>
      </w:r>
      <w:r>
        <w:rPr>
          <w:rFonts w:hint="eastAsia" w:ascii="微软雅黑" w:hAnsi="微软雅黑" w:eastAsia="微软雅黑" w:cs="微软雅黑"/>
          <w:color w:val="auto"/>
          <w:sz w:val="22"/>
          <w:szCs w:val="22"/>
          <w:highlight w:val="none"/>
        </w:rPr>
        <w:t>若用文字表示的数值与用数字表示的数值不一致，以文字表示的数值为准；</w:t>
      </w:r>
    </w:p>
    <w:p w14:paraId="4D79B63C">
      <w:pPr>
        <w:keepNext w:val="0"/>
        <w:keepLines w:val="0"/>
        <w:pageBreakBefore w:val="0"/>
        <w:widowControl w:val="0"/>
        <w:kinsoku/>
        <w:wordWrap/>
        <w:overflowPunct/>
        <w:topLinePunct w:val="0"/>
        <w:autoSpaceDE/>
        <w:autoSpaceDN/>
        <w:bidi w:val="0"/>
        <w:adjustRightInd/>
        <w:snapToGrid/>
        <w:spacing w:line="440" w:lineRule="exact"/>
        <w:ind w:left="893" w:leftChars="425" w:firstLine="0" w:firstLineChars="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（七）</w:t>
      </w:r>
      <w:r>
        <w:rPr>
          <w:rFonts w:hint="eastAsia" w:ascii="微软雅黑" w:hAnsi="微软雅黑" w:eastAsia="微软雅黑" w:cs="微软雅黑"/>
          <w:color w:val="auto"/>
          <w:sz w:val="22"/>
          <w:szCs w:val="22"/>
          <w:highlight w:val="none"/>
        </w:rPr>
        <w:t>如有多报（指数量超出招标文件需求）、重报（指同一货物重复报价），其投标总价在评标过程中不予调整，如其中标，其合同价按其投标单价予以调整；</w:t>
      </w:r>
    </w:p>
    <w:p w14:paraId="2EF1C514">
      <w:pPr>
        <w:spacing w:line="440" w:lineRule="exact"/>
        <w:ind w:firstLine="770" w:firstLineChars="350"/>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eastAsia="zh-CN"/>
        </w:rPr>
        <w:t>（八）</w:t>
      </w:r>
      <w:r>
        <w:rPr>
          <w:rFonts w:hint="eastAsia" w:ascii="微软雅黑" w:hAnsi="微软雅黑" w:eastAsia="微软雅黑" w:cs="微软雅黑"/>
          <w:color w:val="auto"/>
          <w:sz w:val="22"/>
          <w:szCs w:val="22"/>
          <w:highlight w:val="none"/>
        </w:rPr>
        <w:t>对不同文字文本投标文件的解释发生异议的，以中文文本为准。</w:t>
      </w:r>
    </w:p>
    <w:p w14:paraId="765C0A8E">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2"/>
          <w:szCs w:val="22"/>
          <w:highlight w:val="none"/>
        </w:rPr>
        <w:t>修正应当采用电子标的形式，并加盖公章（电子印章）。</w:t>
      </w:r>
    </w:p>
    <w:p w14:paraId="5A3C3A78">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   如一个分包内只有一种产品，不同供应商所投产品为同一品牌的，按如下方式处理：</w:t>
      </w:r>
    </w:p>
    <w:p w14:paraId="46BC61F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384A328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31EAB9D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如采购人所采购产品为政府强制采购的节能产品，供应商所投产品的品牌及型号必须为清单中有效期内产品并提供证明文件，否则其投标将被认定为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w:t>
      </w:r>
    </w:p>
    <w:p w14:paraId="5FC59037">
      <w:pPr>
        <w:pStyle w:val="6"/>
        <w:spacing w:before="0" w:after="0" w:line="440" w:lineRule="exact"/>
        <w:rPr>
          <w:rFonts w:ascii="微软雅黑" w:hAnsi="微软雅黑" w:eastAsia="微软雅黑" w:cs="微软雅黑"/>
          <w:color w:val="auto"/>
          <w:sz w:val="22"/>
          <w:szCs w:val="22"/>
          <w:highlight w:val="none"/>
          <w:u w:val="none"/>
        </w:rPr>
      </w:pPr>
      <w:bookmarkStart w:id="150" w:name="_Toc28888"/>
      <w:bookmarkStart w:id="151" w:name="_Toc515647782"/>
      <w:bookmarkStart w:id="152" w:name="_Toc6364"/>
      <w:bookmarkStart w:id="153" w:name="_Toc9469"/>
      <w:r>
        <w:rPr>
          <w:rFonts w:hint="eastAsia" w:ascii="微软雅黑" w:hAnsi="微软雅黑" w:eastAsia="微软雅黑" w:cs="微软雅黑"/>
          <w:color w:val="auto"/>
          <w:sz w:val="22"/>
          <w:szCs w:val="22"/>
          <w:highlight w:val="none"/>
          <w:u w:val="none"/>
        </w:rPr>
        <w:t>21.投标偏离</w:t>
      </w:r>
      <w:bookmarkEnd w:id="150"/>
      <w:bookmarkEnd w:id="151"/>
      <w:bookmarkEnd w:id="152"/>
      <w:bookmarkEnd w:id="153"/>
    </w:p>
    <w:p w14:paraId="5E5CFCBE">
      <w:pPr>
        <w:spacing w:line="440" w:lineRule="exact"/>
        <w:ind w:left="795" w:leftChars="99" w:hanging="587" w:hangingChars="26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评标委员会可以接受投标文件中不构成实质性偏离的不正规或不一致。</w:t>
      </w:r>
      <w:bookmarkStart w:id="154" w:name="_Toc515647783"/>
      <w:bookmarkStart w:id="155" w:name="_Toc4950"/>
      <w:bookmarkStart w:id="156" w:name="_Toc6092"/>
    </w:p>
    <w:p w14:paraId="2BD5EE34">
      <w:pPr>
        <w:pStyle w:val="6"/>
        <w:spacing w:before="0" w:after="0" w:line="440" w:lineRule="exact"/>
        <w:rPr>
          <w:rFonts w:ascii="微软雅黑" w:hAnsi="微软雅黑" w:eastAsia="微软雅黑" w:cs="微软雅黑"/>
          <w:color w:val="auto"/>
          <w:sz w:val="22"/>
          <w:szCs w:val="22"/>
          <w:highlight w:val="none"/>
          <w:u w:val="none"/>
        </w:rPr>
      </w:pPr>
      <w:bookmarkStart w:id="157" w:name="_Toc20254"/>
      <w:r>
        <w:rPr>
          <w:rFonts w:hint="eastAsia" w:ascii="微软雅黑" w:hAnsi="微软雅黑" w:eastAsia="微软雅黑" w:cs="微软雅黑"/>
          <w:color w:val="auto"/>
          <w:sz w:val="22"/>
          <w:szCs w:val="22"/>
          <w:highlight w:val="none"/>
          <w:u w:val="none"/>
        </w:rPr>
        <w:t>22.投标</w:t>
      </w:r>
      <w:bookmarkEnd w:id="154"/>
      <w:r>
        <w:rPr>
          <w:rFonts w:hint="eastAsia" w:ascii="微软雅黑" w:hAnsi="微软雅黑" w:eastAsia="微软雅黑" w:cs="微软雅黑"/>
          <w:color w:val="auto"/>
          <w:sz w:val="22"/>
          <w:szCs w:val="22"/>
          <w:highlight w:val="none"/>
          <w:u w:val="none"/>
        </w:rPr>
        <w:t>无效</w:t>
      </w:r>
      <w:bookmarkEnd w:id="155"/>
      <w:bookmarkEnd w:id="156"/>
      <w:bookmarkEnd w:id="157"/>
    </w:p>
    <w:p w14:paraId="6D695CEE">
      <w:pPr>
        <w:spacing w:line="440" w:lineRule="exact"/>
        <w:ind w:left="777" w:leftChars="-23"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2"/>
          <w:szCs w:val="22"/>
          <w:highlight w:val="none"/>
        </w:rPr>
        <w:t>投标无效</w:t>
      </w:r>
      <w:r>
        <w:rPr>
          <w:rFonts w:hint="eastAsia" w:ascii="微软雅黑" w:hAnsi="微软雅黑" w:eastAsia="微软雅黑" w:cs="微软雅黑"/>
          <w:color w:val="auto"/>
          <w:sz w:val="22"/>
          <w:szCs w:val="22"/>
          <w:highlight w:val="none"/>
        </w:rPr>
        <w:t>。供应商不得通过修正或撤销不符合要求的偏离，从而使其投标成为实质上响应的投标。</w:t>
      </w:r>
    </w:p>
    <w:p w14:paraId="0FBDDA78">
      <w:pPr>
        <w:spacing w:line="440" w:lineRule="exact"/>
        <w:ind w:left="792" w:leftChars="37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评标委员会决定投标的响应性只根据招标文件要求、投标文件内容及财政主管部门指定相关信息发布媒体。</w:t>
      </w:r>
    </w:p>
    <w:p w14:paraId="5D9896E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b/>
          <w:bCs/>
          <w:color w:val="auto"/>
          <w:sz w:val="22"/>
          <w:szCs w:val="22"/>
          <w:highlight w:val="none"/>
        </w:rPr>
        <w:t>如发现下列情况之一的，其投标将被认定为投标无效</w:t>
      </w:r>
      <w:r>
        <w:rPr>
          <w:rFonts w:hint="eastAsia" w:ascii="微软雅黑" w:hAnsi="微软雅黑" w:eastAsia="微软雅黑" w:cs="微软雅黑"/>
          <w:color w:val="auto"/>
          <w:sz w:val="22"/>
          <w:szCs w:val="22"/>
          <w:highlight w:val="none"/>
        </w:rPr>
        <w:t>：</w:t>
      </w:r>
    </w:p>
    <w:p w14:paraId="1E63D3B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未按招标文件规定的形式和金额提交投标保证金的；</w:t>
      </w:r>
    </w:p>
    <w:p w14:paraId="19FF1C5E">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未按照招标文件规定要求签署、盖章的；</w:t>
      </w:r>
    </w:p>
    <w:p w14:paraId="67780674">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未满足招标文件中技术条款的实质性要求；</w:t>
      </w:r>
    </w:p>
    <w:p w14:paraId="1592ABE0">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与其他供应商串通投标，或者与招标人串通投标；</w:t>
      </w:r>
    </w:p>
    <w:p w14:paraId="11C0F49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属于招标文件规定的其他投标无效情形；</w:t>
      </w:r>
    </w:p>
    <w:p w14:paraId="10FCB149">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评标委员会认为供应商的报价明显低于其他通过符合性检查供应商的报价，有可能影响履约的，且供应商未按照规定证明其报价合理性的；</w:t>
      </w:r>
    </w:p>
    <w:p w14:paraId="573C9ACF">
      <w:pPr>
        <w:numPr>
          <w:ilvl w:val="0"/>
          <w:numId w:val="5"/>
        </w:numPr>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投标文件含有采购人不能接受的附加条件的；</w:t>
      </w:r>
    </w:p>
    <w:p w14:paraId="7CEA0A68">
      <w:pPr>
        <w:numPr>
          <w:ilvl w:val="0"/>
          <w:numId w:val="5"/>
        </w:numPr>
        <w:tabs>
          <w:tab w:val="left" w:pos="0"/>
        </w:tabs>
        <w:spacing w:line="440" w:lineRule="exact"/>
        <w:ind w:left="1081" w:leftChars="429" w:hanging="18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不符合法规和招标文件中规定的其他实质性要求的。</w:t>
      </w:r>
    </w:p>
    <w:p w14:paraId="1466E318">
      <w:pPr>
        <w:spacing w:line="440" w:lineRule="exact"/>
        <w:outlineLvl w:val="2"/>
        <w:rPr>
          <w:rFonts w:ascii="微软雅黑" w:hAnsi="微软雅黑" w:eastAsia="微软雅黑" w:cs="微软雅黑"/>
          <w:b/>
          <w:bCs/>
          <w:color w:val="auto"/>
          <w:sz w:val="22"/>
          <w:szCs w:val="22"/>
          <w:highlight w:val="none"/>
        </w:rPr>
      </w:pPr>
      <w:bookmarkStart w:id="158" w:name="_Toc22941"/>
      <w:bookmarkStart w:id="159" w:name="_Toc10960"/>
      <w:bookmarkStart w:id="160" w:name="_Toc13652"/>
      <w:bookmarkStart w:id="161" w:name="_Toc515647784"/>
      <w:r>
        <w:rPr>
          <w:rFonts w:hint="eastAsia" w:ascii="微软雅黑" w:hAnsi="微软雅黑" w:eastAsia="微软雅黑" w:cs="微软雅黑"/>
          <w:b/>
          <w:bCs/>
          <w:color w:val="auto"/>
          <w:sz w:val="22"/>
          <w:szCs w:val="22"/>
          <w:highlight w:val="none"/>
        </w:rPr>
        <w:t>23.</w:t>
      </w:r>
      <w:bookmarkEnd w:id="149"/>
      <w:r>
        <w:rPr>
          <w:rFonts w:hint="eastAsia" w:ascii="微软雅黑" w:hAnsi="微软雅黑" w:eastAsia="微软雅黑" w:cs="微软雅黑"/>
          <w:b/>
          <w:bCs/>
          <w:color w:val="auto"/>
          <w:sz w:val="22"/>
          <w:szCs w:val="22"/>
          <w:highlight w:val="none"/>
        </w:rPr>
        <w:t>比较与评价</w:t>
      </w:r>
      <w:bookmarkEnd w:id="158"/>
      <w:bookmarkEnd w:id="159"/>
      <w:bookmarkEnd w:id="160"/>
      <w:bookmarkEnd w:id="161"/>
    </w:p>
    <w:p w14:paraId="6A14396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23.1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经符合性审查合格的投标文件，评标委员会将根据招标文件确定的评标方法和标准，对其技术部分和商务部分做进一步的比较和评价。</w:t>
      </w:r>
    </w:p>
    <w:p w14:paraId="02A45CD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23.2  </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评标严格按照招标文件的要求和条件进行。根据实际情况，在</w:t>
      </w:r>
      <w:r>
        <w:rPr>
          <w:rFonts w:hint="eastAsia" w:ascii="微软雅黑" w:hAnsi="微软雅黑" w:eastAsia="微软雅黑" w:cs="微软雅黑"/>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中规定采用下列评标方法，详细评标标准见招标文件第六章：</w:t>
      </w:r>
    </w:p>
    <w:p w14:paraId="4A5950B4">
      <w:pPr>
        <w:pStyle w:val="15"/>
        <w:spacing w:line="440" w:lineRule="exact"/>
        <w:ind w:left="898" w:leftChars="342" w:hanging="18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 本项目采用综合评分法，是指投标文件满足招标文件全部实质性要求，且按照评审因素的量化指标评审得分最高的供应商为中标候选人的评标方法。</w:t>
      </w:r>
    </w:p>
    <w:p w14:paraId="207BF34F">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2" w:name="sendNo"/>
      <w:r>
        <w:rPr>
          <w:rFonts w:hint="eastAsia" w:ascii="微软雅黑" w:hAnsi="微软雅黑" w:eastAsia="微软雅黑" w:cs="微软雅黑"/>
          <w:b/>
          <w:bCs/>
          <w:color w:val="auto"/>
          <w:sz w:val="22"/>
          <w:szCs w:val="22"/>
          <w:highlight w:val="none"/>
        </w:rPr>
        <w:t>财库〔</w:t>
      </w:r>
      <w:bookmarkEnd w:id="162"/>
      <w:r>
        <w:rPr>
          <w:rFonts w:hint="eastAsia" w:ascii="微软雅黑" w:hAnsi="微软雅黑" w:eastAsia="微软雅黑" w:cs="微软雅黑"/>
          <w:b/>
          <w:bCs/>
          <w:color w:val="auto"/>
          <w:sz w:val="22"/>
          <w:szCs w:val="22"/>
          <w:highlight w:val="none"/>
        </w:rPr>
        <w:t>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标。</w:t>
      </w:r>
    </w:p>
    <w:p w14:paraId="477E77E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微软雅黑" w:hAnsi="微软雅黑" w:eastAsia="微软雅黑" w:cs="微软雅黑"/>
          <w:color w:val="auto"/>
          <w:sz w:val="22"/>
          <w:szCs w:val="22"/>
          <w:highlight w:val="none"/>
        </w:rPr>
        <w:t>  </w:t>
      </w:r>
    </w:p>
    <w:p w14:paraId="50D798EF">
      <w:pPr>
        <w:pStyle w:val="6"/>
        <w:spacing w:before="0" w:after="0" w:line="440" w:lineRule="exact"/>
        <w:rPr>
          <w:rFonts w:ascii="微软雅黑" w:hAnsi="微软雅黑" w:eastAsia="微软雅黑" w:cs="微软雅黑"/>
          <w:color w:val="auto"/>
          <w:sz w:val="22"/>
          <w:szCs w:val="22"/>
          <w:highlight w:val="none"/>
          <w:u w:val="none"/>
        </w:rPr>
      </w:pPr>
      <w:bookmarkStart w:id="163" w:name="_Toc9378"/>
      <w:bookmarkStart w:id="164" w:name="_Toc20227"/>
      <w:bookmarkStart w:id="165" w:name="_Toc26143"/>
      <w:bookmarkStart w:id="166" w:name="_Toc515647785"/>
      <w:r>
        <w:rPr>
          <w:rFonts w:hint="eastAsia" w:ascii="微软雅黑" w:hAnsi="微软雅黑" w:eastAsia="微软雅黑" w:cs="微软雅黑"/>
          <w:color w:val="auto"/>
          <w:sz w:val="22"/>
          <w:szCs w:val="22"/>
          <w:highlight w:val="none"/>
          <w:u w:val="none"/>
        </w:rPr>
        <w:t>24.废标</w:t>
      </w:r>
      <w:bookmarkEnd w:id="163"/>
      <w:bookmarkEnd w:id="164"/>
      <w:bookmarkEnd w:id="165"/>
      <w:bookmarkEnd w:id="166"/>
    </w:p>
    <w:p w14:paraId="68074862">
      <w:pPr>
        <w:spacing w:line="440" w:lineRule="exact"/>
        <w:ind w:left="893" w:leftChars="399" w:hanging="55" w:hangingChars="2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出现下列情形之一，将导致项目废标： </w:t>
      </w:r>
    </w:p>
    <w:p w14:paraId="3962FEB2">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（1）符合专业条件的供应商或者对招标文件做实质性响应的供应商不足三家；</w:t>
      </w:r>
    </w:p>
    <w:p w14:paraId="03CE7818">
      <w:pPr>
        <w:spacing w:line="440" w:lineRule="exact"/>
        <w:ind w:left="825" w:hanging="825" w:hangingChars="375"/>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ab/>
      </w:r>
      <w:r>
        <w:rPr>
          <w:rFonts w:hint="eastAsia" w:ascii="微软雅黑" w:hAnsi="微软雅黑" w:eastAsia="微软雅黑" w:cs="微软雅黑"/>
          <w:b/>
          <w:bCs/>
          <w:color w:val="auto"/>
          <w:sz w:val="22"/>
          <w:szCs w:val="22"/>
          <w:highlight w:val="none"/>
        </w:rPr>
        <w:t>（2）出现影响采购公正的违法、违规行为的；</w:t>
      </w:r>
    </w:p>
    <w:p w14:paraId="58D8A111">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（3）供应商的报价均超过了采购预算，采购人不能支付的；</w:t>
      </w:r>
    </w:p>
    <w:p w14:paraId="70996F3C">
      <w:pPr>
        <w:spacing w:line="440" w:lineRule="exact"/>
        <w:ind w:firstLine="880" w:firstLineChars="400"/>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 xml:space="preserve">（4）因重大变故，采购任务取消的。   </w:t>
      </w:r>
    </w:p>
    <w:p w14:paraId="7C6AB35D">
      <w:pPr>
        <w:pStyle w:val="6"/>
        <w:spacing w:before="0" w:after="0" w:line="440" w:lineRule="exact"/>
        <w:rPr>
          <w:rFonts w:ascii="微软雅黑" w:hAnsi="微软雅黑" w:eastAsia="微软雅黑" w:cs="微软雅黑"/>
          <w:color w:val="auto"/>
          <w:sz w:val="22"/>
          <w:szCs w:val="22"/>
          <w:highlight w:val="none"/>
          <w:u w:val="none"/>
        </w:rPr>
      </w:pPr>
      <w:bookmarkStart w:id="167" w:name="_Toc24972"/>
      <w:bookmarkStart w:id="168" w:name="_Toc515647786"/>
      <w:bookmarkStart w:id="169" w:name="_Toc31289"/>
      <w:bookmarkStart w:id="170" w:name="_Toc29491"/>
      <w:bookmarkStart w:id="171" w:name="_Toc520356169"/>
      <w:r>
        <w:rPr>
          <w:rFonts w:hint="eastAsia" w:ascii="微软雅黑" w:hAnsi="微软雅黑" w:eastAsia="微软雅黑" w:cs="微软雅黑"/>
          <w:color w:val="auto"/>
          <w:sz w:val="22"/>
          <w:szCs w:val="22"/>
          <w:highlight w:val="none"/>
          <w:u w:val="none"/>
        </w:rPr>
        <w:t>25.保密原则</w:t>
      </w:r>
      <w:bookmarkEnd w:id="167"/>
      <w:bookmarkEnd w:id="168"/>
      <w:bookmarkEnd w:id="169"/>
      <w:bookmarkEnd w:id="170"/>
    </w:p>
    <w:p w14:paraId="5DC8C18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评标将在严格保密的情况下进行。</w:t>
      </w:r>
    </w:p>
    <w:p w14:paraId="4EC921E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25.2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政府采购评标专家应当遵守评审工作纪律，不得泄露评审文件、评审情况和评审中获悉的商业秘密。</w:t>
      </w:r>
    </w:p>
    <w:p w14:paraId="16EF18A3">
      <w:pPr>
        <w:spacing w:line="440" w:lineRule="exact"/>
        <w:ind w:left="1080" w:leftChars="257" w:hanging="540"/>
        <w:rPr>
          <w:rFonts w:ascii="微软雅黑" w:hAnsi="微软雅黑" w:eastAsia="微软雅黑" w:cs="微软雅黑"/>
          <w:color w:val="auto"/>
          <w:sz w:val="22"/>
          <w:szCs w:val="22"/>
          <w:highlight w:val="none"/>
        </w:rPr>
      </w:pPr>
    </w:p>
    <w:p w14:paraId="6B6FF83F">
      <w:pPr>
        <w:pStyle w:val="3"/>
        <w:spacing w:before="0" w:line="440" w:lineRule="exact"/>
        <w:ind w:left="1080" w:leftChars="257" w:hanging="540"/>
        <w:rPr>
          <w:rFonts w:ascii="微软雅黑" w:hAnsi="微软雅黑" w:eastAsia="微软雅黑" w:cs="微软雅黑"/>
          <w:b/>
          <w:bCs/>
          <w:color w:val="auto"/>
          <w:sz w:val="22"/>
          <w:szCs w:val="22"/>
          <w:highlight w:val="none"/>
        </w:rPr>
      </w:pPr>
      <w:bookmarkStart w:id="172" w:name="_Toc515647787"/>
      <w:bookmarkStart w:id="173" w:name="_Toc30753"/>
      <w:bookmarkStart w:id="174" w:name="_Toc30610"/>
      <w:bookmarkStart w:id="175" w:name="_Toc20578"/>
      <w:bookmarkStart w:id="176" w:name="_Toc23904"/>
      <w:bookmarkStart w:id="177" w:name="_Toc216582810"/>
      <w:bookmarkStart w:id="178" w:name="_Toc12143"/>
      <w:r>
        <w:rPr>
          <w:rFonts w:hint="eastAsia" w:ascii="微软雅黑" w:hAnsi="微软雅黑" w:eastAsia="微软雅黑" w:cs="微软雅黑"/>
          <w:b/>
          <w:bCs/>
          <w:color w:val="auto"/>
          <w:sz w:val="22"/>
          <w:szCs w:val="22"/>
          <w:highlight w:val="none"/>
        </w:rPr>
        <w:t xml:space="preserve">六   </w:t>
      </w:r>
      <w:bookmarkEnd w:id="171"/>
      <w:r>
        <w:rPr>
          <w:rFonts w:hint="eastAsia" w:ascii="微软雅黑" w:hAnsi="微软雅黑" w:eastAsia="微软雅黑" w:cs="微软雅黑"/>
          <w:b/>
          <w:bCs/>
          <w:color w:val="auto"/>
          <w:sz w:val="22"/>
          <w:szCs w:val="22"/>
          <w:highlight w:val="none"/>
        </w:rPr>
        <w:t>确定中标</w:t>
      </w:r>
      <w:bookmarkEnd w:id="172"/>
      <w:bookmarkEnd w:id="173"/>
      <w:bookmarkEnd w:id="174"/>
      <w:bookmarkEnd w:id="175"/>
      <w:bookmarkEnd w:id="176"/>
      <w:bookmarkEnd w:id="177"/>
      <w:bookmarkEnd w:id="178"/>
    </w:p>
    <w:p w14:paraId="17BFD5EC">
      <w:pPr>
        <w:pStyle w:val="4"/>
        <w:spacing w:line="440" w:lineRule="exact"/>
        <w:rPr>
          <w:rFonts w:ascii="微软雅黑" w:hAnsi="微软雅黑" w:eastAsia="微软雅黑" w:cs="微软雅黑"/>
          <w:color w:val="auto"/>
          <w:sz w:val="22"/>
          <w:szCs w:val="22"/>
          <w:highlight w:val="none"/>
        </w:rPr>
      </w:pPr>
    </w:p>
    <w:p w14:paraId="0E080D30">
      <w:pPr>
        <w:pStyle w:val="6"/>
        <w:spacing w:before="0" w:after="0" w:line="440" w:lineRule="exact"/>
        <w:rPr>
          <w:rFonts w:ascii="微软雅黑" w:hAnsi="微软雅黑" w:eastAsia="微软雅黑" w:cs="微软雅黑"/>
          <w:color w:val="auto"/>
          <w:sz w:val="22"/>
          <w:szCs w:val="22"/>
          <w:highlight w:val="none"/>
          <w:u w:val="none"/>
        </w:rPr>
      </w:pPr>
      <w:bookmarkStart w:id="179" w:name="_Ref467307010"/>
      <w:bookmarkStart w:id="180" w:name="_Toc515647788"/>
      <w:bookmarkStart w:id="181" w:name="_Toc23617"/>
      <w:bookmarkStart w:id="182" w:name="_Toc23762"/>
      <w:bookmarkStart w:id="183" w:name="_Toc10050"/>
      <w:bookmarkStart w:id="184" w:name="_Toc520356170"/>
      <w:r>
        <w:rPr>
          <w:rFonts w:hint="eastAsia" w:ascii="微软雅黑" w:hAnsi="微软雅黑" w:eastAsia="微软雅黑" w:cs="微软雅黑"/>
          <w:color w:val="auto"/>
          <w:sz w:val="22"/>
          <w:szCs w:val="22"/>
          <w:highlight w:val="none"/>
          <w:u w:val="none"/>
        </w:rPr>
        <w:t>26.中标候选人的确定原则及标准</w:t>
      </w:r>
      <w:bookmarkEnd w:id="179"/>
      <w:bookmarkEnd w:id="180"/>
      <w:bookmarkEnd w:id="181"/>
      <w:bookmarkEnd w:id="182"/>
      <w:bookmarkEnd w:id="183"/>
      <w:bookmarkEnd w:id="184"/>
    </w:p>
    <w:p w14:paraId="3CEF4059">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对实质上响应招标文件的供应商按下列方法进行排序，确定投标候选人：</w:t>
      </w:r>
    </w:p>
    <w:p w14:paraId="2B8054B3">
      <w:pPr>
        <w:spacing w:line="440" w:lineRule="exact"/>
        <w:ind w:left="901"/>
        <w:rPr>
          <w:rFonts w:ascii="微软雅黑" w:hAnsi="微软雅黑" w:eastAsia="微软雅黑" w:cs="微软雅黑"/>
          <w:color w:val="auto"/>
          <w:sz w:val="22"/>
          <w:szCs w:val="22"/>
          <w:highlight w:val="none"/>
        </w:rPr>
      </w:pPr>
      <w:bookmarkStart w:id="185" w:name="_Toc520356171"/>
      <w:bookmarkStart w:id="186" w:name="_Toc515647789"/>
      <w:r>
        <w:rPr>
          <w:rFonts w:hint="eastAsia" w:ascii="微软雅黑" w:hAnsi="微软雅黑" w:eastAsia="微软雅黑" w:cs="微软雅黑"/>
          <w:color w:val="auto"/>
          <w:sz w:val="22"/>
          <w:szCs w:val="22"/>
          <w:highlight w:val="none"/>
        </w:rPr>
        <w:t>（1）采用最低评标价法的，除了算术修正和落实政府采购政策需进行的价格扣除外，不对</w:t>
      </w:r>
      <w:r>
        <w:rPr>
          <w:rFonts w:hint="eastAsia" w:ascii="微软雅黑" w:hAnsi="微软雅黑" w:eastAsia="微软雅黑" w:cs="微软雅黑"/>
          <w:color w:val="auto"/>
          <w:sz w:val="22"/>
          <w:szCs w:val="22"/>
          <w:highlight w:val="none"/>
          <w:lang w:eastAsia="zh-CN"/>
        </w:rPr>
        <w:t>供应商</w:t>
      </w:r>
      <w:r>
        <w:rPr>
          <w:rFonts w:hint="eastAsia" w:ascii="微软雅黑" w:hAnsi="微软雅黑" w:eastAsia="微软雅黑" w:cs="微软雅黑"/>
          <w:color w:val="auto"/>
          <w:sz w:val="22"/>
          <w:szCs w:val="22"/>
          <w:highlight w:val="none"/>
        </w:rPr>
        <w:t>的投标价格进行任何调整。评标结果按修正和扣除后的投标报价由低到高顺序排列。报价相同的处理方式详见招标文件第6章。</w:t>
      </w:r>
    </w:p>
    <w:p w14:paraId="1FF9B878">
      <w:pPr>
        <w:spacing w:line="440" w:lineRule="exact"/>
        <w:ind w:left="901"/>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（2）采用综合评分法的，评标结果按评审后得分由高到低顺序排列。得分相同的，按修正和扣除后的投标报价由低到高顺序排列。得分与投标报价均相同的处理方式详见招标文件第6章。</w:t>
      </w:r>
    </w:p>
    <w:p w14:paraId="7BCF85AD">
      <w:pPr>
        <w:spacing w:line="440" w:lineRule="exact"/>
        <w:ind w:left="901"/>
        <w:rPr>
          <w:rFonts w:eastAsia="微软雅黑"/>
          <w:b/>
          <w:bCs/>
          <w:color w:val="auto"/>
          <w:highlight w:val="none"/>
        </w:rPr>
      </w:pPr>
      <w:r>
        <w:rPr>
          <w:rFonts w:hint="eastAsia" w:ascii="微软雅黑" w:hAnsi="微软雅黑" w:eastAsia="微软雅黑" w:cs="微软雅黑"/>
          <w:b/>
          <w:bCs/>
          <w:color w:val="auto"/>
          <w:sz w:val="22"/>
          <w:szCs w:val="22"/>
          <w:highlight w:val="none"/>
        </w:rPr>
        <w:t>本项目采用综合评分法。</w:t>
      </w:r>
      <w:bookmarkStart w:id="187" w:name="_Toc9653"/>
      <w:bookmarkStart w:id="188" w:name="_Toc9286"/>
      <w:bookmarkStart w:id="189" w:name="_Toc23951"/>
    </w:p>
    <w:p w14:paraId="0978305F">
      <w:pPr>
        <w:spacing w:line="440" w:lineRule="exac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w:t>
      </w:r>
      <w:bookmarkEnd w:id="185"/>
      <w:r>
        <w:rPr>
          <w:rFonts w:hint="eastAsia" w:ascii="微软雅黑" w:hAnsi="微软雅黑" w:eastAsia="微软雅黑" w:cs="微软雅黑"/>
          <w:b/>
          <w:bCs/>
          <w:color w:val="auto"/>
          <w:sz w:val="22"/>
          <w:szCs w:val="22"/>
          <w:highlight w:val="none"/>
        </w:rPr>
        <w:t>7.确定中标候选人和中标人</w:t>
      </w:r>
      <w:bookmarkEnd w:id="186"/>
      <w:bookmarkEnd w:id="187"/>
      <w:bookmarkEnd w:id="188"/>
      <w:bookmarkEnd w:id="189"/>
    </w:p>
    <w:p w14:paraId="53F48453">
      <w:pPr>
        <w:keepNext w:val="0"/>
        <w:keepLines w:val="0"/>
        <w:pageBreakBefore w:val="0"/>
        <w:widowControl w:val="0"/>
        <w:kinsoku/>
        <w:wordWrap/>
        <w:overflowPunct/>
        <w:topLinePunct w:val="0"/>
        <w:autoSpaceDE/>
        <w:autoSpaceDN/>
        <w:bidi w:val="0"/>
        <w:adjustRightInd/>
        <w:snapToGrid/>
        <w:spacing w:line="62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评标委员会将根据评标标准，按</w:t>
      </w:r>
      <w:r>
        <w:rPr>
          <w:rFonts w:hint="eastAsia" w:ascii="微软雅黑" w:hAnsi="微软雅黑" w:eastAsia="微软雅黑" w:cs="微软雅黑"/>
          <w:b/>
          <w:bCs/>
          <w:color w:val="auto"/>
          <w:sz w:val="22"/>
          <w:szCs w:val="22"/>
          <w:highlight w:val="none"/>
          <w:u w:val="single"/>
        </w:rPr>
        <w:t>供应商须知资料表中</w:t>
      </w:r>
      <w:r>
        <w:rPr>
          <w:rFonts w:hint="eastAsia" w:ascii="微软雅黑" w:hAnsi="微软雅黑" w:eastAsia="微软雅黑" w:cs="微软雅黑"/>
          <w:color w:val="auto"/>
          <w:sz w:val="22"/>
          <w:szCs w:val="22"/>
          <w:highlight w:val="none"/>
        </w:rPr>
        <w:t>规定数量推荐中标候选人；</w:t>
      </w:r>
    </w:p>
    <w:p w14:paraId="6D39F701">
      <w:pPr>
        <w:spacing w:line="440" w:lineRule="exact"/>
        <w:ind w:left="820" w:leftChars="312" w:hanging="165" w:hangingChars="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3C0B1404">
      <w:pPr>
        <w:spacing w:line="440" w:lineRule="exact"/>
        <w:ind w:left="820" w:leftChars="312" w:hanging="165" w:hangingChars="7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334E1D00">
      <w:pPr>
        <w:pStyle w:val="6"/>
        <w:tabs>
          <w:tab w:val="left" w:pos="900"/>
        </w:tabs>
        <w:spacing w:before="0" w:after="0" w:line="440" w:lineRule="exact"/>
        <w:rPr>
          <w:rFonts w:ascii="微软雅黑" w:hAnsi="微软雅黑" w:eastAsia="微软雅黑" w:cs="微软雅黑"/>
          <w:color w:val="auto"/>
          <w:sz w:val="22"/>
          <w:szCs w:val="22"/>
          <w:highlight w:val="none"/>
          <w:u w:val="none"/>
        </w:rPr>
      </w:pPr>
      <w:bookmarkStart w:id="190" w:name="_Toc520356173"/>
      <w:bookmarkStart w:id="191" w:name="_Ref467306874"/>
      <w:bookmarkStart w:id="192" w:name="_Toc8389"/>
      <w:bookmarkStart w:id="193" w:name="_Toc515647790"/>
      <w:bookmarkStart w:id="194" w:name="_Toc380"/>
      <w:bookmarkStart w:id="195" w:name="_Toc28562"/>
      <w:r>
        <w:rPr>
          <w:rFonts w:hint="eastAsia" w:ascii="微软雅黑" w:hAnsi="微软雅黑" w:eastAsia="微软雅黑" w:cs="微软雅黑"/>
          <w:color w:val="auto"/>
          <w:sz w:val="22"/>
          <w:szCs w:val="22"/>
          <w:highlight w:val="none"/>
          <w:u w:val="none"/>
        </w:rPr>
        <w:t>28.</w:t>
      </w:r>
      <w:bookmarkEnd w:id="190"/>
      <w:bookmarkEnd w:id="191"/>
      <w:r>
        <w:rPr>
          <w:rFonts w:hint="eastAsia" w:ascii="微软雅黑" w:hAnsi="微软雅黑" w:eastAsia="微软雅黑" w:cs="微软雅黑"/>
          <w:color w:val="auto"/>
          <w:sz w:val="22"/>
          <w:szCs w:val="22"/>
          <w:highlight w:val="none"/>
          <w:u w:val="none"/>
        </w:rPr>
        <w:t>采购任务取消</w:t>
      </w:r>
      <w:bookmarkEnd w:id="192"/>
      <w:bookmarkEnd w:id="193"/>
      <w:bookmarkEnd w:id="194"/>
      <w:bookmarkEnd w:id="195"/>
    </w:p>
    <w:p w14:paraId="1F649175">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因重大变故采购任务取消时，采购人有权拒绝任何供应商中标，且对受影响的供应商不承担任何责任。</w:t>
      </w:r>
      <w:bookmarkStart w:id="196" w:name="_Toc520356174"/>
    </w:p>
    <w:p w14:paraId="10E8E9EF">
      <w:pPr>
        <w:pStyle w:val="6"/>
        <w:spacing w:before="0" w:after="0" w:line="440" w:lineRule="exact"/>
        <w:rPr>
          <w:rFonts w:ascii="微软雅黑" w:hAnsi="微软雅黑" w:eastAsia="微软雅黑" w:cs="微软雅黑"/>
          <w:color w:val="auto"/>
          <w:sz w:val="22"/>
          <w:szCs w:val="22"/>
          <w:highlight w:val="none"/>
          <w:u w:val="none"/>
        </w:rPr>
      </w:pPr>
      <w:bookmarkStart w:id="197" w:name="_Toc31099"/>
      <w:bookmarkStart w:id="198" w:name="_Toc515647791"/>
      <w:bookmarkStart w:id="199" w:name="_Toc8579"/>
      <w:bookmarkStart w:id="200" w:name="_Toc30170"/>
      <w:r>
        <w:rPr>
          <w:rFonts w:hint="eastAsia" w:ascii="微软雅黑" w:hAnsi="微软雅黑" w:eastAsia="微软雅黑" w:cs="微软雅黑"/>
          <w:color w:val="auto"/>
          <w:sz w:val="22"/>
          <w:szCs w:val="22"/>
          <w:highlight w:val="none"/>
          <w:u w:val="none"/>
        </w:rPr>
        <w:t>29.中标通知书</w:t>
      </w:r>
      <w:bookmarkEnd w:id="196"/>
      <w:r>
        <w:rPr>
          <w:rFonts w:hint="eastAsia" w:ascii="微软雅黑" w:hAnsi="微软雅黑" w:eastAsia="微软雅黑" w:cs="微软雅黑"/>
          <w:color w:val="auto"/>
          <w:sz w:val="22"/>
          <w:szCs w:val="22"/>
          <w:highlight w:val="none"/>
          <w:u w:val="none"/>
        </w:rPr>
        <w:t>和招标结果通知书</w:t>
      </w:r>
      <w:bookmarkEnd w:id="197"/>
      <w:bookmarkEnd w:id="198"/>
      <w:bookmarkEnd w:id="199"/>
      <w:bookmarkEnd w:id="200"/>
    </w:p>
    <w:p w14:paraId="1FD4F3D4">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在投标有效期内，中标人确定后，采购人或者采购代理机构发布中标公告，同时以书面形式向中标人发出中标通知书。</w:t>
      </w:r>
    </w:p>
    <w:p w14:paraId="780FD0C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中标通知书是合同的组成部分。</w:t>
      </w:r>
    </w:p>
    <w:p w14:paraId="34773086">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29.3    招标结果通知书和中标通知书同时发出。招标结果通知书中将告知未通过资格审查的供应商未通过的原因；采用综合评分法评审的，还将告知未中标人本人的评审得分和排序。</w:t>
      </w:r>
    </w:p>
    <w:p w14:paraId="7EF36029">
      <w:pPr>
        <w:pStyle w:val="6"/>
        <w:spacing w:before="0" w:after="0" w:line="440" w:lineRule="exact"/>
        <w:rPr>
          <w:rFonts w:ascii="微软雅黑" w:hAnsi="微软雅黑" w:eastAsia="微软雅黑" w:cs="微软雅黑"/>
          <w:color w:val="auto"/>
          <w:sz w:val="22"/>
          <w:szCs w:val="22"/>
          <w:highlight w:val="none"/>
          <w:u w:val="none"/>
        </w:rPr>
      </w:pPr>
      <w:bookmarkStart w:id="201" w:name="_Ref467306377"/>
      <w:bookmarkStart w:id="202" w:name="_Ref467307204"/>
      <w:bookmarkStart w:id="203" w:name="_Toc790"/>
      <w:bookmarkStart w:id="204" w:name="_Ref467307062"/>
      <w:bookmarkStart w:id="205" w:name="_Ref467306978"/>
      <w:bookmarkStart w:id="206" w:name="_Toc15653"/>
      <w:bookmarkStart w:id="207" w:name="_Toc520356175"/>
      <w:bookmarkStart w:id="208" w:name="_Toc515647792"/>
      <w:bookmarkStart w:id="209" w:name="_Toc7779"/>
      <w:r>
        <w:rPr>
          <w:rFonts w:hint="eastAsia" w:ascii="微软雅黑" w:hAnsi="微软雅黑" w:eastAsia="微软雅黑" w:cs="微软雅黑"/>
          <w:color w:val="auto"/>
          <w:sz w:val="22"/>
          <w:szCs w:val="22"/>
          <w:highlight w:val="none"/>
          <w:u w:val="none"/>
        </w:rPr>
        <w:t>30.签订合同</w:t>
      </w:r>
      <w:bookmarkEnd w:id="201"/>
      <w:bookmarkEnd w:id="202"/>
      <w:bookmarkEnd w:id="203"/>
      <w:bookmarkEnd w:id="204"/>
      <w:bookmarkEnd w:id="205"/>
      <w:bookmarkEnd w:id="206"/>
      <w:bookmarkEnd w:id="207"/>
      <w:bookmarkEnd w:id="208"/>
      <w:bookmarkEnd w:id="209"/>
    </w:p>
    <w:p w14:paraId="1503535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中标人应当自发出中标通知书之日起</w:t>
      </w:r>
      <w:r>
        <w:rPr>
          <w:rFonts w:hint="eastAsia" w:ascii="微软雅黑" w:hAnsi="微软雅黑" w:eastAsia="微软雅黑" w:cs="微软雅黑"/>
          <w:color w:val="auto"/>
          <w:sz w:val="22"/>
          <w:szCs w:val="22"/>
          <w:highlight w:val="none"/>
          <w:lang w:val="en-US" w:eastAsia="zh-CN"/>
        </w:rPr>
        <w:t>20</w:t>
      </w:r>
      <w:r>
        <w:rPr>
          <w:rFonts w:hint="eastAsia" w:ascii="微软雅黑" w:hAnsi="微软雅黑" w:eastAsia="微软雅黑" w:cs="微软雅黑"/>
          <w:color w:val="auto"/>
          <w:sz w:val="22"/>
          <w:szCs w:val="22"/>
          <w:highlight w:val="none"/>
        </w:rPr>
        <w:t>日内，与采购人签订合同。</w:t>
      </w:r>
    </w:p>
    <w:p w14:paraId="6988711B">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30.2</w:t>
      </w:r>
      <w:r>
        <w:rPr>
          <w:rFonts w:hint="eastAsia" w:ascii="微软雅黑" w:hAnsi="微软雅黑" w:eastAsia="微软雅黑" w:cs="微软雅黑"/>
          <w:color w:val="auto"/>
          <w:sz w:val="22"/>
          <w:szCs w:val="22"/>
          <w:highlight w:val="none"/>
        </w:rPr>
        <w:tab/>
      </w:r>
      <w:bookmarkStart w:id="210" w:name="_Ref467307090"/>
      <w:bookmarkStart w:id="211" w:name="_Ref467306425"/>
      <w:bookmarkStart w:id="212" w:name="_Toc520356176"/>
      <w:r>
        <w:rPr>
          <w:rFonts w:hint="eastAsia" w:ascii="微软雅黑" w:hAnsi="微软雅黑" w:eastAsia="微软雅黑" w:cs="微软雅黑"/>
          <w:color w:val="auto"/>
          <w:sz w:val="22"/>
          <w:szCs w:val="22"/>
          <w:highlight w:val="none"/>
        </w:rPr>
        <w:t>招标文件、中标人的投标文件及其澄清文件等，均为签订合同的依据。</w:t>
      </w:r>
    </w:p>
    <w:p w14:paraId="6B6B6F7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30.3   中标人拒绝与采购人签订合同的，采购人可以按照评标报告推荐的中标候选人名单排序，确定下一中标候选人为中标人，也可以重新开展政府采购活动。</w:t>
      </w:r>
    </w:p>
    <w:p w14:paraId="11019303">
      <w:pPr>
        <w:pStyle w:val="6"/>
        <w:spacing w:before="0" w:after="0" w:line="440" w:lineRule="exact"/>
        <w:rPr>
          <w:rFonts w:ascii="微软雅黑" w:hAnsi="微软雅黑" w:eastAsia="微软雅黑" w:cs="微软雅黑"/>
          <w:color w:val="auto"/>
          <w:sz w:val="22"/>
          <w:szCs w:val="22"/>
          <w:highlight w:val="none"/>
          <w:u w:val="none"/>
        </w:rPr>
      </w:pPr>
      <w:bookmarkStart w:id="213" w:name="_Toc20240"/>
      <w:bookmarkStart w:id="214" w:name="_Toc515647793"/>
      <w:bookmarkStart w:id="215" w:name="_Toc14080"/>
      <w:bookmarkStart w:id="216" w:name="_Toc22555"/>
      <w:r>
        <w:rPr>
          <w:rFonts w:hint="eastAsia" w:ascii="微软雅黑" w:hAnsi="微软雅黑" w:eastAsia="微软雅黑" w:cs="微软雅黑"/>
          <w:color w:val="auto"/>
          <w:sz w:val="22"/>
          <w:szCs w:val="22"/>
          <w:highlight w:val="none"/>
        </w:rPr>
        <w:t>31</w:t>
      </w:r>
      <w:r>
        <w:rPr>
          <w:rFonts w:hint="eastAsia" w:ascii="微软雅黑" w:hAnsi="微软雅黑" w:eastAsia="微软雅黑" w:cs="微软雅黑"/>
          <w:color w:val="auto"/>
          <w:sz w:val="22"/>
          <w:szCs w:val="22"/>
          <w:highlight w:val="none"/>
          <w:u w:val="none"/>
        </w:rPr>
        <w:t>.履约保证金</w:t>
      </w:r>
      <w:bookmarkEnd w:id="210"/>
      <w:bookmarkEnd w:id="211"/>
      <w:bookmarkEnd w:id="212"/>
      <w:bookmarkEnd w:id="213"/>
      <w:bookmarkEnd w:id="214"/>
      <w:bookmarkEnd w:id="215"/>
      <w:bookmarkEnd w:id="216"/>
    </w:p>
    <w:p w14:paraId="541B3083">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中标人应按照</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规定向采购人缴纳履约保证金。</w:t>
      </w:r>
    </w:p>
    <w:p w14:paraId="41077ABD">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31.2</w:t>
      </w:r>
      <w:r>
        <w:rPr>
          <w:rFonts w:hint="eastAsia" w:ascii="微软雅黑" w:hAnsi="微软雅黑" w:eastAsia="微软雅黑" w:cs="微软雅黑"/>
          <w:color w:val="auto"/>
          <w:sz w:val="22"/>
          <w:szCs w:val="22"/>
          <w:highlight w:val="none"/>
        </w:rPr>
        <w:tab/>
      </w:r>
      <w:r>
        <w:rPr>
          <w:rFonts w:hint="eastAsia" w:ascii="微软雅黑" w:hAnsi="微软雅黑" w:eastAsia="微软雅黑" w:cs="微软雅黑"/>
          <w:color w:val="auto"/>
          <w:sz w:val="22"/>
          <w:szCs w:val="22"/>
          <w:highlight w:val="none"/>
        </w:rPr>
        <w:t>政府采购利用担保试点范围内的项目，除31.1规定的情形外，中标人也可以按照财政部门的规定，向采购人提供合格的履约担保函。</w:t>
      </w:r>
    </w:p>
    <w:p w14:paraId="0A2B3F8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31.3   如果中标人没有按照上述履约保证金的规定执行，将视为放弃中标资格，中标人的投标保证金将不予退还。在此情况下，采购人可确定下一候选人为中标人，也可以重新开展采购活动。</w:t>
      </w:r>
    </w:p>
    <w:p w14:paraId="354B6C7A">
      <w:pPr>
        <w:pStyle w:val="6"/>
        <w:spacing w:before="0" w:after="0" w:line="440" w:lineRule="exact"/>
        <w:rPr>
          <w:rFonts w:ascii="微软雅黑" w:hAnsi="微软雅黑" w:eastAsia="微软雅黑" w:cs="微软雅黑"/>
          <w:color w:val="auto"/>
          <w:sz w:val="22"/>
          <w:szCs w:val="22"/>
          <w:highlight w:val="none"/>
          <w:u w:val="none"/>
        </w:rPr>
      </w:pPr>
      <w:bookmarkStart w:id="217" w:name="_Toc3090"/>
      <w:bookmarkStart w:id="218" w:name="_Toc29408"/>
      <w:bookmarkStart w:id="219" w:name="_Toc515647794"/>
      <w:bookmarkStart w:id="220" w:name="_Toc8972"/>
      <w:r>
        <w:rPr>
          <w:rFonts w:hint="eastAsia" w:ascii="微软雅黑" w:hAnsi="微软雅黑" w:eastAsia="微软雅黑" w:cs="微软雅黑"/>
          <w:color w:val="auto"/>
          <w:sz w:val="22"/>
          <w:szCs w:val="22"/>
          <w:highlight w:val="none"/>
          <w:u w:val="none"/>
        </w:rPr>
        <w:t>32.中标服务费</w:t>
      </w:r>
      <w:bookmarkEnd w:id="217"/>
      <w:bookmarkEnd w:id="218"/>
      <w:bookmarkEnd w:id="219"/>
      <w:bookmarkEnd w:id="220"/>
    </w:p>
    <w:p w14:paraId="5BE990BC">
      <w:pPr>
        <w:spacing w:line="440" w:lineRule="exact"/>
        <w:ind w:left="805" w:leftChars="200" w:hanging="385" w:hangingChars="1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中标人须按照</w:t>
      </w:r>
      <w:r>
        <w:rPr>
          <w:rFonts w:hint="eastAsia" w:ascii="微软雅黑" w:hAnsi="微软雅黑" w:eastAsia="微软雅黑" w:cs="微软雅黑"/>
          <w:b/>
          <w:bCs/>
          <w:color w:val="auto"/>
          <w:sz w:val="22"/>
          <w:szCs w:val="22"/>
          <w:highlight w:val="none"/>
          <w:u w:val="single"/>
        </w:rPr>
        <w:t>投标须知资料表</w:t>
      </w:r>
      <w:r>
        <w:rPr>
          <w:rFonts w:hint="eastAsia" w:ascii="微软雅黑" w:hAnsi="微软雅黑" w:eastAsia="微软雅黑" w:cs="微软雅黑"/>
          <w:color w:val="auto"/>
          <w:sz w:val="22"/>
          <w:szCs w:val="22"/>
          <w:highlight w:val="none"/>
        </w:rPr>
        <w:t>规定，向采购代理机构支付中标服务费。</w:t>
      </w:r>
    </w:p>
    <w:p w14:paraId="307BF683">
      <w:pPr>
        <w:pStyle w:val="6"/>
        <w:spacing w:before="0" w:after="0" w:line="440" w:lineRule="exact"/>
        <w:rPr>
          <w:rFonts w:ascii="微软雅黑" w:hAnsi="微软雅黑" w:eastAsia="微软雅黑" w:cs="微软雅黑"/>
          <w:color w:val="auto"/>
          <w:sz w:val="22"/>
          <w:szCs w:val="22"/>
          <w:highlight w:val="none"/>
          <w:u w:val="none"/>
        </w:rPr>
      </w:pPr>
      <w:bookmarkStart w:id="221" w:name="_Toc515647795"/>
      <w:bookmarkStart w:id="222" w:name="_Toc8524"/>
      <w:bookmarkStart w:id="223" w:name="_Toc6923"/>
      <w:bookmarkStart w:id="224" w:name="_Toc7049"/>
      <w:r>
        <w:rPr>
          <w:rFonts w:hint="eastAsia" w:ascii="微软雅黑" w:hAnsi="微软雅黑" w:eastAsia="微软雅黑" w:cs="微软雅黑"/>
          <w:color w:val="auto"/>
          <w:sz w:val="22"/>
          <w:szCs w:val="22"/>
          <w:highlight w:val="none"/>
          <w:u w:val="none"/>
        </w:rPr>
        <w:t>33.政府采购信用担保</w:t>
      </w:r>
      <w:bookmarkEnd w:id="221"/>
      <w:bookmarkEnd w:id="222"/>
      <w:bookmarkEnd w:id="223"/>
      <w:bookmarkEnd w:id="224"/>
    </w:p>
    <w:p w14:paraId="7721765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本项目是否属于信用担保试点范围见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6FD19197">
      <w:pPr>
        <w:spacing w:line="440" w:lineRule="exact"/>
        <w:ind w:left="779" w:hanging="778" w:hangingChars="354"/>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如属于政府采购信用担保试点范围内，中小型企业供应商可以自由按照财政部门的规定，采用投标担保、履约担保和融资担保。</w:t>
      </w:r>
    </w:p>
    <w:p w14:paraId="1A5CD85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33.2.1 供应商递交的投标担保函和履约担保函应符合本招标文件的规定。</w:t>
      </w:r>
    </w:p>
    <w:p w14:paraId="30A9277F">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33.2.2 中标人可以采取融资担保的形式为政府采购项目履约进行融资。</w:t>
      </w:r>
    </w:p>
    <w:p w14:paraId="369CD02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33.2.3 合格的政府采购专业信用担保机构名单见</w:t>
      </w:r>
      <w:r>
        <w:rPr>
          <w:rFonts w:hint="eastAsia" w:ascii="微软雅黑" w:hAnsi="微软雅黑" w:eastAsia="微软雅黑" w:cs="微软雅黑"/>
          <w:color w:val="auto"/>
          <w:sz w:val="22"/>
          <w:szCs w:val="22"/>
          <w:highlight w:val="none"/>
          <w:u w:val="single"/>
        </w:rPr>
        <w:t>供</w:t>
      </w:r>
      <w:r>
        <w:rPr>
          <w:rFonts w:hint="eastAsia" w:ascii="微软雅黑" w:hAnsi="微软雅黑" w:eastAsia="微软雅黑" w:cs="微软雅黑"/>
          <w:b/>
          <w:bCs/>
          <w:color w:val="auto"/>
          <w:sz w:val="22"/>
          <w:szCs w:val="22"/>
          <w:highlight w:val="none"/>
          <w:u w:val="single"/>
        </w:rPr>
        <w:t>应商须知资料表</w:t>
      </w:r>
      <w:r>
        <w:rPr>
          <w:rFonts w:hint="eastAsia" w:ascii="微软雅黑" w:hAnsi="微软雅黑" w:eastAsia="微软雅黑" w:cs="微软雅黑"/>
          <w:color w:val="auto"/>
          <w:sz w:val="22"/>
          <w:szCs w:val="22"/>
          <w:highlight w:val="none"/>
        </w:rPr>
        <w:t>。</w:t>
      </w:r>
    </w:p>
    <w:p w14:paraId="10A1B5D5">
      <w:pPr>
        <w:pStyle w:val="6"/>
        <w:spacing w:before="0" w:after="0" w:line="440" w:lineRule="exact"/>
        <w:rPr>
          <w:rFonts w:ascii="微软雅黑" w:hAnsi="微软雅黑" w:eastAsia="微软雅黑" w:cs="微软雅黑"/>
          <w:color w:val="auto"/>
          <w:sz w:val="22"/>
          <w:szCs w:val="22"/>
          <w:highlight w:val="none"/>
          <w:u w:val="none"/>
        </w:rPr>
      </w:pPr>
      <w:bookmarkStart w:id="225" w:name="_Toc12709"/>
      <w:bookmarkStart w:id="226" w:name="_Toc515647796"/>
      <w:bookmarkStart w:id="227" w:name="_Toc2133"/>
      <w:bookmarkStart w:id="228" w:name="_Toc23999"/>
      <w:r>
        <w:rPr>
          <w:rFonts w:hint="eastAsia" w:ascii="微软雅黑" w:hAnsi="微软雅黑" w:eastAsia="微软雅黑" w:cs="微软雅黑"/>
          <w:color w:val="auto"/>
          <w:sz w:val="22"/>
          <w:szCs w:val="22"/>
          <w:highlight w:val="none"/>
          <w:u w:val="none"/>
        </w:rPr>
        <w:t>34.廉洁自律规定</w:t>
      </w:r>
      <w:bookmarkEnd w:id="225"/>
      <w:bookmarkEnd w:id="226"/>
      <w:bookmarkEnd w:id="227"/>
      <w:bookmarkEnd w:id="228"/>
    </w:p>
    <w:p w14:paraId="5F78CAC7">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采购代理机构工作人员不得以不正当手段获取政府采购代理业务，不得与采购人、供应商恶意串通操纵政府采购活动。</w:t>
      </w:r>
    </w:p>
    <w:p w14:paraId="5E96BED2">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采购代理机构工作人员不得接受采购人或者供应商组织的宴请、旅游、娱乐，不得收受礼品、现金、有价证券等，不得向采购人或者供应商报销应当由个人承担的费用。</w:t>
      </w:r>
    </w:p>
    <w:p w14:paraId="6B4F407C">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34.3   为强化采购代理机构内部监督机制，供应商可按</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u w:val="single"/>
        </w:rPr>
        <w:t>中的</w:t>
      </w:r>
      <w:r>
        <w:rPr>
          <w:rFonts w:hint="eastAsia" w:ascii="微软雅黑" w:hAnsi="微软雅黑" w:eastAsia="微软雅黑" w:cs="微软雅黑"/>
          <w:color w:val="auto"/>
          <w:sz w:val="22"/>
          <w:szCs w:val="22"/>
          <w:highlight w:val="none"/>
        </w:rPr>
        <w:t>监督电话和邮箱，反映采购代理机构的廉洁自律等问题。</w:t>
      </w:r>
    </w:p>
    <w:p w14:paraId="66088C7D">
      <w:pPr>
        <w:pStyle w:val="6"/>
        <w:spacing w:before="0" w:after="0" w:line="440" w:lineRule="exact"/>
        <w:rPr>
          <w:rFonts w:ascii="微软雅黑" w:hAnsi="微软雅黑" w:eastAsia="微软雅黑" w:cs="微软雅黑"/>
          <w:color w:val="auto"/>
          <w:sz w:val="22"/>
          <w:szCs w:val="22"/>
          <w:highlight w:val="none"/>
          <w:u w:val="none"/>
        </w:rPr>
      </w:pPr>
      <w:bookmarkStart w:id="229" w:name="_Toc11586"/>
      <w:bookmarkStart w:id="230" w:name="_Toc12865"/>
      <w:bookmarkStart w:id="231" w:name="_Toc515647797"/>
      <w:bookmarkStart w:id="232" w:name="_Toc25480"/>
      <w:r>
        <w:rPr>
          <w:rFonts w:hint="eastAsia" w:ascii="微软雅黑" w:hAnsi="微软雅黑" w:eastAsia="微软雅黑" w:cs="微软雅黑"/>
          <w:color w:val="auto"/>
          <w:sz w:val="22"/>
          <w:szCs w:val="22"/>
          <w:highlight w:val="none"/>
          <w:u w:val="none"/>
        </w:rPr>
        <w:t>35.人员回避</w:t>
      </w:r>
      <w:bookmarkEnd w:id="229"/>
      <w:bookmarkEnd w:id="230"/>
      <w:bookmarkEnd w:id="231"/>
      <w:bookmarkEnd w:id="232"/>
    </w:p>
    <w:p w14:paraId="61061CC1">
      <w:pPr>
        <w:spacing w:line="440" w:lineRule="exact"/>
        <w:ind w:left="825" w:hanging="825" w:hangingChars="375"/>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供应商认为采购人员及其相关人员有法律法规所列与其他供应商有利害关系的，可以向采购人或采购代理机构书面提出回避申请，并说明理由。</w:t>
      </w:r>
    </w:p>
    <w:p w14:paraId="5EE489A5">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36.质疑与接收</w:t>
      </w:r>
    </w:p>
    <w:p w14:paraId="175BA09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995075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26855318">
      <w:pPr>
        <w:keepNext w:val="0"/>
        <w:keepLines w:val="0"/>
        <w:pageBreakBefore w:val="0"/>
        <w:widowControl w:val="0"/>
        <w:kinsoku/>
        <w:wordWrap/>
        <w:overflowPunct/>
        <w:topLinePunct w:val="0"/>
        <w:autoSpaceDE/>
        <w:autoSpaceDN/>
        <w:bidi w:val="0"/>
        <w:adjustRightInd/>
        <w:snapToGrid/>
        <w:spacing w:line="440" w:lineRule="exact"/>
        <w:ind w:left="840" w:leftChars="400" w:firstLine="0" w:firstLineChars="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超出法定质疑期的、重复提出的、分次提出的或内容、形式不符合《政府采购质疑和投诉办法》的，质疑供应商将依法承担不利后果。</w:t>
      </w:r>
    </w:p>
    <w:p w14:paraId="5AD60BF1">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36.3    采购代理机构质疑函接收部门、联系电话和通讯地址， 见</w:t>
      </w:r>
      <w:r>
        <w:rPr>
          <w:rFonts w:hint="eastAsia" w:ascii="微软雅黑" w:hAnsi="微软雅黑" w:eastAsia="微软雅黑" w:cs="微软雅黑"/>
          <w:b/>
          <w:bCs/>
          <w:color w:val="auto"/>
          <w:sz w:val="22"/>
          <w:szCs w:val="22"/>
          <w:highlight w:val="none"/>
          <w:u w:val="single"/>
        </w:rPr>
        <w:t>供应商须知资料表</w:t>
      </w:r>
      <w:r>
        <w:rPr>
          <w:rFonts w:hint="eastAsia" w:ascii="微软雅黑" w:hAnsi="微软雅黑" w:eastAsia="微软雅黑" w:cs="微软雅黑"/>
          <w:color w:val="auto"/>
          <w:sz w:val="22"/>
          <w:szCs w:val="22"/>
          <w:highlight w:val="none"/>
        </w:rPr>
        <w:t>。</w:t>
      </w:r>
    </w:p>
    <w:p w14:paraId="27397C81">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37.</w:t>
      </w:r>
      <w:r>
        <w:rPr>
          <w:rFonts w:hint="eastAsia" w:ascii="微软雅黑" w:hAnsi="微软雅黑" w:eastAsia="微软雅黑" w:cs="微软雅黑"/>
          <w:b/>
          <w:bCs/>
          <w:color w:val="auto"/>
          <w:sz w:val="22"/>
          <w:szCs w:val="22"/>
          <w:highlight w:val="none"/>
        </w:rPr>
        <w:t>质疑的提出</w:t>
      </w:r>
    </w:p>
    <w:p w14:paraId="6231EB45">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   本采购文件中所称质疑及答复，是指参加本次采购活动的供应商对政府采购活动中的采购文件、采购过程和中标结果向采购方提出质疑，采购方答复质疑的行为。</w:t>
      </w:r>
    </w:p>
    <w:p w14:paraId="3A69A15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67554A4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（一）对可以质疑的采购文件提出质疑的，为收到采购文件之日或者采购文件公告期限届满之日；</w:t>
      </w:r>
    </w:p>
    <w:p w14:paraId="3E53972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（二）对采购过程提出质疑的，为各采购程序环节结束之日；</w:t>
      </w:r>
    </w:p>
    <w:p w14:paraId="52067BE5">
      <w:pPr>
        <w:spacing w:line="440" w:lineRule="exact"/>
        <w:ind w:firstLine="660" w:firstLineChars="30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（三）对中标结果提出质疑的，为中标结果公告期限届满之日。</w:t>
      </w:r>
    </w:p>
    <w:p w14:paraId="3C295D1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37.3   对可以质疑的采购文件提出质疑的，质疑人为参与本项目的报价方或潜在报价方。可质疑的文件为采购公告以及采购文件（包括属于其组成部分的澄清、修改、补充文件和评审标准、合同文本等）。</w:t>
      </w:r>
    </w:p>
    <w:p w14:paraId="045DE96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48D128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   提出质疑应当符合下列条件：</w:t>
      </w:r>
    </w:p>
    <w:p w14:paraId="678C202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（一）质疑主体应当符合有关规定；</w:t>
      </w:r>
    </w:p>
    <w:p w14:paraId="7865C49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（二）在质疑法定期限内提出；</w:t>
      </w:r>
    </w:p>
    <w:p w14:paraId="61966BB1">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（三）属于可以提出质疑的政府采购事项受理范围和本项目采购人的管辖权范围；</w:t>
      </w:r>
    </w:p>
    <w:p w14:paraId="404EAE8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（四）政府采购法律、法规、规章规定的其他条件。</w:t>
      </w:r>
    </w:p>
    <w:p w14:paraId="4B6E1D74">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3F1A4A7">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37.7   质疑人所提供的证明材料应当具有真实性、合法性以及与质疑事项的关联性和证明力，否则不能作为认定该质疑事项成立的依据。</w:t>
      </w:r>
    </w:p>
    <w:p w14:paraId="1AB9CB72">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37.8   质疑人提出质疑时应当提交质疑函。质疑函包括下列内容：</w:t>
      </w:r>
    </w:p>
    <w:p w14:paraId="7E6E173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（一）提出质疑的质疑人的名称、地址、邮编、联系人及联系电话等；</w:t>
      </w:r>
    </w:p>
    <w:p w14:paraId="0574C90D">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（二）质疑项目的名称、编号；</w:t>
      </w:r>
    </w:p>
    <w:p w14:paraId="69B85EA7">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（三）质疑事项；</w:t>
      </w:r>
    </w:p>
    <w:p w14:paraId="5AEB7A02">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（四）事实依据和证明材料；</w:t>
      </w:r>
    </w:p>
    <w:p w14:paraId="35E637E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（五）法律依据；</w:t>
      </w:r>
    </w:p>
    <w:p w14:paraId="4949617A">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（六）提出质疑的日期。</w:t>
      </w:r>
    </w:p>
    <w:p w14:paraId="176C0C74">
      <w:pPr>
        <w:spacing w:line="440" w:lineRule="exact"/>
        <w:ind w:left="958" w:leftChars="456" w:firstLine="55" w:firstLineChars="2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E501986">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37.9   质疑人可以委托代理人进行质疑。代理人应当提交授权委托书。授权委托书应当载明委托代理的具体权限、期限和相关事项。</w:t>
      </w:r>
    </w:p>
    <w:p w14:paraId="3D35EBBF">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37.10   质疑的审查和受理。采购方在收到质疑函后应当及时审查是否符合质疑受理条件，对符合质疑受理条件的，及时予以受理。</w:t>
      </w:r>
    </w:p>
    <w:p w14:paraId="69EDC7F3">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37.11    对不符合质疑受理条件的，分别按照下列不同情形予以处理：</w:t>
      </w:r>
    </w:p>
    <w:p w14:paraId="5438752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（一）质疑函内容不符合规定的，告知质疑人进行修改并重新提出质疑。修改后质疑事项仍不具体、不明确或者最终递交质疑函的时间超过质疑法定期限的，不予受理；</w:t>
      </w:r>
    </w:p>
    <w:p w14:paraId="3EEE9C96">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（二）质疑主体不符合有关规定的，告知质疑人不予受理；</w:t>
      </w:r>
    </w:p>
    <w:p w14:paraId="1D78CA8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（三）超过质疑法定期限提出质疑的，告知质疑人不予受理；</w:t>
      </w:r>
    </w:p>
    <w:p w14:paraId="38DCC4E3">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（四）对不属于可以提出质疑的政府采购事项提出质疑的，告知质疑人不予受理；</w:t>
      </w:r>
    </w:p>
    <w:p w14:paraId="03A9FA45">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（五）质疑不属于本项目采购方管辖的，告知质疑人向有管辖权的采购人提出质疑；</w:t>
      </w:r>
    </w:p>
    <w:p w14:paraId="6BD665BC">
      <w:pPr>
        <w:spacing w:line="440" w:lineRule="exact"/>
        <w:ind w:left="883" w:leftChars="342" w:hanging="165" w:hangingChars="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（六）质疑不符合其他条件的，告知质疑人不予受理。</w:t>
      </w:r>
    </w:p>
    <w:p w14:paraId="196649BC">
      <w:pPr>
        <w:spacing w:line="440" w:lineRule="exact"/>
        <w:ind w:left="825" w:hanging="825" w:hangingChars="375"/>
        <w:jc w:val="left"/>
        <w:outlineLvl w:val="2"/>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38.质疑的处理和答复</w:t>
      </w:r>
    </w:p>
    <w:p w14:paraId="1E52080E">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采购方受理质疑后，将及时把质疑函发送给被质疑人，并要求其在一定限期内提交书面答复，同时提供有关证据、依据和相关材料。</w:t>
      </w:r>
    </w:p>
    <w:p w14:paraId="4EEC08A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38.1    对于质疑事项中涉及的问题较多、情况比较复杂的，为了全面查清事实、取得充分的证据，采购方认为有必要时，可以进行调查取证或者组织质证。</w:t>
      </w:r>
    </w:p>
    <w:p w14:paraId="5F9F3BB9">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38.2  对评审过程、中标结果提出质疑的，采购方可以组织原评审委员会协助答复质疑。</w:t>
      </w:r>
    </w:p>
    <w:p w14:paraId="513E6EAD">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38.3  质疑处理过程中，质疑人书面申请撤回质疑的，将终止质疑处理程序。</w:t>
      </w:r>
    </w:p>
    <w:p w14:paraId="2AEAC1E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38.4 质疑人拒绝配合采购方依法对质疑进行调查处理的，采购方将按质疑人自动撤回质疑处理；被质疑人拒绝配合采购方依法对质疑进行调查处理的，采购方将视同其认可质疑事项。</w:t>
      </w:r>
    </w:p>
    <w:p w14:paraId="4F3EB3D0">
      <w:pPr>
        <w:spacing w:line="440" w:lineRule="exact"/>
        <w:ind w:left="825" w:hanging="825" w:hangingChars="375"/>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 xml:space="preserve">  采购方将在正式受理质疑后7个工作日内作出答复。</w:t>
      </w:r>
    </w:p>
    <w:p w14:paraId="1575D0F2">
      <w:pPr>
        <w:pStyle w:val="54"/>
        <w:spacing w:line="440" w:lineRule="exact"/>
        <w:ind w:left="0" w:leftChars="0" w:firstLine="0" w:firstLineChars="0"/>
        <w:jc w:val="both"/>
        <w:rPr>
          <w:rFonts w:ascii="微软雅黑" w:hAnsi="微软雅黑" w:eastAsia="微软雅黑" w:cs="微软雅黑"/>
          <w:color w:val="auto"/>
          <w:sz w:val="22"/>
          <w:szCs w:val="22"/>
          <w:highlight w:val="none"/>
        </w:rPr>
      </w:pPr>
      <w:bookmarkStart w:id="233" w:name="_Toc12696"/>
      <w:bookmarkStart w:id="234" w:name="_Toc24278"/>
      <w:bookmarkStart w:id="235" w:name="_Toc13704"/>
      <w:bookmarkStart w:id="236" w:name="_Toc1795"/>
      <w:bookmarkStart w:id="237" w:name="_Toc19032"/>
      <w:bookmarkStart w:id="238" w:name="_Toc68"/>
      <w:bookmarkStart w:id="239" w:name="_Toc7506"/>
      <w:bookmarkStart w:id="240" w:name="_Toc28402"/>
      <w:bookmarkStart w:id="241" w:name="_Toc21157"/>
      <w:bookmarkStart w:id="242" w:name="_Toc25913"/>
      <w:bookmarkStart w:id="243" w:name="_Toc7305"/>
      <w:bookmarkStart w:id="244" w:name="_Toc30841"/>
      <w:bookmarkStart w:id="245" w:name="_Toc25551"/>
      <w:r>
        <w:rPr>
          <w:rFonts w:hint="eastAsia" w:ascii="微软雅黑" w:hAnsi="微软雅黑" w:eastAsia="微软雅黑" w:cs="微软雅黑"/>
          <w:color w:val="auto"/>
          <w:sz w:val="22"/>
          <w:szCs w:val="22"/>
          <w:highlight w:val="none"/>
        </w:rPr>
        <w:t>38.</w:t>
      </w:r>
      <w:r>
        <w:rPr>
          <w:rFonts w:hint="eastAsia" w:ascii="微软雅黑" w:hAnsi="微软雅黑" w:eastAsia="微软雅黑" w:cs="微软雅黑"/>
          <w:color w:val="auto"/>
          <w:sz w:val="22"/>
          <w:szCs w:val="22"/>
          <w:highlight w:val="none"/>
          <w:lang w:val="en-US" w:eastAsia="zh-CN"/>
        </w:rPr>
        <w:t>6</w:t>
      </w:r>
      <w:r>
        <w:rPr>
          <w:rFonts w:hint="eastAsia" w:ascii="微软雅黑" w:hAnsi="微软雅黑" w:eastAsia="微软雅黑" w:cs="微软雅黑"/>
          <w:color w:val="auto"/>
          <w:sz w:val="22"/>
          <w:szCs w:val="22"/>
          <w:highlight w:val="none"/>
        </w:rPr>
        <w:t xml:space="preserve">  质疑答复应当包括下列内容：</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77432986">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46" w:name="_Toc14025"/>
      <w:bookmarkStart w:id="247" w:name="_Toc24857"/>
      <w:bookmarkStart w:id="248" w:name="_Toc14999"/>
      <w:bookmarkStart w:id="249" w:name="_Toc26125"/>
      <w:bookmarkStart w:id="250" w:name="_Toc137"/>
      <w:bookmarkStart w:id="251" w:name="_Toc25836"/>
      <w:bookmarkStart w:id="252" w:name="_Toc27598"/>
      <w:bookmarkStart w:id="253" w:name="_Toc15502"/>
      <w:bookmarkStart w:id="254" w:name="_Toc27"/>
      <w:bookmarkStart w:id="255" w:name="_Toc17168"/>
      <w:bookmarkStart w:id="256" w:name="_Toc1951"/>
      <w:bookmarkStart w:id="257" w:name="_Toc18137"/>
      <w:bookmarkStart w:id="258" w:name="_Toc19393"/>
      <w:r>
        <w:rPr>
          <w:rFonts w:hint="eastAsia" w:ascii="微软雅黑" w:hAnsi="微软雅黑" w:eastAsia="微软雅黑" w:cs="微软雅黑"/>
          <w:color w:val="auto"/>
          <w:sz w:val="22"/>
          <w:szCs w:val="22"/>
          <w:highlight w:val="none"/>
        </w:rPr>
        <w:t>（一）质疑人的姓名或者名称；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066BC008">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59" w:name="_Toc14680"/>
      <w:bookmarkStart w:id="260" w:name="_Toc3660"/>
      <w:bookmarkStart w:id="261" w:name="_Toc5588"/>
      <w:bookmarkStart w:id="262" w:name="_Toc6271"/>
      <w:bookmarkStart w:id="263" w:name="_Toc23335"/>
      <w:bookmarkStart w:id="264" w:name="_Toc27601"/>
      <w:bookmarkStart w:id="265" w:name="_Toc25555"/>
      <w:bookmarkStart w:id="266" w:name="_Toc16472"/>
      <w:bookmarkStart w:id="267" w:name="_Toc24536"/>
      <w:bookmarkStart w:id="268" w:name="_Toc58"/>
      <w:bookmarkStart w:id="269" w:name="_Toc27255"/>
      <w:bookmarkStart w:id="270" w:name="_Toc30326"/>
      <w:bookmarkStart w:id="271" w:name="_Toc27320"/>
      <w:r>
        <w:rPr>
          <w:rFonts w:hint="eastAsia" w:ascii="微软雅黑" w:hAnsi="微软雅黑" w:eastAsia="微软雅黑" w:cs="微软雅黑"/>
          <w:color w:val="auto"/>
          <w:sz w:val="22"/>
          <w:szCs w:val="22"/>
          <w:highlight w:val="none"/>
        </w:rPr>
        <w:t>（二）收到质疑函的日期、质疑项目名称及编号；</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6F0A261">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72" w:name="_Toc15439"/>
      <w:bookmarkStart w:id="273" w:name="_Toc14216"/>
      <w:bookmarkStart w:id="274" w:name="_Toc6523"/>
      <w:bookmarkStart w:id="275" w:name="_Toc24109"/>
      <w:bookmarkStart w:id="276" w:name="_Toc31005"/>
      <w:bookmarkStart w:id="277" w:name="_Toc6167"/>
      <w:bookmarkStart w:id="278" w:name="_Toc25292"/>
      <w:bookmarkStart w:id="279" w:name="_Toc1732"/>
      <w:bookmarkStart w:id="280" w:name="_Toc19386"/>
      <w:bookmarkStart w:id="281" w:name="_Toc2597"/>
      <w:bookmarkStart w:id="282" w:name="_Toc5273"/>
      <w:bookmarkStart w:id="283" w:name="_Toc26190"/>
      <w:bookmarkStart w:id="284" w:name="_Toc31036"/>
      <w:r>
        <w:rPr>
          <w:rFonts w:hint="eastAsia" w:ascii="微软雅黑" w:hAnsi="微软雅黑" w:eastAsia="微软雅黑" w:cs="微软雅黑"/>
          <w:color w:val="auto"/>
          <w:sz w:val="22"/>
          <w:szCs w:val="22"/>
          <w:highlight w:val="none"/>
        </w:rPr>
        <w:t>（三）质疑事项、质疑答复的具体内容、事实依据和法律依据；</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5A4A8DAA">
      <w:pPr>
        <w:pStyle w:val="54"/>
        <w:spacing w:line="440" w:lineRule="exact"/>
        <w:ind w:left="860" w:hanging="440"/>
        <w:jc w:val="lef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bookmarkStart w:id="285" w:name="_Toc5782"/>
      <w:bookmarkStart w:id="286" w:name="_Toc10962"/>
      <w:bookmarkStart w:id="287" w:name="_Toc22889"/>
      <w:bookmarkStart w:id="288" w:name="_Toc31736"/>
      <w:bookmarkStart w:id="289" w:name="_Toc26627"/>
      <w:bookmarkStart w:id="290" w:name="_Toc18547"/>
      <w:bookmarkStart w:id="291" w:name="_Toc2571"/>
      <w:bookmarkStart w:id="292" w:name="_Toc15772"/>
      <w:bookmarkStart w:id="293" w:name="_Toc22871"/>
      <w:bookmarkStart w:id="294" w:name="_Toc12907"/>
      <w:bookmarkStart w:id="295" w:name="_Toc11908"/>
      <w:bookmarkStart w:id="296" w:name="_Toc15075"/>
      <w:bookmarkStart w:id="297" w:name="_Toc30282"/>
      <w:r>
        <w:rPr>
          <w:rFonts w:hint="eastAsia" w:ascii="微软雅黑" w:hAnsi="微软雅黑" w:eastAsia="微软雅黑" w:cs="微软雅黑"/>
          <w:color w:val="auto"/>
          <w:sz w:val="22"/>
          <w:szCs w:val="22"/>
          <w:highlight w:val="none"/>
        </w:rPr>
        <w:t>（四）告知质疑供应商依法投诉的权利；</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4808BB43">
      <w:pPr>
        <w:pStyle w:val="54"/>
        <w:spacing w:line="440" w:lineRule="exact"/>
        <w:ind w:left="420" w:firstLine="880" w:firstLineChars="400"/>
        <w:jc w:val="left"/>
        <w:rPr>
          <w:rFonts w:ascii="微软雅黑" w:hAnsi="微软雅黑" w:eastAsia="微软雅黑" w:cs="微软雅黑"/>
          <w:color w:val="auto"/>
          <w:sz w:val="22"/>
          <w:szCs w:val="22"/>
          <w:highlight w:val="none"/>
        </w:rPr>
      </w:pPr>
      <w:bookmarkStart w:id="298" w:name="_Toc22838"/>
      <w:bookmarkStart w:id="299" w:name="_Toc22758"/>
      <w:bookmarkStart w:id="300" w:name="_Toc15854"/>
      <w:bookmarkStart w:id="301" w:name="_Toc1209"/>
      <w:bookmarkStart w:id="302" w:name="_Toc14110"/>
      <w:bookmarkStart w:id="303" w:name="_Toc4240"/>
      <w:bookmarkStart w:id="304" w:name="_Toc13275"/>
      <w:bookmarkStart w:id="305" w:name="_Toc29931"/>
      <w:bookmarkStart w:id="306" w:name="_Toc11503"/>
      <w:bookmarkStart w:id="307" w:name="_Toc23567"/>
      <w:bookmarkStart w:id="308" w:name="_Toc13933"/>
      <w:bookmarkStart w:id="309" w:name="_Toc30630"/>
      <w:bookmarkStart w:id="310" w:name="_Toc15258"/>
      <w:r>
        <w:rPr>
          <w:rFonts w:hint="eastAsia" w:ascii="微软雅黑" w:hAnsi="微软雅黑" w:eastAsia="微软雅黑" w:cs="微软雅黑"/>
          <w:color w:val="auto"/>
          <w:sz w:val="22"/>
          <w:szCs w:val="22"/>
          <w:highlight w:val="none"/>
        </w:rPr>
        <w:t>（五）质疑答复人名称；</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6336133B">
      <w:pPr>
        <w:keepNext w:val="0"/>
        <w:keepLines w:val="0"/>
        <w:pageBreakBefore w:val="0"/>
        <w:kinsoku/>
        <w:wordWrap/>
        <w:overflowPunct/>
        <w:topLinePunct w:val="0"/>
        <w:autoSpaceDE/>
        <w:autoSpaceDN/>
        <w:bidi w:val="0"/>
        <w:spacing w:line="360" w:lineRule="exact"/>
        <w:ind w:left="718" w:leftChars="342" w:firstLine="220" w:firstLineChars="1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（六）答复质疑的日期。</w:t>
      </w:r>
    </w:p>
    <w:p w14:paraId="1E62ACF5">
      <w:pPr>
        <w:keepNext w:val="0"/>
        <w:keepLines w:val="0"/>
        <w:pageBreakBefore w:val="0"/>
        <w:kinsoku/>
        <w:wordWrap/>
        <w:overflowPunct/>
        <w:topLinePunct w:val="0"/>
        <w:autoSpaceDE/>
        <w:autoSpaceDN/>
        <w:bidi w:val="0"/>
        <w:spacing w:line="360" w:lineRule="exact"/>
        <w:jc w:val="center"/>
        <w:textAlignment w:val="auto"/>
        <w:outlineLvl w:val="1"/>
        <w:rPr>
          <w:rFonts w:ascii="微软雅黑" w:hAnsi="微软雅黑" w:eastAsia="微软雅黑" w:cs="微软雅黑"/>
          <w:b/>
          <w:bCs/>
          <w:color w:val="auto"/>
          <w:sz w:val="22"/>
          <w:szCs w:val="22"/>
          <w:highlight w:val="none"/>
        </w:rPr>
      </w:pPr>
      <w:bookmarkStart w:id="311" w:name="_Toc23939"/>
      <w:bookmarkStart w:id="312" w:name="_Toc25761"/>
      <w:bookmarkStart w:id="313" w:name="_Toc2845"/>
      <w:bookmarkStart w:id="314" w:name="_Toc7782"/>
      <w:bookmarkStart w:id="315" w:name="_Toc11452"/>
      <w:bookmarkStart w:id="316" w:name="_Toc7867"/>
      <w:bookmarkStart w:id="317" w:name="_Toc24430"/>
      <w:bookmarkStart w:id="318" w:name="_Toc15048"/>
      <w:bookmarkStart w:id="319" w:name="_Toc25296"/>
      <w:bookmarkStart w:id="320" w:name="_Toc32307"/>
      <w:bookmarkStart w:id="321" w:name="_Toc12854"/>
      <w:bookmarkStart w:id="322" w:name="_Toc20680"/>
      <w:bookmarkStart w:id="323" w:name="_Toc13444"/>
      <w:bookmarkStart w:id="324" w:name="_Toc2251"/>
      <w:bookmarkStart w:id="325" w:name="_Toc8078"/>
      <w:bookmarkStart w:id="326" w:name="_Toc2335"/>
      <w:bookmarkStart w:id="327" w:name="_Toc28257"/>
      <w:bookmarkStart w:id="328" w:name="_Toc11563"/>
      <w:bookmarkStart w:id="329" w:name="_Toc16467"/>
      <w:bookmarkStart w:id="330" w:name="_Toc435"/>
      <w:bookmarkStart w:id="331" w:name="_Toc27462"/>
      <w:bookmarkStart w:id="332" w:name="_Toc3750"/>
      <w:bookmarkStart w:id="333" w:name="_Toc11576"/>
      <w:bookmarkStart w:id="334" w:name="_Toc4329"/>
      <w:bookmarkStart w:id="335" w:name="_Toc4670"/>
      <w:bookmarkStart w:id="336" w:name="_Toc19540"/>
      <w:bookmarkStart w:id="337" w:name="_Toc11739"/>
      <w:bookmarkStart w:id="338" w:name="_Toc27626"/>
      <w:bookmarkStart w:id="339" w:name="_Toc19724"/>
      <w:bookmarkStart w:id="340" w:name="_Toc12135"/>
      <w:bookmarkStart w:id="341" w:name="_Toc30870"/>
      <w:bookmarkStart w:id="342" w:name="_Toc32151"/>
      <w:bookmarkStart w:id="343" w:name="_Toc9773"/>
      <w:bookmarkStart w:id="344" w:name="_Toc20927"/>
      <w:bookmarkStart w:id="345" w:name="_Toc29161"/>
      <w:r>
        <w:rPr>
          <w:rFonts w:hint="eastAsia" w:ascii="微软雅黑" w:hAnsi="微软雅黑" w:eastAsia="微软雅黑" w:cs="微软雅黑"/>
          <w:b/>
          <w:bCs/>
          <w:color w:val="auto"/>
          <w:sz w:val="22"/>
          <w:szCs w:val="22"/>
          <w:highlight w:val="none"/>
        </w:rPr>
        <w:t>质疑函范本</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E245FD8">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346" w:name="_Toc9491"/>
      <w:bookmarkStart w:id="347" w:name="_Toc9536"/>
      <w:bookmarkStart w:id="348" w:name="_Toc7313"/>
      <w:bookmarkStart w:id="349" w:name="_Toc3250"/>
      <w:bookmarkStart w:id="350" w:name="_Toc17444"/>
      <w:bookmarkStart w:id="351" w:name="_Toc15234"/>
      <w:bookmarkStart w:id="352" w:name="_Toc13616"/>
      <w:bookmarkStart w:id="353" w:name="_Toc24065"/>
      <w:bookmarkStart w:id="354" w:name="_Toc13287"/>
      <w:bookmarkStart w:id="355" w:name="_Toc9787"/>
      <w:bookmarkStart w:id="356" w:name="_Toc4348"/>
      <w:bookmarkStart w:id="357" w:name="_Toc6833"/>
      <w:bookmarkStart w:id="358" w:name="_Toc24926"/>
      <w:bookmarkStart w:id="359" w:name="_Toc12932"/>
      <w:bookmarkStart w:id="360" w:name="_Toc31020"/>
      <w:bookmarkStart w:id="361" w:name="_Toc10187"/>
      <w:bookmarkStart w:id="362" w:name="_Toc29534"/>
      <w:bookmarkStart w:id="363" w:name="_Toc24391"/>
      <w:bookmarkStart w:id="364" w:name="_Toc32439"/>
      <w:bookmarkStart w:id="365" w:name="_Toc7517"/>
      <w:bookmarkStart w:id="366" w:name="_Toc28837"/>
      <w:bookmarkStart w:id="367" w:name="_Toc23190"/>
      <w:bookmarkStart w:id="368" w:name="_Toc23599"/>
      <w:bookmarkStart w:id="369" w:name="_Toc25883"/>
      <w:bookmarkStart w:id="370" w:name="_Toc5228"/>
      <w:bookmarkStart w:id="371" w:name="_Toc26321"/>
      <w:bookmarkStart w:id="372" w:name="_Toc3356"/>
      <w:bookmarkStart w:id="373" w:name="_Toc13890"/>
      <w:bookmarkStart w:id="374" w:name="_Toc8620"/>
      <w:bookmarkStart w:id="375" w:name="_Toc18345"/>
      <w:bookmarkStart w:id="376" w:name="_Toc14896"/>
      <w:bookmarkStart w:id="377" w:name="_Toc20504"/>
      <w:bookmarkStart w:id="378" w:name="_Toc28797"/>
      <w:bookmarkStart w:id="379" w:name="_Toc7044"/>
      <w:bookmarkStart w:id="380" w:name="_Toc22805"/>
      <w:bookmarkStart w:id="381" w:name="_Toc13218"/>
      <w:r>
        <w:rPr>
          <w:rFonts w:hint="eastAsia" w:ascii="微软雅黑" w:hAnsi="微软雅黑" w:eastAsia="微软雅黑" w:cs="微软雅黑"/>
          <w:color w:val="auto"/>
          <w:sz w:val="22"/>
          <w:szCs w:val="22"/>
          <w:highlight w:val="none"/>
        </w:rPr>
        <w:t>一、质疑供应商基本信息</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3DCA8EA">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质疑供应商：</w:t>
      </w:r>
      <w:r>
        <w:rPr>
          <w:rFonts w:hint="eastAsia" w:ascii="微软雅黑" w:hAnsi="微软雅黑" w:eastAsia="微软雅黑" w:cs="微软雅黑"/>
          <w:color w:val="auto"/>
          <w:sz w:val="22"/>
          <w:szCs w:val="22"/>
          <w:highlight w:val="none"/>
          <w:u w:val="dotted"/>
        </w:rPr>
        <w:t xml:space="preserve">                                        </w:t>
      </w:r>
    </w:p>
    <w:p w14:paraId="08E20452">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135B746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p>
    <w:p w14:paraId="45E65689">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授权代表：</w:t>
      </w:r>
      <w:r>
        <w:rPr>
          <w:rFonts w:hint="eastAsia" w:ascii="微软雅黑" w:hAnsi="微软雅黑" w:eastAsia="微软雅黑" w:cs="微软雅黑"/>
          <w:color w:val="auto"/>
          <w:sz w:val="22"/>
          <w:szCs w:val="22"/>
          <w:highlight w:val="none"/>
          <w:u w:val="dotted"/>
        </w:rPr>
        <w:t xml:space="preserve">                                          </w:t>
      </w:r>
    </w:p>
    <w:p w14:paraId="7690DB7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 xml:space="preserve"> </w:t>
      </w:r>
    </w:p>
    <w:p w14:paraId="3394470C">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地址： </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邮编：</w:t>
      </w:r>
      <w:r>
        <w:rPr>
          <w:rFonts w:hint="eastAsia" w:ascii="微软雅黑" w:hAnsi="微软雅黑" w:eastAsia="微软雅黑" w:cs="微软雅黑"/>
          <w:color w:val="auto"/>
          <w:sz w:val="22"/>
          <w:szCs w:val="22"/>
          <w:highlight w:val="none"/>
          <w:u w:val="dotted"/>
        </w:rPr>
        <w:t xml:space="preserve">                                                </w:t>
      </w:r>
    </w:p>
    <w:p w14:paraId="0F3E408D">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382" w:name="_Toc11512"/>
      <w:bookmarkStart w:id="383" w:name="_Toc26704"/>
      <w:bookmarkStart w:id="384" w:name="_Toc663"/>
      <w:bookmarkStart w:id="385" w:name="_Toc17229"/>
      <w:bookmarkStart w:id="386" w:name="_Toc8393"/>
      <w:bookmarkStart w:id="387" w:name="_Toc20123"/>
      <w:bookmarkStart w:id="388" w:name="_Toc17094"/>
      <w:bookmarkStart w:id="389" w:name="_Toc21282"/>
      <w:bookmarkStart w:id="390" w:name="_Toc13274"/>
      <w:bookmarkStart w:id="391" w:name="_Toc17897"/>
      <w:bookmarkStart w:id="392" w:name="_Toc226"/>
      <w:bookmarkStart w:id="393" w:name="_Toc28970"/>
      <w:bookmarkStart w:id="394" w:name="_Toc13889"/>
      <w:bookmarkStart w:id="395" w:name="_Toc32219"/>
      <w:bookmarkStart w:id="396" w:name="_Toc12179"/>
      <w:bookmarkStart w:id="397" w:name="_Toc74"/>
      <w:bookmarkStart w:id="398" w:name="_Toc2978"/>
      <w:bookmarkStart w:id="399" w:name="_Toc30222"/>
      <w:bookmarkStart w:id="400" w:name="_Toc4409"/>
      <w:bookmarkStart w:id="401" w:name="_Toc14841"/>
      <w:bookmarkStart w:id="402" w:name="_Toc31363"/>
      <w:bookmarkStart w:id="403" w:name="_Toc29791"/>
      <w:bookmarkStart w:id="404" w:name="_Toc12702"/>
      <w:bookmarkStart w:id="405" w:name="_Toc26685"/>
      <w:bookmarkStart w:id="406" w:name="_Toc25142"/>
      <w:bookmarkStart w:id="407" w:name="_Toc21513"/>
      <w:bookmarkStart w:id="408" w:name="_Toc13662"/>
      <w:bookmarkStart w:id="409" w:name="_Toc32138"/>
      <w:bookmarkStart w:id="410" w:name="_Toc14030"/>
      <w:bookmarkStart w:id="411" w:name="_Toc32083"/>
      <w:bookmarkStart w:id="412" w:name="_Toc9221"/>
      <w:bookmarkStart w:id="413" w:name="_Toc27681"/>
      <w:bookmarkStart w:id="414" w:name="_Toc12957"/>
      <w:bookmarkStart w:id="415" w:name="_Toc4127"/>
      <w:bookmarkStart w:id="416" w:name="_Toc3694"/>
      <w:bookmarkStart w:id="417" w:name="_Toc21544"/>
      <w:r>
        <w:rPr>
          <w:rFonts w:hint="eastAsia" w:ascii="微软雅黑" w:hAnsi="微软雅黑" w:eastAsia="微软雅黑" w:cs="微软雅黑"/>
          <w:color w:val="auto"/>
          <w:sz w:val="22"/>
          <w:szCs w:val="22"/>
          <w:highlight w:val="none"/>
        </w:rPr>
        <w:t>二、质疑项目基本情况</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40591CA">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质疑项目的名称：</w:t>
      </w:r>
      <w:r>
        <w:rPr>
          <w:rFonts w:hint="eastAsia" w:ascii="微软雅黑" w:hAnsi="微软雅黑" w:eastAsia="微软雅黑" w:cs="微软雅黑"/>
          <w:color w:val="auto"/>
          <w:sz w:val="22"/>
          <w:szCs w:val="22"/>
          <w:highlight w:val="none"/>
          <w:u w:val="dotted"/>
        </w:rPr>
        <w:t xml:space="preserve">                                      </w:t>
      </w:r>
    </w:p>
    <w:p w14:paraId="6048AC67">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质疑项目的编号：</w:t>
      </w:r>
      <w:r>
        <w:rPr>
          <w:rFonts w:hint="eastAsia" w:ascii="微软雅黑" w:hAnsi="微软雅黑" w:eastAsia="微软雅黑" w:cs="微软雅黑"/>
          <w:color w:val="auto"/>
          <w:sz w:val="22"/>
          <w:szCs w:val="22"/>
          <w:highlight w:val="none"/>
          <w:u w:val="dotted"/>
        </w:rPr>
        <w:t xml:space="preserve">               </w:t>
      </w:r>
      <w:r>
        <w:rPr>
          <w:rFonts w:hint="eastAsia" w:ascii="微软雅黑" w:hAnsi="微软雅黑" w:eastAsia="微软雅黑" w:cs="微软雅黑"/>
          <w:color w:val="auto"/>
          <w:sz w:val="22"/>
          <w:szCs w:val="22"/>
          <w:highlight w:val="none"/>
        </w:rPr>
        <w:t>包号：</w:t>
      </w:r>
      <w:r>
        <w:rPr>
          <w:rFonts w:hint="eastAsia" w:ascii="微软雅黑" w:hAnsi="微软雅黑" w:eastAsia="微软雅黑" w:cs="微软雅黑"/>
          <w:color w:val="auto"/>
          <w:sz w:val="22"/>
          <w:szCs w:val="22"/>
          <w:highlight w:val="none"/>
          <w:u w:val="dotted"/>
        </w:rPr>
        <w:t xml:space="preserve">                 </w:t>
      </w:r>
    </w:p>
    <w:p w14:paraId="101CC3AC">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采购人名称：</w:t>
      </w:r>
      <w:r>
        <w:rPr>
          <w:rFonts w:hint="eastAsia" w:ascii="微软雅黑" w:hAnsi="微软雅黑" w:eastAsia="微软雅黑" w:cs="微软雅黑"/>
          <w:color w:val="auto"/>
          <w:sz w:val="22"/>
          <w:szCs w:val="22"/>
          <w:highlight w:val="none"/>
          <w:u w:val="dotted"/>
        </w:rPr>
        <w:t xml:space="preserve">                                         </w:t>
      </w:r>
    </w:p>
    <w:p w14:paraId="72EE1855">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采购文件获取日期：</w:t>
      </w:r>
      <w:r>
        <w:rPr>
          <w:rFonts w:hint="eastAsia" w:ascii="微软雅黑" w:hAnsi="微软雅黑" w:eastAsia="微软雅黑" w:cs="微软雅黑"/>
          <w:color w:val="auto"/>
          <w:sz w:val="22"/>
          <w:szCs w:val="22"/>
          <w:highlight w:val="none"/>
          <w:u w:val="dotted"/>
        </w:rPr>
        <w:t xml:space="preserve">                                           </w:t>
      </w:r>
    </w:p>
    <w:p w14:paraId="01E06AFB">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418" w:name="_Toc25561"/>
      <w:bookmarkStart w:id="419" w:name="_Toc17609"/>
      <w:bookmarkStart w:id="420" w:name="_Toc16865"/>
      <w:bookmarkStart w:id="421" w:name="_Toc27984"/>
      <w:bookmarkStart w:id="422" w:name="_Toc12401"/>
      <w:bookmarkStart w:id="423" w:name="_Toc4516"/>
      <w:bookmarkStart w:id="424" w:name="_Toc9961"/>
      <w:bookmarkStart w:id="425" w:name="_Toc2701"/>
      <w:bookmarkStart w:id="426" w:name="_Toc9363"/>
      <w:bookmarkStart w:id="427" w:name="_Toc12111"/>
      <w:bookmarkStart w:id="428" w:name="_Toc21764"/>
      <w:bookmarkStart w:id="429" w:name="_Toc3292"/>
      <w:bookmarkStart w:id="430" w:name="_Toc809"/>
      <w:bookmarkStart w:id="431" w:name="_Toc10982"/>
      <w:bookmarkStart w:id="432" w:name="_Toc17475"/>
      <w:bookmarkStart w:id="433" w:name="_Toc12127"/>
      <w:bookmarkStart w:id="434" w:name="_Toc3773"/>
      <w:bookmarkStart w:id="435" w:name="_Toc28889"/>
      <w:bookmarkStart w:id="436" w:name="_Toc11344"/>
      <w:bookmarkStart w:id="437" w:name="_Toc30443"/>
      <w:bookmarkStart w:id="438" w:name="_Toc11713"/>
      <w:bookmarkStart w:id="439" w:name="_Toc6588"/>
      <w:bookmarkStart w:id="440" w:name="_Toc21644"/>
      <w:bookmarkStart w:id="441" w:name="_Toc29141"/>
      <w:bookmarkStart w:id="442" w:name="_Toc23621"/>
      <w:bookmarkStart w:id="443" w:name="_Toc17103"/>
      <w:bookmarkStart w:id="444" w:name="_Toc14879"/>
      <w:bookmarkStart w:id="445" w:name="_Toc4900"/>
      <w:bookmarkStart w:id="446" w:name="_Toc10476"/>
      <w:bookmarkStart w:id="447" w:name="_Toc29781"/>
      <w:bookmarkStart w:id="448" w:name="_Toc4484"/>
      <w:bookmarkStart w:id="449" w:name="_Toc1349"/>
      <w:bookmarkStart w:id="450" w:name="_Toc21917"/>
      <w:bookmarkStart w:id="451" w:name="_Toc11812"/>
      <w:bookmarkStart w:id="452" w:name="_Toc4978"/>
      <w:bookmarkStart w:id="453" w:name="_Toc22928"/>
      <w:r>
        <w:rPr>
          <w:rFonts w:hint="eastAsia" w:ascii="微软雅黑" w:hAnsi="微软雅黑" w:eastAsia="微软雅黑" w:cs="微软雅黑"/>
          <w:color w:val="auto"/>
          <w:sz w:val="22"/>
          <w:szCs w:val="22"/>
          <w:highlight w:val="none"/>
        </w:rPr>
        <w:t>三、质疑事项具体内容</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568C6C3">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质疑事项1：</w:t>
      </w:r>
      <w:r>
        <w:rPr>
          <w:rFonts w:hint="eastAsia" w:ascii="微软雅黑" w:hAnsi="微软雅黑" w:eastAsia="微软雅黑" w:cs="微软雅黑"/>
          <w:color w:val="auto"/>
          <w:sz w:val="22"/>
          <w:szCs w:val="22"/>
          <w:highlight w:val="none"/>
          <w:u w:val="dotted"/>
        </w:rPr>
        <w:t xml:space="preserve">                                         </w:t>
      </w:r>
    </w:p>
    <w:p w14:paraId="24E75660">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事实依据：</w:t>
      </w:r>
      <w:r>
        <w:rPr>
          <w:rFonts w:hint="eastAsia" w:ascii="微软雅黑" w:hAnsi="微软雅黑" w:eastAsia="微软雅黑" w:cs="微软雅黑"/>
          <w:color w:val="auto"/>
          <w:sz w:val="22"/>
          <w:szCs w:val="22"/>
          <w:highlight w:val="none"/>
          <w:u w:val="dotted"/>
        </w:rPr>
        <w:t xml:space="preserve">                                          </w:t>
      </w:r>
    </w:p>
    <w:p w14:paraId="4CCAA5C2">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dotted"/>
        </w:rPr>
        <w:t xml:space="preserve">                                                       </w:t>
      </w:r>
    </w:p>
    <w:p w14:paraId="199F552D">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法律依据：</w:t>
      </w:r>
      <w:r>
        <w:rPr>
          <w:rFonts w:hint="eastAsia" w:ascii="微软雅黑" w:hAnsi="微软雅黑" w:eastAsia="微软雅黑" w:cs="微软雅黑"/>
          <w:color w:val="auto"/>
          <w:sz w:val="22"/>
          <w:szCs w:val="22"/>
          <w:highlight w:val="none"/>
          <w:u w:val="dotted"/>
        </w:rPr>
        <w:t xml:space="preserve">                                          </w:t>
      </w:r>
    </w:p>
    <w:p w14:paraId="0E465AC7">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u w:val="dotted"/>
        </w:rPr>
        <w:t xml:space="preserve">                                                     </w:t>
      </w:r>
    </w:p>
    <w:p w14:paraId="29A63E2F">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质疑事项2</w:t>
      </w:r>
    </w:p>
    <w:p w14:paraId="758B7425">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p>
    <w:p w14:paraId="6BFCE940">
      <w:pPr>
        <w:keepNext w:val="0"/>
        <w:keepLines w:val="0"/>
        <w:pageBreakBefore w:val="0"/>
        <w:kinsoku/>
        <w:wordWrap/>
        <w:overflowPunct/>
        <w:topLinePunct w:val="0"/>
        <w:autoSpaceDE/>
        <w:autoSpaceDN/>
        <w:bidi w:val="0"/>
        <w:adjustRightInd w:val="0"/>
        <w:snapToGrid w:val="0"/>
        <w:spacing w:line="360" w:lineRule="exact"/>
        <w:textAlignment w:val="auto"/>
        <w:outlineLvl w:val="1"/>
        <w:rPr>
          <w:rFonts w:ascii="微软雅黑" w:hAnsi="微软雅黑" w:eastAsia="微软雅黑" w:cs="微软雅黑"/>
          <w:color w:val="auto"/>
          <w:sz w:val="22"/>
          <w:szCs w:val="22"/>
          <w:highlight w:val="none"/>
        </w:rPr>
      </w:pPr>
      <w:bookmarkStart w:id="454" w:name="_Toc13154"/>
      <w:bookmarkStart w:id="455" w:name="_Toc21477"/>
      <w:bookmarkStart w:id="456" w:name="_Toc31962"/>
      <w:bookmarkStart w:id="457" w:name="_Toc20101"/>
      <w:bookmarkStart w:id="458" w:name="_Toc11725"/>
      <w:bookmarkStart w:id="459" w:name="_Toc21526"/>
      <w:bookmarkStart w:id="460" w:name="_Toc11900"/>
      <w:bookmarkStart w:id="461" w:name="_Toc29909"/>
      <w:bookmarkStart w:id="462" w:name="_Toc12717"/>
      <w:bookmarkStart w:id="463" w:name="_Toc17254"/>
      <w:bookmarkStart w:id="464" w:name="_Toc15359"/>
      <w:bookmarkStart w:id="465" w:name="_Toc1118"/>
      <w:bookmarkStart w:id="466" w:name="_Toc6582"/>
      <w:bookmarkStart w:id="467" w:name="_Toc2037"/>
      <w:bookmarkStart w:id="468" w:name="_Toc19561"/>
      <w:bookmarkStart w:id="469" w:name="_Toc15774"/>
      <w:bookmarkStart w:id="470" w:name="_Toc14716"/>
      <w:bookmarkStart w:id="471" w:name="_Toc4583"/>
      <w:bookmarkStart w:id="472" w:name="_Toc30785"/>
      <w:bookmarkStart w:id="473" w:name="_Toc11711"/>
      <w:bookmarkStart w:id="474" w:name="_Toc28825"/>
      <w:bookmarkStart w:id="475" w:name="_Toc8209"/>
      <w:bookmarkStart w:id="476" w:name="_Toc14902"/>
      <w:bookmarkStart w:id="477" w:name="_Toc20492"/>
      <w:bookmarkStart w:id="478" w:name="_Toc1378"/>
      <w:bookmarkStart w:id="479" w:name="_Toc19138"/>
      <w:bookmarkStart w:id="480" w:name="_Toc23756"/>
      <w:bookmarkStart w:id="481" w:name="_Toc11936"/>
      <w:bookmarkStart w:id="482" w:name="_Toc12953"/>
      <w:bookmarkStart w:id="483" w:name="_Toc17471"/>
      <w:bookmarkStart w:id="484" w:name="_Toc25423"/>
      <w:bookmarkStart w:id="485" w:name="_Toc1624"/>
      <w:bookmarkStart w:id="486" w:name="_Toc30617"/>
      <w:bookmarkStart w:id="487" w:name="_Toc19830"/>
      <w:bookmarkStart w:id="488" w:name="_Toc23515"/>
      <w:bookmarkStart w:id="489" w:name="_Toc15655"/>
      <w:r>
        <w:rPr>
          <w:rFonts w:hint="eastAsia" w:ascii="微软雅黑" w:hAnsi="微软雅黑" w:eastAsia="微软雅黑" w:cs="微软雅黑"/>
          <w:color w:val="auto"/>
          <w:sz w:val="22"/>
          <w:szCs w:val="22"/>
          <w:highlight w:val="none"/>
        </w:rPr>
        <w:t>四、与质疑事项相关的质疑请求</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D25BCE9">
      <w:pPr>
        <w:keepNext w:val="0"/>
        <w:keepLines w:val="0"/>
        <w:pageBreakBefore w:val="0"/>
        <w:kinsoku/>
        <w:wordWrap/>
        <w:overflowPunct/>
        <w:topLinePunct w:val="0"/>
        <w:autoSpaceDE/>
        <w:autoSpaceDN/>
        <w:bidi w:val="0"/>
        <w:adjustRightInd w:val="0"/>
        <w:snapToGrid w:val="0"/>
        <w:spacing w:line="360" w:lineRule="exact"/>
        <w:textAlignment w:val="auto"/>
        <w:rPr>
          <w:rFonts w:ascii="微软雅黑" w:hAnsi="微软雅黑" w:eastAsia="微软雅黑" w:cs="微软雅黑"/>
          <w:color w:val="auto"/>
          <w:sz w:val="22"/>
          <w:szCs w:val="22"/>
          <w:highlight w:val="none"/>
          <w:u w:val="dotted"/>
        </w:rPr>
      </w:pPr>
      <w:r>
        <w:rPr>
          <w:rFonts w:hint="eastAsia" w:ascii="微软雅黑" w:hAnsi="微软雅黑" w:eastAsia="微软雅黑" w:cs="微软雅黑"/>
          <w:color w:val="auto"/>
          <w:sz w:val="22"/>
          <w:szCs w:val="22"/>
          <w:highlight w:val="none"/>
        </w:rPr>
        <w:t>请求：</w:t>
      </w:r>
      <w:r>
        <w:rPr>
          <w:rFonts w:hint="eastAsia" w:ascii="微软雅黑" w:hAnsi="微软雅黑" w:eastAsia="微软雅黑" w:cs="微软雅黑"/>
          <w:color w:val="auto"/>
          <w:sz w:val="22"/>
          <w:szCs w:val="22"/>
          <w:highlight w:val="none"/>
          <w:u w:val="dotted"/>
        </w:rPr>
        <w:t xml:space="preserve">                                               </w:t>
      </w:r>
    </w:p>
    <w:p w14:paraId="54E86EAB">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签字（签章）：                   公章：                      </w:t>
      </w:r>
    </w:p>
    <w:p w14:paraId="62C1DCC3">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日期：    </w:t>
      </w:r>
    </w:p>
    <w:p w14:paraId="0F2DEEA1">
      <w:pPr>
        <w:keepNext w:val="0"/>
        <w:keepLines w:val="0"/>
        <w:pageBreakBefore w:val="0"/>
        <w:kinsoku/>
        <w:wordWrap/>
        <w:overflowPunct/>
        <w:topLinePunct w:val="0"/>
        <w:autoSpaceDE/>
        <w:autoSpaceDN/>
        <w:bidi w:val="0"/>
        <w:spacing w:line="360" w:lineRule="exact"/>
        <w:textAlignment w:val="auto"/>
        <w:rPr>
          <w:rFonts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质疑函制作说明：</w:t>
      </w:r>
    </w:p>
    <w:p w14:paraId="69200692">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1.供应商提出质疑时，应提交质疑函和必要的证明材料。</w:t>
      </w:r>
    </w:p>
    <w:p w14:paraId="50B56E49">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2"/>
          <w:szCs w:val="22"/>
          <w:highlight w:val="none"/>
        </w:rPr>
        <w:t>供应商签署的授权委托书。授权委托书应载明代理人的姓名或者名称、代理事项、具体权限、期限和相关事项。</w:t>
      </w:r>
    </w:p>
    <w:p w14:paraId="79F2FAC9">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3.质疑供应商若对项目的某一分包进行质疑，质疑函中应列明具体分包号。</w:t>
      </w:r>
    </w:p>
    <w:p w14:paraId="6DED21C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4.质疑函的质疑事项应具体、明确，并有必要的事实依据和法律依据。</w:t>
      </w:r>
    </w:p>
    <w:p w14:paraId="3DB4FA2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5.质疑函的质疑请求应与质疑事项相关。</w:t>
      </w:r>
    </w:p>
    <w:p w14:paraId="364600AD">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14:paraId="6FB8FC0F">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020A5928">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4FBF8A80">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0F2B9CFA">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607221BB">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7B599AD7">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23A30E91">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25161DAD">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2021AA4E">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微软雅黑" w:hAnsi="微软雅黑" w:eastAsia="微软雅黑" w:cs="微软雅黑"/>
          <w:color w:val="auto"/>
          <w:sz w:val="22"/>
          <w:szCs w:val="22"/>
          <w:highlight w:val="none"/>
        </w:rPr>
      </w:pPr>
    </w:p>
    <w:p w14:paraId="128A16FF">
      <w:pPr>
        <w:pStyle w:val="4"/>
        <w:ind w:left="0" w:leftChars="0" w:firstLine="0" w:firstLineChars="0"/>
        <w:rPr>
          <w:color w:val="auto"/>
          <w:highlight w:val="none"/>
        </w:rPr>
      </w:pPr>
    </w:p>
    <w:p w14:paraId="300F1A18">
      <w:pPr>
        <w:pStyle w:val="2"/>
        <w:spacing w:before="0" w:after="0" w:line="240" w:lineRule="auto"/>
        <w:rPr>
          <w:rFonts w:ascii="微软雅黑" w:hAnsi="微软雅黑" w:eastAsia="微软雅黑" w:cs="微软雅黑"/>
          <w:color w:val="auto"/>
          <w:sz w:val="48"/>
          <w:szCs w:val="48"/>
          <w:highlight w:val="none"/>
        </w:rPr>
      </w:pPr>
      <w:bookmarkStart w:id="490" w:name="_Toc702"/>
      <w:bookmarkStart w:id="491" w:name="_Toc515647802"/>
      <w:bookmarkStart w:id="492" w:name="_Toc29770"/>
      <w:bookmarkStart w:id="493" w:name="_Toc728"/>
      <w:bookmarkStart w:id="494" w:name="_Toc216582812"/>
      <w:bookmarkStart w:id="495" w:name="_Toc317"/>
      <w:r>
        <w:rPr>
          <w:rFonts w:hint="eastAsia" w:ascii="微软雅黑" w:hAnsi="微软雅黑" w:eastAsia="微软雅黑" w:cs="微软雅黑"/>
          <w:color w:val="auto"/>
          <w:highlight w:val="none"/>
        </w:rPr>
        <w:t>第2章   投标文件格式</w:t>
      </w:r>
      <w:bookmarkEnd w:id="490"/>
      <w:bookmarkEnd w:id="491"/>
      <w:bookmarkEnd w:id="492"/>
      <w:bookmarkEnd w:id="493"/>
      <w:bookmarkEnd w:id="494"/>
      <w:bookmarkEnd w:id="495"/>
    </w:p>
    <w:p w14:paraId="716F4F37">
      <w:pPr>
        <w:pStyle w:val="3"/>
        <w:spacing w:before="0" w:line="240" w:lineRule="auto"/>
        <w:ind w:left="1080" w:leftChars="257" w:hanging="540"/>
        <w:rPr>
          <w:rFonts w:ascii="微软雅黑" w:hAnsi="微软雅黑" w:eastAsia="微软雅黑" w:cs="微软雅黑"/>
          <w:color w:val="auto"/>
          <w:kern w:val="2"/>
          <w:sz w:val="24"/>
          <w:szCs w:val="24"/>
          <w:highlight w:val="none"/>
        </w:rPr>
      </w:pPr>
      <w:bookmarkStart w:id="496" w:name="_Toc18974"/>
      <w:bookmarkStart w:id="497" w:name="_Toc22572"/>
      <w:bookmarkStart w:id="498" w:name="_Toc515647803"/>
      <w:bookmarkStart w:id="499" w:name="_Toc13463"/>
      <w:bookmarkStart w:id="500" w:name="_Toc18694"/>
      <w:r>
        <w:rPr>
          <w:rFonts w:hint="eastAsia" w:ascii="微软雅黑" w:hAnsi="微软雅黑" w:eastAsia="微软雅黑" w:cs="微软雅黑"/>
          <w:color w:val="auto"/>
          <w:kern w:val="2"/>
          <w:sz w:val="24"/>
          <w:szCs w:val="24"/>
          <w:highlight w:val="none"/>
        </w:rPr>
        <w:t>第一部分 开标一览表及资格证明文件</w:t>
      </w:r>
      <w:bookmarkEnd w:id="496"/>
      <w:bookmarkEnd w:id="497"/>
      <w:bookmarkEnd w:id="498"/>
      <w:bookmarkEnd w:id="499"/>
      <w:bookmarkEnd w:id="500"/>
    </w:p>
    <w:p w14:paraId="3A9679C1">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1、开标一览表；</w:t>
      </w:r>
    </w:p>
    <w:p w14:paraId="5D0ADE69">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2、符合《中华人民共和国政府采购法》第二十二条的规定,</w:t>
      </w:r>
    </w:p>
    <w:p w14:paraId="1E8321C6">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①</w:t>
      </w:r>
      <w:r>
        <w:rPr>
          <w:rFonts w:hint="eastAsia" w:ascii="微软雅黑" w:hAnsi="微软雅黑" w:eastAsia="微软雅黑" w:cs="微软雅黑"/>
          <w:color w:val="auto"/>
          <w:highlight w:val="none"/>
          <w:lang w:val="en-US" w:eastAsia="zh-CN"/>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r>
        <w:rPr>
          <w:rFonts w:hint="eastAsia" w:ascii="微软雅黑" w:hAnsi="微软雅黑" w:eastAsia="微软雅黑" w:cs="微软雅黑"/>
          <w:color w:val="auto"/>
          <w:highlight w:val="none"/>
          <w:lang w:eastAsia="zh-CN"/>
        </w:rPr>
        <w:t>；</w:t>
      </w:r>
    </w:p>
    <w:p w14:paraId="679F571C">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②</w:t>
      </w:r>
      <w:r>
        <w:rPr>
          <w:rFonts w:hint="eastAsia" w:ascii="微软雅黑" w:hAnsi="微软雅黑" w:eastAsia="微软雅黑" w:cs="微软雅黑"/>
          <w:color w:val="auto"/>
          <w:highlight w:val="none"/>
          <w:lang w:val="en-US" w:eastAsia="zh-CN"/>
        </w:rPr>
        <w:t>供应商为生产商的需提供有效期的《食品生产许可证》；供应商为经销商的需提供有效期《食品经营许可证》或《仅销售预包装食品备案表》；</w:t>
      </w:r>
    </w:p>
    <w:p w14:paraId="5EB47B10">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③</w:t>
      </w:r>
      <w:r>
        <w:rPr>
          <w:rFonts w:hint="eastAsia" w:ascii="微软雅黑" w:hAnsi="微软雅黑" w:eastAsia="微软雅黑" w:cs="微软雅黑"/>
          <w:color w:val="auto"/>
          <w:highlight w:val="none"/>
          <w:lang w:val="en-US" w:eastAsia="zh-CN"/>
        </w:rPr>
        <w:t>授权人参与投标提供法定代表人授权书及被授权人身份证；法人本人参与投标提供法人身份证及法人资格证明</w:t>
      </w:r>
      <w:r>
        <w:rPr>
          <w:rFonts w:hint="eastAsia" w:ascii="微软雅黑" w:hAnsi="微软雅黑" w:eastAsia="微软雅黑" w:cs="微软雅黑"/>
          <w:color w:val="auto"/>
          <w:highlight w:val="none"/>
        </w:rPr>
        <w:t>；</w:t>
      </w:r>
    </w:p>
    <w:p w14:paraId="2227F2ED">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④</w:t>
      </w:r>
      <w:r>
        <w:rPr>
          <w:rFonts w:hint="eastAsia" w:ascii="微软雅黑" w:hAnsi="微软雅黑" w:eastAsia="微软雅黑" w:cs="微软雅黑"/>
          <w:color w:val="auto"/>
          <w:highlight w:val="none"/>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r>
        <w:rPr>
          <w:rFonts w:hint="eastAsia" w:ascii="微软雅黑" w:hAnsi="微软雅黑" w:eastAsia="微软雅黑" w:cs="微软雅黑"/>
          <w:color w:val="auto"/>
          <w:highlight w:val="none"/>
        </w:rPr>
        <w:t>；</w:t>
      </w:r>
    </w:p>
    <w:p w14:paraId="7A602D83">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⑤</w:t>
      </w:r>
      <w:r>
        <w:rPr>
          <w:rFonts w:hint="eastAsia" w:ascii="微软雅黑" w:hAnsi="微软雅黑" w:eastAsia="微软雅黑" w:cs="微软雅黑"/>
          <w:color w:val="auto"/>
          <w:highlight w:val="none"/>
          <w:lang w:val="en-US" w:eastAsia="zh-CN"/>
        </w:rPr>
        <w:t>提供近期（投标截止日期前六个月内任意一个月）依法缴纳税收的证明材料（税务部门出具的完税凭证或缴税证明，新成立公司提供相关证明文件）</w:t>
      </w:r>
      <w:r>
        <w:rPr>
          <w:rFonts w:hint="eastAsia" w:ascii="微软雅黑" w:hAnsi="微软雅黑" w:eastAsia="微软雅黑" w:cs="微软雅黑"/>
          <w:color w:val="auto"/>
          <w:highlight w:val="none"/>
        </w:rPr>
        <w:t>；</w:t>
      </w:r>
    </w:p>
    <w:p w14:paraId="046C14B8">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⑥</w:t>
      </w:r>
      <w:r>
        <w:rPr>
          <w:rFonts w:hint="eastAsia" w:ascii="微软雅黑" w:hAnsi="微软雅黑" w:eastAsia="微软雅黑" w:cs="微软雅黑"/>
          <w:color w:val="auto"/>
          <w:highlight w:val="none"/>
          <w:lang w:val="en-US" w:eastAsia="zh-CN"/>
        </w:rPr>
        <w:t>提供2023 年或2024年的财务审计报告与财务会计制度（新成立的公司近三个月内的银行资信证明与财务会计制度）</w:t>
      </w:r>
      <w:r>
        <w:rPr>
          <w:rFonts w:hint="eastAsia" w:ascii="微软雅黑" w:hAnsi="微软雅黑" w:eastAsia="微软雅黑" w:cs="微软雅黑"/>
          <w:color w:val="auto"/>
          <w:highlight w:val="none"/>
        </w:rPr>
        <w:t>；</w:t>
      </w:r>
    </w:p>
    <w:p w14:paraId="7105F079">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⑦参与政府采购活动前3年内未被列入失信、重大税收违法案件、财政部门禁止参加政府采购活动的承诺书；</w:t>
      </w:r>
    </w:p>
    <w:p w14:paraId="774A6F4A">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⑧提供针对本次项目的反商业贿赂承诺书</w:t>
      </w:r>
      <w:r>
        <w:rPr>
          <w:rFonts w:hint="eastAsia" w:ascii="微软雅黑" w:hAnsi="微软雅黑" w:eastAsia="微软雅黑" w:cs="微软雅黑"/>
          <w:color w:val="auto"/>
          <w:highlight w:val="none"/>
          <w:lang w:eastAsia="zh-CN"/>
        </w:rPr>
        <w:t>；</w:t>
      </w:r>
    </w:p>
    <w:p w14:paraId="68FAB092">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⑨</w:t>
      </w:r>
      <w:r>
        <w:rPr>
          <w:rFonts w:hint="eastAsia" w:ascii="微软雅黑" w:hAnsi="微软雅黑" w:eastAsia="微软雅黑" w:cs="微软雅黑"/>
          <w:color w:val="auto"/>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r>
        <w:rPr>
          <w:rFonts w:hint="eastAsia" w:ascii="微软雅黑" w:hAnsi="微软雅黑" w:eastAsia="微软雅黑" w:cs="微软雅黑"/>
          <w:color w:val="auto"/>
          <w:highlight w:val="none"/>
        </w:rPr>
        <w:t>；</w:t>
      </w:r>
    </w:p>
    <w:p w14:paraId="20C3F79A">
      <w:pPr>
        <w:pStyle w:val="25"/>
        <w:keepNext w:val="0"/>
        <w:keepLines w:val="0"/>
        <w:pageBreakBefore w:val="0"/>
        <w:widowControl/>
        <w:kinsoku/>
        <w:wordWrap/>
        <w:overflowPunct/>
        <w:topLinePunct w:val="0"/>
        <w:autoSpaceDE/>
        <w:autoSpaceDN/>
        <w:bidi w:val="0"/>
        <w:adjustRightInd/>
        <w:snapToGrid/>
        <w:spacing w:before="75" w:beforeAutospacing="0" w:after="75" w:afterAutospacing="0"/>
        <w:ind w:left="420" w:leftChars="200" w:firstLine="0" w:firstLineChars="0"/>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⑩</w:t>
      </w:r>
      <w:r>
        <w:rPr>
          <w:rFonts w:hint="eastAsia" w:ascii="微软雅黑" w:hAnsi="微软雅黑" w:eastAsia="微软雅黑" w:cs="微软雅黑"/>
          <w:color w:val="auto"/>
          <w:highlight w:val="none"/>
          <w:lang w:val="en-US" w:eastAsia="zh-CN"/>
        </w:rPr>
        <w:t>必须具有履行合同所必需的设备和专业技术能力。</w:t>
      </w:r>
    </w:p>
    <w:p w14:paraId="3D8AD568">
      <w:pPr>
        <w:pStyle w:val="15"/>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3、投标保证金有效凭证；</w:t>
      </w:r>
    </w:p>
    <w:p w14:paraId="10631D1A">
      <w:pPr>
        <w:pStyle w:val="15"/>
        <w:ind w:firstLine="480" w:firstLineChars="200"/>
        <w:jc w:val="left"/>
        <w:rPr>
          <w:rFonts w:ascii="微软雅黑" w:hAnsi="微软雅黑" w:eastAsia="微软雅黑" w:cs="微软雅黑"/>
          <w:color w:val="auto"/>
          <w:sz w:val="24"/>
          <w:szCs w:val="24"/>
          <w:highlight w:val="none"/>
        </w:rPr>
      </w:pPr>
    </w:p>
    <w:p w14:paraId="5DBD2ECA">
      <w:pPr>
        <w:pStyle w:val="15"/>
        <w:ind w:firstLine="480" w:firstLineChars="200"/>
        <w:jc w:val="left"/>
        <w:rPr>
          <w:rFonts w:ascii="微软雅黑" w:hAnsi="微软雅黑" w:eastAsia="微软雅黑" w:cs="微软雅黑"/>
          <w:color w:val="auto"/>
          <w:sz w:val="24"/>
          <w:szCs w:val="24"/>
          <w:highlight w:val="none"/>
        </w:rPr>
      </w:pPr>
    </w:p>
    <w:p w14:paraId="30A33C29">
      <w:pPr>
        <w:pStyle w:val="15"/>
        <w:ind w:firstLine="480" w:firstLineChars="200"/>
        <w:jc w:val="left"/>
        <w:rPr>
          <w:rFonts w:ascii="微软雅黑" w:hAnsi="微软雅黑" w:eastAsia="微软雅黑" w:cs="微软雅黑"/>
          <w:color w:val="auto"/>
          <w:sz w:val="24"/>
          <w:szCs w:val="24"/>
          <w:highlight w:val="none"/>
        </w:rPr>
      </w:pPr>
    </w:p>
    <w:p w14:paraId="58FF759E">
      <w:pPr>
        <w:pStyle w:val="15"/>
        <w:ind w:firstLine="480" w:firstLineChars="200"/>
        <w:jc w:val="left"/>
        <w:rPr>
          <w:rFonts w:ascii="微软雅黑" w:hAnsi="微软雅黑" w:eastAsia="微软雅黑" w:cs="微软雅黑"/>
          <w:color w:val="auto"/>
          <w:sz w:val="24"/>
          <w:szCs w:val="24"/>
          <w:highlight w:val="none"/>
        </w:rPr>
      </w:pPr>
    </w:p>
    <w:p w14:paraId="22CEA018">
      <w:pPr>
        <w:pStyle w:val="15"/>
        <w:ind w:firstLine="480" w:firstLineChars="200"/>
        <w:jc w:val="left"/>
        <w:rPr>
          <w:rFonts w:ascii="微软雅黑" w:hAnsi="微软雅黑" w:eastAsia="微软雅黑" w:cs="微软雅黑"/>
          <w:color w:val="auto"/>
          <w:sz w:val="24"/>
          <w:szCs w:val="24"/>
          <w:highlight w:val="none"/>
        </w:rPr>
      </w:pPr>
    </w:p>
    <w:p w14:paraId="7AF72E6A">
      <w:pPr>
        <w:pStyle w:val="15"/>
        <w:ind w:firstLine="480" w:firstLineChars="200"/>
        <w:jc w:val="left"/>
        <w:rPr>
          <w:rFonts w:ascii="微软雅黑" w:hAnsi="微软雅黑" w:eastAsia="微软雅黑" w:cs="微软雅黑"/>
          <w:color w:val="auto"/>
          <w:sz w:val="24"/>
          <w:szCs w:val="24"/>
          <w:highlight w:val="none"/>
        </w:rPr>
      </w:pPr>
    </w:p>
    <w:p w14:paraId="76343C6E">
      <w:pPr>
        <w:pStyle w:val="15"/>
        <w:ind w:firstLine="480" w:firstLineChars="200"/>
        <w:jc w:val="left"/>
        <w:rPr>
          <w:rFonts w:ascii="微软雅黑" w:hAnsi="微软雅黑" w:eastAsia="微软雅黑" w:cs="微软雅黑"/>
          <w:color w:val="auto"/>
          <w:sz w:val="24"/>
          <w:szCs w:val="24"/>
          <w:highlight w:val="none"/>
        </w:rPr>
      </w:pPr>
    </w:p>
    <w:p w14:paraId="35305AD2">
      <w:pPr>
        <w:pStyle w:val="15"/>
        <w:ind w:firstLine="480" w:firstLineChars="200"/>
        <w:jc w:val="left"/>
        <w:rPr>
          <w:rFonts w:ascii="微软雅黑" w:hAnsi="微软雅黑" w:eastAsia="微软雅黑" w:cs="微软雅黑"/>
          <w:color w:val="auto"/>
          <w:sz w:val="24"/>
          <w:szCs w:val="24"/>
          <w:highlight w:val="none"/>
        </w:rPr>
      </w:pPr>
    </w:p>
    <w:p w14:paraId="3E95087F">
      <w:pPr>
        <w:pStyle w:val="15"/>
        <w:ind w:firstLine="480" w:firstLineChars="200"/>
        <w:jc w:val="left"/>
        <w:rPr>
          <w:rFonts w:ascii="微软雅黑" w:hAnsi="微软雅黑" w:eastAsia="微软雅黑" w:cs="微软雅黑"/>
          <w:color w:val="auto"/>
          <w:sz w:val="24"/>
          <w:szCs w:val="24"/>
          <w:highlight w:val="none"/>
        </w:rPr>
      </w:pPr>
    </w:p>
    <w:p w14:paraId="65B6AE11">
      <w:pPr>
        <w:pStyle w:val="15"/>
        <w:ind w:firstLine="480" w:firstLineChars="200"/>
        <w:jc w:val="left"/>
        <w:rPr>
          <w:rFonts w:ascii="微软雅黑" w:hAnsi="微软雅黑" w:eastAsia="微软雅黑" w:cs="微软雅黑"/>
          <w:color w:val="auto"/>
          <w:sz w:val="24"/>
          <w:szCs w:val="24"/>
          <w:highlight w:val="none"/>
        </w:rPr>
      </w:pPr>
    </w:p>
    <w:p w14:paraId="38A4680B">
      <w:pPr>
        <w:pStyle w:val="15"/>
        <w:ind w:firstLine="480" w:firstLineChars="200"/>
        <w:jc w:val="left"/>
        <w:rPr>
          <w:rFonts w:ascii="微软雅黑" w:hAnsi="微软雅黑" w:eastAsia="微软雅黑" w:cs="微软雅黑"/>
          <w:color w:val="auto"/>
          <w:sz w:val="24"/>
          <w:szCs w:val="24"/>
          <w:highlight w:val="none"/>
        </w:rPr>
      </w:pPr>
    </w:p>
    <w:p w14:paraId="693B5AA1">
      <w:pPr>
        <w:pStyle w:val="15"/>
        <w:ind w:firstLine="480" w:firstLineChars="200"/>
        <w:jc w:val="left"/>
        <w:rPr>
          <w:rFonts w:ascii="微软雅黑" w:hAnsi="微软雅黑" w:eastAsia="微软雅黑" w:cs="微软雅黑"/>
          <w:color w:val="auto"/>
          <w:sz w:val="24"/>
          <w:szCs w:val="24"/>
          <w:highlight w:val="none"/>
        </w:rPr>
      </w:pPr>
    </w:p>
    <w:p w14:paraId="4198C460">
      <w:pPr>
        <w:pStyle w:val="15"/>
        <w:ind w:firstLine="480" w:firstLineChars="200"/>
        <w:jc w:val="left"/>
        <w:rPr>
          <w:rFonts w:ascii="微软雅黑" w:hAnsi="微软雅黑" w:eastAsia="微软雅黑" w:cs="微软雅黑"/>
          <w:color w:val="auto"/>
          <w:sz w:val="24"/>
          <w:szCs w:val="24"/>
          <w:highlight w:val="none"/>
        </w:rPr>
      </w:pPr>
    </w:p>
    <w:p w14:paraId="24EA0325">
      <w:pPr>
        <w:pStyle w:val="15"/>
        <w:ind w:firstLine="480" w:firstLineChars="200"/>
        <w:jc w:val="left"/>
        <w:rPr>
          <w:rFonts w:ascii="微软雅黑" w:hAnsi="微软雅黑" w:eastAsia="微软雅黑" w:cs="微软雅黑"/>
          <w:color w:val="auto"/>
          <w:sz w:val="24"/>
          <w:szCs w:val="24"/>
          <w:highlight w:val="none"/>
        </w:rPr>
      </w:pPr>
    </w:p>
    <w:p w14:paraId="3247065D">
      <w:pPr>
        <w:pStyle w:val="15"/>
        <w:ind w:firstLine="480" w:firstLineChars="200"/>
        <w:jc w:val="left"/>
        <w:rPr>
          <w:rFonts w:ascii="微软雅黑" w:hAnsi="微软雅黑" w:eastAsia="微软雅黑" w:cs="微软雅黑"/>
          <w:color w:val="auto"/>
          <w:sz w:val="24"/>
          <w:szCs w:val="24"/>
          <w:highlight w:val="none"/>
        </w:rPr>
      </w:pPr>
    </w:p>
    <w:p w14:paraId="33E2AA85">
      <w:pPr>
        <w:pStyle w:val="15"/>
        <w:ind w:firstLine="480" w:firstLineChars="200"/>
        <w:jc w:val="left"/>
        <w:rPr>
          <w:rFonts w:ascii="微软雅黑" w:hAnsi="微软雅黑" w:eastAsia="微软雅黑" w:cs="微软雅黑"/>
          <w:color w:val="auto"/>
          <w:sz w:val="24"/>
          <w:szCs w:val="24"/>
          <w:highlight w:val="none"/>
        </w:rPr>
      </w:pPr>
    </w:p>
    <w:p w14:paraId="13DF6E8E">
      <w:pPr>
        <w:pStyle w:val="15"/>
        <w:ind w:firstLine="480" w:firstLineChars="200"/>
        <w:jc w:val="left"/>
        <w:rPr>
          <w:rFonts w:ascii="微软雅黑" w:hAnsi="微软雅黑" w:eastAsia="微软雅黑" w:cs="微软雅黑"/>
          <w:color w:val="auto"/>
          <w:sz w:val="24"/>
          <w:szCs w:val="24"/>
          <w:highlight w:val="none"/>
        </w:rPr>
      </w:pPr>
    </w:p>
    <w:p w14:paraId="15FC1C41">
      <w:pPr>
        <w:pStyle w:val="15"/>
        <w:ind w:firstLine="480" w:firstLineChars="200"/>
        <w:jc w:val="left"/>
        <w:rPr>
          <w:rFonts w:ascii="微软雅黑" w:hAnsi="微软雅黑" w:eastAsia="微软雅黑" w:cs="微软雅黑"/>
          <w:color w:val="auto"/>
          <w:sz w:val="24"/>
          <w:szCs w:val="24"/>
          <w:highlight w:val="none"/>
        </w:rPr>
      </w:pPr>
    </w:p>
    <w:p w14:paraId="0EC472ED">
      <w:pPr>
        <w:pStyle w:val="15"/>
        <w:ind w:firstLine="480" w:firstLineChars="200"/>
        <w:jc w:val="left"/>
        <w:rPr>
          <w:rFonts w:ascii="微软雅黑" w:hAnsi="微软雅黑" w:eastAsia="微软雅黑" w:cs="微软雅黑"/>
          <w:color w:val="auto"/>
          <w:sz w:val="24"/>
          <w:szCs w:val="24"/>
          <w:highlight w:val="none"/>
        </w:rPr>
      </w:pPr>
    </w:p>
    <w:p w14:paraId="44F77634">
      <w:pPr>
        <w:pStyle w:val="15"/>
        <w:ind w:firstLine="480" w:firstLineChars="200"/>
        <w:jc w:val="left"/>
        <w:rPr>
          <w:rFonts w:ascii="微软雅黑" w:hAnsi="微软雅黑" w:eastAsia="微软雅黑" w:cs="微软雅黑"/>
          <w:color w:val="auto"/>
          <w:sz w:val="24"/>
          <w:szCs w:val="24"/>
          <w:highlight w:val="none"/>
        </w:rPr>
      </w:pPr>
    </w:p>
    <w:p w14:paraId="7A088033">
      <w:pPr>
        <w:pStyle w:val="15"/>
        <w:ind w:firstLine="480" w:firstLineChars="200"/>
        <w:jc w:val="left"/>
        <w:rPr>
          <w:rFonts w:ascii="微软雅黑" w:hAnsi="微软雅黑" w:eastAsia="微软雅黑" w:cs="微软雅黑"/>
          <w:color w:val="auto"/>
          <w:sz w:val="24"/>
          <w:szCs w:val="24"/>
          <w:highlight w:val="none"/>
        </w:rPr>
      </w:pPr>
    </w:p>
    <w:p w14:paraId="78F71A4A">
      <w:pPr>
        <w:pStyle w:val="15"/>
        <w:ind w:firstLine="480" w:firstLineChars="200"/>
        <w:jc w:val="left"/>
        <w:rPr>
          <w:rFonts w:ascii="微软雅黑" w:hAnsi="微软雅黑" w:eastAsia="微软雅黑" w:cs="微软雅黑"/>
          <w:color w:val="auto"/>
          <w:sz w:val="24"/>
          <w:szCs w:val="24"/>
          <w:highlight w:val="none"/>
        </w:rPr>
      </w:pPr>
    </w:p>
    <w:p w14:paraId="5E4166A2">
      <w:pPr>
        <w:pStyle w:val="15"/>
        <w:ind w:firstLine="480" w:firstLineChars="200"/>
        <w:jc w:val="left"/>
        <w:rPr>
          <w:rFonts w:ascii="微软雅黑" w:hAnsi="微软雅黑" w:eastAsia="微软雅黑" w:cs="微软雅黑"/>
          <w:color w:val="auto"/>
          <w:sz w:val="24"/>
          <w:szCs w:val="24"/>
          <w:highlight w:val="none"/>
        </w:rPr>
      </w:pPr>
    </w:p>
    <w:p w14:paraId="1D4BCA09">
      <w:pPr>
        <w:pStyle w:val="15"/>
        <w:ind w:firstLine="480" w:firstLineChars="200"/>
        <w:jc w:val="left"/>
        <w:rPr>
          <w:rFonts w:ascii="微软雅黑" w:hAnsi="微软雅黑" w:eastAsia="微软雅黑" w:cs="微软雅黑"/>
          <w:color w:val="auto"/>
          <w:sz w:val="24"/>
          <w:szCs w:val="24"/>
          <w:highlight w:val="none"/>
        </w:rPr>
      </w:pPr>
    </w:p>
    <w:p w14:paraId="262D64EF">
      <w:pPr>
        <w:pStyle w:val="15"/>
        <w:ind w:firstLine="480" w:firstLineChars="200"/>
        <w:jc w:val="left"/>
        <w:rPr>
          <w:rFonts w:ascii="微软雅黑" w:hAnsi="微软雅黑" w:eastAsia="微软雅黑" w:cs="微软雅黑"/>
          <w:color w:val="auto"/>
          <w:sz w:val="24"/>
          <w:szCs w:val="24"/>
          <w:highlight w:val="none"/>
        </w:rPr>
      </w:pPr>
    </w:p>
    <w:p w14:paraId="3EA2C08B">
      <w:pPr>
        <w:pStyle w:val="15"/>
        <w:ind w:firstLine="480" w:firstLineChars="200"/>
        <w:jc w:val="left"/>
        <w:rPr>
          <w:rFonts w:ascii="微软雅黑" w:hAnsi="微软雅黑" w:eastAsia="微软雅黑" w:cs="微软雅黑"/>
          <w:color w:val="auto"/>
          <w:sz w:val="24"/>
          <w:szCs w:val="24"/>
          <w:highlight w:val="none"/>
        </w:rPr>
      </w:pPr>
    </w:p>
    <w:p w14:paraId="5BD968B4">
      <w:pPr>
        <w:pStyle w:val="15"/>
        <w:jc w:val="left"/>
        <w:rPr>
          <w:rFonts w:ascii="微软雅黑" w:hAnsi="微软雅黑" w:eastAsia="微软雅黑" w:cs="微软雅黑"/>
          <w:color w:val="auto"/>
          <w:sz w:val="24"/>
          <w:szCs w:val="24"/>
          <w:highlight w:val="none"/>
        </w:rPr>
      </w:pPr>
    </w:p>
    <w:p w14:paraId="65DD64DC">
      <w:pPr>
        <w:rPr>
          <w:color w:val="auto"/>
          <w:highlight w:val="none"/>
        </w:rPr>
      </w:pPr>
      <w:bookmarkStart w:id="501" w:name="_Toc515647804"/>
      <w:bookmarkStart w:id="502" w:name="_Toc30524"/>
      <w:bookmarkStart w:id="503" w:name="_Toc8165"/>
      <w:bookmarkStart w:id="504" w:name="_Toc10957"/>
      <w:bookmarkStart w:id="505" w:name="_Toc15286"/>
      <w:bookmarkStart w:id="506" w:name="_Toc16568"/>
      <w:bookmarkStart w:id="507" w:name="_Toc2679"/>
      <w:bookmarkStart w:id="508" w:name="_Toc5230"/>
    </w:p>
    <w:p w14:paraId="7501E45C">
      <w:pPr>
        <w:pStyle w:val="3"/>
        <w:spacing w:before="0" w:line="240" w:lineRule="auto"/>
        <w:ind w:firstLine="3362" w:firstLineChars="1400"/>
        <w:jc w:val="both"/>
        <w:rPr>
          <w:rFonts w:ascii="微软雅黑" w:hAnsi="微软雅黑" w:eastAsia="微软雅黑" w:cs="微软雅黑"/>
          <w:b/>
          <w:bCs/>
          <w:color w:val="auto"/>
          <w:sz w:val="24"/>
          <w:szCs w:val="24"/>
          <w:highlight w:val="none"/>
        </w:rPr>
      </w:pPr>
      <w:bookmarkStart w:id="509" w:name="_Toc25917"/>
      <w:bookmarkStart w:id="510" w:name="_Toc4062"/>
      <w:r>
        <w:rPr>
          <w:rFonts w:hint="eastAsia" w:ascii="微软雅黑" w:hAnsi="微软雅黑" w:eastAsia="微软雅黑" w:cs="微软雅黑"/>
          <w:b/>
          <w:bCs/>
          <w:color w:val="auto"/>
          <w:sz w:val="24"/>
          <w:szCs w:val="24"/>
          <w:highlight w:val="none"/>
        </w:rPr>
        <w:t>1  开标一览表</w:t>
      </w:r>
      <w:bookmarkEnd w:id="501"/>
      <w:bookmarkEnd w:id="502"/>
      <w:bookmarkEnd w:id="503"/>
      <w:bookmarkEnd w:id="504"/>
      <w:bookmarkEnd w:id="505"/>
      <w:bookmarkEnd w:id="506"/>
      <w:bookmarkEnd w:id="507"/>
      <w:bookmarkEnd w:id="508"/>
      <w:bookmarkEnd w:id="509"/>
      <w:bookmarkEnd w:id="510"/>
      <w:bookmarkStart w:id="511" w:name="_Hlt520356241"/>
      <w:bookmarkEnd w:id="511"/>
      <w:bookmarkStart w:id="512" w:name="_Toc494296984"/>
      <w:bookmarkStart w:id="513" w:name="_Ref467988698"/>
      <w:bookmarkStart w:id="514" w:name="_Toc480942349"/>
      <w:bookmarkStart w:id="515" w:name="_Toc520356217"/>
      <w:bookmarkStart w:id="516" w:name="_Toc216582813"/>
    </w:p>
    <w:p w14:paraId="3B739248">
      <w:pPr>
        <w:pStyle w:val="4"/>
        <w:tabs>
          <w:tab w:val="left" w:pos="5580"/>
        </w:tabs>
        <w:ind w:left="1080" w:leftChars="257" w:hanging="540"/>
        <w:rPr>
          <w:rFonts w:ascii="微软雅黑" w:hAnsi="微软雅黑" w:eastAsia="微软雅黑" w:cs="微软雅黑"/>
          <w:color w:val="auto"/>
          <w:highlight w:val="none"/>
        </w:rPr>
      </w:pPr>
    </w:p>
    <w:p w14:paraId="66B9262F">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46E0EA39">
      <w:pPr>
        <w:tabs>
          <w:tab w:val="left" w:pos="1800"/>
          <w:tab w:val="left" w:pos="5580"/>
        </w:tabs>
        <w:ind w:right="-867" w:rightChars="-413"/>
        <w:rPr>
          <w:rFonts w:ascii="微软雅黑" w:hAnsi="微软雅黑" w:eastAsia="微软雅黑" w:cs="微软雅黑"/>
          <w:color w:val="auto"/>
          <w:sz w:val="24"/>
          <w:szCs w:val="24"/>
          <w:highlight w:val="none"/>
        </w:rPr>
      </w:pPr>
    </w:p>
    <w:p w14:paraId="313AC959">
      <w:pPr>
        <w:tabs>
          <w:tab w:val="left" w:pos="1800"/>
          <w:tab w:val="left" w:pos="5580"/>
        </w:tabs>
        <w:ind w:right="-867" w:rightChars="-413"/>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bCs/>
          <w:color w:val="auto"/>
          <w:sz w:val="24"/>
          <w:szCs w:val="24"/>
          <w:highlight w:val="none"/>
        </w:rPr>
        <w:t xml:space="preserve">元                 </w:t>
      </w:r>
      <w:r>
        <w:rPr>
          <w:rFonts w:hint="eastAsia" w:ascii="微软雅黑" w:hAnsi="微软雅黑" w:eastAsia="微软雅黑" w:cs="微软雅黑"/>
          <w:color w:val="auto"/>
          <w:sz w:val="24"/>
          <w:szCs w:val="24"/>
          <w:highlight w:val="none"/>
        </w:rPr>
        <w:t xml:space="preserve">包号：       </w:t>
      </w:r>
    </w:p>
    <w:tbl>
      <w:tblPr>
        <w:tblStyle w:val="30"/>
        <w:tblW w:w="10158" w:type="dxa"/>
        <w:tblInd w:w="-223" w:type="dxa"/>
        <w:tblLayout w:type="fixed"/>
        <w:tblCellMar>
          <w:top w:w="0" w:type="dxa"/>
          <w:left w:w="0" w:type="dxa"/>
          <w:bottom w:w="0" w:type="dxa"/>
          <w:right w:w="0" w:type="dxa"/>
        </w:tblCellMar>
      </w:tblPr>
      <w:tblGrid>
        <w:gridCol w:w="1551"/>
        <w:gridCol w:w="2341"/>
        <w:gridCol w:w="1770"/>
        <w:gridCol w:w="2248"/>
        <w:gridCol w:w="2248"/>
      </w:tblGrid>
      <w:tr w14:paraId="14E69C96">
        <w:tblPrEx>
          <w:tblCellMar>
            <w:top w:w="0" w:type="dxa"/>
            <w:left w:w="0" w:type="dxa"/>
            <w:bottom w:w="0" w:type="dxa"/>
            <w:right w:w="0" w:type="dxa"/>
          </w:tblCellMar>
        </w:tblPrEx>
        <w:trPr>
          <w:trHeight w:val="661" w:hRule="atLeast"/>
        </w:trPr>
        <w:tc>
          <w:tcPr>
            <w:tcW w:w="1551" w:type="dxa"/>
            <w:tcBorders>
              <w:top w:val="single" w:color="auto" w:sz="4" w:space="0"/>
              <w:left w:val="single" w:color="auto" w:sz="4" w:space="0"/>
              <w:bottom w:val="single" w:color="auto" w:sz="8" w:space="0"/>
              <w:right w:val="single" w:color="auto" w:sz="4" w:space="0"/>
            </w:tcBorders>
            <w:vAlign w:val="center"/>
          </w:tcPr>
          <w:p w14:paraId="47988089">
            <w:pPr>
              <w:tabs>
                <w:tab w:val="left" w:pos="5580"/>
              </w:tabs>
              <w:spacing w:line="240" w:lineRule="atLeast"/>
              <w:ind w:right="-19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货物内容</w:t>
            </w:r>
          </w:p>
        </w:tc>
        <w:tc>
          <w:tcPr>
            <w:tcW w:w="2341" w:type="dxa"/>
            <w:tcBorders>
              <w:top w:val="single" w:color="auto" w:sz="4" w:space="0"/>
              <w:left w:val="single" w:color="auto" w:sz="8" w:space="0"/>
              <w:bottom w:val="single" w:color="auto" w:sz="8" w:space="0"/>
              <w:right w:val="single" w:color="auto" w:sz="4" w:space="0"/>
            </w:tcBorders>
            <w:vAlign w:val="center"/>
          </w:tcPr>
          <w:p w14:paraId="4230B5E3">
            <w:pPr>
              <w:tabs>
                <w:tab w:val="left" w:pos="5580"/>
              </w:tabs>
              <w:spacing w:line="240" w:lineRule="atLeast"/>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投标总报价</w:t>
            </w:r>
          </w:p>
        </w:tc>
        <w:tc>
          <w:tcPr>
            <w:tcW w:w="1770" w:type="dxa"/>
            <w:tcBorders>
              <w:top w:val="single" w:color="auto" w:sz="8" w:space="0"/>
              <w:left w:val="nil"/>
              <w:bottom w:val="single" w:color="auto" w:sz="8" w:space="0"/>
              <w:right w:val="single" w:color="auto" w:sz="4" w:space="0"/>
            </w:tcBorders>
            <w:vAlign w:val="center"/>
          </w:tcPr>
          <w:p w14:paraId="3944811C">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tc>
        <w:tc>
          <w:tcPr>
            <w:tcW w:w="2248" w:type="dxa"/>
            <w:tcBorders>
              <w:top w:val="single" w:color="auto" w:sz="8" w:space="0"/>
              <w:left w:val="nil"/>
              <w:bottom w:val="single" w:color="auto" w:sz="8" w:space="0"/>
              <w:right w:val="single" w:color="auto" w:sz="4" w:space="0"/>
            </w:tcBorders>
            <w:vAlign w:val="center"/>
          </w:tcPr>
          <w:p w14:paraId="5FC59674">
            <w:pPr>
              <w:tabs>
                <w:tab w:val="left" w:pos="5580"/>
              </w:tabs>
              <w:spacing w:line="240" w:lineRule="atLeast"/>
              <w:jc w:val="center"/>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供货期</w:t>
            </w:r>
          </w:p>
        </w:tc>
        <w:tc>
          <w:tcPr>
            <w:tcW w:w="2248" w:type="dxa"/>
            <w:tcBorders>
              <w:top w:val="single" w:color="auto" w:sz="8" w:space="0"/>
              <w:left w:val="nil"/>
              <w:bottom w:val="single" w:color="auto" w:sz="8" w:space="0"/>
              <w:right w:val="single" w:color="auto" w:sz="4" w:space="0"/>
            </w:tcBorders>
            <w:vAlign w:val="center"/>
          </w:tcPr>
          <w:p w14:paraId="2DC63068">
            <w:pPr>
              <w:tabs>
                <w:tab w:val="left" w:pos="5580"/>
              </w:tabs>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tc>
      </w:tr>
      <w:tr w14:paraId="3964D2DE">
        <w:tblPrEx>
          <w:tblCellMar>
            <w:top w:w="0" w:type="dxa"/>
            <w:left w:w="0" w:type="dxa"/>
            <w:bottom w:w="0" w:type="dxa"/>
            <w:right w:w="0" w:type="dxa"/>
          </w:tblCellMar>
        </w:tblPrEx>
        <w:trPr>
          <w:cantSplit/>
          <w:trHeight w:val="1600" w:hRule="atLeast"/>
        </w:trPr>
        <w:tc>
          <w:tcPr>
            <w:tcW w:w="1551" w:type="dxa"/>
            <w:tcBorders>
              <w:top w:val="single" w:color="auto" w:sz="8" w:space="0"/>
              <w:left w:val="single" w:color="auto" w:sz="4" w:space="0"/>
              <w:bottom w:val="single" w:color="auto" w:sz="4" w:space="0"/>
              <w:right w:val="single" w:color="auto" w:sz="4" w:space="0"/>
            </w:tcBorders>
            <w:vAlign w:val="center"/>
          </w:tcPr>
          <w:p w14:paraId="20DDB230">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341" w:type="dxa"/>
            <w:tcBorders>
              <w:top w:val="single" w:color="auto" w:sz="8" w:space="0"/>
              <w:left w:val="single" w:color="auto" w:sz="8" w:space="0"/>
              <w:bottom w:val="single" w:color="auto" w:sz="4" w:space="0"/>
              <w:right w:val="single" w:color="auto" w:sz="4" w:space="0"/>
            </w:tcBorders>
            <w:vAlign w:val="center"/>
          </w:tcPr>
          <w:p w14:paraId="42CE9EFE">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大写：</w:t>
            </w:r>
          </w:p>
          <w:p w14:paraId="7AEA3988">
            <w:pPr>
              <w:tabs>
                <w:tab w:val="left" w:pos="5580"/>
              </w:tabs>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小写：</w:t>
            </w:r>
          </w:p>
        </w:tc>
        <w:tc>
          <w:tcPr>
            <w:tcW w:w="1770" w:type="dxa"/>
            <w:tcBorders>
              <w:top w:val="single" w:color="auto" w:sz="8" w:space="0"/>
              <w:left w:val="nil"/>
              <w:bottom w:val="single" w:color="auto" w:sz="4" w:space="0"/>
              <w:right w:val="single" w:color="auto" w:sz="4" w:space="0"/>
            </w:tcBorders>
            <w:vAlign w:val="center"/>
          </w:tcPr>
          <w:p w14:paraId="43AAACDF">
            <w:pPr>
              <w:tabs>
                <w:tab w:val="left" w:pos="5580"/>
              </w:tabs>
              <w:spacing w:line="240" w:lineRule="atLeast"/>
              <w:ind w:left="1080" w:leftChars="257" w:hanging="540"/>
              <w:jc w:val="center"/>
              <w:rPr>
                <w:rFonts w:hint="eastAsia" w:ascii="微软雅黑" w:hAnsi="微软雅黑" w:eastAsia="微软雅黑" w:cs="微软雅黑"/>
                <w:color w:val="auto"/>
                <w:sz w:val="24"/>
                <w:szCs w:val="24"/>
                <w:highlight w:val="none"/>
              </w:rPr>
            </w:pPr>
          </w:p>
        </w:tc>
        <w:tc>
          <w:tcPr>
            <w:tcW w:w="2248" w:type="dxa"/>
            <w:tcBorders>
              <w:top w:val="single" w:color="auto" w:sz="8" w:space="0"/>
              <w:left w:val="nil"/>
              <w:bottom w:val="single" w:color="auto" w:sz="4" w:space="0"/>
              <w:right w:val="single" w:color="auto" w:sz="4" w:space="0"/>
            </w:tcBorders>
            <w:vAlign w:val="center"/>
          </w:tcPr>
          <w:p w14:paraId="572C5E88">
            <w:pPr>
              <w:tabs>
                <w:tab w:val="left" w:pos="5580"/>
              </w:tabs>
              <w:spacing w:line="240" w:lineRule="atLeast"/>
              <w:jc w:val="center"/>
              <w:rPr>
                <w:rFonts w:hint="eastAsia" w:ascii="微软雅黑" w:hAnsi="微软雅黑" w:eastAsia="微软雅黑" w:cs="微软雅黑"/>
                <w:color w:val="auto"/>
                <w:sz w:val="24"/>
                <w:szCs w:val="24"/>
                <w:highlight w:val="none"/>
              </w:rPr>
            </w:pPr>
          </w:p>
        </w:tc>
        <w:tc>
          <w:tcPr>
            <w:tcW w:w="2248" w:type="dxa"/>
            <w:tcBorders>
              <w:top w:val="single" w:color="auto" w:sz="8" w:space="0"/>
              <w:left w:val="nil"/>
              <w:bottom w:val="single" w:color="auto" w:sz="4" w:space="0"/>
              <w:right w:val="single" w:color="auto" w:sz="4" w:space="0"/>
            </w:tcBorders>
            <w:vAlign w:val="center"/>
          </w:tcPr>
          <w:p w14:paraId="0DF7BFE1">
            <w:pPr>
              <w:tabs>
                <w:tab w:val="left" w:pos="5580"/>
              </w:tabs>
              <w:spacing w:line="240" w:lineRule="atLeast"/>
              <w:jc w:val="center"/>
              <w:rPr>
                <w:rFonts w:hint="eastAsia" w:ascii="微软雅黑" w:hAnsi="微软雅黑" w:eastAsia="微软雅黑" w:cs="微软雅黑"/>
                <w:color w:val="auto"/>
                <w:sz w:val="24"/>
                <w:szCs w:val="24"/>
                <w:highlight w:val="none"/>
              </w:rPr>
            </w:pPr>
          </w:p>
        </w:tc>
      </w:tr>
    </w:tbl>
    <w:p w14:paraId="7237466B">
      <w:pPr>
        <w:pStyle w:val="15"/>
        <w:tabs>
          <w:tab w:val="left" w:pos="5580"/>
        </w:tabs>
        <w:ind w:left="1080" w:leftChars="257" w:hanging="540"/>
        <w:rPr>
          <w:rFonts w:ascii="微软雅黑" w:hAnsi="微软雅黑" w:eastAsia="微软雅黑" w:cs="微软雅黑"/>
          <w:color w:val="auto"/>
          <w:sz w:val="24"/>
          <w:szCs w:val="24"/>
          <w:highlight w:val="none"/>
        </w:rPr>
      </w:pPr>
    </w:p>
    <w:p w14:paraId="77DA6DE6">
      <w:pPr>
        <w:pStyle w:val="15"/>
        <w:tabs>
          <w:tab w:val="left" w:pos="5580"/>
        </w:tabs>
        <w:ind w:left="1080" w:leftChars="257" w:hanging="540"/>
        <w:rPr>
          <w:rFonts w:ascii="微软雅黑" w:hAnsi="微软雅黑" w:eastAsia="微软雅黑" w:cs="微软雅黑"/>
          <w:color w:val="auto"/>
          <w:sz w:val="24"/>
          <w:szCs w:val="24"/>
          <w:highlight w:val="none"/>
          <w:u w:val="single"/>
        </w:rPr>
      </w:pPr>
    </w:p>
    <w:p w14:paraId="3A008B9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p>
    <w:p w14:paraId="677E821D">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法定代表人或委托代理人(签字或盖章):</w:t>
      </w:r>
    </w:p>
    <w:p w14:paraId="03A4C1FE">
      <w:pPr>
        <w:pStyle w:val="15"/>
        <w:tabs>
          <w:tab w:val="left" w:pos="5580"/>
        </w:tabs>
        <w:ind w:left="1080" w:leftChars="257" w:hanging="540"/>
        <w:rPr>
          <w:rFonts w:ascii="微软雅黑" w:hAnsi="微软雅黑" w:eastAsia="微软雅黑" w:cs="微软雅黑"/>
          <w:color w:val="auto"/>
          <w:sz w:val="24"/>
          <w:szCs w:val="24"/>
          <w:highlight w:val="none"/>
        </w:rPr>
      </w:pPr>
    </w:p>
    <w:p w14:paraId="3BA231DA">
      <w:pPr>
        <w:pStyle w:val="15"/>
        <w:tabs>
          <w:tab w:val="left" w:pos="5580"/>
        </w:tabs>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p>
    <w:p w14:paraId="240D45A9">
      <w:pPr>
        <w:pStyle w:val="15"/>
        <w:numPr>
          <w:ilvl w:val="0"/>
          <w:numId w:val="6"/>
        </w:numPr>
        <w:tabs>
          <w:tab w:val="left" w:pos="5580"/>
        </w:tabs>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投标报价应包</w:t>
      </w:r>
      <w:r>
        <w:rPr>
          <w:rFonts w:hint="eastAsia" w:ascii="微软雅黑" w:hAnsi="微软雅黑" w:eastAsia="微软雅黑" w:cs="微软雅黑"/>
          <w:color w:val="auto"/>
          <w:sz w:val="24"/>
          <w:szCs w:val="24"/>
          <w:highlight w:val="none"/>
          <w:lang w:eastAsia="zh-CN"/>
        </w:rPr>
        <w:t>含货物的</w:t>
      </w:r>
      <w:r>
        <w:rPr>
          <w:rFonts w:hint="eastAsia" w:ascii="微软雅黑" w:hAnsi="微软雅黑" w:eastAsia="微软雅黑" w:cs="微软雅黑"/>
          <w:color w:val="auto"/>
          <w:sz w:val="24"/>
          <w:szCs w:val="24"/>
          <w:highlight w:val="none"/>
        </w:rPr>
        <w:t>购置成本税、管理费、仓储、运杂费、保险、第三方检测机构产品质量检测费、装卸费、配送费、食品责任保险费、食品检验费、售后服务等一切与本次项目相关的费用</w:t>
      </w:r>
      <w:r>
        <w:rPr>
          <w:rFonts w:hint="eastAsia" w:ascii="微软雅黑" w:hAnsi="微软雅黑" w:eastAsia="微软雅黑" w:cs="微软雅黑"/>
          <w:color w:val="auto"/>
          <w:sz w:val="24"/>
          <w:szCs w:val="24"/>
          <w:highlight w:val="none"/>
          <w:lang w:eastAsia="zh-CN"/>
        </w:rPr>
        <w:t>与本次项目相关的</w:t>
      </w:r>
      <w:r>
        <w:rPr>
          <w:rFonts w:hint="eastAsia" w:ascii="微软雅黑" w:hAnsi="微软雅黑" w:eastAsia="微软雅黑" w:cs="微软雅黑"/>
          <w:color w:val="auto"/>
          <w:sz w:val="24"/>
          <w:szCs w:val="24"/>
          <w:highlight w:val="none"/>
          <w:lang w:val="en-US" w:eastAsia="zh-CN"/>
        </w:rPr>
        <w:t>所有</w:t>
      </w:r>
      <w:r>
        <w:rPr>
          <w:rFonts w:hint="eastAsia" w:ascii="微软雅黑" w:hAnsi="微软雅黑" w:eastAsia="微软雅黑" w:cs="微软雅黑"/>
          <w:color w:val="auto"/>
          <w:sz w:val="24"/>
          <w:szCs w:val="24"/>
          <w:highlight w:val="none"/>
          <w:lang w:eastAsia="zh-CN"/>
        </w:rPr>
        <w:t>费用。</w:t>
      </w:r>
    </w:p>
    <w:p w14:paraId="4C56C502">
      <w:pPr>
        <w:pStyle w:val="15"/>
        <w:numPr>
          <w:ilvl w:val="0"/>
          <w:numId w:val="6"/>
        </w:numPr>
        <w:tabs>
          <w:tab w:val="left" w:pos="5580"/>
        </w:tabs>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rPr>
        <w:t>此表中，投标总价应和</w:t>
      </w:r>
      <w:r>
        <w:rPr>
          <w:rFonts w:hint="eastAsia" w:ascii="微软雅黑" w:hAnsi="微软雅黑" w:eastAsia="微软雅黑" w:cs="微软雅黑"/>
          <w:color w:val="auto"/>
          <w:sz w:val="24"/>
          <w:szCs w:val="24"/>
          <w:lang w:val="en-US" w:eastAsia="zh-CN"/>
        </w:rPr>
        <w:t>投标</w:t>
      </w:r>
      <w:r>
        <w:rPr>
          <w:rFonts w:hint="eastAsia" w:ascii="微软雅黑" w:hAnsi="微软雅黑" w:eastAsia="微软雅黑" w:cs="微软雅黑"/>
          <w:color w:val="auto"/>
          <w:sz w:val="24"/>
          <w:szCs w:val="24"/>
        </w:rPr>
        <w:t>分项报价表的总价相一致。</w:t>
      </w:r>
    </w:p>
    <w:p w14:paraId="4EC67A44">
      <w:pPr>
        <w:pStyle w:val="15"/>
        <w:tabs>
          <w:tab w:val="left" w:pos="5580"/>
        </w:tabs>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color w:val="auto"/>
          <w:sz w:val="24"/>
          <w:szCs w:val="24"/>
          <w:highlight w:val="none"/>
        </w:rPr>
        <w:t>根据《政府采购促进中小企业发展管理办法》（财库[2020]46号）、《财政部 司法部关于政府采购支持监狱企业发展有关问题的通知》（财库〔2014〕68号）和《三部门联合发布关于促进残疾人就业政府采购政策的通知》（财库〔2017〕141号）</w:t>
      </w:r>
      <w:r>
        <w:rPr>
          <w:rFonts w:hint="eastAsia" w:ascii="微软雅黑" w:hAnsi="微软雅黑" w:eastAsia="微软雅黑" w:cs="微软雅黑"/>
          <w:color w:val="auto"/>
          <w:sz w:val="24"/>
          <w:szCs w:val="24"/>
          <w:highlight w:val="none"/>
          <w:lang w:eastAsia="zh-CN"/>
        </w:rPr>
        <w:t>、《关于进一步加大政府采购支持中小企业力度的通知》（财库〔2022〕19号）</w:t>
      </w:r>
      <w:r>
        <w:rPr>
          <w:rFonts w:hint="eastAsia" w:ascii="微软雅黑" w:hAnsi="微软雅黑" w:eastAsia="微软雅黑" w:cs="微软雅黑"/>
          <w:color w:val="auto"/>
          <w:sz w:val="24"/>
          <w:szCs w:val="24"/>
          <w:highlight w:val="none"/>
        </w:rPr>
        <w:t>的规定，对满足价格扣除条件且在投标文件中提交了《中小企业声明函》或省级以上监狱管理局、戒毒管理局（含新疆生产建设兵团）出具的属于监狱企业的证明文件的供应商，其投标报价扣除</w:t>
      </w:r>
      <w:r>
        <w:rPr>
          <w:rFonts w:hint="eastAsia" w:ascii="微软雅黑" w:hAnsi="微软雅黑" w:eastAsia="微软雅黑" w:cs="微软雅黑"/>
          <w:color w:val="auto"/>
          <w:sz w:val="24"/>
          <w:szCs w:val="24"/>
          <w:highlight w:val="none"/>
          <w:lang w:val="en-US" w:eastAsia="zh-CN"/>
        </w:rPr>
        <w:t>10%-20%</w:t>
      </w:r>
      <w:r>
        <w:rPr>
          <w:rFonts w:hint="eastAsia" w:ascii="微软雅黑" w:hAnsi="微软雅黑" w:eastAsia="微软雅黑" w:cs="微软雅黑"/>
          <w:color w:val="auto"/>
          <w:sz w:val="24"/>
          <w:szCs w:val="24"/>
          <w:highlight w:val="none"/>
        </w:rPr>
        <w:t>后参与</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。对于同时属于小微企业、监狱企业或残疾人福利性单位的，不重复进行</w:t>
      </w:r>
      <w:r>
        <w:rPr>
          <w:rFonts w:hint="eastAsia" w:ascii="微软雅黑" w:hAnsi="微软雅黑" w:eastAsia="微软雅黑" w:cs="微软雅黑"/>
          <w:color w:val="auto"/>
          <w:sz w:val="24"/>
          <w:szCs w:val="24"/>
          <w:highlight w:val="none"/>
          <w:lang w:eastAsia="zh-CN"/>
        </w:rPr>
        <w:t>投标</w:t>
      </w:r>
      <w:r>
        <w:rPr>
          <w:rFonts w:hint="eastAsia" w:ascii="微软雅黑" w:hAnsi="微软雅黑" w:eastAsia="微软雅黑" w:cs="微软雅黑"/>
          <w:color w:val="auto"/>
          <w:sz w:val="24"/>
          <w:szCs w:val="24"/>
          <w:highlight w:val="none"/>
        </w:rPr>
        <w:t>报价扣除</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注：本项目不属于专门面向中小企业项目，产品生产厂家为小型企业或微型企业的可享受价10%的价格扣除后参与评审。须根据招标文件中的法定格式提供中小企业声明函</w:t>
      </w:r>
      <w:r>
        <w:rPr>
          <w:rFonts w:hint="eastAsia" w:ascii="微软雅黑" w:hAnsi="微软雅黑" w:eastAsia="微软雅黑" w:cs="微软雅黑"/>
          <w:b/>
          <w:bCs/>
          <w:color w:val="auto"/>
          <w:sz w:val="24"/>
          <w:szCs w:val="24"/>
          <w:highlight w:val="none"/>
          <w:lang w:eastAsia="zh-CN"/>
        </w:rPr>
        <w:t>）。</w:t>
      </w:r>
    </w:p>
    <w:p w14:paraId="2D7B3FA2">
      <w:pPr>
        <w:pStyle w:val="22"/>
        <w:ind w:left="2520"/>
        <w:rPr>
          <w:rFonts w:ascii="微软雅黑" w:hAnsi="微软雅黑" w:eastAsia="微软雅黑" w:cs="微软雅黑"/>
          <w:b/>
          <w:bCs/>
          <w:color w:val="auto"/>
          <w:sz w:val="24"/>
          <w:highlight w:val="none"/>
        </w:rPr>
      </w:pPr>
    </w:p>
    <w:p w14:paraId="478D5D59">
      <w:pPr>
        <w:rPr>
          <w:color w:val="auto"/>
          <w:highlight w:val="none"/>
        </w:rPr>
      </w:pPr>
    </w:p>
    <w:p w14:paraId="49CAD5FD">
      <w:pPr>
        <w:pStyle w:val="15"/>
        <w:tabs>
          <w:tab w:val="left" w:pos="5580"/>
        </w:tabs>
        <w:rPr>
          <w:rFonts w:ascii="微软雅黑" w:hAnsi="微软雅黑" w:eastAsia="微软雅黑" w:cs="微软雅黑"/>
          <w:b/>
          <w:bCs/>
          <w:color w:val="auto"/>
          <w:sz w:val="24"/>
          <w:szCs w:val="24"/>
          <w:highlight w:val="none"/>
        </w:rPr>
      </w:pPr>
    </w:p>
    <w:p w14:paraId="7401C79E">
      <w:pPr>
        <w:pStyle w:val="15"/>
        <w:tabs>
          <w:tab w:val="left" w:pos="5580"/>
        </w:tabs>
        <w:rPr>
          <w:rFonts w:ascii="微软雅黑" w:hAnsi="微软雅黑" w:eastAsia="微软雅黑" w:cs="微软雅黑"/>
          <w:b/>
          <w:bCs/>
          <w:color w:val="auto"/>
          <w:sz w:val="24"/>
          <w:szCs w:val="24"/>
          <w:highlight w:val="none"/>
        </w:rPr>
      </w:pPr>
    </w:p>
    <w:bookmarkEnd w:id="512"/>
    <w:p w14:paraId="22F1BEC4">
      <w:pPr>
        <w:pStyle w:val="4"/>
        <w:ind w:firstLine="0"/>
        <w:rPr>
          <w:rFonts w:ascii="微软雅黑" w:hAnsi="微软雅黑" w:eastAsia="微软雅黑" w:cs="微软雅黑"/>
          <w:b/>
          <w:bCs/>
          <w:color w:val="auto"/>
          <w:highlight w:val="none"/>
        </w:rPr>
      </w:pPr>
    </w:p>
    <w:p w14:paraId="05F712B9">
      <w:pPr>
        <w:pStyle w:val="4"/>
        <w:outlineLvl w:val="1"/>
        <w:rPr>
          <w:rFonts w:ascii="微软雅黑" w:hAnsi="微软雅黑" w:eastAsia="微软雅黑" w:cs="微软雅黑"/>
          <w:b/>
          <w:bCs/>
          <w:color w:val="auto"/>
          <w:highlight w:val="none"/>
        </w:rPr>
      </w:pPr>
      <w:bookmarkStart w:id="517" w:name="_Toc32348"/>
      <w:bookmarkStart w:id="518" w:name="_Toc10807"/>
      <w:r>
        <w:rPr>
          <w:rFonts w:hint="eastAsia" w:ascii="微软雅黑" w:hAnsi="微软雅黑" w:eastAsia="微软雅黑" w:cs="微软雅黑"/>
          <w:b/>
          <w:bCs/>
          <w:color w:val="auto"/>
          <w:highlight w:val="none"/>
        </w:rPr>
        <w:t xml:space="preserve">2  </w:t>
      </w:r>
      <w:bookmarkEnd w:id="517"/>
      <w:r>
        <w:rPr>
          <w:rFonts w:hint="eastAsia" w:ascii="微软雅黑" w:hAnsi="微软雅黑" w:eastAsia="微软雅黑" w:cs="微软雅黑"/>
          <w:b/>
          <w:bCs/>
          <w:color w:val="auto"/>
          <w:highlight w:val="none"/>
        </w:rPr>
        <w:t>符合《中华人民共和国政府采购法》第二十二条的规定</w:t>
      </w:r>
      <w:bookmarkEnd w:id="518"/>
    </w:p>
    <w:p w14:paraId="53D549A3">
      <w:pPr>
        <w:pStyle w:val="4"/>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①</w:t>
      </w:r>
      <w:r>
        <w:rPr>
          <w:rFonts w:hint="eastAsia" w:ascii="微软雅黑" w:hAnsi="微软雅黑" w:eastAsia="微软雅黑" w:cs="微软雅黑"/>
          <w:b/>
          <w:bCs/>
          <w:color w:val="auto"/>
          <w:kern w:val="2"/>
          <w:sz w:val="22"/>
          <w:szCs w:val="22"/>
          <w:highlight w:val="none"/>
          <w:lang w:val="en-US" w:eastAsia="zh-CN" w:bidi="ar-SA"/>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7AA51053">
      <w:pPr>
        <w:pStyle w:val="4"/>
        <w:rPr>
          <w:rFonts w:ascii="微软雅黑" w:hAnsi="微软雅黑" w:eastAsia="微软雅黑" w:cs="微软雅黑"/>
          <w:b/>
          <w:bCs/>
          <w:color w:val="auto"/>
          <w:highlight w:val="none"/>
        </w:rPr>
      </w:pPr>
      <w:r>
        <w:rPr>
          <w:rFonts w:hint="eastAsia" w:ascii="微软雅黑" w:hAnsi="微软雅黑" w:eastAsia="微软雅黑" w:cs="微软雅黑"/>
          <w:color w:val="auto"/>
          <w:kern w:val="2"/>
          <w:highlight w:val="none"/>
        </w:rPr>
        <w:t>说明：须上传扫描件并加盖本单位公章。</w:t>
      </w:r>
    </w:p>
    <w:p w14:paraId="1927D5AD">
      <w:pPr>
        <w:pStyle w:val="4"/>
        <w:rPr>
          <w:rFonts w:ascii="微软雅黑" w:hAnsi="微软雅黑" w:eastAsia="微软雅黑" w:cs="微软雅黑"/>
          <w:b/>
          <w:bCs/>
          <w:color w:val="auto"/>
          <w:highlight w:val="none"/>
        </w:rPr>
      </w:pPr>
    </w:p>
    <w:p w14:paraId="4320B483">
      <w:pPr>
        <w:pStyle w:val="5"/>
        <w:rPr>
          <w:rFonts w:ascii="微软雅黑" w:hAnsi="微软雅黑" w:eastAsia="微软雅黑" w:cs="微软雅黑"/>
          <w:b/>
          <w:bCs/>
          <w:color w:val="auto"/>
          <w:highlight w:val="none"/>
        </w:rPr>
      </w:pPr>
    </w:p>
    <w:p w14:paraId="0DF77B52">
      <w:pPr>
        <w:pStyle w:val="29"/>
        <w:spacing w:line="240" w:lineRule="auto"/>
        <w:ind w:firstLine="480"/>
        <w:rPr>
          <w:rFonts w:ascii="微软雅黑" w:hAnsi="微软雅黑" w:eastAsia="微软雅黑" w:cs="微软雅黑"/>
          <w:b/>
          <w:bCs/>
          <w:color w:val="auto"/>
          <w:kern w:val="0"/>
          <w:highlight w:val="none"/>
        </w:rPr>
      </w:pPr>
    </w:p>
    <w:p w14:paraId="5A9019A3">
      <w:pPr>
        <w:pStyle w:val="29"/>
        <w:spacing w:line="240" w:lineRule="auto"/>
        <w:ind w:firstLine="480"/>
        <w:rPr>
          <w:rFonts w:ascii="微软雅黑" w:hAnsi="微软雅黑" w:eastAsia="微软雅黑" w:cs="微软雅黑"/>
          <w:b/>
          <w:bCs/>
          <w:color w:val="auto"/>
          <w:kern w:val="0"/>
          <w:highlight w:val="none"/>
        </w:rPr>
      </w:pPr>
    </w:p>
    <w:p w14:paraId="37F9B360">
      <w:pPr>
        <w:pStyle w:val="29"/>
        <w:spacing w:line="240" w:lineRule="auto"/>
        <w:ind w:firstLine="480"/>
        <w:rPr>
          <w:rFonts w:ascii="微软雅黑" w:hAnsi="微软雅黑" w:eastAsia="微软雅黑" w:cs="微软雅黑"/>
          <w:b/>
          <w:bCs/>
          <w:color w:val="auto"/>
          <w:kern w:val="0"/>
          <w:highlight w:val="none"/>
        </w:rPr>
      </w:pPr>
    </w:p>
    <w:p w14:paraId="0B13173B">
      <w:pPr>
        <w:pStyle w:val="29"/>
        <w:spacing w:line="240" w:lineRule="auto"/>
        <w:ind w:firstLine="480"/>
        <w:rPr>
          <w:rFonts w:ascii="微软雅黑" w:hAnsi="微软雅黑" w:eastAsia="微软雅黑" w:cs="微软雅黑"/>
          <w:b/>
          <w:bCs/>
          <w:color w:val="auto"/>
          <w:kern w:val="0"/>
          <w:highlight w:val="none"/>
        </w:rPr>
      </w:pPr>
    </w:p>
    <w:p w14:paraId="77CB7DD4">
      <w:pPr>
        <w:pStyle w:val="29"/>
        <w:spacing w:line="240" w:lineRule="auto"/>
        <w:ind w:firstLine="480"/>
        <w:rPr>
          <w:rFonts w:ascii="微软雅黑" w:hAnsi="微软雅黑" w:eastAsia="微软雅黑" w:cs="微软雅黑"/>
          <w:b/>
          <w:bCs/>
          <w:color w:val="auto"/>
          <w:kern w:val="0"/>
          <w:highlight w:val="none"/>
        </w:rPr>
      </w:pPr>
    </w:p>
    <w:p w14:paraId="2C607436">
      <w:pPr>
        <w:pStyle w:val="29"/>
        <w:spacing w:line="240" w:lineRule="auto"/>
        <w:ind w:firstLine="480"/>
        <w:rPr>
          <w:rFonts w:ascii="微软雅黑" w:hAnsi="微软雅黑" w:eastAsia="微软雅黑" w:cs="微软雅黑"/>
          <w:b/>
          <w:bCs/>
          <w:color w:val="auto"/>
          <w:kern w:val="0"/>
          <w:highlight w:val="none"/>
        </w:rPr>
      </w:pPr>
    </w:p>
    <w:p w14:paraId="652A5D06">
      <w:pPr>
        <w:pStyle w:val="4"/>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w:t>
      </w:r>
      <w:r>
        <w:rPr>
          <w:rFonts w:hint="eastAsia" w:ascii="微软雅黑" w:hAnsi="微软雅黑" w:eastAsia="微软雅黑" w:cs="微软雅黑"/>
          <w:b/>
          <w:bCs/>
          <w:color w:val="auto"/>
          <w:highlight w:val="none"/>
          <w:lang w:val="en-US" w:eastAsia="zh-CN"/>
        </w:rPr>
        <w:t>供应商为生产商的需提供有效期的《食品生产许可证》；供应商为经销商的需提供有效期《食品经营许可证》或《仅销售预包装食品备案表》；</w:t>
      </w:r>
    </w:p>
    <w:p w14:paraId="70223879">
      <w:pPr>
        <w:pStyle w:val="29"/>
        <w:spacing w:line="240" w:lineRule="auto"/>
        <w:ind w:firstLine="480"/>
        <w:rPr>
          <w:rFonts w:ascii="微软雅黑" w:hAnsi="微软雅黑" w:eastAsia="微软雅黑" w:cs="微软雅黑"/>
          <w:b/>
          <w:bCs/>
          <w:color w:val="auto"/>
          <w:kern w:val="0"/>
          <w:highlight w:val="none"/>
        </w:rPr>
      </w:pPr>
      <w:r>
        <w:rPr>
          <w:rFonts w:hint="eastAsia" w:ascii="微软雅黑" w:hAnsi="微软雅黑" w:eastAsia="微软雅黑" w:cs="微软雅黑"/>
          <w:color w:val="auto"/>
          <w:highlight w:val="none"/>
        </w:rPr>
        <w:t>说明：须上传</w:t>
      </w:r>
      <w:r>
        <w:rPr>
          <w:rFonts w:hint="eastAsia" w:ascii="微软雅黑" w:hAnsi="微软雅黑" w:eastAsia="微软雅黑" w:cs="微软雅黑"/>
          <w:color w:val="auto"/>
          <w:highlight w:val="none"/>
          <w:lang w:val="en-US" w:eastAsia="zh-CN"/>
        </w:rPr>
        <w:t>相关资质证书</w:t>
      </w:r>
      <w:r>
        <w:rPr>
          <w:rFonts w:hint="eastAsia" w:ascii="微软雅黑" w:hAnsi="微软雅黑" w:eastAsia="微软雅黑" w:cs="微软雅黑"/>
          <w:color w:val="auto"/>
          <w:highlight w:val="none"/>
        </w:rPr>
        <w:t>扫描件并加盖本单位公章。</w:t>
      </w:r>
    </w:p>
    <w:p w14:paraId="6FE86AF0">
      <w:pPr>
        <w:pStyle w:val="29"/>
        <w:spacing w:line="240" w:lineRule="auto"/>
        <w:ind w:firstLine="480"/>
        <w:rPr>
          <w:rFonts w:ascii="微软雅黑" w:hAnsi="微软雅黑" w:eastAsia="微软雅黑" w:cs="微软雅黑"/>
          <w:b/>
          <w:bCs/>
          <w:color w:val="auto"/>
          <w:kern w:val="0"/>
          <w:highlight w:val="none"/>
        </w:rPr>
      </w:pPr>
    </w:p>
    <w:p w14:paraId="6A832C5F">
      <w:pPr>
        <w:pStyle w:val="29"/>
        <w:spacing w:line="240" w:lineRule="auto"/>
        <w:ind w:firstLine="480"/>
        <w:rPr>
          <w:rFonts w:ascii="微软雅黑" w:hAnsi="微软雅黑" w:eastAsia="微软雅黑" w:cs="微软雅黑"/>
          <w:b/>
          <w:bCs/>
          <w:color w:val="auto"/>
          <w:kern w:val="0"/>
          <w:highlight w:val="none"/>
        </w:rPr>
      </w:pPr>
    </w:p>
    <w:p w14:paraId="70413C77">
      <w:pPr>
        <w:pStyle w:val="29"/>
        <w:spacing w:line="240" w:lineRule="auto"/>
        <w:ind w:firstLine="480"/>
        <w:rPr>
          <w:rFonts w:ascii="微软雅黑" w:hAnsi="微软雅黑" w:eastAsia="微软雅黑" w:cs="微软雅黑"/>
          <w:b/>
          <w:bCs/>
          <w:color w:val="auto"/>
          <w:kern w:val="0"/>
          <w:highlight w:val="none"/>
        </w:rPr>
      </w:pPr>
    </w:p>
    <w:p w14:paraId="0918A37B">
      <w:pPr>
        <w:pStyle w:val="29"/>
        <w:spacing w:line="240" w:lineRule="auto"/>
        <w:ind w:firstLine="480"/>
        <w:rPr>
          <w:rFonts w:ascii="微软雅黑" w:hAnsi="微软雅黑" w:eastAsia="微软雅黑" w:cs="微软雅黑"/>
          <w:b/>
          <w:bCs/>
          <w:color w:val="auto"/>
          <w:kern w:val="0"/>
          <w:highlight w:val="none"/>
        </w:rPr>
      </w:pPr>
    </w:p>
    <w:p w14:paraId="5A2D0BB9">
      <w:pPr>
        <w:pStyle w:val="29"/>
        <w:spacing w:line="240" w:lineRule="auto"/>
        <w:ind w:firstLine="480"/>
        <w:rPr>
          <w:rFonts w:ascii="微软雅黑" w:hAnsi="微软雅黑" w:eastAsia="微软雅黑" w:cs="微软雅黑"/>
          <w:b/>
          <w:bCs/>
          <w:color w:val="auto"/>
          <w:kern w:val="0"/>
          <w:highlight w:val="none"/>
        </w:rPr>
      </w:pPr>
    </w:p>
    <w:p w14:paraId="0A3A95DC">
      <w:pPr>
        <w:pStyle w:val="29"/>
        <w:spacing w:line="240" w:lineRule="auto"/>
        <w:ind w:firstLine="480"/>
        <w:rPr>
          <w:rFonts w:ascii="微软雅黑" w:hAnsi="微软雅黑" w:eastAsia="微软雅黑" w:cs="微软雅黑"/>
          <w:b/>
          <w:bCs/>
          <w:color w:val="auto"/>
          <w:kern w:val="0"/>
          <w:highlight w:val="none"/>
        </w:rPr>
      </w:pPr>
    </w:p>
    <w:p w14:paraId="0B0A918A">
      <w:pPr>
        <w:pStyle w:val="29"/>
        <w:spacing w:line="240" w:lineRule="auto"/>
        <w:ind w:firstLine="480"/>
        <w:rPr>
          <w:rFonts w:ascii="微软雅黑" w:hAnsi="微软雅黑" w:eastAsia="微软雅黑" w:cs="微软雅黑"/>
          <w:b/>
          <w:bCs/>
          <w:color w:val="auto"/>
          <w:kern w:val="0"/>
          <w:highlight w:val="none"/>
        </w:rPr>
      </w:pPr>
    </w:p>
    <w:p w14:paraId="71415A8B">
      <w:pPr>
        <w:pStyle w:val="29"/>
        <w:spacing w:line="240" w:lineRule="auto"/>
        <w:ind w:firstLine="480"/>
        <w:rPr>
          <w:rFonts w:ascii="微软雅黑" w:hAnsi="微软雅黑" w:eastAsia="微软雅黑" w:cs="微软雅黑"/>
          <w:b/>
          <w:bCs/>
          <w:color w:val="auto"/>
          <w:kern w:val="0"/>
          <w:highlight w:val="none"/>
        </w:rPr>
      </w:pPr>
    </w:p>
    <w:p w14:paraId="2BB983B7">
      <w:pPr>
        <w:pStyle w:val="29"/>
        <w:spacing w:line="240" w:lineRule="auto"/>
        <w:ind w:firstLine="480"/>
        <w:rPr>
          <w:rFonts w:ascii="微软雅黑" w:hAnsi="微软雅黑" w:eastAsia="微软雅黑" w:cs="微软雅黑"/>
          <w:b/>
          <w:bCs/>
          <w:color w:val="auto"/>
          <w:kern w:val="0"/>
          <w:highlight w:val="none"/>
        </w:rPr>
      </w:pPr>
    </w:p>
    <w:p w14:paraId="0EB64498">
      <w:pPr>
        <w:pStyle w:val="29"/>
        <w:spacing w:line="240" w:lineRule="auto"/>
        <w:ind w:firstLine="480"/>
        <w:rPr>
          <w:rFonts w:ascii="微软雅黑" w:hAnsi="微软雅黑" w:eastAsia="微软雅黑" w:cs="微软雅黑"/>
          <w:b/>
          <w:bCs/>
          <w:color w:val="auto"/>
          <w:kern w:val="0"/>
          <w:highlight w:val="none"/>
        </w:rPr>
      </w:pPr>
    </w:p>
    <w:p w14:paraId="3D4B3BC9">
      <w:pPr>
        <w:pStyle w:val="29"/>
        <w:spacing w:line="240" w:lineRule="auto"/>
        <w:ind w:firstLine="480"/>
        <w:rPr>
          <w:rFonts w:ascii="微软雅黑" w:hAnsi="微软雅黑" w:eastAsia="微软雅黑" w:cs="微软雅黑"/>
          <w:b/>
          <w:bCs/>
          <w:color w:val="auto"/>
          <w:kern w:val="0"/>
          <w:highlight w:val="none"/>
        </w:rPr>
      </w:pPr>
    </w:p>
    <w:p w14:paraId="180B5633">
      <w:pPr>
        <w:pStyle w:val="29"/>
        <w:spacing w:line="240" w:lineRule="auto"/>
        <w:ind w:firstLine="480"/>
        <w:rPr>
          <w:rFonts w:ascii="微软雅黑" w:hAnsi="微软雅黑" w:eastAsia="微软雅黑" w:cs="微软雅黑"/>
          <w:b/>
          <w:bCs/>
          <w:color w:val="auto"/>
          <w:kern w:val="0"/>
          <w:highlight w:val="none"/>
        </w:rPr>
      </w:pPr>
    </w:p>
    <w:p w14:paraId="6255A7E5">
      <w:pPr>
        <w:pStyle w:val="29"/>
        <w:spacing w:line="240" w:lineRule="auto"/>
        <w:ind w:firstLine="480"/>
        <w:rPr>
          <w:rFonts w:ascii="微软雅黑" w:hAnsi="微软雅黑" w:eastAsia="微软雅黑" w:cs="微软雅黑"/>
          <w:b/>
          <w:bCs/>
          <w:color w:val="auto"/>
          <w:kern w:val="0"/>
          <w:highlight w:val="none"/>
        </w:rPr>
      </w:pPr>
    </w:p>
    <w:p w14:paraId="655DE5F0">
      <w:pPr>
        <w:pStyle w:val="29"/>
        <w:spacing w:line="240" w:lineRule="auto"/>
        <w:ind w:firstLine="480"/>
        <w:rPr>
          <w:rFonts w:ascii="微软雅黑" w:hAnsi="微软雅黑" w:eastAsia="微软雅黑" w:cs="微软雅黑"/>
          <w:b/>
          <w:bCs/>
          <w:color w:val="auto"/>
          <w:kern w:val="0"/>
          <w:highlight w:val="none"/>
        </w:rPr>
      </w:pPr>
    </w:p>
    <w:p w14:paraId="7C6455C1">
      <w:pPr>
        <w:pStyle w:val="29"/>
        <w:spacing w:line="240" w:lineRule="auto"/>
        <w:ind w:firstLine="480"/>
        <w:rPr>
          <w:rFonts w:ascii="微软雅黑" w:hAnsi="微软雅黑" w:eastAsia="微软雅黑" w:cs="微软雅黑"/>
          <w:b/>
          <w:bCs/>
          <w:color w:val="auto"/>
          <w:kern w:val="0"/>
          <w:highlight w:val="none"/>
        </w:rPr>
      </w:pPr>
    </w:p>
    <w:p w14:paraId="3CBBA51D">
      <w:pPr>
        <w:rPr>
          <w:rFonts w:ascii="微软雅黑" w:hAnsi="微软雅黑" w:eastAsia="微软雅黑" w:cs="微软雅黑"/>
          <w:b/>
          <w:bCs/>
          <w:color w:val="auto"/>
          <w:kern w:val="0"/>
          <w:highlight w:val="none"/>
        </w:rPr>
      </w:pPr>
    </w:p>
    <w:p w14:paraId="078EBE92">
      <w:pPr>
        <w:rPr>
          <w:rFonts w:ascii="微软雅黑" w:hAnsi="微软雅黑" w:eastAsia="微软雅黑" w:cs="微软雅黑"/>
          <w:b/>
          <w:bCs/>
          <w:color w:val="auto"/>
          <w:kern w:val="0"/>
          <w:highlight w:val="none"/>
        </w:rPr>
      </w:pPr>
    </w:p>
    <w:p w14:paraId="77FC4983">
      <w:pPr>
        <w:rPr>
          <w:rFonts w:ascii="微软雅黑" w:hAnsi="微软雅黑" w:eastAsia="微软雅黑" w:cs="微软雅黑"/>
          <w:b/>
          <w:bCs/>
          <w:color w:val="auto"/>
          <w:kern w:val="0"/>
          <w:highlight w:val="none"/>
        </w:rPr>
      </w:pPr>
    </w:p>
    <w:p w14:paraId="347C599B">
      <w:pPr>
        <w:rPr>
          <w:color w:val="auto"/>
          <w:highlight w:val="none"/>
        </w:rPr>
      </w:pPr>
      <w:bookmarkStart w:id="519" w:name="_Toc2848"/>
    </w:p>
    <w:bookmarkEnd w:id="519"/>
    <w:p w14:paraId="503DA2F5">
      <w:pPr>
        <w:adjustRightInd w:val="0"/>
        <w:snapToGrid w:val="0"/>
        <w:spacing w:beforeLines="100" w:afterLines="100"/>
        <w:ind w:firstLine="480" w:firstLineChars="200"/>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③</w:t>
      </w:r>
      <w:r>
        <w:rPr>
          <w:rFonts w:hint="eastAsia" w:ascii="微软雅黑" w:hAnsi="微软雅黑" w:eastAsia="微软雅黑" w:cs="微软雅黑"/>
          <w:b/>
          <w:bCs/>
          <w:color w:val="auto"/>
          <w:kern w:val="0"/>
          <w:sz w:val="24"/>
          <w:szCs w:val="24"/>
          <w:highlight w:val="none"/>
          <w:lang w:val="en-US" w:eastAsia="zh-CN"/>
        </w:rPr>
        <w:t>被授权委托人参与投标提供法定代表人授权书及被授权人身份证；法人本人参与投标提供法人身份证及法人资格证明</w:t>
      </w:r>
      <w:r>
        <w:rPr>
          <w:rFonts w:hint="eastAsia" w:ascii="微软雅黑" w:hAnsi="微软雅黑" w:eastAsia="微软雅黑" w:cs="微软雅黑"/>
          <w:b/>
          <w:bCs/>
          <w:color w:val="auto"/>
          <w:kern w:val="0"/>
          <w:sz w:val="24"/>
          <w:szCs w:val="24"/>
          <w:highlight w:val="none"/>
        </w:rPr>
        <w:t>；</w:t>
      </w:r>
    </w:p>
    <w:p w14:paraId="445D2D07">
      <w:pPr>
        <w:adjustRightInd w:val="0"/>
        <w:snapToGrid w:val="0"/>
        <w:spacing w:beforeLines="100" w:afterLines="100"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b/>
          <w:bCs/>
          <w:color w:val="auto"/>
          <w:sz w:val="22"/>
          <w:szCs w:val="22"/>
          <w:highlight w:val="none"/>
        </w:rPr>
        <w:t>（一）法定代表人身份证</w:t>
      </w:r>
    </w:p>
    <w:p w14:paraId="21EEDCA6">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同志，现任我单位</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rPr>
        <w:t>职务，为法定代表人，特此证明。</w:t>
      </w:r>
    </w:p>
    <w:p w14:paraId="3019F2A3">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签发日期：                  单位：        </w:t>
      </w:r>
    </w:p>
    <w:p w14:paraId="5E50052F">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附：代表人性别：            年龄：           身份证号码：</w:t>
      </w:r>
    </w:p>
    <w:p w14:paraId="4F18B309">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6C5B1F10">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营业执照号码：              经济性质：</w:t>
      </w:r>
    </w:p>
    <w:p w14:paraId="66DE957F">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6C9909A0">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1、法定代表人为企业事业单位、国家机关、社会团体的主要行政负责人。</w:t>
      </w:r>
    </w:p>
    <w:p w14:paraId="52C4F0EE">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2、内容必须填写真实、清楚、涂改无效，不得转让。</w:t>
      </w:r>
    </w:p>
    <w:p w14:paraId="17DA1024">
      <w:pPr>
        <w:spacing w:line="360" w:lineRule="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w:t>
      </w:r>
    </w:p>
    <w:p w14:paraId="5AFED552">
      <w:pPr>
        <w:spacing w:line="360" w:lineRule="auto"/>
        <w:rPr>
          <w:rFonts w:ascii="微软雅黑" w:hAnsi="微软雅黑" w:eastAsia="微软雅黑" w:cs="微软雅黑"/>
          <w:color w:val="auto"/>
          <w:sz w:val="22"/>
          <w:szCs w:val="22"/>
          <w:highlight w:val="none"/>
        </w:rPr>
      </w:pPr>
      <w:r>
        <w:rPr>
          <w:rFonts w:ascii="微软雅黑" w:hAnsi="微软雅黑" w:eastAsia="微软雅黑" w:cs="微软雅黑"/>
          <w:color w:val="auto"/>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027" name="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4EF68F8">
                            <w:pPr>
                              <w:jc w:val="center"/>
                              <w:rPr>
                                <w:rFonts w:hAnsi="宋体"/>
                              </w:rPr>
                            </w:pPr>
                          </w:p>
                          <w:p w14:paraId="3B9EF1FA">
                            <w:pPr>
                              <w:jc w:val="center"/>
                              <w:rPr>
                                <w:rFonts w:hAnsi="宋体"/>
                              </w:rPr>
                            </w:pPr>
                          </w:p>
                          <w:p w14:paraId="457EB19B">
                            <w:pPr>
                              <w:jc w:val="center"/>
                              <w:rPr>
                                <w:rFonts w:hAnsi="宋体"/>
                              </w:rPr>
                            </w:pPr>
                          </w:p>
                          <w:p w14:paraId="3DB87F87">
                            <w:pPr>
                              <w:jc w:val="center"/>
                            </w:pPr>
                            <w:r>
                              <w:rPr>
                                <w:rFonts w:hint="eastAsia" w:hAnsi="宋体" w:cs="宋体"/>
                              </w:rPr>
                              <w:t>法定代表人身份证复印件</w:t>
                            </w:r>
                          </w:p>
                        </w:txbxContent>
                      </wps:txbx>
                      <wps:bodyPr upright="1"/>
                    </wps:wsp>
                  </a:graphicData>
                </a:graphic>
              </wp:anchor>
            </w:drawing>
          </mc:Choice>
          <mc:Fallback>
            <w:pict>
              <v:shape id="1026" o:spid="_x0000_s1026" o:spt="176" type="#_x0000_t176" style="position:absolute;left:0pt;margin-left:12.15pt;margin-top:0.85pt;height:124.75pt;width:183.75pt;z-index:251662336;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lZOvXWAAAACAEAAA8AAAAAAAAAAQAgAAAAIgAAAGRy&#10;cy9kb3ducmV2LnhtbFBLAQIUABQAAAAIAIdO4kCJE288BwIAAEwEAAAOAAAAAAAAAAEAIAAAACUB&#10;AABkcnMvZTJvRG9jLnhtbFBLBQYAAAAABgAGAFkBAACeBQAAAAA=&#10;">
                <v:fill on="t" focussize="0,0"/>
                <v:stroke color="#000000" joinstyle="miter"/>
                <v:imagedata o:title=""/>
                <o:lock v:ext="edit" aspectratio="f"/>
                <v:textbox>
                  <w:txbxContent>
                    <w:p w14:paraId="54EF68F8">
                      <w:pPr>
                        <w:jc w:val="center"/>
                        <w:rPr>
                          <w:rFonts w:hAnsi="宋体"/>
                        </w:rPr>
                      </w:pPr>
                    </w:p>
                    <w:p w14:paraId="3B9EF1FA">
                      <w:pPr>
                        <w:jc w:val="center"/>
                        <w:rPr>
                          <w:rFonts w:hAnsi="宋体"/>
                        </w:rPr>
                      </w:pPr>
                    </w:p>
                    <w:p w14:paraId="457EB19B">
                      <w:pPr>
                        <w:jc w:val="center"/>
                        <w:rPr>
                          <w:rFonts w:hAnsi="宋体"/>
                        </w:rPr>
                      </w:pPr>
                    </w:p>
                    <w:p w14:paraId="3DB87F87">
                      <w:pPr>
                        <w:jc w:val="center"/>
                      </w:pPr>
                      <w:r>
                        <w:rPr>
                          <w:rFonts w:hint="eastAsia" w:hAnsi="宋体" w:cs="宋体"/>
                        </w:rPr>
                        <w:t>法定代表人身份证复印件</w:t>
                      </w:r>
                    </w:p>
                  </w:txbxContent>
                </v:textbox>
              </v:shape>
            </w:pict>
          </mc:Fallback>
        </mc:AlternateContent>
      </w:r>
      <w:r>
        <w:rPr>
          <w:rFonts w:ascii="微软雅黑" w:hAnsi="微软雅黑" w:eastAsia="微软雅黑" w:cs="微软雅黑"/>
          <w:color w:val="auto"/>
          <w:sz w:val="22"/>
          <w:szCs w:val="22"/>
          <w:highlight w:val="none"/>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028" name="1027"/>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23CA6B4">
                            <w:pPr>
                              <w:jc w:val="center"/>
                              <w:rPr>
                                <w:rFonts w:hAnsi="宋体"/>
                              </w:rPr>
                            </w:pPr>
                            <w:r>
                              <w:rPr>
                                <w:rFonts w:hAnsi="宋体"/>
                              </w:rPr>
                              <w:t xml:space="preserve">  </w:t>
                            </w:r>
                          </w:p>
                          <w:p w14:paraId="1A13B36D">
                            <w:pPr>
                              <w:jc w:val="center"/>
                              <w:rPr>
                                <w:rFonts w:hAnsi="宋体"/>
                              </w:rPr>
                            </w:pPr>
                          </w:p>
                          <w:p w14:paraId="1F36510D">
                            <w:pPr>
                              <w:jc w:val="center"/>
                              <w:rPr>
                                <w:rFonts w:hAnsi="宋体"/>
                              </w:rPr>
                            </w:pPr>
                          </w:p>
                          <w:p w14:paraId="481D2EAF">
                            <w:pPr>
                              <w:jc w:val="center"/>
                            </w:pPr>
                            <w:r>
                              <w:rPr>
                                <w:rFonts w:hint="eastAsia" w:hAnsi="宋体" w:cs="宋体"/>
                              </w:rPr>
                              <w:t>法定代表人身份证复印件</w:t>
                            </w:r>
                          </w:p>
                          <w:p w14:paraId="051177BD"/>
                          <w:p w14:paraId="72C2387D">
                            <w:pPr>
                              <w:pStyle w:val="4"/>
                              <w:rPr>
                                <w:rFonts w:cs="Times New Roman"/>
                              </w:rPr>
                            </w:pPr>
                          </w:p>
                          <w:p w14:paraId="37831A27">
                            <w:pPr>
                              <w:pStyle w:val="4"/>
                              <w:rPr>
                                <w:rFonts w:cs="Times New Roman"/>
                              </w:rPr>
                            </w:pPr>
                          </w:p>
                          <w:p w14:paraId="7A4693C2">
                            <w:pPr>
                              <w:pStyle w:val="4"/>
                              <w:rPr>
                                <w:rFonts w:cs="Times New Roman"/>
                              </w:rPr>
                            </w:pPr>
                          </w:p>
                          <w:p w14:paraId="5D452D44">
                            <w:pPr>
                              <w:pStyle w:val="4"/>
                              <w:rPr>
                                <w:rFonts w:cs="Times New Roman"/>
                              </w:rPr>
                            </w:pPr>
                          </w:p>
                        </w:txbxContent>
                      </wps:txbx>
                      <wps:bodyPr upright="1"/>
                    </wps:wsp>
                  </a:graphicData>
                </a:graphic>
              </wp:anchor>
            </w:drawing>
          </mc:Choice>
          <mc:Fallback>
            <w:pict>
              <v:roundrect id="1027"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L2Nf2gAAAAkBAAAP&#10;AAAAAAAAAAEAIAAAACIAAABkcnMvZG93bnJldi54bWxQSwECFAAUAAAACACHTuJAVQED/RYCAABp&#10;BAAADgAAAAAAAAABACAAAAApAQAAZHJzL2Uyb0RvYy54bWxQSwUGAAAAAAYABgBZAQAAsQUAAAAA&#10;">
                <v:fill on="t" focussize="0,0"/>
                <v:stroke weight="1.25pt" color="#808080" joinstyle="round"/>
                <v:imagedata o:title=""/>
                <o:lock v:ext="edit" aspectratio="f"/>
                <v:textbox>
                  <w:txbxContent>
                    <w:p w14:paraId="023CA6B4">
                      <w:pPr>
                        <w:jc w:val="center"/>
                        <w:rPr>
                          <w:rFonts w:hAnsi="宋体"/>
                        </w:rPr>
                      </w:pPr>
                      <w:r>
                        <w:rPr>
                          <w:rFonts w:hAnsi="宋体"/>
                        </w:rPr>
                        <w:t xml:space="preserve">  </w:t>
                      </w:r>
                    </w:p>
                    <w:p w14:paraId="1A13B36D">
                      <w:pPr>
                        <w:jc w:val="center"/>
                        <w:rPr>
                          <w:rFonts w:hAnsi="宋体"/>
                        </w:rPr>
                      </w:pPr>
                    </w:p>
                    <w:p w14:paraId="1F36510D">
                      <w:pPr>
                        <w:jc w:val="center"/>
                        <w:rPr>
                          <w:rFonts w:hAnsi="宋体"/>
                        </w:rPr>
                      </w:pPr>
                    </w:p>
                    <w:p w14:paraId="481D2EAF">
                      <w:pPr>
                        <w:jc w:val="center"/>
                      </w:pPr>
                      <w:r>
                        <w:rPr>
                          <w:rFonts w:hint="eastAsia" w:hAnsi="宋体" w:cs="宋体"/>
                        </w:rPr>
                        <w:t>法定代表人身份证复印件</w:t>
                      </w:r>
                    </w:p>
                    <w:p w14:paraId="051177BD"/>
                    <w:p w14:paraId="72C2387D">
                      <w:pPr>
                        <w:pStyle w:val="4"/>
                        <w:rPr>
                          <w:rFonts w:cs="Times New Roman"/>
                        </w:rPr>
                      </w:pPr>
                    </w:p>
                    <w:p w14:paraId="37831A27">
                      <w:pPr>
                        <w:pStyle w:val="4"/>
                        <w:rPr>
                          <w:rFonts w:cs="Times New Roman"/>
                        </w:rPr>
                      </w:pPr>
                    </w:p>
                    <w:p w14:paraId="7A4693C2">
                      <w:pPr>
                        <w:pStyle w:val="4"/>
                        <w:rPr>
                          <w:rFonts w:cs="Times New Roman"/>
                        </w:rPr>
                      </w:pPr>
                    </w:p>
                    <w:p w14:paraId="5D452D44">
                      <w:pPr>
                        <w:pStyle w:val="4"/>
                        <w:rPr>
                          <w:rFonts w:cs="Times New Roman"/>
                        </w:rPr>
                      </w:pPr>
                    </w:p>
                  </w:txbxContent>
                </v:textbox>
              </v:roundrect>
            </w:pict>
          </mc:Fallback>
        </mc:AlternateContent>
      </w:r>
    </w:p>
    <w:p w14:paraId="5B09A39A">
      <w:pPr>
        <w:spacing w:line="360" w:lineRule="auto"/>
        <w:rPr>
          <w:rFonts w:ascii="微软雅黑" w:hAnsi="微软雅黑" w:eastAsia="微软雅黑" w:cs="微软雅黑"/>
          <w:color w:val="auto"/>
          <w:sz w:val="22"/>
          <w:szCs w:val="22"/>
          <w:highlight w:val="none"/>
        </w:rPr>
      </w:pPr>
    </w:p>
    <w:p w14:paraId="7F981213">
      <w:pPr>
        <w:spacing w:line="360" w:lineRule="auto"/>
        <w:rPr>
          <w:rFonts w:ascii="微软雅黑" w:hAnsi="微软雅黑" w:eastAsia="微软雅黑" w:cs="微软雅黑"/>
          <w:color w:val="auto"/>
          <w:sz w:val="22"/>
          <w:szCs w:val="22"/>
          <w:highlight w:val="none"/>
        </w:rPr>
      </w:pPr>
    </w:p>
    <w:p w14:paraId="56783428">
      <w:pPr>
        <w:tabs>
          <w:tab w:val="left" w:pos="654"/>
          <w:tab w:val="left" w:pos="1734"/>
          <w:tab w:val="left" w:pos="2814"/>
          <w:tab w:val="left" w:pos="3894"/>
          <w:tab w:val="left" w:pos="5334"/>
          <w:tab w:val="left" w:pos="6414"/>
          <w:tab w:val="left" w:pos="7254"/>
          <w:tab w:val="left" w:pos="8574"/>
          <w:tab w:val="left" w:pos="9654"/>
        </w:tabs>
        <w:spacing w:line="360" w:lineRule="auto"/>
        <w:rPr>
          <w:rFonts w:ascii="微软雅黑" w:hAnsi="微软雅黑" w:eastAsia="微软雅黑" w:cs="微软雅黑"/>
          <w:color w:val="auto"/>
          <w:sz w:val="22"/>
          <w:szCs w:val="22"/>
          <w:highlight w:val="none"/>
        </w:rPr>
      </w:pPr>
    </w:p>
    <w:p w14:paraId="1C644F77">
      <w:pPr>
        <w:autoSpaceDE w:val="0"/>
        <w:autoSpaceDN w:val="0"/>
        <w:adjustRightInd w:val="0"/>
        <w:spacing w:line="360" w:lineRule="auto"/>
        <w:ind w:right="246"/>
        <w:rPr>
          <w:rFonts w:ascii="微软雅黑" w:hAnsi="微软雅黑" w:eastAsia="微软雅黑" w:cs="微软雅黑"/>
          <w:color w:val="auto"/>
          <w:kern w:val="0"/>
          <w:sz w:val="22"/>
          <w:szCs w:val="22"/>
          <w:highlight w:val="none"/>
        </w:rPr>
      </w:pPr>
    </w:p>
    <w:p w14:paraId="79034DA7">
      <w:pPr>
        <w:autoSpaceDE w:val="0"/>
        <w:autoSpaceDN w:val="0"/>
        <w:adjustRightInd w:val="0"/>
        <w:spacing w:line="360" w:lineRule="auto"/>
        <w:ind w:right="246"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供应商（公章）：</w:t>
      </w:r>
    </w:p>
    <w:p w14:paraId="06E8AC52">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法定代表人（签字或盖章）：</w:t>
      </w:r>
    </w:p>
    <w:p w14:paraId="7F7F1FDE">
      <w:pPr>
        <w:adjustRightInd w:val="0"/>
        <w:snapToGrid w:val="0"/>
        <w:spacing w:line="360" w:lineRule="auto"/>
        <w:ind w:firstLine="719" w:firstLineChars="327"/>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日期：</w:t>
      </w:r>
      <w:bookmarkStart w:id="520" w:name="_Toc1083"/>
      <w:bookmarkStart w:id="521" w:name="_Toc22472"/>
      <w:bookmarkStart w:id="522" w:name="_Toc515647807"/>
    </w:p>
    <w:p w14:paraId="7655E136">
      <w:pPr>
        <w:spacing w:line="360" w:lineRule="auto"/>
        <w:rPr>
          <w:color w:val="auto"/>
          <w:highlight w:val="none"/>
        </w:rPr>
      </w:pPr>
    </w:p>
    <w:p w14:paraId="64884F19">
      <w:pPr>
        <w:pStyle w:val="21"/>
        <w:rPr>
          <w:rFonts w:ascii="微软雅黑" w:hAnsi="微软雅黑" w:eastAsia="微软雅黑" w:cs="微软雅黑"/>
          <w:b/>
          <w:bCs/>
          <w:color w:val="auto"/>
          <w:sz w:val="24"/>
          <w:szCs w:val="24"/>
          <w:highlight w:val="none"/>
        </w:rPr>
      </w:pPr>
    </w:p>
    <w:p w14:paraId="0F58AD21">
      <w:pPr>
        <w:pStyle w:val="21"/>
        <w:rPr>
          <w:rFonts w:ascii="微软雅黑" w:hAnsi="微软雅黑" w:eastAsia="微软雅黑" w:cs="微软雅黑"/>
          <w:b/>
          <w:bCs/>
          <w:color w:val="auto"/>
          <w:sz w:val="24"/>
          <w:szCs w:val="24"/>
          <w:highlight w:val="none"/>
        </w:rPr>
      </w:pPr>
    </w:p>
    <w:p w14:paraId="395DD587">
      <w:pPr>
        <w:pStyle w:val="21"/>
        <w:rPr>
          <w:rFonts w:ascii="微软雅黑" w:hAnsi="微软雅黑" w:eastAsia="微软雅黑" w:cs="微软雅黑"/>
          <w:b/>
          <w:bCs/>
          <w:color w:val="auto"/>
          <w:sz w:val="24"/>
          <w:szCs w:val="24"/>
          <w:highlight w:val="none"/>
        </w:rPr>
      </w:pPr>
    </w:p>
    <w:p w14:paraId="0F24C889">
      <w:pPr>
        <w:pStyle w:val="21"/>
        <w:rPr>
          <w:rFonts w:ascii="微软雅黑" w:hAnsi="微软雅黑" w:eastAsia="微软雅黑" w:cs="微软雅黑"/>
          <w:b/>
          <w:bCs/>
          <w:color w:val="auto"/>
          <w:sz w:val="24"/>
          <w:szCs w:val="24"/>
          <w:highlight w:val="none"/>
        </w:rPr>
      </w:pPr>
    </w:p>
    <w:p w14:paraId="6881A886">
      <w:pPr>
        <w:pStyle w:val="21"/>
        <w:rPr>
          <w:rFonts w:ascii="微软雅黑" w:hAnsi="微软雅黑" w:eastAsia="微软雅黑" w:cs="微软雅黑"/>
          <w:b/>
          <w:bCs/>
          <w:color w:val="auto"/>
          <w:sz w:val="24"/>
          <w:szCs w:val="24"/>
          <w:highlight w:val="none"/>
        </w:rPr>
      </w:pPr>
    </w:p>
    <w:p w14:paraId="4F8EA450">
      <w:pPr>
        <w:spacing w:line="360" w:lineRule="auto"/>
        <w:rPr>
          <w:rFonts w:ascii="微软雅黑" w:hAnsi="微软雅黑" w:eastAsia="微软雅黑" w:cs="微软雅黑"/>
          <w:b/>
          <w:bCs/>
          <w:color w:val="auto"/>
          <w:sz w:val="28"/>
          <w:szCs w:val="28"/>
          <w:highlight w:val="none"/>
          <w:u w:val="single"/>
        </w:rPr>
      </w:pPr>
      <w:r>
        <w:rPr>
          <w:rFonts w:hint="eastAsia" w:ascii="微软雅黑" w:hAnsi="微软雅黑" w:eastAsia="微软雅黑" w:cs="微软雅黑"/>
          <w:b/>
          <w:bCs/>
          <w:color w:val="auto"/>
          <w:sz w:val="28"/>
          <w:szCs w:val="28"/>
          <w:highlight w:val="none"/>
        </w:rPr>
        <w:t>（二）法定代表人授权委托书</w:t>
      </w:r>
      <w:bookmarkEnd w:id="520"/>
      <w:bookmarkEnd w:id="521"/>
      <w:bookmarkEnd w:id="522"/>
    </w:p>
    <w:p w14:paraId="5CCDC880">
      <w:pPr>
        <w:spacing w:line="360" w:lineRule="auto"/>
        <w:ind w:firstLine="24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14:paraId="257A29CD">
      <w:pPr>
        <w:spacing w:line="360" w:lineRule="auto"/>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本授权书于           年     月     日签字生效,特此声明。</w:t>
      </w:r>
    </w:p>
    <w:p w14:paraId="24304C25">
      <w:pPr>
        <w:pStyle w:val="15"/>
        <w:tabs>
          <w:tab w:val="left" w:pos="5580"/>
        </w:tabs>
        <w:spacing w:line="360" w:lineRule="auto"/>
        <w:ind w:left="-540" w:leftChars="-257" w:firstLine="900" w:firstLineChars="375"/>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295400"/>
                <wp:effectExtent l="7620" t="7620" r="13335" b="22860"/>
                <wp:wrapNone/>
                <wp:docPr id="1029" name="1028"/>
                <wp:cNvGraphicFramePr/>
                <a:graphic xmlns:a="http://schemas.openxmlformats.org/drawingml/2006/main">
                  <a:graphicData uri="http://schemas.microsoft.com/office/word/2010/wordprocessingShape">
                    <wps:wsp>
                      <wps:cNvSpPr/>
                      <wps:spPr>
                        <a:xfrm>
                          <a:off x="0" y="0"/>
                          <a:ext cx="2478405" cy="129540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1CA34A8">
                            <w:pPr>
                              <w:rPr>
                                <w:rFonts w:hAnsi="宋体"/>
                              </w:rPr>
                            </w:pPr>
                          </w:p>
                          <w:p w14:paraId="63B0F6D5">
                            <w:pPr>
                              <w:rPr>
                                <w:rFonts w:hAnsi="宋体"/>
                              </w:rPr>
                            </w:pPr>
                          </w:p>
                          <w:p w14:paraId="64682C34">
                            <w:pPr>
                              <w:rPr>
                                <w:rFonts w:hAnsi="宋体"/>
                              </w:rPr>
                            </w:pPr>
                          </w:p>
                          <w:p w14:paraId="2CE5301E">
                            <w:r>
                              <w:rPr>
                                <w:rFonts w:hint="eastAsia" w:hAnsi="宋体" w:cs="宋体"/>
                              </w:rPr>
                              <w:t>授权委托人身份证复印件</w:t>
                            </w:r>
                          </w:p>
                          <w:p w14:paraId="452A94DC"/>
                        </w:txbxContent>
                      </wps:txbx>
                      <wps:bodyPr upright="1"/>
                    </wps:wsp>
                  </a:graphicData>
                </a:graphic>
              </wp:anchor>
            </w:drawing>
          </mc:Choice>
          <mc:Fallback>
            <w:pict>
              <v:roundrect id="1028" o:spid="_x0000_s1026" o:spt="2" style="position:absolute;left:0pt;margin-left:239.3pt;margin-top:13.2pt;height:102pt;width:195.15pt;z-index:251664384;mso-width-relative:page;mso-height-relative:page;" fillcolor="#FFFFFF" filled="t" stroked="t" coordsize="21600,21600" arcsize="0.166666666666667" o:gfxdata="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kzKgtsAAAAKAQAA&#10;DwAAAAAAAAABACAAAAAiAAAAZHJzL2Rvd25yZXYueG1sUEsBAhQAFAAAAAgAh07iQLsPkIcWAgAA&#10;aQQAAA4AAAAAAAAAAQAgAAAAKgEAAGRycy9lMm9Eb2MueG1sUEsFBgAAAAAGAAYAWQEAALIFAAAA&#10;AA==&#10;">
                <v:fill on="t" focussize="0,0"/>
                <v:stroke weight="1.25pt" color="#808080" joinstyle="round"/>
                <v:imagedata o:title=""/>
                <o:lock v:ext="edit" aspectratio="f"/>
                <v:textbox>
                  <w:txbxContent>
                    <w:p w14:paraId="71CA34A8">
                      <w:pPr>
                        <w:rPr>
                          <w:rFonts w:hAnsi="宋体"/>
                        </w:rPr>
                      </w:pPr>
                    </w:p>
                    <w:p w14:paraId="63B0F6D5">
                      <w:pPr>
                        <w:rPr>
                          <w:rFonts w:hAnsi="宋体"/>
                        </w:rPr>
                      </w:pPr>
                    </w:p>
                    <w:p w14:paraId="64682C34">
                      <w:pPr>
                        <w:rPr>
                          <w:rFonts w:hAnsi="宋体"/>
                        </w:rPr>
                      </w:pPr>
                    </w:p>
                    <w:p w14:paraId="2CE5301E">
                      <w:r>
                        <w:rPr>
                          <w:rFonts w:hint="eastAsia" w:hAnsi="宋体" w:cs="宋体"/>
                        </w:rPr>
                        <w:t>授权委托人身份证复印件</w:t>
                      </w:r>
                    </w:p>
                    <w:p w14:paraId="452A94DC"/>
                  </w:txbxContent>
                </v:textbox>
              </v:roundrect>
            </w:pict>
          </mc:Fallback>
        </mc:AlternateContent>
      </w: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317750" cy="1240790"/>
                <wp:effectExtent l="4445" t="4445" r="9525" b="19685"/>
                <wp:wrapNone/>
                <wp:docPr id="1030" name="1029"/>
                <wp:cNvGraphicFramePr/>
                <a:graphic xmlns:a="http://schemas.openxmlformats.org/drawingml/2006/main">
                  <a:graphicData uri="http://schemas.microsoft.com/office/word/2010/wordprocessingShape">
                    <wps:wsp>
                      <wps:cNvSpPr/>
                      <wps:spPr>
                        <a:xfrm>
                          <a:off x="0" y="0"/>
                          <a:ext cx="2317750" cy="12407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0C35645">
                            <w:pPr>
                              <w:jc w:val="center"/>
                              <w:rPr>
                                <w:rFonts w:hAnsi="宋体"/>
                              </w:rPr>
                            </w:pPr>
                          </w:p>
                          <w:p w14:paraId="4FD6F8A4">
                            <w:pPr>
                              <w:jc w:val="center"/>
                              <w:rPr>
                                <w:rFonts w:hAnsi="宋体"/>
                              </w:rPr>
                            </w:pPr>
                          </w:p>
                          <w:p w14:paraId="6B881AA3">
                            <w:pPr>
                              <w:jc w:val="center"/>
                              <w:rPr>
                                <w:rFonts w:hAnsi="宋体"/>
                              </w:rPr>
                            </w:pPr>
                          </w:p>
                          <w:p w14:paraId="79E912F6">
                            <w:pPr>
                              <w:jc w:val="center"/>
                            </w:pPr>
                            <w:r>
                              <w:rPr>
                                <w:rFonts w:hint="eastAsia" w:hAnsi="宋体" w:cs="宋体"/>
                              </w:rPr>
                              <w:t>授权委托人身份证复印件</w:t>
                            </w:r>
                          </w:p>
                        </w:txbxContent>
                      </wps:txbx>
                      <wps:bodyPr upright="1"/>
                    </wps:wsp>
                  </a:graphicData>
                </a:graphic>
              </wp:anchor>
            </w:drawing>
          </mc:Choice>
          <mc:Fallback>
            <w:pict>
              <v:shape id="1029" o:spid="_x0000_s1026" o:spt="176" type="#_x0000_t176" style="position:absolute;left:0pt;margin-left:1.65pt;margin-top:10.7pt;height:97.7pt;width:182.5pt;z-index:251665408;mso-width-relative:page;mso-height-relative:page;" fillcolor="#FFFFFF" filled="t" stroked="t" coordsize="21600,21600" o:gfxdata="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m2EItUAAAAIAQAADwAAAAAAAAABACAAAAAiAAAA&#10;ZHJzL2Rvd25yZXYueG1sUEsBAhQAFAAAAAgAh07iQNsaN5UKAgAATAQAAA4AAAAAAAAAAQAgAAAA&#10;JAEAAGRycy9lMm9Eb2MueG1sUEsFBgAAAAAGAAYAWQEAAKAFAAAAAA==&#10;">
                <v:fill on="t" focussize="0,0"/>
                <v:stroke color="#000000" joinstyle="miter"/>
                <v:imagedata o:title=""/>
                <o:lock v:ext="edit" aspectratio="f"/>
                <v:textbox>
                  <w:txbxContent>
                    <w:p w14:paraId="60C35645">
                      <w:pPr>
                        <w:jc w:val="center"/>
                        <w:rPr>
                          <w:rFonts w:hAnsi="宋体"/>
                        </w:rPr>
                      </w:pPr>
                    </w:p>
                    <w:p w14:paraId="4FD6F8A4">
                      <w:pPr>
                        <w:jc w:val="center"/>
                        <w:rPr>
                          <w:rFonts w:hAnsi="宋体"/>
                        </w:rPr>
                      </w:pPr>
                    </w:p>
                    <w:p w14:paraId="6B881AA3">
                      <w:pPr>
                        <w:jc w:val="center"/>
                        <w:rPr>
                          <w:rFonts w:hAnsi="宋体"/>
                        </w:rPr>
                      </w:pPr>
                    </w:p>
                    <w:p w14:paraId="79E912F6">
                      <w:pPr>
                        <w:jc w:val="center"/>
                      </w:pPr>
                      <w:r>
                        <w:rPr>
                          <w:rFonts w:hint="eastAsia" w:hAnsi="宋体" w:cs="宋体"/>
                        </w:rPr>
                        <w:t>授权委托人身份证复印件</w:t>
                      </w:r>
                    </w:p>
                  </w:txbxContent>
                </v:textbox>
              </v:shape>
            </w:pict>
          </mc:Fallback>
        </mc:AlternateContent>
      </w:r>
    </w:p>
    <w:p w14:paraId="20777D25">
      <w:pPr>
        <w:spacing w:line="360" w:lineRule="auto"/>
        <w:ind w:firstLine="240" w:firstLineChars="100"/>
        <w:rPr>
          <w:rFonts w:ascii="微软雅黑" w:hAnsi="微软雅黑" w:eastAsia="微软雅黑" w:cs="微软雅黑"/>
          <w:color w:val="auto"/>
          <w:sz w:val="24"/>
          <w:szCs w:val="24"/>
          <w:highlight w:val="none"/>
        </w:rPr>
      </w:pPr>
    </w:p>
    <w:p w14:paraId="391A9BCA">
      <w:pPr>
        <w:spacing w:line="360" w:lineRule="auto"/>
        <w:ind w:firstLine="240" w:firstLineChars="100"/>
        <w:rPr>
          <w:rFonts w:ascii="微软雅黑" w:hAnsi="微软雅黑" w:eastAsia="微软雅黑" w:cs="微软雅黑"/>
          <w:color w:val="auto"/>
          <w:sz w:val="24"/>
          <w:szCs w:val="24"/>
          <w:highlight w:val="none"/>
        </w:rPr>
      </w:pPr>
    </w:p>
    <w:p w14:paraId="4031DD68">
      <w:pPr>
        <w:spacing w:line="360" w:lineRule="auto"/>
        <w:ind w:firstLine="240" w:firstLineChars="100"/>
        <w:rPr>
          <w:rFonts w:ascii="微软雅黑" w:hAnsi="微软雅黑" w:eastAsia="微软雅黑" w:cs="微软雅黑"/>
          <w:color w:val="auto"/>
          <w:sz w:val="24"/>
          <w:szCs w:val="24"/>
          <w:highlight w:val="none"/>
        </w:rPr>
      </w:pPr>
    </w:p>
    <w:p w14:paraId="13CE4BC8">
      <w:pPr>
        <w:spacing w:line="360" w:lineRule="auto"/>
        <w:ind w:firstLine="240" w:firstLineChars="100"/>
        <w:rPr>
          <w:rFonts w:ascii="微软雅黑" w:hAnsi="微软雅黑" w:eastAsia="微软雅黑" w:cs="微软雅黑"/>
          <w:color w:val="auto"/>
          <w:sz w:val="24"/>
          <w:szCs w:val="24"/>
          <w:highlight w:val="none"/>
        </w:rPr>
      </w:pPr>
    </w:p>
    <w:p w14:paraId="2B2E635D">
      <w:pPr>
        <w:spacing w:line="360" w:lineRule="auto"/>
        <w:ind w:firstLine="240" w:firstLineChars="1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96520</wp:posOffset>
                </wp:positionV>
                <wp:extent cx="2535555" cy="1221105"/>
                <wp:effectExtent l="7620" t="7620" r="17145" b="20955"/>
                <wp:wrapNone/>
                <wp:docPr id="1031" name="1030"/>
                <wp:cNvGraphicFramePr/>
                <a:graphic xmlns:a="http://schemas.openxmlformats.org/drawingml/2006/main">
                  <a:graphicData uri="http://schemas.microsoft.com/office/word/2010/wordprocessingShape">
                    <wps:wsp>
                      <wps:cNvSpPr/>
                      <wps:spPr>
                        <a:xfrm>
                          <a:off x="0" y="0"/>
                          <a:ext cx="2535555" cy="122110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48FECDE">
                            <w:pPr>
                              <w:jc w:val="center"/>
                              <w:rPr>
                                <w:rFonts w:hAnsi="宋体"/>
                              </w:rPr>
                            </w:pPr>
                            <w:r>
                              <w:rPr>
                                <w:rFonts w:hAnsi="宋体"/>
                              </w:rPr>
                              <w:t xml:space="preserve">  </w:t>
                            </w:r>
                          </w:p>
                          <w:p w14:paraId="1F71AB1F">
                            <w:pPr>
                              <w:rPr>
                                <w:rFonts w:hAnsi="宋体"/>
                              </w:rPr>
                            </w:pPr>
                          </w:p>
                          <w:p w14:paraId="60E852F6">
                            <w:r>
                              <w:rPr>
                                <w:rFonts w:hint="eastAsia" w:hAnsi="宋体" w:cs="宋体"/>
                              </w:rPr>
                              <w:t>法人身份证复印件</w:t>
                            </w:r>
                          </w:p>
                          <w:p w14:paraId="267F0E92"/>
                        </w:txbxContent>
                      </wps:txbx>
                      <wps:bodyPr upright="1"/>
                    </wps:wsp>
                  </a:graphicData>
                </a:graphic>
              </wp:anchor>
            </w:drawing>
          </mc:Choice>
          <mc:Fallback>
            <w:pict>
              <v:roundrect id="1030" o:spid="_x0000_s1026" o:spt="2" style="position:absolute;left:0pt;margin-left:237.65pt;margin-top:7.6pt;height:96.15pt;width:199.65pt;z-index:251666432;mso-width-relative:page;mso-height-relative:page;" fillcolor="#FFFFFF" filled="t" stroked="t" coordsize="21600,21600" arcsize="0.166666666666667" o:gfxdata="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XaetsAAAAKAQAADwAA&#10;AAAAAAABACAAAAAiAAAAZHJzL2Rvd25yZXYueG1sUEsBAhQAFAAAAAgAh07iQLWaoBATAgAAaQQA&#10;AA4AAAAAAAAAAQAgAAAAKgEAAGRycy9lMm9Eb2MueG1sUEsFBgAAAAAGAAYAWQEAAK8FAAAAAA==&#10;">
                <v:fill on="t" focussize="0,0"/>
                <v:stroke weight="1.25pt" color="#808080" joinstyle="round"/>
                <v:imagedata o:title=""/>
                <o:lock v:ext="edit" aspectratio="f"/>
                <v:textbox>
                  <w:txbxContent>
                    <w:p w14:paraId="048FECDE">
                      <w:pPr>
                        <w:jc w:val="center"/>
                        <w:rPr>
                          <w:rFonts w:hAnsi="宋体"/>
                        </w:rPr>
                      </w:pPr>
                      <w:r>
                        <w:rPr>
                          <w:rFonts w:hAnsi="宋体"/>
                        </w:rPr>
                        <w:t xml:space="preserve">  </w:t>
                      </w:r>
                    </w:p>
                    <w:p w14:paraId="1F71AB1F">
                      <w:pPr>
                        <w:rPr>
                          <w:rFonts w:hAnsi="宋体"/>
                        </w:rPr>
                      </w:pPr>
                    </w:p>
                    <w:p w14:paraId="60E852F6">
                      <w:r>
                        <w:rPr>
                          <w:rFonts w:hint="eastAsia" w:hAnsi="宋体" w:cs="宋体"/>
                        </w:rPr>
                        <w:t>法人身份证复印件</w:t>
                      </w:r>
                    </w:p>
                    <w:p w14:paraId="267F0E92"/>
                  </w:txbxContent>
                </v:textbox>
              </v:roundrect>
            </w:pict>
          </mc:Fallback>
        </mc:AlternateContent>
      </w:r>
      <w:r>
        <w:rPr>
          <w:rFonts w:ascii="微软雅黑" w:hAnsi="微软雅黑" w:eastAsia="微软雅黑" w:cs="微软雅黑"/>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283335"/>
                <wp:effectExtent l="7620" t="7620" r="12700" b="19685"/>
                <wp:wrapNone/>
                <wp:docPr id="1032" name="1031"/>
                <wp:cNvGraphicFramePr/>
                <a:graphic xmlns:a="http://schemas.openxmlformats.org/drawingml/2006/main">
                  <a:graphicData uri="http://schemas.microsoft.com/office/word/2010/wordprocessingShape">
                    <wps:wsp>
                      <wps:cNvSpPr/>
                      <wps:spPr>
                        <a:xfrm>
                          <a:off x="0" y="0"/>
                          <a:ext cx="2555240" cy="128333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C34E403">
                            <w:pPr>
                              <w:jc w:val="center"/>
                              <w:rPr>
                                <w:rFonts w:hAnsi="宋体"/>
                              </w:rPr>
                            </w:pPr>
                          </w:p>
                          <w:p w14:paraId="6E2D504C">
                            <w:pPr>
                              <w:rPr>
                                <w:rFonts w:hAnsi="宋体"/>
                              </w:rPr>
                            </w:pPr>
                          </w:p>
                          <w:p w14:paraId="050E0692">
                            <w:r>
                              <w:rPr>
                                <w:rFonts w:hint="eastAsia" w:hAnsi="宋体" w:cs="宋体"/>
                              </w:rPr>
                              <w:t>法人身份证复印件</w:t>
                            </w:r>
                          </w:p>
                          <w:p w14:paraId="2F0AAD76"/>
                        </w:txbxContent>
                      </wps:txbx>
                      <wps:bodyPr upright="1"/>
                    </wps:wsp>
                  </a:graphicData>
                </a:graphic>
              </wp:anchor>
            </w:drawing>
          </mc:Choice>
          <mc:Fallback>
            <w:pict>
              <v:roundrect id="1031" o:spid="_x0000_s1026" o:spt="2" style="position:absolute;left:0pt;margin-left:-0.85pt;margin-top:2.35pt;height:101.05pt;width:201.2pt;z-index:251667456;mso-width-relative:page;mso-height-relative:page;" fillcolor="#FFFFFF" filled="t" stroked="t" coordsize="21600,21600" arcsize="0.166666666666667" o:gfxdata="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iLDWrZAAAACAEAAA8A&#10;AAAAAAAAAQAgAAAAIgAAAGRycy9kb3ducmV2LnhtbFBLAQIUABQAAAAIAIdO4kB3JWpVFgIAAGkE&#10;AAAOAAAAAAAAAAEAIAAAACgBAABkcnMvZTJvRG9jLnhtbFBLBQYAAAAABgAGAFkBAACwBQAAAAA=&#10;">
                <v:fill on="t" focussize="0,0"/>
                <v:stroke weight="1.25pt" color="#808080" joinstyle="round"/>
                <v:imagedata o:title=""/>
                <o:lock v:ext="edit" aspectratio="f"/>
                <v:textbox>
                  <w:txbxContent>
                    <w:p w14:paraId="0C34E403">
                      <w:pPr>
                        <w:jc w:val="center"/>
                        <w:rPr>
                          <w:rFonts w:hAnsi="宋体"/>
                        </w:rPr>
                      </w:pPr>
                    </w:p>
                    <w:p w14:paraId="6E2D504C">
                      <w:pPr>
                        <w:rPr>
                          <w:rFonts w:hAnsi="宋体"/>
                        </w:rPr>
                      </w:pPr>
                    </w:p>
                    <w:p w14:paraId="050E0692">
                      <w:r>
                        <w:rPr>
                          <w:rFonts w:hint="eastAsia" w:hAnsi="宋体" w:cs="宋体"/>
                        </w:rPr>
                        <w:t>法人身份证复印件</w:t>
                      </w:r>
                    </w:p>
                    <w:p w14:paraId="2F0AAD76"/>
                  </w:txbxContent>
                </v:textbox>
              </v:roundrect>
            </w:pict>
          </mc:Fallback>
        </mc:AlternateContent>
      </w:r>
    </w:p>
    <w:p w14:paraId="2AF6740B">
      <w:pPr>
        <w:spacing w:line="360" w:lineRule="auto"/>
        <w:ind w:firstLine="240" w:firstLineChars="100"/>
        <w:rPr>
          <w:rFonts w:ascii="微软雅黑" w:hAnsi="微软雅黑" w:eastAsia="微软雅黑" w:cs="微软雅黑"/>
          <w:color w:val="auto"/>
          <w:sz w:val="24"/>
          <w:szCs w:val="24"/>
          <w:highlight w:val="none"/>
        </w:rPr>
      </w:pPr>
    </w:p>
    <w:p w14:paraId="7EFB3180">
      <w:pPr>
        <w:spacing w:line="360" w:lineRule="auto"/>
        <w:ind w:firstLine="240" w:firstLineChars="100"/>
        <w:rPr>
          <w:rFonts w:ascii="微软雅黑" w:hAnsi="微软雅黑" w:eastAsia="微软雅黑" w:cs="微软雅黑"/>
          <w:color w:val="auto"/>
          <w:sz w:val="24"/>
          <w:szCs w:val="24"/>
          <w:highlight w:val="none"/>
        </w:rPr>
      </w:pPr>
    </w:p>
    <w:p w14:paraId="26E422F6">
      <w:pPr>
        <w:spacing w:line="360" w:lineRule="auto"/>
        <w:rPr>
          <w:rFonts w:ascii="微软雅黑" w:hAnsi="微软雅黑" w:eastAsia="微软雅黑" w:cs="微软雅黑"/>
          <w:color w:val="auto"/>
          <w:sz w:val="22"/>
          <w:szCs w:val="22"/>
          <w:highlight w:val="none"/>
        </w:rPr>
      </w:pPr>
    </w:p>
    <w:p w14:paraId="298C303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供应商（公章）;                           </w:t>
      </w:r>
    </w:p>
    <w:p w14:paraId="45EE6326">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法定代表人（签字或盖章）：                     </w:t>
      </w:r>
    </w:p>
    <w:p w14:paraId="181D630D">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身份证号码：</w:t>
      </w:r>
    </w:p>
    <w:p w14:paraId="60B16EF3">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委托代理人（签字或盖章）：                                   </w:t>
      </w:r>
    </w:p>
    <w:p w14:paraId="2B797D48">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身份证号码：                                   </w:t>
      </w:r>
    </w:p>
    <w:p w14:paraId="10468F52">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详细通讯地址：                                 </w:t>
      </w:r>
    </w:p>
    <w:p w14:paraId="65544E52">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邮 政 编 码 ：                                 </w:t>
      </w:r>
    </w:p>
    <w:p w14:paraId="3B2E61DE">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传　　　　真：                                  </w:t>
      </w:r>
    </w:p>
    <w:p w14:paraId="5458181F">
      <w:pPr>
        <w:ind w:firstLine="220" w:firstLineChars="100"/>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电　　　　话：                                 </w:t>
      </w:r>
    </w:p>
    <w:p w14:paraId="3667D630">
      <w:pPr>
        <w:ind w:firstLine="220" w:firstLineChars="100"/>
        <w:rPr>
          <w:rFonts w:ascii="微软雅黑" w:hAnsi="微软雅黑" w:eastAsia="微软雅黑" w:cs="微软雅黑"/>
          <w:color w:val="auto"/>
          <w:sz w:val="22"/>
          <w:szCs w:val="22"/>
          <w:highlight w:val="none"/>
        </w:rPr>
      </w:pPr>
    </w:p>
    <w:p w14:paraId="68CBEBAB">
      <w:pPr>
        <w:ind w:firstLine="220" w:firstLineChars="100"/>
        <w:jc w:val="right"/>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年   月   日 </w:t>
      </w:r>
    </w:p>
    <w:p w14:paraId="14BAC49E">
      <w:pPr>
        <w:pStyle w:val="28"/>
        <w:spacing w:line="240" w:lineRule="auto"/>
        <w:rPr>
          <w:color w:val="auto"/>
          <w:highlight w:val="none"/>
        </w:rPr>
      </w:pPr>
    </w:p>
    <w:p w14:paraId="33DD6B11">
      <w:pPr>
        <w:rPr>
          <w:color w:val="auto"/>
          <w:highlight w:val="none"/>
        </w:rPr>
      </w:pPr>
    </w:p>
    <w:p w14:paraId="5218C707">
      <w:pPr>
        <w:pStyle w:val="21"/>
        <w:rPr>
          <w:color w:val="auto"/>
          <w:highlight w:val="none"/>
        </w:rPr>
      </w:pPr>
    </w:p>
    <w:p w14:paraId="55E305EC">
      <w:pPr>
        <w:pStyle w:val="11"/>
        <w:rPr>
          <w:color w:val="auto"/>
          <w:highlight w:val="none"/>
        </w:rPr>
      </w:pPr>
    </w:p>
    <w:p w14:paraId="413C560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w:t>
      </w:r>
      <w:r>
        <w:rPr>
          <w:rFonts w:hint="eastAsia" w:ascii="微软雅黑" w:hAnsi="微软雅黑" w:eastAsia="微软雅黑" w:cs="微软雅黑"/>
          <w:b/>
          <w:bCs/>
          <w:color w:val="auto"/>
          <w:kern w:val="2"/>
          <w:sz w:val="22"/>
          <w:szCs w:val="22"/>
          <w:highlight w:val="none"/>
          <w:lang w:val="en-US" w:eastAsia="zh-CN" w:bidi="ar-SA"/>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r>
        <w:rPr>
          <w:rFonts w:hint="eastAsia" w:ascii="微软雅黑" w:hAnsi="微软雅黑" w:eastAsia="微软雅黑" w:cs="微软雅黑"/>
          <w:b/>
          <w:bCs/>
          <w:color w:val="auto"/>
          <w:highlight w:val="none"/>
        </w:rPr>
        <w:t>；</w:t>
      </w:r>
    </w:p>
    <w:p w14:paraId="65A5C69F">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说明：1.社保证明可含：社保缴费凭证或社保缴费证明或社保缴费汇总单或依法缴纳社保的完税证明。</w:t>
      </w:r>
    </w:p>
    <w:p w14:paraId="4D5D759B">
      <w:pPr>
        <w:pStyle w:val="29"/>
        <w:numPr>
          <w:ilvl w:val="0"/>
          <w:numId w:val="7"/>
        </w:numPr>
        <w:snapToGrid w:val="0"/>
        <w:spacing w:line="240" w:lineRule="auto"/>
        <w:ind w:firstLine="1050" w:firstLineChars="50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近</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个月是指投标文件</w:t>
      </w:r>
      <w:r>
        <w:rPr>
          <w:rFonts w:hint="eastAsia" w:ascii="微软雅黑" w:hAnsi="微软雅黑" w:eastAsia="微软雅黑" w:cs="微软雅黑"/>
          <w:bCs/>
          <w:color w:val="auto"/>
          <w:kern w:val="0"/>
          <w:highlight w:val="none"/>
          <w:lang w:eastAsia="zh-CN"/>
        </w:rPr>
        <w:t>递交截止日期当月或当月前</w:t>
      </w:r>
      <w:r>
        <w:rPr>
          <w:rFonts w:hint="eastAsia" w:ascii="微软雅黑" w:hAnsi="微软雅黑" w:eastAsia="微软雅黑" w:cs="微软雅黑"/>
          <w:bCs/>
          <w:color w:val="auto"/>
          <w:kern w:val="0"/>
          <w:highlight w:val="none"/>
        </w:rPr>
        <w:t>的</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w:t>
      </w:r>
    </w:p>
    <w:p w14:paraId="4023AA22">
      <w:pPr>
        <w:pStyle w:val="29"/>
        <w:snapToGrid w:val="0"/>
        <w:spacing w:line="240" w:lineRule="auto"/>
        <w:ind w:firstLine="0" w:firstLineChars="0"/>
        <w:textAlignment w:val="baseline"/>
        <w:rPr>
          <w:rFonts w:ascii="微软雅黑" w:hAnsi="微软雅黑" w:eastAsia="微软雅黑" w:cs="微软雅黑"/>
          <w:bCs/>
          <w:color w:val="auto"/>
          <w:kern w:val="0"/>
          <w:highlight w:val="none"/>
        </w:rPr>
      </w:pPr>
    </w:p>
    <w:p w14:paraId="47F3FF3D">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⑤</w:t>
      </w:r>
      <w:r>
        <w:rPr>
          <w:rFonts w:hint="eastAsia" w:ascii="微软雅黑" w:hAnsi="微软雅黑" w:eastAsia="微软雅黑" w:cs="微软雅黑"/>
          <w:b/>
          <w:bCs/>
          <w:color w:val="auto"/>
          <w:highlight w:val="none"/>
          <w:lang w:val="en-US" w:eastAsia="zh-CN"/>
        </w:rPr>
        <w:t>提供近期（投标截止日期前六个月内任意一个月）依法缴纳税收的证明材料（税务部门出具的完税凭证或缴税证明，新成立公司提供相关证明文件）</w:t>
      </w:r>
      <w:r>
        <w:rPr>
          <w:rFonts w:hint="eastAsia" w:ascii="微软雅黑" w:hAnsi="微软雅黑" w:eastAsia="微软雅黑" w:cs="微软雅黑"/>
          <w:b/>
          <w:bCs/>
          <w:color w:val="auto"/>
          <w:highlight w:val="none"/>
        </w:rPr>
        <w:t>；</w:t>
      </w:r>
    </w:p>
    <w:p w14:paraId="085428BE">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说明：1、新成立公司若无纳税记录，可</w:t>
      </w:r>
      <w:r>
        <w:rPr>
          <w:rFonts w:hint="eastAsia" w:ascii="微软雅黑" w:hAnsi="微软雅黑" w:eastAsia="微软雅黑" w:cs="微软雅黑"/>
          <w:bCs/>
          <w:color w:val="auto"/>
          <w:kern w:val="0"/>
          <w:highlight w:val="none"/>
          <w:lang w:val="en-US" w:eastAsia="zh-CN"/>
        </w:rPr>
        <w:t>提供</w:t>
      </w:r>
      <w:r>
        <w:rPr>
          <w:rFonts w:hint="eastAsia" w:ascii="微软雅黑" w:hAnsi="微软雅黑" w:eastAsia="微软雅黑" w:cs="微软雅黑"/>
          <w:bCs/>
          <w:color w:val="auto"/>
          <w:kern w:val="0"/>
          <w:highlight w:val="none"/>
          <w:lang w:eastAsia="zh-CN"/>
        </w:rPr>
        <w:t>加盖税务机关章零申报报表。</w:t>
      </w:r>
    </w:p>
    <w:p w14:paraId="086BC785">
      <w:pPr>
        <w:pStyle w:val="29"/>
        <w:snapToGrid w:val="0"/>
        <w:spacing w:line="240" w:lineRule="auto"/>
        <w:ind w:firstLine="480"/>
        <w:textAlignment w:val="baseline"/>
        <w:rPr>
          <w:rFonts w:ascii="微软雅黑" w:hAnsi="微软雅黑" w:eastAsia="微软雅黑" w:cs="微软雅黑"/>
          <w:bCs/>
          <w:color w:val="auto"/>
          <w:kern w:val="0"/>
          <w:highlight w:val="none"/>
        </w:rPr>
      </w:pPr>
      <w:r>
        <w:rPr>
          <w:rFonts w:hint="eastAsia" w:ascii="微软雅黑" w:hAnsi="微软雅黑" w:eastAsia="微软雅黑" w:cs="微软雅黑"/>
          <w:bCs/>
          <w:color w:val="auto"/>
          <w:kern w:val="0"/>
          <w:highlight w:val="none"/>
        </w:rPr>
        <w:t>2、完税证明中“税种”非养老保险、医疗保险、失业保险、工伤保险和生育保险。</w:t>
      </w:r>
    </w:p>
    <w:p w14:paraId="1E5E46D6">
      <w:pPr>
        <w:pStyle w:val="29"/>
        <w:snapToGrid w:val="0"/>
        <w:spacing w:line="240" w:lineRule="auto"/>
        <w:ind w:firstLine="48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Cs/>
          <w:color w:val="auto"/>
          <w:kern w:val="0"/>
          <w:highlight w:val="none"/>
        </w:rPr>
        <w:t>3、近</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个月是指投标文件</w:t>
      </w:r>
      <w:r>
        <w:rPr>
          <w:rFonts w:hint="eastAsia" w:ascii="微软雅黑" w:hAnsi="微软雅黑" w:eastAsia="微软雅黑" w:cs="微软雅黑"/>
          <w:bCs/>
          <w:color w:val="auto"/>
          <w:kern w:val="0"/>
          <w:highlight w:val="none"/>
          <w:lang w:eastAsia="zh-CN"/>
        </w:rPr>
        <w:t>递交截止日期当月或当月前</w:t>
      </w:r>
      <w:r>
        <w:rPr>
          <w:rFonts w:hint="eastAsia" w:ascii="微软雅黑" w:hAnsi="微软雅黑" w:eastAsia="微软雅黑" w:cs="微软雅黑"/>
          <w:bCs/>
          <w:color w:val="auto"/>
          <w:kern w:val="0"/>
          <w:highlight w:val="none"/>
        </w:rPr>
        <w:t>的</w:t>
      </w:r>
      <w:r>
        <w:rPr>
          <w:rFonts w:hint="eastAsia" w:ascii="微软雅黑" w:hAnsi="微软雅黑" w:eastAsia="微软雅黑" w:cs="微软雅黑"/>
          <w:bCs/>
          <w:color w:val="auto"/>
          <w:kern w:val="0"/>
          <w:highlight w:val="none"/>
          <w:lang w:val="en-US" w:eastAsia="zh-CN"/>
        </w:rPr>
        <w:t>6</w:t>
      </w:r>
      <w:r>
        <w:rPr>
          <w:rFonts w:hint="eastAsia" w:ascii="微软雅黑" w:hAnsi="微软雅黑" w:eastAsia="微软雅黑" w:cs="微软雅黑"/>
          <w:bCs/>
          <w:color w:val="auto"/>
          <w:kern w:val="0"/>
          <w:highlight w:val="none"/>
        </w:rPr>
        <w:t>个月。</w:t>
      </w:r>
    </w:p>
    <w:p w14:paraId="325CCA81">
      <w:pPr>
        <w:rPr>
          <w:rFonts w:ascii="微软雅黑" w:hAnsi="微软雅黑" w:eastAsia="微软雅黑" w:cs="微软雅黑"/>
          <w:b/>
          <w:bCs/>
          <w:color w:val="auto"/>
          <w:highlight w:val="none"/>
        </w:rPr>
      </w:pPr>
    </w:p>
    <w:p w14:paraId="62AF9211">
      <w:pPr>
        <w:rPr>
          <w:rFonts w:ascii="微软雅黑" w:hAnsi="微软雅黑" w:eastAsia="微软雅黑" w:cs="微软雅黑"/>
          <w:b/>
          <w:bCs/>
          <w:color w:val="auto"/>
          <w:highlight w:val="none"/>
        </w:rPr>
      </w:pPr>
    </w:p>
    <w:p w14:paraId="45418E6C">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⑥</w:t>
      </w:r>
      <w:r>
        <w:rPr>
          <w:rFonts w:hint="eastAsia" w:ascii="微软雅黑" w:hAnsi="微软雅黑" w:eastAsia="微软雅黑" w:cs="微软雅黑"/>
          <w:b/>
          <w:bCs/>
          <w:color w:val="auto"/>
          <w:kern w:val="2"/>
          <w:sz w:val="22"/>
          <w:szCs w:val="22"/>
          <w:highlight w:val="none"/>
          <w:lang w:val="en-US" w:eastAsia="zh-CN" w:bidi="ar-SA"/>
        </w:rPr>
        <w:t>提供2023 年或2024年的财务审计报告与财务会计制度（新成立的公司近三个月内的银行资信证明与财务会计制度）</w:t>
      </w:r>
      <w:r>
        <w:rPr>
          <w:rFonts w:hint="eastAsia" w:ascii="微软雅黑" w:hAnsi="微软雅黑" w:eastAsia="微软雅黑" w:cs="微软雅黑"/>
          <w:b/>
          <w:bCs/>
          <w:color w:val="auto"/>
          <w:highlight w:val="none"/>
        </w:rPr>
        <w:t>；</w:t>
      </w:r>
    </w:p>
    <w:p w14:paraId="3A0D729C">
      <w:pPr>
        <w:tabs>
          <w:tab w:val="left" w:pos="5580"/>
        </w:tabs>
        <w:ind w:left="1080" w:leftChars="257" w:hanging="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说明：</w:t>
      </w:r>
    </w:p>
    <w:p w14:paraId="0B2422FC">
      <w:pPr>
        <w:tabs>
          <w:tab w:val="left" w:pos="5580"/>
        </w:tabs>
        <w:ind w:left="540"/>
        <w:rPr>
          <w:rFonts w:ascii="微软雅黑" w:hAnsi="微软雅黑" w:eastAsia="微软雅黑" w:cs="微软雅黑"/>
          <w:bCs/>
          <w:color w:val="auto"/>
          <w:kern w:val="0"/>
          <w:sz w:val="24"/>
          <w:szCs w:val="20"/>
          <w:highlight w:val="none"/>
        </w:rPr>
      </w:pPr>
      <w:r>
        <w:rPr>
          <w:rFonts w:hint="eastAsia" w:ascii="微软雅黑" w:hAnsi="微软雅黑" w:eastAsia="微软雅黑" w:cs="微软雅黑"/>
          <w:bCs/>
          <w:color w:val="auto"/>
          <w:kern w:val="0"/>
          <w:sz w:val="24"/>
          <w:szCs w:val="20"/>
          <w:highlight w:val="none"/>
        </w:rPr>
        <w:t>1、如提供本单位上年度经会计师事务所出具的完整审计报告复印件须加盖本单位章。</w:t>
      </w:r>
    </w:p>
    <w:p w14:paraId="7915A5E2">
      <w:pPr>
        <w:pStyle w:val="4"/>
        <w:rPr>
          <w:rFonts w:ascii="微软雅黑" w:hAnsi="微软雅黑" w:eastAsia="微软雅黑" w:cs="微软雅黑"/>
          <w:bCs/>
          <w:color w:val="auto"/>
          <w:szCs w:val="20"/>
          <w:highlight w:val="none"/>
        </w:rPr>
      </w:pPr>
      <w:r>
        <w:rPr>
          <w:rFonts w:hint="eastAsia" w:ascii="微软雅黑" w:hAnsi="微软雅黑" w:eastAsia="微软雅黑" w:cs="微软雅黑"/>
          <w:bCs/>
          <w:color w:val="auto"/>
          <w:szCs w:val="20"/>
          <w:highlight w:val="none"/>
        </w:rPr>
        <w:t>2、如果是联合体投标，联合体各方均需提供上述证明。</w:t>
      </w:r>
    </w:p>
    <w:p w14:paraId="42234684">
      <w:pPr>
        <w:pStyle w:val="5"/>
        <w:ind w:firstLine="480" w:firstLineChars="200"/>
        <w:rPr>
          <w:color w:val="auto"/>
          <w:highlight w:val="none"/>
        </w:rPr>
      </w:pPr>
      <w:r>
        <w:rPr>
          <w:rFonts w:hint="eastAsia" w:ascii="微软雅黑" w:hAnsi="微软雅黑" w:eastAsia="微软雅黑" w:cs="微软雅黑"/>
          <w:bCs/>
          <w:color w:val="auto"/>
          <w:kern w:val="0"/>
          <w:szCs w:val="20"/>
          <w:highlight w:val="none"/>
        </w:rPr>
        <w:t>3、近</w:t>
      </w:r>
      <w:r>
        <w:rPr>
          <w:rFonts w:hint="eastAsia" w:ascii="微软雅黑" w:hAnsi="微软雅黑" w:eastAsia="微软雅黑" w:cs="微软雅黑"/>
          <w:bCs/>
          <w:color w:val="auto"/>
          <w:kern w:val="0"/>
          <w:szCs w:val="20"/>
          <w:highlight w:val="none"/>
          <w:lang w:val="en-US" w:eastAsia="zh-CN"/>
        </w:rPr>
        <w:t>三</w:t>
      </w:r>
      <w:r>
        <w:rPr>
          <w:rFonts w:hint="eastAsia" w:ascii="微软雅黑" w:hAnsi="微软雅黑" w:eastAsia="微软雅黑" w:cs="微软雅黑"/>
          <w:bCs/>
          <w:color w:val="auto"/>
          <w:kern w:val="0"/>
          <w:szCs w:val="20"/>
          <w:highlight w:val="none"/>
        </w:rPr>
        <w:t>月是指投标文件</w:t>
      </w:r>
      <w:r>
        <w:rPr>
          <w:rFonts w:hint="eastAsia" w:ascii="微软雅黑" w:hAnsi="微软雅黑" w:eastAsia="微软雅黑" w:cs="微软雅黑"/>
          <w:bCs/>
          <w:color w:val="auto"/>
          <w:kern w:val="0"/>
          <w:szCs w:val="20"/>
          <w:highlight w:val="none"/>
          <w:lang w:eastAsia="zh-CN"/>
        </w:rPr>
        <w:t>递交截止日期当月或当月前</w:t>
      </w:r>
      <w:r>
        <w:rPr>
          <w:rFonts w:hint="eastAsia" w:ascii="微软雅黑" w:hAnsi="微软雅黑" w:eastAsia="微软雅黑" w:cs="微软雅黑"/>
          <w:bCs/>
          <w:color w:val="auto"/>
          <w:kern w:val="0"/>
          <w:szCs w:val="20"/>
          <w:highlight w:val="none"/>
          <w:lang w:val="en-US" w:eastAsia="zh-CN"/>
        </w:rPr>
        <w:t>三</w:t>
      </w:r>
      <w:r>
        <w:rPr>
          <w:rFonts w:hint="eastAsia" w:ascii="微软雅黑" w:hAnsi="微软雅黑" w:eastAsia="微软雅黑" w:cs="微软雅黑"/>
          <w:bCs/>
          <w:color w:val="auto"/>
          <w:kern w:val="0"/>
          <w:szCs w:val="20"/>
          <w:highlight w:val="none"/>
          <w:lang w:eastAsia="zh-CN"/>
        </w:rPr>
        <w:t>个月</w:t>
      </w:r>
      <w:r>
        <w:rPr>
          <w:rFonts w:hint="eastAsia" w:ascii="微软雅黑" w:hAnsi="微软雅黑" w:eastAsia="微软雅黑" w:cs="微软雅黑"/>
          <w:bCs/>
          <w:color w:val="auto"/>
          <w:kern w:val="0"/>
          <w:szCs w:val="20"/>
          <w:highlight w:val="none"/>
        </w:rPr>
        <w:t>。</w:t>
      </w:r>
    </w:p>
    <w:p w14:paraId="39B836EC">
      <w:pPr>
        <w:pStyle w:val="15"/>
        <w:tabs>
          <w:tab w:val="left" w:pos="5580"/>
        </w:tabs>
        <w:rPr>
          <w:rFonts w:ascii="微软雅黑" w:hAnsi="微软雅黑" w:eastAsia="微软雅黑" w:cs="微软雅黑"/>
          <w:b/>
          <w:bCs/>
          <w:color w:val="auto"/>
          <w:highlight w:val="none"/>
        </w:rPr>
      </w:pPr>
    </w:p>
    <w:p w14:paraId="089B0CC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9AC256E">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⑦参与政府采购活动前3年内未被列入失信、重大税收违法案件、财政部门禁止参加政府采购活动的承诺书；</w:t>
      </w:r>
    </w:p>
    <w:p w14:paraId="4A200E61">
      <w:pPr>
        <w:pStyle w:val="4"/>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说明：1.供应商应按照相关法规规定如实作出说明，格式自拟。</w:t>
      </w:r>
    </w:p>
    <w:p w14:paraId="1BC7873C">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p>
    <w:p w14:paraId="568B06C8">
      <w:pPr>
        <w:pStyle w:val="25"/>
        <w:widowControl/>
        <w:spacing w:before="75" w:beforeAutospacing="0" w:after="75" w:afterAutospacing="0"/>
        <w:ind w:firstLine="480" w:firstLineChars="2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⑧提供针对本次项目的反商业贿赂承诺书。</w:t>
      </w:r>
    </w:p>
    <w:p w14:paraId="19C29742">
      <w:pPr>
        <w:pStyle w:val="4"/>
        <w:ind w:firstLine="720" w:firstLineChars="300"/>
        <w:rPr>
          <w:rFonts w:ascii="微软雅黑" w:hAnsi="微软雅黑" w:eastAsia="微软雅黑" w:cs="微软雅黑"/>
          <w:b/>
          <w:bCs/>
          <w:color w:val="auto"/>
          <w:highlight w:val="none"/>
        </w:rPr>
      </w:pPr>
      <w:r>
        <w:rPr>
          <w:rFonts w:hint="eastAsia" w:ascii="微软雅黑" w:hAnsi="微软雅黑" w:eastAsia="微软雅黑" w:cs="微软雅黑"/>
          <w:color w:val="auto"/>
          <w:highlight w:val="none"/>
        </w:rPr>
        <w:t>说明：1.供应商应按照相关法规规定如实作出承诺，格式自拟。</w:t>
      </w:r>
    </w:p>
    <w:p w14:paraId="525DC2CC">
      <w:pPr>
        <w:pStyle w:val="25"/>
        <w:widowControl/>
        <w:spacing w:before="75" w:beforeAutospacing="0" w:after="75" w:afterAutospacing="0"/>
        <w:rPr>
          <w:rFonts w:ascii="微软雅黑" w:hAnsi="微软雅黑" w:eastAsia="微软雅黑" w:cs="微软雅黑"/>
          <w:b/>
          <w:bCs/>
          <w:color w:val="auto"/>
          <w:highlight w:val="none"/>
        </w:rPr>
      </w:pPr>
    </w:p>
    <w:p w14:paraId="1710609B">
      <w:pPr>
        <w:pStyle w:val="25"/>
        <w:widowControl/>
        <w:spacing w:before="75" w:beforeAutospacing="0" w:after="75" w:afterAutospacing="0"/>
        <w:rPr>
          <w:color w:val="auto"/>
        </w:rPr>
      </w:pPr>
      <w:bookmarkStart w:id="523" w:name="_Toc515647811"/>
      <w:bookmarkStart w:id="524" w:name="_Toc24428"/>
      <w:bookmarkStart w:id="525" w:name="_Toc32670"/>
      <w:r>
        <w:rPr>
          <w:rFonts w:hint="eastAsia" w:ascii="微软雅黑" w:hAnsi="微软雅黑" w:eastAsia="微软雅黑" w:cs="微软雅黑"/>
          <w:b/>
          <w:bCs/>
          <w:color w:val="auto"/>
          <w:highlight w:val="none"/>
        </w:rPr>
        <w:t>⑨</w:t>
      </w:r>
      <w:r>
        <w:rPr>
          <w:rFonts w:hint="eastAsia" w:ascii="微软雅黑" w:hAnsi="微软雅黑" w:eastAsia="微软雅黑" w:cs="微软雅黑"/>
          <w:b/>
          <w:bCs/>
          <w:color w:val="auto"/>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r>
        <w:rPr>
          <w:rFonts w:hint="eastAsia" w:ascii="微软雅黑" w:hAnsi="微软雅黑" w:eastAsia="微软雅黑" w:cs="微软雅黑"/>
          <w:b/>
          <w:bCs/>
          <w:color w:val="auto"/>
          <w:highlight w:val="none"/>
        </w:rPr>
        <w:t>；</w:t>
      </w:r>
    </w:p>
    <w:p w14:paraId="4E985A28">
      <w:pPr>
        <w:pStyle w:val="21"/>
        <w:rPr>
          <w:rFonts w:ascii="微软雅黑" w:hAnsi="微软雅黑" w:eastAsia="微软雅黑" w:cs="微软雅黑"/>
          <w:color w:val="auto"/>
          <w:highlight w:val="none"/>
        </w:rPr>
      </w:pPr>
    </w:p>
    <w:p w14:paraId="63210319">
      <w:pPr>
        <w:snapToGrid w:val="0"/>
        <w:spacing w:line="420" w:lineRule="exact"/>
        <w:ind w:firstLine="420" w:firstLineChars="200"/>
        <w:contextualSpacing/>
        <w:jc w:val="left"/>
        <w:textAlignment w:val="center"/>
        <w:rPr>
          <w:rFonts w:hint="eastAsia" w:eastAsia="微软雅黑"/>
          <w:color w:val="auto"/>
          <w:highlight w:val="none"/>
          <w:lang w:eastAsia="zh-CN"/>
        </w:rPr>
      </w:pPr>
    </w:p>
    <w:p w14:paraId="5FCEE385">
      <w:pPr>
        <w:snapToGrid w:val="0"/>
        <w:spacing w:line="420" w:lineRule="exact"/>
        <w:ind w:firstLine="420" w:firstLineChars="200"/>
        <w:contextualSpacing/>
        <w:jc w:val="left"/>
        <w:textAlignment w:val="center"/>
        <w:rPr>
          <w:rFonts w:hint="eastAsia" w:eastAsia="微软雅黑"/>
          <w:color w:val="auto"/>
          <w:highlight w:val="none"/>
          <w:lang w:eastAsia="zh-CN"/>
        </w:rPr>
      </w:pPr>
    </w:p>
    <w:p w14:paraId="0D9433FE">
      <w:pPr>
        <w:snapToGrid w:val="0"/>
        <w:spacing w:line="420" w:lineRule="exact"/>
        <w:ind w:firstLine="420" w:firstLineChars="200"/>
        <w:contextualSpacing/>
        <w:jc w:val="left"/>
        <w:textAlignment w:val="center"/>
        <w:rPr>
          <w:rFonts w:ascii="微软雅黑" w:hAnsi="微软雅黑" w:eastAsia="微软雅黑" w:cs="微软雅黑"/>
          <w:color w:val="auto"/>
          <w:sz w:val="24"/>
          <w:szCs w:val="24"/>
          <w:highlight w:val="none"/>
        </w:rPr>
      </w:pPr>
      <w:r>
        <w:rPr>
          <w:rFonts w:hint="eastAsia" w:eastAsia="微软雅黑"/>
          <w:color w:val="auto"/>
          <w:highlight w:val="none"/>
          <w:lang w:eastAsia="zh-CN"/>
        </w:rPr>
        <w:t>⑩</w:t>
      </w:r>
      <w:r>
        <w:rPr>
          <w:rFonts w:hint="eastAsia" w:ascii="微软雅黑" w:hAnsi="微软雅黑" w:eastAsia="微软雅黑" w:cs="微软雅黑"/>
          <w:b/>
          <w:bCs/>
          <w:color w:val="auto"/>
          <w:kern w:val="2"/>
          <w:sz w:val="22"/>
          <w:szCs w:val="22"/>
          <w:highlight w:val="none"/>
          <w:lang w:val="en-US" w:eastAsia="zh-CN" w:bidi="ar-SA"/>
        </w:rPr>
        <w:t>必须具有履行合同所必需的设备和专业技术能力。</w:t>
      </w:r>
    </w:p>
    <w:p w14:paraId="49D7D1CE">
      <w:pPr>
        <w:pStyle w:val="5"/>
        <w:rPr>
          <w:rFonts w:hint="eastAsia" w:eastAsia="微软雅黑"/>
          <w:color w:val="auto"/>
          <w:highlight w:val="none"/>
          <w:lang w:eastAsia="zh-CN"/>
        </w:rPr>
      </w:pPr>
    </w:p>
    <w:p w14:paraId="56B07B1B">
      <w:pPr>
        <w:pStyle w:val="28"/>
        <w:spacing w:line="240" w:lineRule="auto"/>
        <w:rPr>
          <w:color w:val="auto"/>
          <w:highlight w:val="none"/>
        </w:rPr>
      </w:pPr>
    </w:p>
    <w:p w14:paraId="7F733DC3">
      <w:pPr>
        <w:rPr>
          <w:color w:val="auto"/>
          <w:highlight w:val="none"/>
        </w:rPr>
      </w:pPr>
    </w:p>
    <w:p w14:paraId="436FA1E8">
      <w:pPr>
        <w:pStyle w:val="4"/>
        <w:outlineLvl w:val="1"/>
        <w:rPr>
          <w:rFonts w:ascii="微软雅黑" w:hAnsi="微软雅黑" w:eastAsia="微软雅黑" w:cs="微软雅黑"/>
          <w:b/>
          <w:bCs/>
          <w:color w:val="auto"/>
          <w:highlight w:val="none"/>
        </w:rPr>
      </w:pPr>
      <w:bookmarkStart w:id="526" w:name="_Toc23290"/>
      <w:bookmarkStart w:id="527" w:name="_Toc29196"/>
      <w:r>
        <w:rPr>
          <w:rFonts w:hint="eastAsia" w:ascii="微软雅黑" w:hAnsi="微软雅黑" w:eastAsia="微软雅黑" w:cs="微软雅黑"/>
          <w:b/>
          <w:bCs/>
          <w:color w:val="auto"/>
          <w:highlight w:val="none"/>
        </w:rPr>
        <w:t>3  投标保证金有效凭证；</w:t>
      </w:r>
      <w:bookmarkEnd w:id="526"/>
      <w:bookmarkEnd w:id="527"/>
    </w:p>
    <w:p w14:paraId="310A250B">
      <w:pPr>
        <w:pStyle w:val="4"/>
        <w:ind w:firstLine="0"/>
        <w:rPr>
          <w:rFonts w:ascii="微软雅黑" w:hAnsi="微软雅黑" w:eastAsia="微软雅黑" w:cs="微软雅黑"/>
          <w:b/>
          <w:bCs/>
          <w:color w:val="auto"/>
          <w:sz w:val="21"/>
          <w:szCs w:val="21"/>
          <w:highlight w:val="none"/>
        </w:rPr>
      </w:pPr>
    </w:p>
    <w:p w14:paraId="636ECB38">
      <w:pPr>
        <w:pStyle w:val="4"/>
        <w:rPr>
          <w:rFonts w:ascii="微软雅黑" w:hAnsi="微软雅黑" w:eastAsia="微软雅黑" w:cs="微软雅黑"/>
          <w:b/>
          <w:bCs/>
          <w:color w:val="auto"/>
          <w:highlight w:val="none"/>
        </w:rPr>
      </w:pPr>
      <w:bookmarkStart w:id="528" w:name="_Toc3829"/>
      <w:bookmarkStart w:id="529" w:name="_Toc28906"/>
      <w:bookmarkStart w:id="530" w:name="_Toc26152"/>
    </w:p>
    <w:p w14:paraId="015D2A7F">
      <w:pPr>
        <w:pStyle w:val="5"/>
        <w:rPr>
          <w:rFonts w:ascii="微软雅黑" w:hAnsi="微软雅黑" w:eastAsia="微软雅黑" w:cs="微软雅黑"/>
          <w:b/>
          <w:bCs/>
          <w:color w:val="auto"/>
          <w:highlight w:val="none"/>
        </w:rPr>
      </w:pPr>
    </w:p>
    <w:p w14:paraId="5B9D10B1">
      <w:pPr>
        <w:rPr>
          <w:rFonts w:ascii="微软雅黑" w:hAnsi="微软雅黑" w:eastAsia="微软雅黑" w:cs="微软雅黑"/>
          <w:b/>
          <w:bCs/>
          <w:color w:val="auto"/>
          <w:highlight w:val="none"/>
        </w:rPr>
      </w:pPr>
    </w:p>
    <w:p w14:paraId="3B17B960">
      <w:pPr>
        <w:rPr>
          <w:rFonts w:ascii="微软雅黑" w:hAnsi="微软雅黑" w:eastAsia="微软雅黑" w:cs="微软雅黑"/>
          <w:b/>
          <w:bCs/>
          <w:color w:val="auto"/>
          <w:highlight w:val="none"/>
        </w:rPr>
      </w:pPr>
    </w:p>
    <w:p w14:paraId="2CDF49A2">
      <w:pPr>
        <w:rPr>
          <w:rFonts w:ascii="微软雅黑" w:hAnsi="微软雅黑" w:eastAsia="微软雅黑" w:cs="微软雅黑"/>
          <w:b/>
          <w:bCs/>
          <w:color w:val="auto"/>
          <w:highlight w:val="none"/>
        </w:rPr>
      </w:pPr>
    </w:p>
    <w:p w14:paraId="1D751694">
      <w:pPr>
        <w:rPr>
          <w:rFonts w:ascii="微软雅黑" w:hAnsi="微软雅黑" w:eastAsia="微软雅黑" w:cs="微软雅黑"/>
          <w:b/>
          <w:bCs/>
          <w:color w:val="auto"/>
          <w:highlight w:val="none"/>
        </w:rPr>
      </w:pPr>
    </w:p>
    <w:p w14:paraId="336AF2D8">
      <w:pPr>
        <w:rPr>
          <w:rFonts w:ascii="微软雅黑" w:hAnsi="微软雅黑" w:eastAsia="微软雅黑" w:cs="微软雅黑"/>
          <w:b/>
          <w:bCs/>
          <w:color w:val="auto"/>
          <w:highlight w:val="none"/>
        </w:rPr>
      </w:pPr>
    </w:p>
    <w:p w14:paraId="2AE7273A">
      <w:pPr>
        <w:rPr>
          <w:rFonts w:ascii="微软雅黑" w:hAnsi="微软雅黑" w:eastAsia="微软雅黑" w:cs="微软雅黑"/>
          <w:b/>
          <w:bCs/>
          <w:color w:val="auto"/>
          <w:highlight w:val="none"/>
        </w:rPr>
      </w:pPr>
    </w:p>
    <w:p w14:paraId="45A7E3DE">
      <w:pPr>
        <w:rPr>
          <w:rFonts w:ascii="微软雅黑" w:hAnsi="微软雅黑" w:eastAsia="微软雅黑" w:cs="微软雅黑"/>
          <w:b/>
          <w:bCs/>
          <w:color w:val="auto"/>
          <w:highlight w:val="none"/>
        </w:rPr>
      </w:pPr>
    </w:p>
    <w:p w14:paraId="7F3C9DEA">
      <w:pPr>
        <w:rPr>
          <w:rFonts w:ascii="微软雅黑" w:hAnsi="微软雅黑" w:eastAsia="微软雅黑" w:cs="微软雅黑"/>
          <w:b/>
          <w:bCs/>
          <w:color w:val="auto"/>
          <w:highlight w:val="none"/>
        </w:rPr>
      </w:pPr>
    </w:p>
    <w:p w14:paraId="6E933679">
      <w:pPr>
        <w:rPr>
          <w:rFonts w:ascii="微软雅黑" w:hAnsi="微软雅黑" w:eastAsia="微软雅黑" w:cs="微软雅黑"/>
          <w:b/>
          <w:bCs/>
          <w:color w:val="auto"/>
          <w:highlight w:val="none"/>
        </w:rPr>
      </w:pPr>
    </w:p>
    <w:p w14:paraId="7AA46F90">
      <w:pPr>
        <w:rPr>
          <w:rFonts w:ascii="微软雅黑" w:hAnsi="微软雅黑" w:eastAsia="微软雅黑" w:cs="微软雅黑"/>
          <w:b/>
          <w:bCs/>
          <w:color w:val="auto"/>
          <w:highlight w:val="none"/>
        </w:rPr>
      </w:pPr>
    </w:p>
    <w:p w14:paraId="7E4EA08E">
      <w:pPr>
        <w:rPr>
          <w:rFonts w:ascii="微软雅黑" w:hAnsi="微软雅黑" w:eastAsia="微软雅黑" w:cs="微软雅黑"/>
          <w:b/>
          <w:bCs/>
          <w:color w:val="auto"/>
          <w:highlight w:val="none"/>
        </w:rPr>
      </w:pPr>
    </w:p>
    <w:p w14:paraId="798DED10">
      <w:pPr>
        <w:rPr>
          <w:rFonts w:ascii="微软雅黑" w:hAnsi="微软雅黑" w:eastAsia="微软雅黑" w:cs="微软雅黑"/>
          <w:b/>
          <w:bCs/>
          <w:color w:val="auto"/>
          <w:highlight w:val="none"/>
        </w:rPr>
      </w:pPr>
    </w:p>
    <w:p w14:paraId="457F6E94">
      <w:pPr>
        <w:rPr>
          <w:rFonts w:ascii="微软雅黑" w:hAnsi="微软雅黑" w:eastAsia="微软雅黑" w:cs="微软雅黑"/>
          <w:b/>
          <w:bCs/>
          <w:color w:val="auto"/>
          <w:highlight w:val="none"/>
        </w:rPr>
      </w:pPr>
    </w:p>
    <w:p w14:paraId="10339811">
      <w:pPr>
        <w:rPr>
          <w:rFonts w:ascii="微软雅黑" w:hAnsi="微软雅黑" w:eastAsia="微软雅黑" w:cs="微软雅黑"/>
          <w:b/>
          <w:bCs/>
          <w:color w:val="auto"/>
          <w:highlight w:val="none"/>
        </w:rPr>
      </w:pPr>
    </w:p>
    <w:p w14:paraId="00F394E1">
      <w:pPr>
        <w:rPr>
          <w:rFonts w:ascii="微软雅黑" w:hAnsi="微软雅黑" w:eastAsia="微软雅黑" w:cs="微软雅黑"/>
          <w:b/>
          <w:bCs/>
          <w:color w:val="auto"/>
          <w:highlight w:val="none"/>
        </w:rPr>
      </w:pPr>
    </w:p>
    <w:p w14:paraId="6AD3ED92">
      <w:pPr>
        <w:rPr>
          <w:rFonts w:ascii="微软雅黑" w:hAnsi="微软雅黑" w:eastAsia="微软雅黑" w:cs="微软雅黑"/>
          <w:b/>
          <w:bCs/>
          <w:color w:val="auto"/>
          <w:highlight w:val="none"/>
        </w:rPr>
      </w:pPr>
    </w:p>
    <w:bookmarkEnd w:id="528"/>
    <w:bookmarkEnd w:id="529"/>
    <w:bookmarkEnd w:id="530"/>
    <w:p w14:paraId="029BA3AE">
      <w:pPr>
        <w:pStyle w:val="21"/>
        <w:rPr>
          <w:rFonts w:ascii="微软雅黑" w:hAnsi="微软雅黑" w:eastAsia="微软雅黑" w:cs="微软雅黑"/>
          <w:color w:val="auto"/>
          <w:highlight w:val="none"/>
        </w:rPr>
      </w:pPr>
    </w:p>
    <w:p w14:paraId="4A660D6A">
      <w:pPr>
        <w:pStyle w:val="21"/>
        <w:rPr>
          <w:rFonts w:ascii="微软雅黑" w:hAnsi="微软雅黑" w:eastAsia="微软雅黑" w:cs="微软雅黑"/>
          <w:color w:val="auto"/>
          <w:highlight w:val="none"/>
        </w:rPr>
      </w:pPr>
    </w:p>
    <w:bookmarkEnd w:id="523"/>
    <w:bookmarkEnd w:id="524"/>
    <w:bookmarkEnd w:id="525"/>
    <w:p w14:paraId="72D66D16">
      <w:pPr>
        <w:pStyle w:val="3"/>
        <w:numPr>
          <w:ilvl w:val="0"/>
          <w:numId w:val="8"/>
        </w:numPr>
        <w:spacing w:before="0" w:line="360" w:lineRule="auto"/>
        <w:ind w:left="1080" w:leftChars="257" w:hanging="540"/>
        <w:rPr>
          <w:rFonts w:ascii="微软雅黑" w:hAnsi="微软雅黑" w:eastAsia="微软雅黑" w:cs="微软雅黑"/>
          <w:color w:val="auto"/>
          <w:kern w:val="2"/>
          <w:sz w:val="32"/>
          <w:szCs w:val="32"/>
          <w:highlight w:val="none"/>
        </w:rPr>
      </w:pPr>
      <w:bookmarkStart w:id="531" w:name="_Toc515647816"/>
      <w:bookmarkStart w:id="532" w:name="_Toc22967"/>
      <w:bookmarkStart w:id="533" w:name="_Toc11180"/>
      <w:bookmarkStart w:id="534" w:name="_Toc30653"/>
      <w:r>
        <w:rPr>
          <w:rFonts w:hint="eastAsia" w:ascii="微软雅黑" w:hAnsi="微软雅黑" w:eastAsia="微软雅黑" w:cs="微软雅黑"/>
          <w:color w:val="auto"/>
          <w:kern w:val="2"/>
          <w:sz w:val="32"/>
          <w:szCs w:val="32"/>
          <w:highlight w:val="none"/>
        </w:rPr>
        <w:t xml:space="preserve"> </w:t>
      </w:r>
      <w:bookmarkStart w:id="535" w:name="_Toc19107"/>
      <w:r>
        <w:rPr>
          <w:rFonts w:hint="eastAsia" w:ascii="微软雅黑" w:hAnsi="微软雅黑" w:eastAsia="微软雅黑" w:cs="微软雅黑"/>
          <w:color w:val="auto"/>
          <w:kern w:val="2"/>
          <w:sz w:val="32"/>
          <w:szCs w:val="32"/>
          <w:highlight w:val="none"/>
        </w:rPr>
        <w:t>商务及技术文件</w:t>
      </w:r>
      <w:bookmarkEnd w:id="531"/>
      <w:bookmarkEnd w:id="532"/>
      <w:bookmarkEnd w:id="533"/>
      <w:bookmarkEnd w:id="534"/>
      <w:bookmarkEnd w:id="535"/>
    </w:p>
    <w:p w14:paraId="30D1F1B1">
      <w:pPr>
        <w:pStyle w:val="15"/>
        <w:spacing w:line="360" w:lineRule="auto"/>
        <w:ind w:left="1079" w:leftChars="257" w:hanging="539"/>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1、投标书</w:t>
      </w:r>
    </w:p>
    <w:p w14:paraId="498F4B2F">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2、投标分项报价表</w:t>
      </w:r>
    </w:p>
    <w:p w14:paraId="5A1EF06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3、货物说明一览表</w:t>
      </w:r>
    </w:p>
    <w:p w14:paraId="0BA6DD67">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4、技术规格偏离表</w:t>
      </w:r>
    </w:p>
    <w:p w14:paraId="381684F8">
      <w:pPr>
        <w:pStyle w:val="15"/>
        <w:spacing w:line="360" w:lineRule="auto"/>
        <w:ind w:left="1080" w:leftChars="257" w:hanging="54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5、商务条款偏离表</w:t>
      </w:r>
    </w:p>
    <w:p w14:paraId="7C7A4B28">
      <w:pPr>
        <w:pStyle w:val="15"/>
        <w:spacing w:line="360" w:lineRule="auto"/>
        <w:ind w:left="1080" w:leftChars="257" w:hanging="540"/>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6、中小企业声明函</w:t>
      </w:r>
    </w:p>
    <w:p w14:paraId="3F9011A0">
      <w:pPr>
        <w:pStyle w:val="15"/>
        <w:spacing w:line="360" w:lineRule="auto"/>
        <w:ind w:left="311" w:leftChars="148" w:firstLine="22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7、</w:t>
      </w:r>
      <w:r>
        <w:rPr>
          <w:rFonts w:hint="eastAsia" w:ascii="微软雅黑" w:hAnsi="微软雅黑" w:eastAsia="微软雅黑" w:cs="微软雅黑"/>
          <w:color w:val="auto"/>
          <w:sz w:val="28"/>
          <w:szCs w:val="28"/>
          <w:highlight w:val="none"/>
        </w:rPr>
        <w:t>残疾人福利性单位声明函</w:t>
      </w:r>
    </w:p>
    <w:p w14:paraId="0402F8D4">
      <w:pPr>
        <w:pStyle w:val="15"/>
        <w:spacing w:line="360" w:lineRule="auto"/>
        <w:ind w:left="311" w:leftChars="148" w:firstLine="228"/>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8</w:t>
      </w:r>
      <w:r>
        <w:rPr>
          <w:rFonts w:hint="eastAsia" w:ascii="微软雅黑" w:hAnsi="微软雅黑" w:eastAsia="微软雅黑" w:cs="微软雅黑"/>
          <w:color w:val="auto"/>
          <w:sz w:val="28"/>
          <w:szCs w:val="28"/>
          <w:highlight w:val="none"/>
        </w:rPr>
        <w:t>、供应商关联单位的说明（格式自拟）</w:t>
      </w:r>
    </w:p>
    <w:p w14:paraId="648A0FAF">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9</w:t>
      </w:r>
      <w:r>
        <w:rPr>
          <w:rFonts w:hint="eastAsia" w:ascii="微软雅黑" w:hAnsi="微软雅黑" w:eastAsia="微软雅黑" w:cs="微软雅黑"/>
          <w:color w:val="auto"/>
          <w:sz w:val="28"/>
          <w:szCs w:val="28"/>
          <w:highlight w:val="none"/>
        </w:rPr>
        <w:t>、供应商可提供有利于投标的其他资格证明材料</w:t>
      </w:r>
      <w:bookmarkStart w:id="536" w:name="_Toc515647817"/>
      <w:bookmarkStart w:id="537" w:name="_Toc2041"/>
      <w:bookmarkStart w:id="538" w:name="_Toc14915"/>
    </w:p>
    <w:p w14:paraId="1A60AFBE">
      <w:pPr>
        <w:pStyle w:val="15"/>
        <w:spacing w:line="360" w:lineRule="auto"/>
        <w:ind w:left="1080" w:leftChars="257" w:hanging="54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lang w:val="en-US" w:eastAsia="zh-CN"/>
        </w:rPr>
        <w:t>10</w:t>
      </w:r>
      <w:r>
        <w:rPr>
          <w:rFonts w:hint="eastAsia" w:ascii="微软雅黑" w:hAnsi="微软雅黑" w:eastAsia="微软雅黑" w:cs="微软雅黑"/>
          <w:color w:val="auto"/>
          <w:sz w:val="28"/>
          <w:szCs w:val="28"/>
          <w:highlight w:val="none"/>
        </w:rPr>
        <w:t>、投标文件格式范本</w:t>
      </w:r>
    </w:p>
    <w:p w14:paraId="71F561C4">
      <w:pPr>
        <w:pStyle w:val="15"/>
        <w:tabs>
          <w:tab w:val="left" w:pos="5580"/>
        </w:tabs>
        <w:rPr>
          <w:rFonts w:ascii="微软雅黑" w:hAnsi="微软雅黑" w:eastAsia="微软雅黑" w:cs="微软雅黑"/>
          <w:color w:val="auto"/>
          <w:sz w:val="24"/>
          <w:szCs w:val="24"/>
          <w:highlight w:val="none"/>
        </w:rPr>
      </w:pPr>
    </w:p>
    <w:p w14:paraId="24BD8094">
      <w:pPr>
        <w:rPr>
          <w:rFonts w:ascii="微软雅黑" w:hAnsi="微软雅黑" w:eastAsia="微软雅黑" w:cs="微软雅黑"/>
          <w:b/>
          <w:bCs/>
          <w:color w:val="auto"/>
          <w:highlight w:val="none"/>
        </w:rPr>
      </w:pPr>
    </w:p>
    <w:p w14:paraId="4178A98C">
      <w:pPr>
        <w:pStyle w:val="4"/>
        <w:rPr>
          <w:rFonts w:ascii="微软雅黑" w:hAnsi="微软雅黑" w:eastAsia="微软雅黑" w:cs="微软雅黑"/>
          <w:b/>
          <w:bCs/>
          <w:color w:val="auto"/>
          <w:highlight w:val="none"/>
        </w:rPr>
      </w:pPr>
    </w:p>
    <w:p w14:paraId="20AC220C">
      <w:pPr>
        <w:pStyle w:val="4"/>
        <w:rPr>
          <w:rFonts w:ascii="微软雅黑" w:hAnsi="微软雅黑" w:eastAsia="微软雅黑" w:cs="微软雅黑"/>
          <w:b/>
          <w:bCs/>
          <w:color w:val="auto"/>
          <w:highlight w:val="none"/>
        </w:rPr>
      </w:pPr>
    </w:p>
    <w:p w14:paraId="62FED154">
      <w:pPr>
        <w:pStyle w:val="4"/>
        <w:rPr>
          <w:rFonts w:ascii="微软雅黑" w:hAnsi="微软雅黑" w:eastAsia="微软雅黑" w:cs="微软雅黑"/>
          <w:b/>
          <w:bCs/>
          <w:color w:val="auto"/>
          <w:highlight w:val="none"/>
        </w:rPr>
      </w:pPr>
    </w:p>
    <w:p w14:paraId="0ECA343C">
      <w:pPr>
        <w:pStyle w:val="4"/>
        <w:rPr>
          <w:rFonts w:ascii="微软雅黑" w:hAnsi="微软雅黑" w:eastAsia="微软雅黑" w:cs="微软雅黑"/>
          <w:b/>
          <w:bCs/>
          <w:color w:val="auto"/>
          <w:highlight w:val="none"/>
        </w:rPr>
      </w:pPr>
    </w:p>
    <w:p w14:paraId="3C82DEBC">
      <w:pPr>
        <w:rPr>
          <w:rFonts w:ascii="微软雅黑" w:hAnsi="微软雅黑" w:eastAsia="微软雅黑" w:cs="微软雅黑"/>
          <w:b/>
          <w:bCs/>
          <w:color w:val="auto"/>
          <w:highlight w:val="none"/>
        </w:rPr>
      </w:pPr>
    </w:p>
    <w:p w14:paraId="39612E65">
      <w:pPr>
        <w:pStyle w:val="4"/>
        <w:rPr>
          <w:rFonts w:ascii="微软雅黑" w:hAnsi="微软雅黑" w:eastAsia="微软雅黑" w:cs="微软雅黑"/>
          <w:b/>
          <w:bCs/>
          <w:color w:val="auto"/>
          <w:highlight w:val="none"/>
        </w:rPr>
      </w:pPr>
    </w:p>
    <w:p w14:paraId="3CDC7708">
      <w:pPr>
        <w:rPr>
          <w:rFonts w:ascii="微软雅黑" w:hAnsi="微软雅黑" w:eastAsia="微软雅黑" w:cs="微软雅黑"/>
          <w:b/>
          <w:bCs/>
          <w:color w:val="auto"/>
          <w:highlight w:val="none"/>
        </w:rPr>
      </w:pPr>
    </w:p>
    <w:p w14:paraId="4EFE09A8">
      <w:pPr>
        <w:rPr>
          <w:rFonts w:ascii="微软雅黑" w:hAnsi="微软雅黑" w:eastAsia="微软雅黑" w:cs="微软雅黑"/>
          <w:b/>
          <w:bCs/>
          <w:color w:val="auto"/>
          <w:highlight w:val="none"/>
        </w:rPr>
      </w:pPr>
    </w:p>
    <w:p w14:paraId="598C7D49">
      <w:pPr>
        <w:pStyle w:val="4"/>
        <w:rPr>
          <w:rFonts w:ascii="微软雅黑" w:hAnsi="微软雅黑" w:eastAsia="微软雅黑" w:cs="微软雅黑"/>
          <w:b/>
          <w:bCs/>
          <w:color w:val="auto"/>
          <w:highlight w:val="none"/>
        </w:rPr>
      </w:pPr>
    </w:p>
    <w:p w14:paraId="0DD450A8">
      <w:pPr>
        <w:rPr>
          <w:rFonts w:ascii="微软雅黑" w:hAnsi="微软雅黑" w:eastAsia="微软雅黑" w:cs="微软雅黑"/>
          <w:b/>
          <w:bCs/>
          <w:color w:val="auto"/>
          <w:highlight w:val="none"/>
        </w:rPr>
      </w:pPr>
    </w:p>
    <w:p w14:paraId="22C79376">
      <w:pPr>
        <w:rPr>
          <w:color w:val="auto"/>
          <w:highlight w:val="none"/>
        </w:rPr>
      </w:pPr>
    </w:p>
    <w:p w14:paraId="77C7240B">
      <w:pPr>
        <w:rPr>
          <w:color w:val="auto"/>
          <w:highlight w:val="none"/>
        </w:rPr>
      </w:pPr>
    </w:p>
    <w:p w14:paraId="2D938477">
      <w:pPr>
        <w:pStyle w:val="4"/>
        <w:rPr>
          <w:color w:val="auto"/>
          <w:highlight w:val="none"/>
        </w:rPr>
      </w:pPr>
    </w:p>
    <w:p w14:paraId="68A36272">
      <w:pPr>
        <w:pStyle w:val="4"/>
        <w:rPr>
          <w:rFonts w:ascii="微软雅黑" w:hAnsi="微软雅黑" w:eastAsia="微软雅黑" w:cs="微软雅黑"/>
          <w:b/>
          <w:bCs/>
          <w:color w:val="auto"/>
          <w:highlight w:val="none"/>
        </w:rPr>
      </w:pPr>
    </w:p>
    <w:p w14:paraId="289A10DA">
      <w:pPr>
        <w:jc w:val="both"/>
        <w:rPr>
          <w:rFonts w:ascii="微软雅黑" w:hAnsi="微软雅黑" w:eastAsia="微软雅黑" w:cs="微软雅黑"/>
          <w:b/>
          <w:bCs/>
          <w:color w:val="auto"/>
          <w:sz w:val="24"/>
          <w:szCs w:val="24"/>
          <w:highlight w:val="none"/>
        </w:rPr>
      </w:pPr>
      <w:bookmarkStart w:id="539" w:name="_Toc2305"/>
      <w:bookmarkStart w:id="540" w:name="_Toc27134"/>
      <w:bookmarkStart w:id="541" w:name="_Toc12580"/>
      <w:bookmarkStart w:id="542" w:name="_Toc30922"/>
      <w:bookmarkStart w:id="543" w:name="_Toc695"/>
      <w:bookmarkStart w:id="544" w:name="_Toc30408"/>
      <w:bookmarkStart w:id="545" w:name="_Toc28678"/>
      <w:bookmarkStart w:id="546" w:name="_Toc17344"/>
    </w:p>
    <w:p w14:paraId="5EA9100A">
      <w:pPr>
        <w:jc w:val="center"/>
        <w:outlineLvl w:val="1"/>
        <w:rPr>
          <w:rFonts w:ascii="微软雅黑" w:hAnsi="微软雅黑" w:eastAsia="微软雅黑" w:cs="微软雅黑"/>
          <w:color w:val="auto"/>
          <w:sz w:val="24"/>
          <w:szCs w:val="24"/>
          <w:highlight w:val="none"/>
        </w:rPr>
      </w:pPr>
      <w:bookmarkStart w:id="547" w:name="_Toc7566"/>
      <w:r>
        <w:rPr>
          <w:rFonts w:hint="eastAsia" w:ascii="微软雅黑" w:hAnsi="微软雅黑" w:eastAsia="微软雅黑" w:cs="微软雅黑"/>
          <w:b/>
          <w:bCs/>
          <w:color w:val="auto"/>
          <w:sz w:val="24"/>
          <w:szCs w:val="24"/>
          <w:highlight w:val="none"/>
        </w:rPr>
        <w:t>1、投标</w:t>
      </w:r>
      <w:bookmarkEnd w:id="513"/>
      <w:bookmarkEnd w:id="514"/>
      <w:r>
        <w:rPr>
          <w:rFonts w:hint="eastAsia" w:ascii="微软雅黑" w:hAnsi="微软雅黑" w:eastAsia="微软雅黑" w:cs="微软雅黑"/>
          <w:b/>
          <w:bCs/>
          <w:color w:val="auto"/>
          <w:sz w:val="24"/>
          <w:szCs w:val="24"/>
          <w:highlight w:val="none"/>
        </w:rPr>
        <w:t>书</w:t>
      </w:r>
      <w:bookmarkEnd w:id="515"/>
      <w:bookmarkEnd w:id="516"/>
      <w:bookmarkEnd w:id="536"/>
      <w:bookmarkEnd w:id="537"/>
      <w:bookmarkEnd w:id="538"/>
      <w:bookmarkEnd w:id="539"/>
      <w:bookmarkEnd w:id="540"/>
      <w:bookmarkEnd w:id="541"/>
      <w:bookmarkEnd w:id="542"/>
      <w:bookmarkEnd w:id="543"/>
      <w:bookmarkEnd w:id="544"/>
      <w:bookmarkEnd w:id="545"/>
      <w:bookmarkEnd w:id="546"/>
      <w:bookmarkEnd w:id="547"/>
    </w:p>
    <w:p w14:paraId="4A28B0B0">
      <w:pPr>
        <w:tabs>
          <w:tab w:val="left" w:pos="5580"/>
        </w:tabs>
        <w:ind w:left="1080" w:hanging="10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szCs w:val="24"/>
          <w:highlight w:val="none"/>
          <w:u w:val="single"/>
        </w:rPr>
        <w:t xml:space="preserve">        </w:t>
      </w:r>
    </w:p>
    <w:p w14:paraId="13822B18">
      <w:pPr>
        <w:pStyle w:val="15"/>
        <w:tabs>
          <w:tab w:val="left" w:pos="5580"/>
        </w:tabs>
        <w:ind w:left="1080" w:leftChars="257" w:hanging="540"/>
        <w:rPr>
          <w:rFonts w:ascii="微软雅黑" w:hAnsi="微软雅黑" w:eastAsia="微软雅黑" w:cs="微软雅黑"/>
          <w:color w:val="auto"/>
          <w:sz w:val="24"/>
          <w:szCs w:val="24"/>
          <w:highlight w:val="none"/>
        </w:rPr>
      </w:pPr>
    </w:p>
    <w:p w14:paraId="4AF20A78">
      <w:pPr>
        <w:pStyle w:val="15"/>
        <w:tabs>
          <w:tab w:val="left" w:pos="5580"/>
        </w:tabs>
        <w:ind w:left="2" w:leftChars="1"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iCs/>
          <w:color w:val="auto"/>
          <w:sz w:val="24"/>
          <w:szCs w:val="24"/>
          <w:highlight w:val="none"/>
          <w:u w:val="single"/>
        </w:rPr>
        <w:t>项目名称、包号</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iCs/>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iCs/>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iCs/>
          <w:color w:val="auto"/>
          <w:sz w:val="24"/>
          <w:szCs w:val="24"/>
          <w:highlight w:val="none"/>
          <w:u w:val="single"/>
        </w:rPr>
        <w:t>名称、地址</w:t>
      </w:r>
      <w:r>
        <w:rPr>
          <w:rFonts w:hint="eastAsia" w:ascii="微软雅黑" w:hAnsi="微软雅黑" w:eastAsia="微软雅黑" w:cs="微软雅黑"/>
          <w:color w:val="auto"/>
          <w:sz w:val="24"/>
          <w:szCs w:val="24"/>
          <w:highlight w:val="none"/>
        </w:rPr>
        <w:t>）上传并签署投标文件，并以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w:t>
      </w:r>
      <w:r>
        <w:rPr>
          <w:rFonts w:hint="eastAsia" w:ascii="微软雅黑" w:hAnsi="微软雅黑" w:eastAsia="微软雅黑" w:cs="微软雅黑"/>
          <w:color w:val="auto"/>
          <w:sz w:val="24"/>
          <w:szCs w:val="24"/>
          <w:highlight w:val="none"/>
          <w:u w:val="single"/>
          <w:lang w:val="en-US" w:eastAsia="zh-CN"/>
        </w:rPr>
        <w:t xml:space="preserve">    元</w:t>
      </w:r>
      <w:r>
        <w:rPr>
          <w:rFonts w:hint="eastAsia" w:ascii="微软雅黑" w:hAnsi="微软雅黑" w:eastAsia="微软雅黑" w:cs="微软雅黑"/>
          <w:color w:val="auto"/>
          <w:sz w:val="24"/>
          <w:szCs w:val="24"/>
          <w:highlight w:val="none"/>
        </w:rPr>
        <w:t>人民币的投标保证金。</w:t>
      </w:r>
    </w:p>
    <w:p w14:paraId="4749601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304F9651">
      <w:pPr>
        <w:pStyle w:val="15"/>
        <w:tabs>
          <w:tab w:val="left" w:pos="720"/>
          <w:tab w:val="left" w:pos="900"/>
        </w:tabs>
        <w:ind w:left="769" w:leftChars="257" w:hanging="229"/>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（1）附投标价格表中规定的应提供货物的投标总价为</w:t>
      </w:r>
      <w:r>
        <w:rPr>
          <w:rFonts w:hint="eastAsia" w:ascii="微软雅黑" w:hAnsi="微软雅黑" w:eastAsia="微软雅黑" w:cs="微软雅黑"/>
          <w:color w:val="auto"/>
          <w:sz w:val="24"/>
          <w:szCs w:val="24"/>
          <w:highlight w:val="none"/>
          <w:u w:val="single"/>
        </w:rPr>
        <w:t>　　  （用文字和数字表示）</w:t>
      </w:r>
      <w:r>
        <w:rPr>
          <w:rFonts w:hint="eastAsia" w:ascii="微软雅黑" w:hAnsi="微软雅黑" w:eastAsia="微软雅黑" w:cs="微软雅黑"/>
          <w:color w:val="auto"/>
          <w:sz w:val="24"/>
          <w:szCs w:val="24"/>
          <w:highlight w:val="none"/>
        </w:rPr>
        <w:t>。</w:t>
      </w:r>
    </w:p>
    <w:p w14:paraId="2C506BC8">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90 </w:t>
      </w:r>
      <w:r>
        <w:rPr>
          <w:rFonts w:hint="eastAsia" w:ascii="微软雅黑" w:hAnsi="微软雅黑" w:eastAsia="微软雅黑" w:cs="微软雅黑"/>
          <w:color w:val="auto"/>
          <w:sz w:val="24"/>
          <w:szCs w:val="24"/>
          <w:highlight w:val="none"/>
        </w:rPr>
        <w:t>个日历日。</w:t>
      </w:r>
    </w:p>
    <w:p w14:paraId="1B7D44E7">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6515EEC9">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1F5225E1">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40848C6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（6）我方不是为本项目提供整体设计、规范编制或者项目管理、监理、检测等服务的供应商，我方不是采购代理机构的附属机构。</w:t>
      </w:r>
    </w:p>
    <w:p w14:paraId="640B5025">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6B4D28CE">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71BD71AC">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1889DE0F">
      <w:pPr>
        <w:pStyle w:val="15"/>
        <w:tabs>
          <w:tab w:val="left" w:pos="5580"/>
        </w:tabs>
        <w:ind w:left="359" w:leftChars="68" w:hanging="216" w:hangingChars="9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1D2E2CF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28BBD0BA">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3B60F7EC">
      <w:pPr>
        <w:pStyle w:val="15"/>
        <w:tabs>
          <w:tab w:val="left" w:pos="558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u w:val="single"/>
        </w:rPr>
        <w:t xml:space="preserve">                </w:t>
      </w:r>
    </w:p>
    <w:p w14:paraId="4E9A87FF">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 xml:space="preserve">                  </w:t>
      </w:r>
    </w:p>
    <w:p w14:paraId="6D76CA9D">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5FE111D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442FC120">
      <w:pPr>
        <w:pStyle w:val="15"/>
        <w:tabs>
          <w:tab w:val="left" w:pos="558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r>
        <w:rPr>
          <w:rFonts w:hint="eastAsia" w:ascii="微软雅黑" w:hAnsi="微软雅黑" w:eastAsia="微软雅黑" w:cs="微软雅黑"/>
          <w:color w:val="auto"/>
          <w:sz w:val="24"/>
          <w:szCs w:val="24"/>
          <w:highlight w:val="none"/>
          <w:u w:val="single"/>
        </w:rPr>
        <w:t xml:space="preserve">                      </w:t>
      </w:r>
    </w:p>
    <w:p w14:paraId="620741D3">
      <w:pPr>
        <w:pStyle w:val="3"/>
        <w:spacing w:before="0" w:line="240" w:lineRule="auto"/>
        <w:ind w:left="1080" w:leftChars="257" w:hanging="540"/>
        <w:rPr>
          <w:rFonts w:ascii="微软雅黑" w:hAnsi="微软雅黑" w:eastAsia="微软雅黑" w:cs="微软雅黑"/>
          <w:color w:val="auto"/>
          <w:sz w:val="21"/>
          <w:szCs w:val="21"/>
          <w:highlight w:val="none"/>
        </w:rPr>
        <w:sectPr>
          <w:footerReference r:id="rId5" w:type="default"/>
          <w:pgSz w:w="11905" w:h="16838"/>
          <w:pgMar w:top="1440" w:right="1080" w:bottom="1440" w:left="1080" w:header="851" w:footer="992" w:gutter="0"/>
          <w:pgNumType w:fmt="decimal" w:start="1"/>
          <w:cols w:space="0" w:num="1"/>
          <w:docGrid w:linePitch="312" w:charSpace="0"/>
        </w:sectPr>
      </w:pPr>
      <w:r>
        <w:rPr>
          <w:rFonts w:hint="eastAsia" w:ascii="微软雅黑" w:hAnsi="微软雅黑" w:eastAsia="微软雅黑" w:cs="微软雅黑"/>
          <w:color w:val="auto"/>
          <w:sz w:val="21"/>
          <w:szCs w:val="21"/>
          <w:highlight w:val="none"/>
        </w:rPr>
        <w:br w:type="page"/>
      </w:r>
      <w:bookmarkStart w:id="548" w:name="_Toc19819"/>
      <w:bookmarkStart w:id="549" w:name="_Toc1266"/>
      <w:bookmarkStart w:id="550" w:name="_Toc23473"/>
      <w:bookmarkStart w:id="551" w:name="_Toc4976"/>
      <w:bookmarkStart w:id="552" w:name="_Toc213"/>
      <w:bookmarkStart w:id="553" w:name="_Toc19539"/>
      <w:bookmarkStart w:id="554" w:name="_Toc12429"/>
      <w:bookmarkStart w:id="555" w:name="_Toc23851"/>
      <w:bookmarkStart w:id="556" w:name="_Toc19746"/>
      <w:bookmarkStart w:id="557" w:name="_Toc30247"/>
    </w:p>
    <w:p w14:paraId="4D6941F6">
      <w:pPr>
        <w:pStyle w:val="3"/>
        <w:spacing w:before="0" w:line="240" w:lineRule="auto"/>
        <w:ind w:left="1080" w:leftChars="257" w:hanging="540"/>
        <w:rPr>
          <w:rFonts w:ascii="微软雅黑" w:hAnsi="微软雅黑" w:eastAsia="微软雅黑" w:cs="微软雅黑"/>
          <w:color w:val="auto"/>
          <w:sz w:val="24"/>
          <w:szCs w:val="24"/>
          <w:highlight w:val="none"/>
        </w:rPr>
      </w:pPr>
      <w:bookmarkStart w:id="558" w:name="_Toc6994"/>
      <w:r>
        <w:rPr>
          <w:rFonts w:hint="eastAsia" w:ascii="微软雅黑" w:hAnsi="微软雅黑" w:eastAsia="微软雅黑" w:cs="微软雅黑"/>
          <w:b/>
          <w:bCs/>
          <w:color w:val="auto"/>
          <w:sz w:val="24"/>
          <w:szCs w:val="24"/>
          <w:highlight w:val="none"/>
        </w:rPr>
        <w:t>2</w:t>
      </w:r>
      <w:bookmarkEnd w:id="548"/>
      <w:bookmarkEnd w:id="549"/>
      <w:bookmarkEnd w:id="550"/>
      <w:bookmarkStart w:id="559" w:name="_Toc216582815"/>
      <w:bookmarkStart w:id="560" w:name="_Toc20897"/>
      <w:bookmarkStart w:id="561" w:name="_Toc5101"/>
      <w:bookmarkStart w:id="562" w:name="_Toc515647818"/>
      <w:bookmarkStart w:id="563" w:name="_Toc1881"/>
      <w:bookmarkStart w:id="564" w:name="_Toc515647820"/>
      <w:bookmarkStart w:id="565" w:name="_Toc216582817"/>
      <w:bookmarkStart w:id="566" w:name="_Toc28959"/>
      <w:bookmarkStart w:id="567" w:name="_Toc22563"/>
      <w:r>
        <w:rPr>
          <w:rFonts w:hint="eastAsia" w:ascii="微软雅黑" w:hAnsi="微软雅黑" w:eastAsia="微软雅黑" w:cs="微软雅黑"/>
          <w:b/>
          <w:bCs/>
          <w:color w:val="auto"/>
          <w:sz w:val="24"/>
          <w:szCs w:val="24"/>
          <w:highlight w:val="none"/>
        </w:rPr>
        <w:t>、投标分项报价表</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015B05A8">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 　 　             报价单位：人民币  元</w:t>
      </w:r>
    </w:p>
    <w:tbl>
      <w:tblPr>
        <w:tblStyle w:val="30"/>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545"/>
        <w:gridCol w:w="1220"/>
        <w:gridCol w:w="1359"/>
        <w:gridCol w:w="1124"/>
        <w:gridCol w:w="1122"/>
        <w:gridCol w:w="1193"/>
        <w:gridCol w:w="1193"/>
        <w:gridCol w:w="1193"/>
        <w:gridCol w:w="1014"/>
      </w:tblGrid>
      <w:tr w14:paraId="6734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92" w:type="dxa"/>
            <w:noWrap/>
            <w:vAlign w:val="center"/>
          </w:tcPr>
          <w:p w14:paraId="1E4C07B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3545" w:type="dxa"/>
            <w:noWrap/>
            <w:vAlign w:val="center"/>
          </w:tcPr>
          <w:p w14:paraId="60018390">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货物</w:t>
            </w:r>
            <w:r>
              <w:rPr>
                <w:rFonts w:hint="eastAsia" w:ascii="微软雅黑" w:hAnsi="微软雅黑" w:eastAsia="微软雅黑" w:cs="微软雅黑"/>
                <w:color w:val="auto"/>
                <w:sz w:val="24"/>
                <w:szCs w:val="24"/>
              </w:rPr>
              <w:t>名称</w:t>
            </w:r>
          </w:p>
        </w:tc>
        <w:tc>
          <w:tcPr>
            <w:tcW w:w="1220" w:type="dxa"/>
            <w:noWrap/>
            <w:vAlign w:val="center"/>
          </w:tcPr>
          <w:p w14:paraId="608EB58A">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w:t>
            </w:r>
          </w:p>
        </w:tc>
        <w:tc>
          <w:tcPr>
            <w:tcW w:w="1359" w:type="dxa"/>
            <w:noWrap/>
            <w:vAlign w:val="center"/>
          </w:tcPr>
          <w:p w14:paraId="6B449734">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规格</w:t>
            </w:r>
          </w:p>
        </w:tc>
        <w:tc>
          <w:tcPr>
            <w:tcW w:w="1124" w:type="dxa"/>
            <w:noWrap/>
            <w:vAlign w:val="center"/>
          </w:tcPr>
          <w:p w14:paraId="36D3F42F">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品牌</w:t>
            </w:r>
          </w:p>
        </w:tc>
        <w:tc>
          <w:tcPr>
            <w:tcW w:w="1122" w:type="dxa"/>
            <w:noWrap/>
            <w:vAlign w:val="center"/>
          </w:tcPr>
          <w:p w14:paraId="2AFAD29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产地</w:t>
            </w:r>
          </w:p>
        </w:tc>
        <w:tc>
          <w:tcPr>
            <w:tcW w:w="1193" w:type="dxa"/>
            <w:noWrap/>
            <w:vAlign w:val="center"/>
          </w:tcPr>
          <w:p w14:paraId="6AC5FB30">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制造商</w:t>
            </w:r>
          </w:p>
        </w:tc>
        <w:tc>
          <w:tcPr>
            <w:tcW w:w="1193" w:type="dxa"/>
            <w:noWrap/>
            <w:vAlign w:val="center"/>
          </w:tcPr>
          <w:p w14:paraId="3595DFE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单价</w:t>
            </w:r>
          </w:p>
        </w:tc>
        <w:tc>
          <w:tcPr>
            <w:tcW w:w="1193" w:type="dxa"/>
            <w:noWrap/>
            <w:vAlign w:val="center"/>
          </w:tcPr>
          <w:p w14:paraId="7957AFDE">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总价</w:t>
            </w:r>
          </w:p>
        </w:tc>
        <w:tc>
          <w:tcPr>
            <w:tcW w:w="1014" w:type="dxa"/>
            <w:noWrap/>
            <w:vAlign w:val="center"/>
          </w:tcPr>
          <w:p w14:paraId="672CE7A6">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2B1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517B277B">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3545" w:type="dxa"/>
            <w:noWrap/>
            <w:vAlign w:val="center"/>
          </w:tcPr>
          <w:p w14:paraId="55BF0911">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大米</w:t>
            </w:r>
          </w:p>
        </w:tc>
        <w:tc>
          <w:tcPr>
            <w:tcW w:w="1220" w:type="dxa"/>
            <w:noWrap/>
            <w:vAlign w:val="center"/>
          </w:tcPr>
          <w:p w14:paraId="329F3F1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6B03C2D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2B1E0B6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1C9BF6C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8DC3CD2">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D96A04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AE8418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5FBADBBD">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6347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3C4AF996">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w:t>
            </w:r>
          </w:p>
        </w:tc>
        <w:tc>
          <w:tcPr>
            <w:tcW w:w="3545" w:type="dxa"/>
            <w:noWrap/>
            <w:vAlign w:val="center"/>
          </w:tcPr>
          <w:p w14:paraId="184FD9C7">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面粉（小麦粉）</w:t>
            </w:r>
          </w:p>
        </w:tc>
        <w:tc>
          <w:tcPr>
            <w:tcW w:w="1220" w:type="dxa"/>
            <w:noWrap/>
            <w:vAlign w:val="center"/>
          </w:tcPr>
          <w:p w14:paraId="18E7670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44C339FF">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3BC2B21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15209B5C">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740930C">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166452F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11936E09">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30738E2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40E5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5132D3BD">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w:t>
            </w:r>
          </w:p>
        </w:tc>
        <w:tc>
          <w:tcPr>
            <w:tcW w:w="3545" w:type="dxa"/>
            <w:noWrap/>
            <w:vAlign w:val="center"/>
          </w:tcPr>
          <w:p w14:paraId="302A4F9E">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食用油（清油）</w:t>
            </w:r>
          </w:p>
        </w:tc>
        <w:tc>
          <w:tcPr>
            <w:tcW w:w="1220" w:type="dxa"/>
            <w:noWrap/>
            <w:vAlign w:val="center"/>
          </w:tcPr>
          <w:p w14:paraId="30233E4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4CDB365D">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53470FC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4DDDD75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FF2638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65E178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FAAD1D3">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17B68DD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3670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5C879613">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w:t>
            </w:r>
          </w:p>
        </w:tc>
        <w:tc>
          <w:tcPr>
            <w:tcW w:w="3545" w:type="dxa"/>
            <w:noWrap/>
            <w:vAlign w:val="center"/>
          </w:tcPr>
          <w:p w14:paraId="1AAA3DEC">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玉米粉</w:t>
            </w:r>
          </w:p>
        </w:tc>
        <w:tc>
          <w:tcPr>
            <w:tcW w:w="1220" w:type="dxa"/>
            <w:noWrap/>
            <w:vAlign w:val="center"/>
          </w:tcPr>
          <w:p w14:paraId="31D5B40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333318C5">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24CB5839">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33E1404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13D20882">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5DF1A9C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3A44573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074AA7D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132C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2" w:type="dxa"/>
            <w:noWrap/>
            <w:vAlign w:val="center"/>
          </w:tcPr>
          <w:p w14:paraId="686F9714">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w:t>
            </w:r>
          </w:p>
        </w:tc>
        <w:tc>
          <w:tcPr>
            <w:tcW w:w="3545" w:type="dxa"/>
            <w:noWrap/>
            <w:vAlign w:val="center"/>
          </w:tcPr>
          <w:p w14:paraId="602E26E8">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鲜鸡蛋</w:t>
            </w:r>
          </w:p>
        </w:tc>
        <w:tc>
          <w:tcPr>
            <w:tcW w:w="1220" w:type="dxa"/>
            <w:noWrap/>
            <w:vAlign w:val="center"/>
          </w:tcPr>
          <w:p w14:paraId="3F815260">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52747C2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17CB84F8">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025EC5E4">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0FB752DE">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6A16E14A">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7E3DD9E9">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59ECC90E">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3C7D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2" w:type="dxa"/>
            <w:noWrap/>
            <w:vAlign w:val="center"/>
          </w:tcPr>
          <w:p w14:paraId="37BF08CD">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w:t>
            </w:r>
          </w:p>
        </w:tc>
        <w:tc>
          <w:tcPr>
            <w:tcW w:w="3545" w:type="dxa"/>
            <w:noWrap/>
            <w:vAlign w:val="center"/>
          </w:tcPr>
          <w:p w14:paraId="23CEA2B2">
            <w:pPr>
              <w:pStyle w:val="1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与本项目相关的配套服务及相关费用等</w:t>
            </w:r>
          </w:p>
        </w:tc>
        <w:tc>
          <w:tcPr>
            <w:tcW w:w="1220" w:type="dxa"/>
            <w:noWrap/>
            <w:vAlign w:val="center"/>
          </w:tcPr>
          <w:p w14:paraId="6FE54CB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359" w:type="dxa"/>
            <w:noWrap/>
            <w:vAlign w:val="center"/>
          </w:tcPr>
          <w:p w14:paraId="1920864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4" w:type="dxa"/>
            <w:noWrap/>
            <w:vAlign w:val="center"/>
          </w:tcPr>
          <w:p w14:paraId="27FA554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22" w:type="dxa"/>
            <w:noWrap/>
            <w:vAlign w:val="center"/>
          </w:tcPr>
          <w:p w14:paraId="63DE429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6BF6256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4C41AC1B">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193" w:type="dxa"/>
            <w:noWrap/>
            <w:vAlign w:val="center"/>
          </w:tcPr>
          <w:p w14:paraId="2257EAA7">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c>
          <w:tcPr>
            <w:tcW w:w="1014" w:type="dxa"/>
            <w:noWrap/>
            <w:vAlign w:val="center"/>
          </w:tcPr>
          <w:p w14:paraId="21914E21">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eastAsia" w:ascii="微软雅黑" w:hAnsi="微软雅黑" w:eastAsia="微软雅黑" w:cs="微软雅黑"/>
                <w:color w:val="auto"/>
                <w:sz w:val="24"/>
                <w:szCs w:val="24"/>
              </w:rPr>
            </w:pPr>
          </w:p>
        </w:tc>
      </w:tr>
      <w:tr w14:paraId="793E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755" w:type="dxa"/>
            <w:gridSpan w:val="10"/>
            <w:noWrap/>
            <w:vAlign w:val="center"/>
          </w:tcPr>
          <w:p w14:paraId="0D67EBDD">
            <w:pPr>
              <w:pStyle w:val="15"/>
              <w:keepNext w:val="0"/>
              <w:keepLines w:val="0"/>
              <w:pageBreakBefore w:val="0"/>
              <w:widowControl w:val="0"/>
              <w:kinsoku/>
              <w:wordWrap/>
              <w:overflowPunct/>
              <w:topLinePunct w:val="0"/>
              <w:autoSpaceDE/>
              <w:autoSpaceDN/>
              <w:bidi w:val="0"/>
              <w:adjustRightInd/>
              <w:snapToGrid/>
              <w:spacing w:line="300" w:lineRule="exact"/>
              <w:ind w:left="1080" w:leftChars="257" w:hanging="540"/>
              <w:jc w:val="center"/>
              <w:textAlignment w:val="auto"/>
              <w:rPr>
                <w:rFonts w:hint="default"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总价金额：                        大写金额：</w:t>
            </w:r>
          </w:p>
        </w:tc>
      </w:tr>
    </w:tbl>
    <w:p w14:paraId="48181CC0">
      <w:pPr>
        <w:pStyle w:val="15"/>
        <w:rPr>
          <w:rFonts w:ascii="微软雅黑" w:hAnsi="微软雅黑" w:eastAsia="微软雅黑" w:cs="微软雅黑"/>
          <w:color w:val="auto"/>
          <w:sz w:val="24"/>
          <w:szCs w:val="24"/>
          <w:highlight w:val="none"/>
        </w:rPr>
      </w:pPr>
    </w:p>
    <w:p w14:paraId="73ED4F69">
      <w:pPr>
        <w:pStyle w:val="15"/>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供应商(公章):</w:t>
      </w:r>
    </w:p>
    <w:p w14:paraId="5FE0D66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注:</w:t>
      </w:r>
    </w:p>
    <w:p w14:paraId="1A45BF3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1.如果供应商认为需要，每种货物内容填写一份该表，行数可自行增加。</w:t>
      </w:r>
    </w:p>
    <w:p w14:paraId="42631A0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2.此分项报价表中所报货物为本项目每包采购的所有内容（货物本身价格、保险费用、包装费、运输费用、搬运费、损耗、税金费用、检疫费、管理费、自检费及验收合格前和质保期内发生的一切费用、应当提供的伴随服务/售后服务费用。），如出现少报、漏报等行为，将被视为无效投标。</w:t>
      </w:r>
    </w:p>
    <w:p w14:paraId="1362B2D9">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bCs/>
          <w:color w:val="auto"/>
          <w:kern w:val="2"/>
          <w:sz w:val="24"/>
          <w:szCs w:val="24"/>
          <w:highlight w:val="none"/>
          <w:lang w:val="en-US" w:eastAsia="zh-CN" w:bidi="ar-SA"/>
        </w:rPr>
      </w:pPr>
      <w:r>
        <w:rPr>
          <w:rFonts w:hint="default" w:ascii="微软雅黑" w:hAnsi="微软雅黑" w:eastAsia="微软雅黑" w:cs="微软雅黑"/>
          <w:b/>
          <w:bCs/>
          <w:color w:val="auto"/>
          <w:kern w:val="2"/>
          <w:sz w:val="24"/>
          <w:szCs w:val="24"/>
          <w:highlight w:val="none"/>
          <w:lang w:val="en-US" w:eastAsia="zh-CN" w:bidi="ar-SA"/>
        </w:rPr>
        <w:t>3.投标供应商填写投标分项报价表中的报价不得超出每项商品的预算金额。</w:t>
      </w:r>
    </w:p>
    <w:p w14:paraId="727A8AD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val="0"/>
          <w:bCs w:val="0"/>
          <w:color w:val="auto"/>
          <w:kern w:val="2"/>
          <w:sz w:val="24"/>
          <w:szCs w:val="24"/>
          <w:highlight w:val="none"/>
          <w:lang w:val="en-US" w:eastAsia="zh-CN" w:bidi="ar-SA"/>
        </w:rPr>
      </w:pPr>
      <w:r>
        <w:rPr>
          <w:rFonts w:hint="default" w:ascii="微软雅黑" w:hAnsi="微软雅黑" w:eastAsia="微软雅黑" w:cs="微软雅黑"/>
          <w:b w:val="0"/>
          <w:bCs w:val="0"/>
          <w:color w:val="auto"/>
          <w:kern w:val="2"/>
          <w:sz w:val="24"/>
          <w:szCs w:val="24"/>
          <w:highlight w:val="none"/>
          <w:lang w:val="en-US" w:eastAsia="zh-CN" w:bidi="ar-SA"/>
        </w:rPr>
        <w:t>4.投标企业的投标单价，核准后只保留小数点后2位（小数点后两位以外的数据均不计算，同时不进行四舍五入）。</w:t>
      </w:r>
    </w:p>
    <w:p w14:paraId="15123CFF">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atLeast"/>
        <w:textAlignment w:val="auto"/>
        <w:rPr>
          <w:rFonts w:hint="default" w:ascii="微软雅黑" w:hAnsi="微软雅黑" w:eastAsia="微软雅黑" w:cs="微软雅黑"/>
          <w:b/>
          <w:bCs/>
          <w:color w:val="auto"/>
          <w:kern w:val="2"/>
          <w:sz w:val="24"/>
          <w:szCs w:val="24"/>
          <w:highlight w:val="none"/>
          <w:lang w:val="en-US" w:eastAsia="zh-CN" w:bidi="ar-SA"/>
        </w:rPr>
        <w:sectPr>
          <w:pgSz w:w="16838" w:h="11905" w:orient="landscape"/>
          <w:pgMar w:top="1440" w:right="1080" w:bottom="1440" w:left="1080" w:header="851" w:footer="992" w:gutter="0"/>
          <w:pgNumType w:fmt="decimal"/>
          <w:cols w:space="0" w:num="1"/>
          <w:rtlGutter w:val="0"/>
          <w:docGrid w:linePitch="312" w:charSpace="0"/>
        </w:sectPr>
      </w:pPr>
    </w:p>
    <w:p w14:paraId="6E22D83C">
      <w:pPr>
        <w:pStyle w:val="11"/>
        <w:spacing w:before="102" w:line="188" w:lineRule="auto"/>
        <w:jc w:val="center"/>
        <w:rPr>
          <w:rFonts w:hint="eastAsia" w:ascii="微软雅黑" w:hAnsi="微软雅黑" w:eastAsia="微软雅黑" w:cs="微软雅黑"/>
          <w:b/>
          <w:bCs/>
          <w:color w:val="auto"/>
          <w:kern w:val="2"/>
          <w:sz w:val="24"/>
          <w:szCs w:val="24"/>
          <w:highlight w:val="none"/>
          <w:lang w:val="en-US" w:eastAsia="zh-CN" w:bidi="ar-SA"/>
        </w:rPr>
      </w:pPr>
    </w:p>
    <w:p w14:paraId="4804E002">
      <w:pPr>
        <w:pStyle w:val="11"/>
        <w:spacing w:before="102" w:line="188" w:lineRule="auto"/>
        <w:jc w:val="center"/>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kern w:val="2"/>
          <w:sz w:val="24"/>
          <w:szCs w:val="24"/>
          <w:highlight w:val="none"/>
          <w:lang w:val="en-US" w:eastAsia="zh-CN" w:bidi="ar-SA"/>
        </w:rPr>
        <w:t>产品品牌备案表（如有）</w:t>
      </w:r>
    </w:p>
    <w:p w14:paraId="1A56C8A8">
      <w:pPr>
        <w:spacing w:before="78" w:line="224"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项目名称:</w:t>
      </w:r>
      <w:r>
        <w:rPr>
          <w:rFonts w:hint="eastAsia" w:ascii="微软雅黑" w:hAnsi="微软雅黑" w:eastAsia="微软雅黑" w:cs="微软雅黑"/>
          <w:color w:val="auto"/>
          <w:spacing w:val="1"/>
          <w:sz w:val="24"/>
          <w:szCs w:val="24"/>
        </w:rPr>
        <w:t xml:space="preserve">                    </w:t>
      </w:r>
      <w:r>
        <w:rPr>
          <w:rFonts w:hint="eastAsia" w:ascii="微软雅黑" w:hAnsi="微软雅黑" w:eastAsia="微软雅黑" w:cs="微软雅黑"/>
          <w:color w:val="auto"/>
          <w:spacing w:val="-5"/>
          <w:sz w:val="24"/>
          <w:szCs w:val="24"/>
        </w:rPr>
        <w:t>招标编号:</w:t>
      </w:r>
      <w:r>
        <w:rPr>
          <w:rFonts w:hint="eastAsia" w:ascii="微软雅黑" w:hAnsi="微软雅黑" w:eastAsia="微软雅黑" w:cs="微软雅黑"/>
          <w:color w:val="auto"/>
          <w:spacing w:val="2"/>
          <w:sz w:val="24"/>
          <w:szCs w:val="24"/>
        </w:rPr>
        <w:t xml:space="preserve">                </w:t>
      </w:r>
      <w:r>
        <w:rPr>
          <w:rFonts w:hint="eastAsia" w:ascii="微软雅黑" w:hAnsi="微软雅黑" w:eastAsia="微软雅黑" w:cs="微软雅黑"/>
          <w:color w:val="auto"/>
          <w:spacing w:val="-5"/>
          <w:sz w:val="24"/>
          <w:szCs w:val="24"/>
        </w:rPr>
        <w:t>包号:</w:t>
      </w:r>
    </w:p>
    <w:tbl>
      <w:tblPr>
        <w:tblStyle w:val="96"/>
        <w:tblW w:w="96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614"/>
        <w:gridCol w:w="1467"/>
        <w:gridCol w:w="1321"/>
        <w:gridCol w:w="1614"/>
        <w:gridCol w:w="1350"/>
        <w:gridCol w:w="1065"/>
      </w:tblGrid>
      <w:tr w14:paraId="2EE1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179" w:type="dxa"/>
            <w:vAlign w:val="center"/>
          </w:tcPr>
          <w:p w14:paraId="1880DCDC">
            <w:pPr>
              <w:spacing w:before="37" w:line="224" w:lineRule="auto"/>
              <w:ind w:left="12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编号</w:t>
            </w:r>
          </w:p>
        </w:tc>
        <w:tc>
          <w:tcPr>
            <w:tcW w:w="1614" w:type="dxa"/>
            <w:vAlign w:val="center"/>
          </w:tcPr>
          <w:p w14:paraId="31B001A1">
            <w:pPr>
              <w:spacing w:before="37" w:line="223" w:lineRule="auto"/>
              <w:ind w:left="119"/>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4"/>
                <w:sz w:val="24"/>
                <w:szCs w:val="24"/>
              </w:rPr>
              <w:t>货物名称</w:t>
            </w:r>
          </w:p>
        </w:tc>
        <w:tc>
          <w:tcPr>
            <w:tcW w:w="1467" w:type="dxa"/>
            <w:vAlign w:val="center"/>
          </w:tcPr>
          <w:p w14:paraId="119FFCDC">
            <w:pPr>
              <w:spacing w:before="37" w:line="224" w:lineRule="auto"/>
              <w:ind w:left="143"/>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11"/>
                <w:sz w:val="24"/>
                <w:szCs w:val="24"/>
              </w:rPr>
              <w:t>品牌</w:t>
            </w:r>
          </w:p>
        </w:tc>
        <w:tc>
          <w:tcPr>
            <w:tcW w:w="1321" w:type="dxa"/>
            <w:vAlign w:val="center"/>
          </w:tcPr>
          <w:p w14:paraId="32958DB1">
            <w:pPr>
              <w:spacing w:before="37" w:line="224" w:lineRule="auto"/>
              <w:ind w:left="118"/>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
                <w:sz w:val="24"/>
                <w:szCs w:val="24"/>
              </w:rPr>
              <w:t>规格型号</w:t>
            </w:r>
          </w:p>
        </w:tc>
        <w:tc>
          <w:tcPr>
            <w:tcW w:w="1614" w:type="dxa"/>
            <w:vAlign w:val="center"/>
          </w:tcPr>
          <w:p w14:paraId="2DBEF187">
            <w:pPr>
              <w:spacing w:before="37" w:line="222" w:lineRule="auto"/>
              <w:ind w:left="119" w:right="100"/>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6"/>
                <w:sz w:val="24"/>
                <w:szCs w:val="24"/>
              </w:rPr>
              <w:t>供货厂商名</w:t>
            </w:r>
            <w:r>
              <w:rPr>
                <w:rFonts w:hint="eastAsia" w:ascii="微软雅黑" w:hAnsi="微软雅黑" w:eastAsia="微软雅黑" w:cs="微软雅黑"/>
                <w:color w:val="auto"/>
                <w:spacing w:val="2"/>
                <w:sz w:val="24"/>
                <w:szCs w:val="24"/>
              </w:rPr>
              <w:t xml:space="preserve"> </w:t>
            </w:r>
            <w:r>
              <w:rPr>
                <w:rFonts w:hint="eastAsia" w:ascii="微软雅黑" w:hAnsi="微软雅黑" w:eastAsia="微软雅黑" w:cs="微软雅黑"/>
                <w:color w:val="auto"/>
                <w:sz w:val="24"/>
                <w:szCs w:val="24"/>
              </w:rPr>
              <w:t>称</w:t>
            </w:r>
          </w:p>
        </w:tc>
        <w:tc>
          <w:tcPr>
            <w:tcW w:w="1350" w:type="dxa"/>
            <w:vAlign w:val="center"/>
          </w:tcPr>
          <w:p w14:paraId="3A1C95B1">
            <w:pPr>
              <w:spacing w:before="37" w:line="224" w:lineRule="auto"/>
              <w:ind w:left="123"/>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产地</w:t>
            </w:r>
          </w:p>
        </w:tc>
        <w:tc>
          <w:tcPr>
            <w:tcW w:w="1065" w:type="dxa"/>
            <w:vAlign w:val="center"/>
          </w:tcPr>
          <w:p w14:paraId="4D9816AC">
            <w:pPr>
              <w:spacing w:before="37" w:line="225" w:lineRule="auto"/>
              <w:ind w:left="125"/>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5"/>
                <w:sz w:val="24"/>
                <w:szCs w:val="24"/>
              </w:rPr>
              <w:t>备注</w:t>
            </w:r>
          </w:p>
        </w:tc>
      </w:tr>
      <w:tr w14:paraId="0583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2B184410">
            <w:pPr>
              <w:pStyle w:val="95"/>
              <w:rPr>
                <w:rFonts w:hint="eastAsia" w:ascii="微软雅黑" w:hAnsi="微软雅黑" w:eastAsia="微软雅黑" w:cs="微软雅黑"/>
                <w:color w:val="auto"/>
                <w:sz w:val="24"/>
                <w:szCs w:val="24"/>
              </w:rPr>
            </w:pPr>
          </w:p>
        </w:tc>
        <w:tc>
          <w:tcPr>
            <w:tcW w:w="1614" w:type="dxa"/>
            <w:vAlign w:val="top"/>
          </w:tcPr>
          <w:p w14:paraId="20F282B8">
            <w:pPr>
              <w:pStyle w:val="95"/>
              <w:rPr>
                <w:rFonts w:hint="eastAsia" w:ascii="微软雅黑" w:hAnsi="微软雅黑" w:eastAsia="微软雅黑" w:cs="微软雅黑"/>
                <w:color w:val="auto"/>
                <w:sz w:val="24"/>
                <w:szCs w:val="24"/>
              </w:rPr>
            </w:pPr>
          </w:p>
        </w:tc>
        <w:tc>
          <w:tcPr>
            <w:tcW w:w="1467" w:type="dxa"/>
            <w:vAlign w:val="top"/>
          </w:tcPr>
          <w:p w14:paraId="78AAC8AE">
            <w:pPr>
              <w:pStyle w:val="95"/>
              <w:rPr>
                <w:rFonts w:hint="eastAsia" w:ascii="微软雅黑" w:hAnsi="微软雅黑" w:eastAsia="微软雅黑" w:cs="微软雅黑"/>
                <w:color w:val="auto"/>
                <w:sz w:val="24"/>
                <w:szCs w:val="24"/>
              </w:rPr>
            </w:pPr>
          </w:p>
        </w:tc>
        <w:tc>
          <w:tcPr>
            <w:tcW w:w="1321" w:type="dxa"/>
            <w:vAlign w:val="top"/>
          </w:tcPr>
          <w:p w14:paraId="5FAF6866">
            <w:pPr>
              <w:pStyle w:val="95"/>
              <w:rPr>
                <w:rFonts w:hint="eastAsia" w:ascii="微软雅黑" w:hAnsi="微软雅黑" w:eastAsia="微软雅黑" w:cs="微软雅黑"/>
                <w:color w:val="auto"/>
                <w:sz w:val="24"/>
                <w:szCs w:val="24"/>
              </w:rPr>
            </w:pPr>
          </w:p>
        </w:tc>
        <w:tc>
          <w:tcPr>
            <w:tcW w:w="1614" w:type="dxa"/>
            <w:vAlign w:val="top"/>
          </w:tcPr>
          <w:p w14:paraId="1CFCD2A1">
            <w:pPr>
              <w:pStyle w:val="95"/>
              <w:rPr>
                <w:rFonts w:hint="eastAsia" w:ascii="微软雅黑" w:hAnsi="微软雅黑" w:eastAsia="微软雅黑" w:cs="微软雅黑"/>
                <w:color w:val="auto"/>
                <w:sz w:val="24"/>
                <w:szCs w:val="24"/>
              </w:rPr>
            </w:pPr>
          </w:p>
        </w:tc>
        <w:tc>
          <w:tcPr>
            <w:tcW w:w="1350" w:type="dxa"/>
            <w:vAlign w:val="top"/>
          </w:tcPr>
          <w:p w14:paraId="52346FF9">
            <w:pPr>
              <w:pStyle w:val="95"/>
              <w:rPr>
                <w:rFonts w:hint="eastAsia" w:ascii="微软雅黑" w:hAnsi="微软雅黑" w:eastAsia="微软雅黑" w:cs="微软雅黑"/>
                <w:color w:val="auto"/>
                <w:sz w:val="24"/>
                <w:szCs w:val="24"/>
              </w:rPr>
            </w:pPr>
          </w:p>
        </w:tc>
        <w:tc>
          <w:tcPr>
            <w:tcW w:w="1065" w:type="dxa"/>
            <w:vAlign w:val="top"/>
          </w:tcPr>
          <w:p w14:paraId="08CA3BD7">
            <w:pPr>
              <w:pStyle w:val="95"/>
              <w:rPr>
                <w:rFonts w:hint="eastAsia" w:ascii="微软雅黑" w:hAnsi="微软雅黑" w:eastAsia="微软雅黑" w:cs="微软雅黑"/>
                <w:color w:val="auto"/>
                <w:sz w:val="24"/>
                <w:szCs w:val="24"/>
              </w:rPr>
            </w:pPr>
          </w:p>
        </w:tc>
      </w:tr>
      <w:tr w14:paraId="3803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646CE983">
            <w:pPr>
              <w:pStyle w:val="95"/>
              <w:rPr>
                <w:rFonts w:hint="eastAsia" w:ascii="微软雅黑" w:hAnsi="微软雅黑" w:eastAsia="微软雅黑" w:cs="微软雅黑"/>
                <w:color w:val="auto"/>
                <w:sz w:val="24"/>
                <w:szCs w:val="24"/>
              </w:rPr>
            </w:pPr>
          </w:p>
        </w:tc>
        <w:tc>
          <w:tcPr>
            <w:tcW w:w="1614" w:type="dxa"/>
            <w:vAlign w:val="top"/>
          </w:tcPr>
          <w:p w14:paraId="03C55A55">
            <w:pPr>
              <w:pStyle w:val="95"/>
              <w:rPr>
                <w:rFonts w:hint="eastAsia" w:ascii="微软雅黑" w:hAnsi="微软雅黑" w:eastAsia="微软雅黑" w:cs="微软雅黑"/>
                <w:color w:val="auto"/>
                <w:sz w:val="24"/>
                <w:szCs w:val="24"/>
              </w:rPr>
            </w:pPr>
          </w:p>
        </w:tc>
        <w:tc>
          <w:tcPr>
            <w:tcW w:w="1467" w:type="dxa"/>
            <w:vAlign w:val="top"/>
          </w:tcPr>
          <w:p w14:paraId="6AAB5C97">
            <w:pPr>
              <w:pStyle w:val="95"/>
              <w:rPr>
                <w:rFonts w:hint="eastAsia" w:ascii="微软雅黑" w:hAnsi="微软雅黑" w:eastAsia="微软雅黑" w:cs="微软雅黑"/>
                <w:color w:val="auto"/>
                <w:sz w:val="24"/>
                <w:szCs w:val="24"/>
              </w:rPr>
            </w:pPr>
          </w:p>
        </w:tc>
        <w:tc>
          <w:tcPr>
            <w:tcW w:w="1321" w:type="dxa"/>
            <w:vAlign w:val="top"/>
          </w:tcPr>
          <w:p w14:paraId="3664C6B1">
            <w:pPr>
              <w:pStyle w:val="95"/>
              <w:rPr>
                <w:rFonts w:hint="eastAsia" w:ascii="微软雅黑" w:hAnsi="微软雅黑" w:eastAsia="微软雅黑" w:cs="微软雅黑"/>
                <w:color w:val="auto"/>
                <w:sz w:val="24"/>
                <w:szCs w:val="24"/>
              </w:rPr>
            </w:pPr>
          </w:p>
        </w:tc>
        <w:tc>
          <w:tcPr>
            <w:tcW w:w="1614" w:type="dxa"/>
            <w:vAlign w:val="top"/>
          </w:tcPr>
          <w:p w14:paraId="4E44AFE3">
            <w:pPr>
              <w:pStyle w:val="95"/>
              <w:rPr>
                <w:rFonts w:hint="eastAsia" w:ascii="微软雅黑" w:hAnsi="微软雅黑" w:eastAsia="微软雅黑" w:cs="微软雅黑"/>
                <w:color w:val="auto"/>
                <w:sz w:val="24"/>
                <w:szCs w:val="24"/>
              </w:rPr>
            </w:pPr>
          </w:p>
        </w:tc>
        <w:tc>
          <w:tcPr>
            <w:tcW w:w="1350" w:type="dxa"/>
            <w:vAlign w:val="top"/>
          </w:tcPr>
          <w:p w14:paraId="56F3B090">
            <w:pPr>
              <w:pStyle w:val="95"/>
              <w:rPr>
                <w:rFonts w:hint="eastAsia" w:ascii="微软雅黑" w:hAnsi="微软雅黑" w:eastAsia="微软雅黑" w:cs="微软雅黑"/>
                <w:color w:val="auto"/>
                <w:sz w:val="24"/>
                <w:szCs w:val="24"/>
              </w:rPr>
            </w:pPr>
          </w:p>
        </w:tc>
        <w:tc>
          <w:tcPr>
            <w:tcW w:w="1065" w:type="dxa"/>
            <w:vAlign w:val="top"/>
          </w:tcPr>
          <w:p w14:paraId="71316BD6">
            <w:pPr>
              <w:pStyle w:val="95"/>
              <w:rPr>
                <w:rFonts w:hint="eastAsia" w:ascii="微软雅黑" w:hAnsi="微软雅黑" w:eastAsia="微软雅黑" w:cs="微软雅黑"/>
                <w:color w:val="auto"/>
                <w:sz w:val="24"/>
                <w:szCs w:val="24"/>
              </w:rPr>
            </w:pPr>
          </w:p>
        </w:tc>
      </w:tr>
      <w:tr w14:paraId="630E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23003252">
            <w:pPr>
              <w:pStyle w:val="95"/>
              <w:rPr>
                <w:rFonts w:hint="eastAsia" w:ascii="微软雅黑" w:hAnsi="微软雅黑" w:eastAsia="微软雅黑" w:cs="微软雅黑"/>
                <w:color w:val="auto"/>
                <w:sz w:val="24"/>
                <w:szCs w:val="24"/>
              </w:rPr>
            </w:pPr>
          </w:p>
        </w:tc>
        <w:tc>
          <w:tcPr>
            <w:tcW w:w="1614" w:type="dxa"/>
            <w:vAlign w:val="top"/>
          </w:tcPr>
          <w:p w14:paraId="225935B2">
            <w:pPr>
              <w:pStyle w:val="95"/>
              <w:rPr>
                <w:rFonts w:hint="eastAsia" w:ascii="微软雅黑" w:hAnsi="微软雅黑" w:eastAsia="微软雅黑" w:cs="微软雅黑"/>
                <w:color w:val="auto"/>
                <w:sz w:val="24"/>
                <w:szCs w:val="24"/>
              </w:rPr>
            </w:pPr>
          </w:p>
        </w:tc>
        <w:tc>
          <w:tcPr>
            <w:tcW w:w="1467" w:type="dxa"/>
            <w:vAlign w:val="top"/>
          </w:tcPr>
          <w:p w14:paraId="4E8F84B8">
            <w:pPr>
              <w:pStyle w:val="95"/>
              <w:rPr>
                <w:rFonts w:hint="eastAsia" w:ascii="微软雅黑" w:hAnsi="微软雅黑" w:eastAsia="微软雅黑" w:cs="微软雅黑"/>
                <w:color w:val="auto"/>
                <w:sz w:val="24"/>
                <w:szCs w:val="24"/>
              </w:rPr>
            </w:pPr>
          </w:p>
        </w:tc>
        <w:tc>
          <w:tcPr>
            <w:tcW w:w="1321" w:type="dxa"/>
            <w:vAlign w:val="top"/>
          </w:tcPr>
          <w:p w14:paraId="2F9B88DD">
            <w:pPr>
              <w:pStyle w:val="95"/>
              <w:rPr>
                <w:rFonts w:hint="eastAsia" w:ascii="微软雅黑" w:hAnsi="微软雅黑" w:eastAsia="微软雅黑" w:cs="微软雅黑"/>
                <w:color w:val="auto"/>
                <w:sz w:val="24"/>
                <w:szCs w:val="24"/>
              </w:rPr>
            </w:pPr>
          </w:p>
        </w:tc>
        <w:tc>
          <w:tcPr>
            <w:tcW w:w="1614" w:type="dxa"/>
            <w:vAlign w:val="top"/>
          </w:tcPr>
          <w:p w14:paraId="7040254D">
            <w:pPr>
              <w:pStyle w:val="95"/>
              <w:rPr>
                <w:rFonts w:hint="eastAsia" w:ascii="微软雅黑" w:hAnsi="微软雅黑" w:eastAsia="微软雅黑" w:cs="微软雅黑"/>
                <w:color w:val="auto"/>
                <w:sz w:val="24"/>
                <w:szCs w:val="24"/>
              </w:rPr>
            </w:pPr>
          </w:p>
        </w:tc>
        <w:tc>
          <w:tcPr>
            <w:tcW w:w="1350" w:type="dxa"/>
            <w:vAlign w:val="top"/>
          </w:tcPr>
          <w:p w14:paraId="0E6639E9">
            <w:pPr>
              <w:pStyle w:val="95"/>
              <w:rPr>
                <w:rFonts w:hint="eastAsia" w:ascii="微软雅黑" w:hAnsi="微软雅黑" w:eastAsia="微软雅黑" w:cs="微软雅黑"/>
                <w:color w:val="auto"/>
                <w:sz w:val="24"/>
                <w:szCs w:val="24"/>
              </w:rPr>
            </w:pPr>
          </w:p>
        </w:tc>
        <w:tc>
          <w:tcPr>
            <w:tcW w:w="1065" w:type="dxa"/>
            <w:vAlign w:val="top"/>
          </w:tcPr>
          <w:p w14:paraId="31E533A8">
            <w:pPr>
              <w:pStyle w:val="95"/>
              <w:rPr>
                <w:rFonts w:hint="eastAsia" w:ascii="微软雅黑" w:hAnsi="微软雅黑" w:eastAsia="微软雅黑" w:cs="微软雅黑"/>
                <w:color w:val="auto"/>
                <w:sz w:val="24"/>
                <w:szCs w:val="24"/>
              </w:rPr>
            </w:pPr>
          </w:p>
        </w:tc>
      </w:tr>
      <w:tr w14:paraId="6449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7C4C7DF5">
            <w:pPr>
              <w:pStyle w:val="95"/>
              <w:rPr>
                <w:rFonts w:hint="eastAsia" w:ascii="微软雅黑" w:hAnsi="微软雅黑" w:eastAsia="微软雅黑" w:cs="微软雅黑"/>
                <w:color w:val="auto"/>
                <w:sz w:val="24"/>
                <w:szCs w:val="24"/>
              </w:rPr>
            </w:pPr>
          </w:p>
        </w:tc>
        <w:tc>
          <w:tcPr>
            <w:tcW w:w="1614" w:type="dxa"/>
            <w:vAlign w:val="top"/>
          </w:tcPr>
          <w:p w14:paraId="5D132C93">
            <w:pPr>
              <w:pStyle w:val="95"/>
              <w:rPr>
                <w:rFonts w:hint="eastAsia" w:ascii="微软雅黑" w:hAnsi="微软雅黑" w:eastAsia="微软雅黑" w:cs="微软雅黑"/>
                <w:color w:val="auto"/>
                <w:sz w:val="24"/>
                <w:szCs w:val="24"/>
              </w:rPr>
            </w:pPr>
          </w:p>
        </w:tc>
        <w:tc>
          <w:tcPr>
            <w:tcW w:w="1467" w:type="dxa"/>
            <w:vAlign w:val="top"/>
          </w:tcPr>
          <w:p w14:paraId="403B0ED4">
            <w:pPr>
              <w:pStyle w:val="95"/>
              <w:rPr>
                <w:rFonts w:hint="eastAsia" w:ascii="微软雅黑" w:hAnsi="微软雅黑" w:eastAsia="微软雅黑" w:cs="微软雅黑"/>
                <w:color w:val="auto"/>
                <w:sz w:val="24"/>
                <w:szCs w:val="24"/>
              </w:rPr>
            </w:pPr>
          </w:p>
        </w:tc>
        <w:tc>
          <w:tcPr>
            <w:tcW w:w="1321" w:type="dxa"/>
            <w:vAlign w:val="top"/>
          </w:tcPr>
          <w:p w14:paraId="1B716897">
            <w:pPr>
              <w:pStyle w:val="95"/>
              <w:rPr>
                <w:rFonts w:hint="eastAsia" w:ascii="微软雅黑" w:hAnsi="微软雅黑" w:eastAsia="微软雅黑" w:cs="微软雅黑"/>
                <w:color w:val="auto"/>
                <w:sz w:val="24"/>
                <w:szCs w:val="24"/>
              </w:rPr>
            </w:pPr>
          </w:p>
        </w:tc>
        <w:tc>
          <w:tcPr>
            <w:tcW w:w="1614" w:type="dxa"/>
            <w:vAlign w:val="top"/>
          </w:tcPr>
          <w:p w14:paraId="5407B82A">
            <w:pPr>
              <w:pStyle w:val="95"/>
              <w:rPr>
                <w:rFonts w:hint="eastAsia" w:ascii="微软雅黑" w:hAnsi="微软雅黑" w:eastAsia="微软雅黑" w:cs="微软雅黑"/>
                <w:color w:val="auto"/>
                <w:sz w:val="24"/>
                <w:szCs w:val="24"/>
              </w:rPr>
            </w:pPr>
          </w:p>
        </w:tc>
        <w:tc>
          <w:tcPr>
            <w:tcW w:w="1350" w:type="dxa"/>
            <w:vAlign w:val="top"/>
          </w:tcPr>
          <w:p w14:paraId="7723AF9E">
            <w:pPr>
              <w:pStyle w:val="95"/>
              <w:rPr>
                <w:rFonts w:hint="eastAsia" w:ascii="微软雅黑" w:hAnsi="微软雅黑" w:eastAsia="微软雅黑" w:cs="微软雅黑"/>
                <w:color w:val="auto"/>
                <w:sz w:val="24"/>
                <w:szCs w:val="24"/>
              </w:rPr>
            </w:pPr>
          </w:p>
        </w:tc>
        <w:tc>
          <w:tcPr>
            <w:tcW w:w="1065" w:type="dxa"/>
            <w:vAlign w:val="top"/>
          </w:tcPr>
          <w:p w14:paraId="77E77295">
            <w:pPr>
              <w:pStyle w:val="95"/>
              <w:rPr>
                <w:rFonts w:hint="eastAsia" w:ascii="微软雅黑" w:hAnsi="微软雅黑" w:eastAsia="微软雅黑" w:cs="微软雅黑"/>
                <w:color w:val="auto"/>
                <w:sz w:val="24"/>
                <w:szCs w:val="24"/>
              </w:rPr>
            </w:pPr>
          </w:p>
        </w:tc>
      </w:tr>
      <w:tr w14:paraId="6FC2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5B10B153">
            <w:pPr>
              <w:pStyle w:val="95"/>
              <w:rPr>
                <w:rFonts w:hint="eastAsia" w:ascii="微软雅黑" w:hAnsi="微软雅黑" w:eastAsia="微软雅黑" w:cs="微软雅黑"/>
                <w:color w:val="auto"/>
                <w:sz w:val="24"/>
                <w:szCs w:val="24"/>
              </w:rPr>
            </w:pPr>
          </w:p>
        </w:tc>
        <w:tc>
          <w:tcPr>
            <w:tcW w:w="1614" w:type="dxa"/>
            <w:vAlign w:val="top"/>
          </w:tcPr>
          <w:p w14:paraId="61997D69">
            <w:pPr>
              <w:pStyle w:val="95"/>
              <w:rPr>
                <w:rFonts w:hint="eastAsia" w:ascii="微软雅黑" w:hAnsi="微软雅黑" w:eastAsia="微软雅黑" w:cs="微软雅黑"/>
                <w:color w:val="auto"/>
                <w:sz w:val="24"/>
                <w:szCs w:val="24"/>
              </w:rPr>
            </w:pPr>
          </w:p>
        </w:tc>
        <w:tc>
          <w:tcPr>
            <w:tcW w:w="1467" w:type="dxa"/>
            <w:vAlign w:val="top"/>
          </w:tcPr>
          <w:p w14:paraId="556FA44F">
            <w:pPr>
              <w:pStyle w:val="95"/>
              <w:rPr>
                <w:rFonts w:hint="eastAsia" w:ascii="微软雅黑" w:hAnsi="微软雅黑" w:eastAsia="微软雅黑" w:cs="微软雅黑"/>
                <w:color w:val="auto"/>
                <w:sz w:val="24"/>
                <w:szCs w:val="24"/>
              </w:rPr>
            </w:pPr>
          </w:p>
        </w:tc>
        <w:tc>
          <w:tcPr>
            <w:tcW w:w="1321" w:type="dxa"/>
            <w:vAlign w:val="top"/>
          </w:tcPr>
          <w:p w14:paraId="571CF8E2">
            <w:pPr>
              <w:pStyle w:val="95"/>
              <w:rPr>
                <w:rFonts w:hint="eastAsia" w:ascii="微软雅黑" w:hAnsi="微软雅黑" w:eastAsia="微软雅黑" w:cs="微软雅黑"/>
                <w:color w:val="auto"/>
                <w:sz w:val="24"/>
                <w:szCs w:val="24"/>
              </w:rPr>
            </w:pPr>
          </w:p>
        </w:tc>
        <w:tc>
          <w:tcPr>
            <w:tcW w:w="1614" w:type="dxa"/>
            <w:vAlign w:val="top"/>
          </w:tcPr>
          <w:p w14:paraId="078F5230">
            <w:pPr>
              <w:pStyle w:val="95"/>
              <w:rPr>
                <w:rFonts w:hint="eastAsia" w:ascii="微软雅黑" w:hAnsi="微软雅黑" w:eastAsia="微软雅黑" w:cs="微软雅黑"/>
                <w:color w:val="auto"/>
                <w:sz w:val="24"/>
                <w:szCs w:val="24"/>
              </w:rPr>
            </w:pPr>
          </w:p>
        </w:tc>
        <w:tc>
          <w:tcPr>
            <w:tcW w:w="1350" w:type="dxa"/>
            <w:vAlign w:val="top"/>
          </w:tcPr>
          <w:p w14:paraId="401D009C">
            <w:pPr>
              <w:pStyle w:val="95"/>
              <w:rPr>
                <w:rFonts w:hint="eastAsia" w:ascii="微软雅黑" w:hAnsi="微软雅黑" w:eastAsia="微软雅黑" w:cs="微软雅黑"/>
                <w:color w:val="auto"/>
                <w:sz w:val="24"/>
                <w:szCs w:val="24"/>
              </w:rPr>
            </w:pPr>
          </w:p>
        </w:tc>
        <w:tc>
          <w:tcPr>
            <w:tcW w:w="1065" w:type="dxa"/>
            <w:vAlign w:val="top"/>
          </w:tcPr>
          <w:p w14:paraId="146E7091">
            <w:pPr>
              <w:pStyle w:val="95"/>
              <w:rPr>
                <w:rFonts w:hint="eastAsia" w:ascii="微软雅黑" w:hAnsi="微软雅黑" w:eastAsia="微软雅黑" w:cs="微软雅黑"/>
                <w:color w:val="auto"/>
                <w:sz w:val="24"/>
                <w:szCs w:val="24"/>
              </w:rPr>
            </w:pPr>
          </w:p>
        </w:tc>
      </w:tr>
      <w:tr w14:paraId="678A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5729137C">
            <w:pPr>
              <w:pStyle w:val="95"/>
              <w:rPr>
                <w:rFonts w:hint="eastAsia" w:ascii="微软雅黑" w:hAnsi="微软雅黑" w:eastAsia="微软雅黑" w:cs="微软雅黑"/>
                <w:color w:val="auto"/>
                <w:sz w:val="24"/>
                <w:szCs w:val="24"/>
              </w:rPr>
            </w:pPr>
          </w:p>
        </w:tc>
        <w:tc>
          <w:tcPr>
            <w:tcW w:w="1614" w:type="dxa"/>
            <w:vAlign w:val="top"/>
          </w:tcPr>
          <w:p w14:paraId="70E28CFD">
            <w:pPr>
              <w:pStyle w:val="95"/>
              <w:rPr>
                <w:rFonts w:hint="eastAsia" w:ascii="微软雅黑" w:hAnsi="微软雅黑" w:eastAsia="微软雅黑" w:cs="微软雅黑"/>
                <w:color w:val="auto"/>
                <w:sz w:val="24"/>
                <w:szCs w:val="24"/>
              </w:rPr>
            </w:pPr>
          </w:p>
        </w:tc>
        <w:tc>
          <w:tcPr>
            <w:tcW w:w="1467" w:type="dxa"/>
            <w:vAlign w:val="top"/>
          </w:tcPr>
          <w:p w14:paraId="427101DE">
            <w:pPr>
              <w:pStyle w:val="95"/>
              <w:rPr>
                <w:rFonts w:hint="eastAsia" w:ascii="微软雅黑" w:hAnsi="微软雅黑" w:eastAsia="微软雅黑" w:cs="微软雅黑"/>
                <w:color w:val="auto"/>
                <w:sz w:val="24"/>
                <w:szCs w:val="24"/>
              </w:rPr>
            </w:pPr>
          </w:p>
        </w:tc>
        <w:tc>
          <w:tcPr>
            <w:tcW w:w="1321" w:type="dxa"/>
            <w:vAlign w:val="top"/>
          </w:tcPr>
          <w:p w14:paraId="770E97EB">
            <w:pPr>
              <w:pStyle w:val="95"/>
              <w:rPr>
                <w:rFonts w:hint="eastAsia" w:ascii="微软雅黑" w:hAnsi="微软雅黑" w:eastAsia="微软雅黑" w:cs="微软雅黑"/>
                <w:color w:val="auto"/>
                <w:sz w:val="24"/>
                <w:szCs w:val="24"/>
              </w:rPr>
            </w:pPr>
          </w:p>
        </w:tc>
        <w:tc>
          <w:tcPr>
            <w:tcW w:w="1614" w:type="dxa"/>
            <w:vAlign w:val="top"/>
          </w:tcPr>
          <w:p w14:paraId="037A4AAE">
            <w:pPr>
              <w:pStyle w:val="95"/>
              <w:rPr>
                <w:rFonts w:hint="eastAsia" w:ascii="微软雅黑" w:hAnsi="微软雅黑" w:eastAsia="微软雅黑" w:cs="微软雅黑"/>
                <w:color w:val="auto"/>
                <w:sz w:val="24"/>
                <w:szCs w:val="24"/>
              </w:rPr>
            </w:pPr>
          </w:p>
        </w:tc>
        <w:tc>
          <w:tcPr>
            <w:tcW w:w="1350" w:type="dxa"/>
            <w:vAlign w:val="top"/>
          </w:tcPr>
          <w:p w14:paraId="72F044DF">
            <w:pPr>
              <w:pStyle w:val="95"/>
              <w:rPr>
                <w:rFonts w:hint="eastAsia" w:ascii="微软雅黑" w:hAnsi="微软雅黑" w:eastAsia="微软雅黑" w:cs="微软雅黑"/>
                <w:color w:val="auto"/>
                <w:sz w:val="24"/>
                <w:szCs w:val="24"/>
              </w:rPr>
            </w:pPr>
          </w:p>
        </w:tc>
        <w:tc>
          <w:tcPr>
            <w:tcW w:w="1065" w:type="dxa"/>
            <w:vAlign w:val="top"/>
          </w:tcPr>
          <w:p w14:paraId="006CEBD9">
            <w:pPr>
              <w:pStyle w:val="95"/>
              <w:rPr>
                <w:rFonts w:hint="eastAsia" w:ascii="微软雅黑" w:hAnsi="微软雅黑" w:eastAsia="微软雅黑" w:cs="微软雅黑"/>
                <w:color w:val="auto"/>
                <w:sz w:val="24"/>
                <w:szCs w:val="24"/>
              </w:rPr>
            </w:pPr>
          </w:p>
        </w:tc>
      </w:tr>
      <w:tr w14:paraId="1A64F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79" w:type="dxa"/>
            <w:vAlign w:val="top"/>
          </w:tcPr>
          <w:p w14:paraId="4CE13BAE">
            <w:pPr>
              <w:pStyle w:val="95"/>
              <w:rPr>
                <w:rFonts w:hint="eastAsia" w:ascii="微软雅黑" w:hAnsi="微软雅黑" w:eastAsia="微软雅黑" w:cs="微软雅黑"/>
                <w:color w:val="auto"/>
                <w:sz w:val="24"/>
                <w:szCs w:val="24"/>
              </w:rPr>
            </w:pPr>
          </w:p>
        </w:tc>
        <w:tc>
          <w:tcPr>
            <w:tcW w:w="1614" w:type="dxa"/>
            <w:vAlign w:val="top"/>
          </w:tcPr>
          <w:p w14:paraId="11DD0273">
            <w:pPr>
              <w:pStyle w:val="95"/>
              <w:rPr>
                <w:rFonts w:hint="eastAsia" w:ascii="微软雅黑" w:hAnsi="微软雅黑" w:eastAsia="微软雅黑" w:cs="微软雅黑"/>
                <w:color w:val="auto"/>
                <w:sz w:val="24"/>
                <w:szCs w:val="24"/>
              </w:rPr>
            </w:pPr>
          </w:p>
        </w:tc>
        <w:tc>
          <w:tcPr>
            <w:tcW w:w="1467" w:type="dxa"/>
            <w:vAlign w:val="top"/>
          </w:tcPr>
          <w:p w14:paraId="7EC24090">
            <w:pPr>
              <w:pStyle w:val="95"/>
              <w:rPr>
                <w:rFonts w:hint="eastAsia" w:ascii="微软雅黑" w:hAnsi="微软雅黑" w:eastAsia="微软雅黑" w:cs="微软雅黑"/>
                <w:color w:val="auto"/>
                <w:sz w:val="24"/>
                <w:szCs w:val="24"/>
              </w:rPr>
            </w:pPr>
          </w:p>
        </w:tc>
        <w:tc>
          <w:tcPr>
            <w:tcW w:w="1321" w:type="dxa"/>
            <w:vAlign w:val="top"/>
          </w:tcPr>
          <w:p w14:paraId="3250C8D1">
            <w:pPr>
              <w:pStyle w:val="95"/>
              <w:rPr>
                <w:rFonts w:hint="eastAsia" w:ascii="微软雅黑" w:hAnsi="微软雅黑" w:eastAsia="微软雅黑" w:cs="微软雅黑"/>
                <w:color w:val="auto"/>
                <w:sz w:val="24"/>
                <w:szCs w:val="24"/>
              </w:rPr>
            </w:pPr>
          </w:p>
        </w:tc>
        <w:tc>
          <w:tcPr>
            <w:tcW w:w="1614" w:type="dxa"/>
            <w:vAlign w:val="top"/>
          </w:tcPr>
          <w:p w14:paraId="3F46CF3D">
            <w:pPr>
              <w:pStyle w:val="95"/>
              <w:rPr>
                <w:rFonts w:hint="eastAsia" w:ascii="微软雅黑" w:hAnsi="微软雅黑" w:eastAsia="微软雅黑" w:cs="微软雅黑"/>
                <w:color w:val="auto"/>
                <w:sz w:val="24"/>
                <w:szCs w:val="24"/>
              </w:rPr>
            </w:pPr>
          </w:p>
        </w:tc>
        <w:tc>
          <w:tcPr>
            <w:tcW w:w="1350" w:type="dxa"/>
            <w:vAlign w:val="top"/>
          </w:tcPr>
          <w:p w14:paraId="2E8F50D1">
            <w:pPr>
              <w:pStyle w:val="95"/>
              <w:rPr>
                <w:rFonts w:hint="eastAsia" w:ascii="微软雅黑" w:hAnsi="微软雅黑" w:eastAsia="微软雅黑" w:cs="微软雅黑"/>
                <w:color w:val="auto"/>
                <w:sz w:val="24"/>
                <w:szCs w:val="24"/>
              </w:rPr>
            </w:pPr>
          </w:p>
        </w:tc>
        <w:tc>
          <w:tcPr>
            <w:tcW w:w="1065" w:type="dxa"/>
            <w:vAlign w:val="top"/>
          </w:tcPr>
          <w:p w14:paraId="1B84B7CE">
            <w:pPr>
              <w:pStyle w:val="95"/>
              <w:rPr>
                <w:rFonts w:hint="eastAsia" w:ascii="微软雅黑" w:hAnsi="微软雅黑" w:eastAsia="微软雅黑" w:cs="微软雅黑"/>
                <w:color w:val="auto"/>
                <w:sz w:val="24"/>
                <w:szCs w:val="24"/>
              </w:rPr>
            </w:pPr>
          </w:p>
        </w:tc>
      </w:tr>
      <w:tr w14:paraId="707AB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179" w:type="dxa"/>
            <w:vAlign w:val="top"/>
          </w:tcPr>
          <w:p w14:paraId="4E749315">
            <w:pPr>
              <w:pStyle w:val="95"/>
              <w:rPr>
                <w:rFonts w:hint="eastAsia" w:ascii="微软雅黑" w:hAnsi="微软雅黑" w:eastAsia="微软雅黑" w:cs="微软雅黑"/>
                <w:color w:val="auto"/>
                <w:sz w:val="24"/>
                <w:szCs w:val="24"/>
              </w:rPr>
            </w:pPr>
          </w:p>
        </w:tc>
        <w:tc>
          <w:tcPr>
            <w:tcW w:w="1614" w:type="dxa"/>
            <w:vAlign w:val="top"/>
          </w:tcPr>
          <w:p w14:paraId="4A1C25C9">
            <w:pPr>
              <w:pStyle w:val="95"/>
              <w:rPr>
                <w:rFonts w:hint="eastAsia" w:ascii="微软雅黑" w:hAnsi="微软雅黑" w:eastAsia="微软雅黑" w:cs="微软雅黑"/>
                <w:color w:val="auto"/>
                <w:sz w:val="24"/>
                <w:szCs w:val="24"/>
              </w:rPr>
            </w:pPr>
          </w:p>
        </w:tc>
        <w:tc>
          <w:tcPr>
            <w:tcW w:w="1467" w:type="dxa"/>
            <w:vAlign w:val="top"/>
          </w:tcPr>
          <w:p w14:paraId="32B0808D">
            <w:pPr>
              <w:pStyle w:val="95"/>
              <w:rPr>
                <w:rFonts w:hint="eastAsia" w:ascii="微软雅黑" w:hAnsi="微软雅黑" w:eastAsia="微软雅黑" w:cs="微软雅黑"/>
                <w:color w:val="auto"/>
                <w:sz w:val="24"/>
                <w:szCs w:val="24"/>
              </w:rPr>
            </w:pPr>
          </w:p>
        </w:tc>
        <w:tc>
          <w:tcPr>
            <w:tcW w:w="1321" w:type="dxa"/>
            <w:vAlign w:val="top"/>
          </w:tcPr>
          <w:p w14:paraId="62E34AA1">
            <w:pPr>
              <w:pStyle w:val="95"/>
              <w:rPr>
                <w:rFonts w:hint="eastAsia" w:ascii="微软雅黑" w:hAnsi="微软雅黑" w:eastAsia="微软雅黑" w:cs="微软雅黑"/>
                <w:color w:val="auto"/>
                <w:sz w:val="24"/>
                <w:szCs w:val="24"/>
              </w:rPr>
            </w:pPr>
          </w:p>
        </w:tc>
        <w:tc>
          <w:tcPr>
            <w:tcW w:w="1614" w:type="dxa"/>
            <w:vAlign w:val="top"/>
          </w:tcPr>
          <w:p w14:paraId="165A42D3">
            <w:pPr>
              <w:pStyle w:val="95"/>
              <w:rPr>
                <w:rFonts w:hint="eastAsia" w:ascii="微软雅黑" w:hAnsi="微软雅黑" w:eastAsia="微软雅黑" w:cs="微软雅黑"/>
                <w:color w:val="auto"/>
                <w:sz w:val="24"/>
                <w:szCs w:val="24"/>
              </w:rPr>
            </w:pPr>
          </w:p>
        </w:tc>
        <w:tc>
          <w:tcPr>
            <w:tcW w:w="1350" w:type="dxa"/>
            <w:vAlign w:val="top"/>
          </w:tcPr>
          <w:p w14:paraId="7F5BA0E5">
            <w:pPr>
              <w:pStyle w:val="95"/>
              <w:rPr>
                <w:rFonts w:hint="eastAsia" w:ascii="微软雅黑" w:hAnsi="微软雅黑" w:eastAsia="微软雅黑" w:cs="微软雅黑"/>
                <w:color w:val="auto"/>
                <w:sz w:val="24"/>
                <w:szCs w:val="24"/>
              </w:rPr>
            </w:pPr>
          </w:p>
        </w:tc>
        <w:tc>
          <w:tcPr>
            <w:tcW w:w="1065" w:type="dxa"/>
            <w:vAlign w:val="top"/>
          </w:tcPr>
          <w:p w14:paraId="1E673866">
            <w:pPr>
              <w:pStyle w:val="95"/>
              <w:rPr>
                <w:rFonts w:hint="eastAsia" w:ascii="微软雅黑" w:hAnsi="微软雅黑" w:eastAsia="微软雅黑" w:cs="微软雅黑"/>
                <w:color w:val="auto"/>
                <w:sz w:val="24"/>
                <w:szCs w:val="24"/>
              </w:rPr>
            </w:pPr>
          </w:p>
        </w:tc>
      </w:tr>
    </w:tbl>
    <w:p w14:paraId="57D05C45">
      <w:pPr>
        <w:spacing w:before="36" w:line="345" w:lineRule="auto"/>
        <w:ind w:right="3022"/>
        <w:rPr>
          <w:rFonts w:hint="eastAsia" w:ascii="微软雅黑" w:hAnsi="微软雅黑" w:eastAsia="微软雅黑" w:cs="微软雅黑"/>
          <w:color w:val="auto"/>
          <w:spacing w:val="-3"/>
          <w:kern w:val="2"/>
          <w:sz w:val="24"/>
          <w:szCs w:val="24"/>
          <w:lang w:val="en-US" w:eastAsia="zh-CN" w:bidi="ar-SA"/>
        </w:rPr>
      </w:pPr>
    </w:p>
    <w:p w14:paraId="41C0EC6B">
      <w:pPr>
        <w:spacing w:before="36" w:line="345" w:lineRule="auto"/>
        <w:ind w:right="3022"/>
        <w:rPr>
          <w:rFonts w:hint="eastAsia" w:ascii="微软雅黑" w:hAnsi="微软雅黑" w:eastAsia="微软雅黑" w:cs="微软雅黑"/>
          <w:color w:val="auto"/>
          <w:spacing w:val="16"/>
          <w:sz w:val="24"/>
          <w:szCs w:val="24"/>
        </w:rPr>
      </w:pPr>
      <w:r>
        <w:rPr>
          <w:rFonts w:hint="eastAsia" w:ascii="微软雅黑" w:hAnsi="微软雅黑" w:eastAsia="微软雅黑" w:cs="微软雅黑"/>
          <w:color w:val="auto"/>
          <w:spacing w:val="-3"/>
          <w:kern w:val="2"/>
          <w:sz w:val="24"/>
          <w:szCs w:val="24"/>
          <w:lang w:val="en-US" w:eastAsia="zh-CN" w:bidi="ar-SA"/>
        </w:rPr>
        <w:t>法定代表人或其委托代理人</w:t>
      </w:r>
      <w:r>
        <w:rPr>
          <w:rFonts w:hint="eastAsia" w:ascii="微软雅黑" w:hAnsi="微软雅黑" w:eastAsia="微软雅黑" w:cs="微软雅黑"/>
          <w:color w:val="auto"/>
          <w:spacing w:val="-1"/>
          <w:sz w:val="24"/>
          <w:szCs w:val="24"/>
        </w:rPr>
        <w:t>（签</w:t>
      </w:r>
      <w:r>
        <w:rPr>
          <w:rFonts w:hint="eastAsia" w:ascii="微软雅黑" w:hAnsi="微软雅黑" w:eastAsia="微软雅黑" w:cs="微软雅黑"/>
          <w:color w:val="auto"/>
          <w:spacing w:val="-1"/>
          <w:sz w:val="24"/>
          <w:szCs w:val="24"/>
          <w:lang w:val="en-US" w:eastAsia="zh-CN"/>
        </w:rPr>
        <w:t>/</w:t>
      </w:r>
      <w:r>
        <w:rPr>
          <w:rFonts w:hint="eastAsia" w:ascii="微软雅黑" w:hAnsi="微软雅黑" w:eastAsia="微软雅黑" w:cs="微软雅黑"/>
          <w:color w:val="auto"/>
          <w:spacing w:val="-1"/>
          <w:sz w:val="24"/>
          <w:szCs w:val="24"/>
        </w:rPr>
        <w:t xml:space="preserve">章）: </w:t>
      </w:r>
      <w:r>
        <w:rPr>
          <w:rFonts w:hint="eastAsia" w:ascii="微软雅黑" w:hAnsi="微软雅黑" w:eastAsia="微软雅黑" w:cs="微软雅黑"/>
          <w:color w:val="auto"/>
          <w:spacing w:val="-1"/>
          <w:sz w:val="24"/>
          <w:szCs w:val="24"/>
          <w:u w:val="single" w:color="auto"/>
        </w:rPr>
        <w:t xml:space="preserve">                     </w:t>
      </w:r>
      <w:r>
        <w:rPr>
          <w:rFonts w:hint="eastAsia" w:ascii="微软雅黑" w:hAnsi="微软雅黑" w:eastAsia="微软雅黑" w:cs="微软雅黑"/>
          <w:color w:val="auto"/>
          <w:spacing w:val="16"/>
          <w:sz w:val="24"/>
          <w:szCs w:val="24"/>
        </w:rPr>
        <w:t xml:space="preserve"> </w:t>
      </w:r>
    </w:p>
    <w:p w14:paraId="1AF18F28">
      <w:pPr>
        <w:spacing w:before="36" w:line="345" w:lineRule="auto"/>
        <w:ind w:right="3022"/>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2"/>
          <w:sz w:val="24"/>
          <w:szCs w:val="24"/>
          <w:lang w:eastAsia="zh-CN"/>
        </w:rPr>
        <w:t>供应商</w:t>
      </w:r>
      <w:r>
        <w:rPr>
          <w:rFonts w:hint="eastAsia" w:ascii="微软雅黑" w:hAnsi="微软雅黑" w:eastAsia="微软雅黑" w:cs="微软雅黑"/>
          <w:color w:val="auto"/>
          <w:spacing w:val="-2"/>
          <w:sz w:val="24"/>
          <w:szCs w:val="24"/>
        </w:rPr>
        <w:t>(</w:t>
      </w:r>
      <w:r>
        <w:rPr>
          <w:rFonts w:hint="eastAsia" w:ascii="微软雅黑" w:hAnsi="微软雅黑" w:eastAsia="微软雅黑" w:cs="微软雅黑"/>
          <w:color w:val="auto"/>
          <w:spacing w:val="-2"/>
          <w:sz w:val="24"/>
          <w:szCs w:val="24"/>
          <w:lang w:eastAsia="zh-CN"/>
        </w:rPr>
        <w:t>公</w:t>
      </w:r>
      <w:r>
        <w:rPr>
          <w:rFonts w:hint="eastAsia" w:ascii="微软雅黑" w:hAnsi="微软雅黑" w:eastAsia="微软雅黑" w:cs="微软雅黑"/>
          <w:color w:val="auto"/>
          <w:spacing w:val="-2"/>
          <w:sz w:val="24"/>
          <w:szCs w:val="24"/>
        </w:rPr>
        <w:t xml:space="preserve">章): </w:t>
      </w:r>
      <w:r>
        <w:rPr>
          <w:rFonts w:hint="eastAsia" w:ascii="微软雅黑" w:hAnsi="微软雅黑" w:eastAsia="微软雅黑" w:cs="微软雅黑"/>
          <w:color w:val="auto"/>
          <w:spacing w:val="-2"/>
          <w:sz w:val="24"/>
          <w:szCs w:val="24"/>
          <w:u w:val="single" w:color="auto"/>
        </w:rPr>
        <w:t xml:space="preserve">        </w:t>
      </w:r>
      <w:r>
        <w:rPr>
          <w:rFonts w:hint="eastAsia" w:ascii="微软雅黑" w:hAnsi="微软雅黑" w:eastAsia="微软雅黑" w:cs="微软雅黑"/>
          <w:color w:val="auto"/>
          <w:spacing w:val="-3"/>
          <w:sz w:val="24"/>
          <w:szCs w:val="24"/>
          <w:u w:val="single" w:color="auto"/>
        </w:rPr>
        <w:t xml:space="preserve">             </w:t>
      </w:r>
    </w:p>
    <w:p w14:paraId="0B0815C7">
      <w:pPr>
        <w:spacing w:before="38" w:line="224"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pacing w:val="-39"/>
          <w:sz w:val="24"/>
          <w:szCs w:val="24"/>
        </w:rPr>
        <w:t>日</w:t>
      </w:r>
      <w:r>
        <w:rPr>
          <w:rFonts w:hint="eastAsia" w:ascii="微软雅黑" w:hAnsi="微软雅黑" w:eastAsia="微软雅黑" w:cs="微软雅黑"/>
          <w:color w:val="auto"/>
          <w:spacing w:val="17"/>
          <w:sz w:val="24"/>
          <w:szCs w:val="24"/>
        </w:rPr>
        <w:t xml:space="preserve"> </w:t>
      </w:r>
      <w:r>
        <w:rPr>
          <w:rFonts w:hint="eastAsia" w:ascii="微软雅黑" w:hAnsi="微软雅黑" w:eastAsia="微软雅黑" w:cs="微软雅黑"/>
          <w:color w:val="auto"/>
          <w:spacing w:val="-39"/>
          <w:sz w:val="24"/>
          <w:szCs w:val="24"/>
        </w:rPr>
        <w:t>期</w:t>
      </w:r>
      <w:r>
        <w:rPr>
          <w:rFonts w:hint="eastAsia" w:ascii="微软雅黑" w:hAnsi="微软雅黑" w:eastAsia="微软雅黑" w:cs="微软雅黑"/>
          <w:color w:val="auto"/>
          <w:spacing w:val="34"/>
          <w:sz w:val="24"/>
          <w:szCs w:val="24"/>
        </w:rPr>
        <w:t xml:space="preserve"> </w:t>
      </w:r>
      <w:r>
        <w:rPr>
          <w:rFonts w:hint="eastAsia" w:ascii="微软雅黑" w:hAnsi="微软雅黑" w:eastAsia="微软雅黑" w:cs="微软雅黑"/>
          <w:color w:val="auto"/>
          <w:spacing w:val="-39"/>
          <w:sz w:val="24"/>
          <w:szCs w:val="24"/>
        </w:rPr>
        <w:t>：</w:t>
      </w:r>
      <w:r>
        <w:rPr>
          <w:rFonts w:hint="eastAsia" w:ascii="微软雅黑" w:hAnsi="微软雅黑" w:eastAsia="微软雅黑" w:cs="微软雅黑"/>
          <w:color w:val="auto"/>
          <w:spacing w:val="118"/>
          <w:sz w:val="24"/>
          <w:szCs w:val="24"/>
        </w:rPr>
        <w:t xml:space="preserve"> </w:t>
      </w:r>
      <w:r>
        <w:rPr>
          <w:rFonts w:hint="eastAsia" w:ascii="微软雅黑" w:hAnsi="微软雅黑" w:eastAsia="微软雅黑" w:cs="微软雅黑"/>
          <w:color w:val="auto"/>
          <w:sz w:val="24"/>
          <w:szCs w:val="24"/>
          <w:u w:val="single" w:color="auto"/>
        </w:rPr>
        <w:t xml:space="preserve">                     </w:t>
      </w:r>
    </w:p>
    <w:p w14:paraId="7CE74506">
      <w:pPr>
        <w:pStyle w:val="15"/>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1"/>
        <w:rPr>
          <w:rFonts w:hint="eastAsia" w:ascii="微软雅黑" w:hAnsi="微软雅黑" w:eastAsia="微软雅黑" w:cs="微软雅黑"/>
          <w:color w:val="auto"/>
          <w:spacing w:val="-12"/>
          <w:sz w:val="24"/>
          <w:szCs w:val="24"/>
        </w:rPr>
      </w:pPr>
      <w:r>
        <w:rPr>
          <w:rFonts w:hint="eastAsia" w:ascii="微软雅黑" w:hAnsi="微软雅黑" w:eastAsia="微软雅黑" w:cs="微软雅黑"/>
          <w:color w:val="auto"/>
          <w:spacing w:val="-3"/>
          <w:sz w:val="24"/>
          <w:szCs w:val="24"/>
        </w:rPr>
        <w:t>注：</w:t>
      </w:r>
      <w:r>
        <w:rPr>
          <w:rFonts w:hint="eastAsia" w:ascii="微软雅黑" w:hAnsi="微软雅黑" w:eastAsia="微软雅黑" w:cs="微软雅黑"/>
          <w:color w:val="auto"/>
          <w:spacing w:val="40"/>
          <w:sz w:val="24"/>
          <w:szCs w:val="24"/>
        </w:rPr>
        <w:t xml:space="preserve"> </w:t>
      </w:r>
      <w:r>
        <w:rPr>
          <w:rFonts w:hint="eastAsia" w:ascii="微软雅黑" w:hAnsi="微软雅黑" w:eastAsia="微软雅黑" w:cs="微软雅黑"/>
          <w:color w:val="auto"/>
          <w:spacing w:val="-3"/>
          <w:sz w:val="24"/>
          <w:szCs w:val="24"/>
        </w:rPr>
        <w:t>1. 表格长度方向可做扩展根据需求可补充相关资料，但不可减少表格中</w:t>
      </w:r>
      <w:r>
        <w:rPr>
          <w:rFonts w:hint="eastAsia" w:ascii="微软雅黑" w:hAnsi="微软雅黑" w:eastAsia="微软雅黑" w:cs="微软雅黑"/>
          <w:color w:val="auto"/>
          <w:spacing w:val="-12"/>
          <w:sz w:val="24"/>
          <w:szCs w:val="24"/>
        </w:rPr>
        <w:t>的内容。</w:t>
      </w:r>
    </w:p>
    <w:p w14:paraId="4A2C536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ascii="微软雅黑" w:hAnsi="微软雅黑" w:eastAsia="微软雅黑" w:cs="微软雅黑"/>
          <w:color w:val="auto"/>
          <w:spacing w:val="-12"/>
          <w:sz w:val="24"/>
          <w:szCs w:val="24"/>
          <w:lang w:val="en-US" w:eastAsia="zh-CN"/>
        </w:rPr>
        <w:t>2、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p>
    <w:p w14:paraId="380E7366">
      <w:pPr>
        <w:rPr>
          <w:color w:val="auto"/>
          <w:highlight w:val="none"/>
        </w:rPr>
      </w:pPr>
    </w:p>
    <w:p w14:paraId="529E0E0C">
      <w:pPr>
        <w:rPr>
          <w:color w:val="auto"/>
          <w:highlight w:val="none"/>
        </w:rPr>
      </w:pPr>
    </w:p>
    <w:p w14:paraId="4F4234D5">
      <w:pPr>
        <w:rPr>
          <w:color w:val="auto"/>
          <w:highlight w:val="none"/>
        </w:rPr>
      </w:pPr>
    </w:p>
    <w:p w14:paraId="4BE11FDB">
      <w:pPr>
        <w:rPr>
          <w:color w:val="auto"/>
          <w:highlight w:val="none"/>
        </w:rPr>
      </w:pPr>
    </w:p>
    <w:p w14:paraId="099204A4">
      <w:pPr>
        <w:rPr>
          <w:color w:val="auto"/>
          <w:highlight w:val="none"/>
        </w:rPr>
      </w:pPr>
    </w:p>
    <w:p w14:paraId="4931D1A5">
      <w:pPr>
        <w:rPr>
          <w:color w:val="auto"/>
          <w:highlight w:val="none"/>
        </w:rPr>
      </w:pPr>
    </w:p>
    <w:p w14:paraId="52AC4D51">
      <w:pPr>
        <w:rPr>
          <w:color w:val="auto"/>
          <w:highlight w:val="none"/>
        </w:rPr>
      </w:pPr>
    </w:p>
    <w:p w14:paraId="40DA6953">
      <w:pPr>
        <w:rPr>
          <w:color w:val="auto"/>
          <w:highlight w:val="none"/>
        </w:rPr>
      </w:pPr>
    </w:p>
    <w:p w14:paraId="74FB1BFC">
      <w:pPr>
        <w:rPr>
          <w:color w:val="auto"/>
          <w:highlight w:val="none"/>
        </w:rPr>
      </w:pPr>
    </w:p>
    <w:p w14:paraId="6D2AA666">
      <w:pPr>
        <w:rPr>
          <w:color w:val="auto"/>
          <w:highlight w:val="none"/>
        </w:rPr>
      </w:pPr>
    </w:p>
    <w:p w14:paraId="79346B7B">
      <w:pPr>
        <w:rPr>
          <w:color w:val="auto"/>
          <w:highlight w:val="none"/>
        </w:rPr>
      </w:pPr>
    </w:p>
    <w:p w14:paraId="20E1913A">
      <w:pPr>
        <w:rPr>
          <w:color w:val="auto"/>
          <w:highlight w:val="none"/>
        </w:rPr>
      </w:pPr>
    </w:p>
    <w:p w14:paraId="209A5783">
      <w:pPr>
        <w:rPr>
          <w:color w:val="auto"/>
          <w:highlight w:val="none"/>
        </w:rPr>
      </w:pPr>
    </w:p>
    <w:p w14:paraId="1388247F">
      <w:pPr>
        <w:rPr>
          <w:color w:val="auto"/>
          <w:highlight w:val="none"/>
        </w:rPr>
      </w:pPr>
    </w:p>
    <w:p w14:paraId="12EB3502">
      <w:pPr>
        <w:rPr>
          <w:color w:val="auto"/>
          <w:highlight w:val="none"/>
        </w:rPr>
      </w:pPr>
    </w:p>
    <w:p w14:paraId="3DBCC609">
      <w:pPr>
        <w:rPr>
          <w:color w:val="auto"/>
          <w:highlight w:val="none"/>
        </w:rPr>
      </w:pPr>
    </w:p>
    <w:p w14:paraId="5BE3C5DD">
      <w:pPr>
        <w:rPr>
          <w:color w:val="auto"/>
          <w:highlight w:val="none"/>
        </w:rPr>
      </w:pPr>
    </w:p>
    <w:p w14:paraId="5E370C5F">
      <w:pPr>
        <w:pStyle w:val="3"/>
        <w:spacing w:before="0" w:line="240" w:lineRule="auto"/>
        <w:jc w:val="center"/>
        <w:rPr>
          <w:rFonts w:ascii="微软雅黑" w:hAnsi="微软雅黑" w:eastAsia="微软雅黑" w:cs="微软雅黑"/>
          <w:b/>
          <w:bCs/>
          <w:color w:val="auto"/>
          <w:sz w:val="21"/>
          <w:szCs w:val="21"/>
          <w:highlight w:val="none"/>
        </w:rPr>
      </w:pPr>
      <w:bookmarkStart w:id="568" w:name="_Toc31515"/>
      <w:bookmarkStart w:id="569" w:name="_Toc11577"/>
      <w:bookmarkStart w:id="570" w:name="_Toc28800"/>
      <w:bookmarkStart w:id="571" w:name="_Toc29478"/>
      <w:bookmarkStart w:id="572" w:name="_Toc11211"/>
      <w:bookmarkStart w:id="573" w:name="_Toc28817"/>
      <w:bookmarkStart w:id="574" w:name="_Toc21726"/>
      <w:bookmarkStart w:id="575" w:name="_Toc15861"/>
      <w:r>
        <w:rPr>
          <w:rFonts w:hint="eastAsia" w:ascii="微软雅黑" w:hAnsi="微软雅黑" w:eastAsia="微软雅黑" w:cs="微软雅黑"/>
          <w:b/>
          <w:bCs/>
          <w:color w:val="auto"/>
          <w:sz w:val="21"/>
          <w:szCs w:val="21"/>
          <w:highlight w:val="none"/>
        </w:rPr>
        <w:t>3、货物说明一览表</w:t>
      </w:r>
      <w:bookmarkEnd w:id="568"/>
      <w:bookmarkEnd w:id="569"/>
      <w:bookmarkEnd w:id="570"/>
      <w:bookmarkEnd w:id="571"/>
      <w:bookmarkEnd w:id="572"/>
      <w:bookmarkEnd w:id="573"/>
      <w:bookmarkEnd w:id="574"/>
      <w:bookmarkEnd w:id="575"/>
    </w:p>
    <w:p w14:paraId="52093321">
      <w:pPr>
        <w:pStyle w:val="15"/>
        <w:jc w:val="left"/>
        <w:rPr>
          <w:rFonts w:ascii="微软雅黑" w:hAnsi="微软雅黑" w:eastAsia="微软雅黑" w:cs="微软雅黑"/>
          <w:color w:val="auto"/>
          <w:highlight w:val="none"/>
        </w:rPr>
      </w:pPr>
    </w:p>
    <w:p w14:paraId="72F56BB1">
      <w:pPr>
        <w:pStyle w:val="15"/>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包号:                      </w:t>
      </w:r>
    </w:p>
    <w:p w14:paraId="25DA8A37">
      <w:pPr>
        <w:pStyle w:val="15"/>
        <w:ind w:left="1080" w:leftChars="257" w:hanging="540"/>
        <w:rPr>
          <w:rFonts w:ascii="微软雅黑" w:hAnsi="微软雅黑" w:eastAsia="微软雅黑" w:cs="微软雅黑"/>
          <w:color w:val="auto"/>
          <w:sz w:val="24"/>
          <w:szCs w:val="24"/>
          <w:highlight w:val="none"/>
        </w:rPr>
      </w:pPr>
    </w:p>
    <w:tbl>
      <w:tblPr>
        <w:tblStyle w:val="30"/>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6"/>
        <w:gridCol w:w="1219"/>
        <w:gridCol w:w="1096"/>
        <w:gridCol w:w="1826"/>
        <w:gridCol w:w="1426"/>
        <w:gridCol w:w="1726"/>
      </w:tblGrid>
      <w:tr w14:paraId="05B2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08" w:type="dxa"/>
            <w:noWrap w:val="0"/>
            <w:vAlign w:val="top"/>
          </w:tcPr>
          <w:p w14:paraId="4D786933">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序号</w:t>
            </w:r>
          </w:p>
        </w:tc>
        <w:tc>
          <w:tcPr>
            <w:tcW w:w="1216" w:type="dxa"/>
            <w:noWrap w:val="0"/>
            <w:vAlign w:val="top"/>
          </w:tcPr>
          <w:p w14:paraId="202B75FA">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货物名称</w:t>
            </w:r>
          </w:p>
        </w:tc>
        <w:tc>
          <w:tcPr>
            <w:tcW w:w="1219" w:type="dxa"/>
            <w:noWrap w:val="0"/>
            <w:vAlign w:val="top"/>
          </w:tcPr>
          <w:p w14:paraId="6BEC3BE3">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主要规格</w:t>
            </w:r>
          </w:p>
        </w:tc>
        <w:tc>
          <w:tcPr>
            <w:tcW w:w="1096" w:type="dxa"/>
            <w:noWrap w:val="0"/>
            <w:vAlign w:val="top"/>
          </w:tcPr>
          <w:p w14:paraId="3E73A8B7">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数量</w:t>
            </w:r>
          </w:p>
        </w:tc>
        <w:tc>
          <w:tcPr>
            <w:tcW w:w="1826" w:type="dxa"/>
            <w:noWrap w:val="0"/>
            <w:vAlign w:val="top"/>
          </w:tcPr>
          <w:p w14:paraId="599C99EC">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供货期</w:t>
            </w:r>
          </w:p>
        </w:tc>
        <w:tc>
          <w:tcPr>
            <w:tcW w:w="1426" w:type="dxa"/>
            <w:noWrap w:val="0"/>
            <w:vAlign w:val="top"/>
          </w:tcPr>
          <w:p w14:paraId="73C8284C">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供货地点</w:t>
            </w:r>
          </w:p>
        </w:tc>
        <w:tc>
          <w:tcPr>
            <w:tcW w:w="1726" w:type="dxa"/>
            <w:noWrap w:val="0"/>
            <w:vAlign w:val="top"/>
          </w:tcPr>
          <w:p w14:paraId="58B12071">
            <w:pPr>
              <w:pStyle w:val="15"/>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其它</w:t>
            </w:r>
          </w:p>
        </w:tc>
      </w:tr>
      <w:tr w14:paraId="164F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8" w:type="dxa"/>
            <w:noWrap w:val="0"/>
            <w:vAlign w:val="top"/>
          </w:tcPr>
          <w:p w14:paraId="4FD1724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1E0ACC74">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3E96D4F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55A6613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03A46C2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3B6A52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2CE43D01">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4396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jc w:val="center"/>
        </w:trPr>
        <w:tc>
          <w:tcPr>
            <w:tcW w:w="708" w:type="dxa"/>
            <w:noWrap w:val="0"/>
            <w:vAlign w:val="top"/>
          </w:tcPr>
          <w:p w14:paraId="42C13C00">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5AE53974">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487619D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E3828B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45EA46D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003A8DA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7D3DDE77">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19E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8" w:type="dxa"/>
            <w:noWrap w:val="0"/>
            <w:vAlign w:val="top"/>
          </w:tcPr>
          <w:p w14:paraId="22FFE72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793C9EFE">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5B07440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152D5EA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56BE0A1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6AC7C08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63F72799">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2CC4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 w:type="dxa"/>
            <w:noWrap w:val="0"/>
            <w:vAlign w:val="top"/>
          </w:tcPr>
          <w:p w14:paraId="47A0CBAD">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7DCD496E">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5F80E1F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2C0345A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55E7774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5C2E371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4C9A61FD">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0121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noWrap w:val="0"/>
            <w:vAlign w:val="top"/>
          </w:tcPr>
          <w:p w14:paraId="2BE5CEE8">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shd w:val="clear" w:color="auto" w:fill="auto"/>
            <w:noWrap w:val="0"/>
            <w:vAlign w:val="center"/>
          </w:tcPr>
          <w:p w14:paraId="38CB802C">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1219" w:type="dxa"/>
            <w:noWrap w:val="0"/>
            <w:vAlign w:val="top"/>
          </w:tcPr>
          <w:p w14:paraId="5E13E11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0EA5792B">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1CEF1D7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4E59F612">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3A872027">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21B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noWrap w:val="0"/>
            <w:vAlign w:val="top"/>
          </w:tcPr>
          <w:p w14:paraId="225AE381">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429B347C">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4739DB3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AC39D94">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697404A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6BECF3C7">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7EB1DE8E">
            <w:pPr>
              <w:pStyle w:val="15"/>
              <w:spacing w:after="0" w:line="240" w:lineRule="atLeast"/>
              <w:rPr>
                <w:rFonts w:hint="eastAsia" w:ascii="微软雅黑" w:hAnsi="微软雅黑" w:eastAsia="微软雅黑" w:cs="微软雅黑"/>
                <w:color w:val="auto"/>
                <w:sz w:val="21"/>
                <w:szCs w:val="21"/>
                <w:highlight w:val="none"/>
                <w:lang w:val="en-US" w:eastAsia="zh-CN"/>
              </w:rPr>
            </w:pPr>
          </w:p>
        </w:tc>
      </w:tr>
      <w:tr w14:paraId="7057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08" w:type="dxa"/>
            <w:noWrap w:val="0"/>
            <w:vAlign w:val="top"/>
          </w:tcPr>
          <w:p w14:paraId="238307DA">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6" w:type="dxa"/>
            <w:noWrap w:val="0"/>
            <w:vAlign w:val="top"/>
          </w:tcPr>
          <w:p w14:paraId="7646693E">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219" w:type="dxa"/>
            <w:noWrap w:val="0"/>
            <w:vAlign w:val="top"/>
          </w:tcPr>
          <w:p w14:paraId="0B75C229">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096" w:type="dxa"/>
            <w:noWrap w:val="0"/>
            <w:vAlign w:val="top"/>
          </w:tcPr>
          <w:p w14:paraId="311F9956">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826" w:type="dxa"/>
            <w:noWrap w:val="0"/>
            <w:vAlign w:val="top"/>
          </w:tcPr>
          <w:p w14:paraId="0ADF506F">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426" w:type="dxa"/>
            <w:noWrap w:val="0"/>
            <w:vAlign w:val="top"/>
          </w:tcPr>
          <w:p w14:paraId="4DDDCEE3">
            <w:pPr>
              <w:pStyle w:val="15"/>
              <w:spacing w:after="0" w:line="240" w:lineRule="atLeast"/>
              <w:rPr>
                <w:rFonts w:hint="eastAsia" w:ascii="微软雅黑" w:hAnsi="微软雅黑" w:eastAsia="微软雅黑" w:cs="微软雅黑"/>
                <w:color w:val="auto"/>
                <w:sz w:val="21"/>
                <w:szCs w:val="21"/>
                <w:highlight w:val="none"/>
                <w:lang w:val="en-US" w:eastAsia="zh-CN"/>
              </w:rPr>
            </w:pPr>
          </w:p>
        </w:tc>
        <w:tc>
          <w:tcPr>
            <w:tcW w:w="1726" w:type="dxa"/>
            <w:noWrap w:val="0"/>
            <w:vAlign w:val="top"/>
          </w:tcPr>
          <w:p w14:paraId="406092E3">
            <w:pPr>
              <w:pStyle w:val="15"/>
              <w:spacing w:after="0" w:line="240" w:lineRule="atLeast"/>
              <w:rPr>
                <w:rFonts w:hint="eastAsia" w:ascii="微软雅黑" w:hAnsi="微软雅黑" w:eastAsia="微软雅黑" w:cs="微软雅黑"/>
                <w:color w:val="auto"/>
                <w:sz w:val="21"/>
                <w:szCs w:val="21"/>
                <w:highlight w:val="none"/>
                <w:lang w:val="en-US" w:eastAsia="zh-CN"/>
              </w:rPr>
            </w:pPr>
          </w:p>
        </w:tc>
      </w:tr>
    </w:tbl>
    <w:p w14:paraId="2784457E">
      <w:pPr>
        <w:pStyle w:val="15"/>
        <w:ind w:left="1080" w:leftChars="257" w:hanging="540"/>
        <w:rPr>
          <w:rFonts w:ascii="微软雅黑" w:hAnsi="微软雅黑" w:eastAsia="微软雅黑" w:cs="微软雅黑"/>
          <w:color w:val="auto"/>
          <w:sz w:val="24"/>
          <w:szCs w:val="24"/>
          <w:highlight w:val="none"/>
        </w:rPr>
      </w:pPr>
    </w:p>
    <w:p w14:paraId="7BE49D2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5E679B90">
      <w:pPr>
        <w:pStyle w:val="15"/>
        <w:tabs>
          <w:tab w:val="left" w:pos="5370"/>
        </w:tabs>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05445A73">
      <w:pPr>
        <w:pStyle w:val="15"/>
        <w:ind w:left="1080" w:leftChars="257" w:hanging="540"/>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各项货物详细技术性能应另页描述。</w:t>
      </w:r>
    </w:p>
    <w:p w14:paraId="5F6DD58B">
      <w:pPr>
        <w:pStyle w:val="15"/>
        <w:ind w:left="1080" w:leftChars="257" w:hanging="540"/>
        <w:jc w:val="center"/>
        <w:rPr>
          <w:rFonts w:ascii="微软雅黑" w:hAnsi="微软雅黑" w:eastAsia="微软雅黑" w:cs="微软雅黑"/>
          <w:b/>
          <w:bCs/>
          <w:color w:val="auto"/>
          <w:sz w:val="24"/>
          <w:szCs w:val="24"/>
          <w:highlight w:val="none"/>
        </w:rPr>
      </w:pPr>
    </w:p>
    <w:p w14:paraId="1C9FAB7E">
      <w:pPr>
        <w:pStyle w:val="15"/>
        <w:ind w:left="1080" w:leftChars="257" w:hanging="540"/>
        <w:jc w:val="center"/>
        <w:rPr>
          <w:rFonts w:ascii="微软雅黑" w:hAnsi="微软雅黑" w:eastAsia="微软雅黑" w:cs="微软雅黑"/>
          <w:b/>
          <w:bCs/>
          <w:color w:val="auto"/>
          <w:sz w:val="24"/>
          <w:szCs w:val="24"/>
          <w:highlight w:val="none"/>
        </w:rPr>
      </w:pPr>
    </w:p>
    <w:p w14:paraId="2F7E6C23">
      <w:pPr>
        <w:pStyle w:val="15"/>
        <w:ind w:left="1080" w:leftChars="257" w:hanging="540"/>
        <w:jc w:val="center"/>
        <w:rPr>
          <w:rFonts w:ascii="微软雅黑" w:hAnsi="微软雅黑" w:eastAsia="微软雅黑" w:cs="微软雅黑"/>
          <w:b/>
          <w:bCs/>
          <w:color w:val="auto"/>
          <w:sz w:val="24"/>
          <w:szCs w:val="24"/>
          <w:highlight w:val="none"/>
        </w:rPr>
      </w:pPr>
    </w:p>
    <w:p w14:paraId="7E2E8F9F">
      <w:pPr>
        <w:pStyle w:val="15"/>
        <w:ind w:left="1080" w:leftChars="257" w:hanging="540"/>
        <w:jc w:val="center"/>
        <w:rPr>
          <w:rFonts w:ascii="微软雅黑" w:hAnsi="微软雅黑" w:eastAsia="微软雅黑" w:cs="微软雅黑"/>
          <w:b/>
          <w:bCs/>
          <w:color w:val="auto"/>
          <w:sz w:val="24"/>
          <w:szCs w:val="24"/>
          <w:highlight w:val="none"/>
        </w:rPr>
      </w:pPr>
    </w:p>
    <w:p w14:paraId="5E6BABD6">
      <w:pPr>
        <w:pStyle w:val="15"/>
        <w:ind w:left="1080" w:leftChars="257" w:hanging="540"/>
        <w:jc w:val="center"/>
        <w:rPr>
          <w:rFonts w:ascii="微软雅黑" w:hAnsi="微软雅黑" w:eastAsia="微软雅黑" w:cs="微软雅黑"/>
          <w:b/>
          <w:bCs/>
          <w:color w:val="auto"/>
          <w:sz w:val="24"/>
          <w:szCs w:val="24"/>
          <w:highlight w:val="none"/>
        </w:rPr>
      </w:pPr>
    </w:p>
    <w:p w14:paraId="57B43361">
      <w:pPr>
        <w:pStyle w:val="15"/>
        <w:ind w:left="1080" w:leftChars="257" w:hanging="540"/>
        <w:jc w:val="center"/>
        <w:rPr>
          <w:rFonts w:ascii="微软雅黑" w:hAnsi="微软雅黑" w:eastAsia="微软雅黑" w:cs="微软雅黑"/>
          <w:b/>
          <w:bCs/>
          <w:color w:val="auto"/>
          <w:sz w:val="24"/>
          <w:szCs w:val="24"/>
          <w:highlight w:val="none"/>
        </w:rPr>
      </w:pPr>
    </w:p>
    <w:p w14:paraId="5137B5B7">
      <w:pPr>
        <w:pStyle w:val="22"/>
        <w:ind w:left="2520"/>
        <w:rPr>
          <w:rFonts w:ascii="微软雅黑" w:hAnsi="微软雅黑" w:eastAsia="微软雅黑" w:cs="微软雅黑"/>
          <w:b/>
          <w:bCs/>
          <w:color w:val="auto"/>
          <w:sz w:val="24"/>
          <w:highlight w:val="none"/>
        </w:rPr>
      </w:pPr>
    </w:p>
    <w:p w14:paraId="37D8D10D">
      <w:pPr>
        <w:rPr>
          <w:color w:val="auto"/>
          <w:highlight w:val="none"/>
        </w:rPr>
      </w:pPr>
    </w:p>
    <w:p w14:paraId="176B1BB1">
      <w:pPr>
        <w:pStyle w:val="15"/>
        <w:ind w:left="1080" w:leftChars="257" w:hanging="540"/>
        <w:jc w:val="center"/>
        <w:rPr>
          <w:rFonts w:ascii="微软雅黑" w:hAnsi="微软雅黑" w:eastAsia="微软雅黑" w:cs="微软雅黑"/>
          <w:b/>
          <w:bCs/>
          <w:color w:val="auto"/>
          <w:sz w:val="24"/>
          <w:szCs w:val="24"/>
          <w:highlight w:val="none"/>
        </w:rPr>
      </w:pPr>
    </w:p>
    <w:p w14:paraId="7E0D7024">
      <w:pPr>
        <w:pStyle w:val="15"/>
        <w:ind w:left="1080" w:leftChars="257" w:hanging="540"/>
        <w:jc w:val="center"/>
        <w:rPr>
          <w:rFonts w:ascii="微软雅黑" w:hAnsi="微软雅黑" w:eastAsia="微软雅黑" w:cs="微软雅黑"/>
          <w:b/>
          <w:bCs/>
          <w:color w:val="auto"/>
          <w:sz w:val="24"/>
          <w:szCs w:val="24"/>
          <w:highlight w:val="none"/>
        </w:rPr>
      </w:pPr>
    </w:p>
    <w:p w14:paraId="4ADB05E6">
      <w:pPr>
        <w:pStyle w:val="15"/>
        <w:jc w:val="both"/>
        <w:rPr>
          <w:rFonts w:ascii="微软雅黑" w:hAnsi="微软雅黑" w:eastAsia="微软雅黑" w:cs="微软雅黑"/>
          <w:b/>
          <w:bCs/>
          <w:color w:val="auto"/>
          <w:sz w:val="24"/>
          <w:szCs w:val="24"/>
          <w:highlight w:val="none"/>
        </w:rPr>
      </w:pPr>
    </w:p>
    <w:p w14:paraId="77F59A49">
      <w:pPr>
        <w:pStyle w:val="15"/>
        <w:ind w:left="1080" w:leftChars="257" w:hanging="540"/>
        <w:jc w:val="center"/>
        <w:outlineLvl w:val="1"/>
        <w:rPr>
          <w:rFonts w:ascii="微软雅黑" w:hAnsi="微软雅黑" w:eastAsia="微软雅黑" w:cs="微软雅黑"/>
          <w:b/>
          <w:bCs/>
          <w:color w:val="auto"/>
          <w:sz w:val="24"/>
          <w:szCs w:val="24"/>
          <w:highlight w:val="none"/>
        </w:rPr>
      </w:pPr>
      <w:bookmarkStart w:id="576" w:name="_Toc3537"/>
      <w:bookmarkStart w:id="577" w:name="_Toc26490"/>
      <w:bookmarkStart w:id="578" w:name="_Toc13229"/>
      <w:bookmarkStart w:id="579" w:name="_Toc28414"/>
      <w:bookmarkStart w:id="580" w:name="_Toc23542"/>
      <w:bookmarkStart w:id="581" w:name="_Toc32666"/>
      <w:bookmarkStart w:id="582" w:name="_Toc6715"/>
      <w:bookmarkStart w:id="583" w:name="_Toc13093"/>
      <w:r>
        <w:rPr>
          <w:rFonts w:hint="eastAsia" w:ascii="微软雅黑" w:hAnsi="微软雅黑" w:eastAsia="微软雅黑" w:cs="微软雅黑"/>
          <w:b/>
          <w:bCs/>
          <w:color w:val="auto"/>
          <w:sz w:val="24"/>
          <w:szCs w:val="24"/>
          <w:highlight w:val="none"/>
        </w:rPr>
        <w:t>4、技术规格偏离表</w:t>
      </w:r>
      <w:bookmarkEnd w:id="576"/>
      <w:bookmarkEnd w:id="577"/>
      <w:bookmarkEnd w:id="578"/>
      <w:bookmarkEnd w:id="579"/>
      <w:bookmarkEnd w:id="580"/>
      <w:bookmarkEnd w:id="581"/>
      <w:bookmarkEnd w:id="582"/>
      <w:bookmarkEnd w:id="583"/>
    </w:p>
    <w:p w14:paraId="116F7794">
      <w:pPr>
        <w:pStyle w:val="15"/>
        <w:ind w:left="1080" w:leftChars="257" w:hanging="540"/>
        <w:rPr>
          <w:rFonts w:ascii="微软雅黑" w:hAnsi="微软雅黑" w:eastAsia="微软雅黑" w:cs="微软雅黑"/>
          <w:color w:val="auto"/>
          <w:sz w:val="24"/>
          <w:szCs w:val="24"/>
          <w:highlight w:val="none"/>
        </w:rPr>
      </w:pPr>
    </w:p>
    <w:p w14:paraId="297E3764">
      <w:pPr>
        <w:pStyle w:val="15"/>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75708DD4">
      <w:pPr>
        <w:pStyle w:val="15"/>
        <w:ind w:left="1080" w:leftChars="257" w:hanging="540"/>
        <w:rPr>
          <w:rFonts w:ascii="微软雅黑" w:hAnsi="微软雅黑" w:eastAsia="微软雅黑" w:cs="微软雅黑"/>
          <w:color w:val="auto"/>
          <w:sz w:val="24"/>
          <w:szCs w:val="24"/>
          <w:highlight w:val="none"/>
        </w:rPr>
      </w:pPr>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04"/>
        <w:gridCol w:w="2797"/>
        <w:gridCol w:w="1506"/>
        <w:gridCol w:w="1506"/>
        <w:gridCol w:w="1076"/>
      </w:tblGrid>
      <w:tr w14:paraId="7CAA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vAlign w:val="center"/>
          </w:tcPr>
          <w:p w14:paraId="4EC8DC3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504" w:type="dxa"/>
            <w:vAlign w:val="center"/>
          </w:tcPr>
          <w:p w14:paraId="3823BFD8">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货物名称</w:t>
            </w:r>
          </w:p>
        </w:tc>
        <w:tc>
          <w:tcPr>
            <w:tcW w:w="2797" w:type="dxa"/>
            <w:vAlign w:val="center"/>
          </w:tcPr>
          <w:p w14:paraId="16360803">
            <w:pPr>
              <w:pStyle w:val="15"/>
              <w:ind w:left="269" w:leftChars="128"/>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506" w:type="dxa"/>
            <w:vAlign w:val="center"/>
          </w:tcPr>
          <w:p w14:paraId="72312F42">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1506" w:type="dxa"/>
            <w:vAlign w:val="center"/>
          </w:tcPr>
          <w:p w14:paraId="6C12ECDC">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1076" w:type="dxa"/>
            <w:vAlign w:val="center"/>
          </w:tcPr>
          <w:p w14:paraId="0C40BE5A">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ADB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705AC702">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022076B7">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586D15A1">
            <w:pPr>
              <w:pStyle w:val="15"/>
              <w:ind w:left="1080" w:leftChars="257" w:hanging="540"/>
              <w:rPr>
                <w:rFonts w:ascii="微软雅黑" w:hAnsi="微软雅黑" w:eastAsia="微软雅黑" w:cs="微软雅黑"/>
                <w:color w:val="auto"/>
                <w:sz w:val="24"/>
                <w:szCs w:val="24"/>
                <w:highlight w:val="none"/>
              </w:rPr>
            </w:pPr>
          </w:p>
        </w:tc>
        <w:tc>
          <w:tcPr>
            <w:tcW w:w="1506" w:type="dxa"/>
          </w:tcPr>
          <w:p w14:paraId="4CBC6AC3">
            <w:pPr>
              <w:pStyle w:val="15"/>
              <w:ind w:left="1080" w:leftChars="257" w:hanging="540"/>
              <w:rPr>
                <w:rFonts w:ascii="微软雅黑" w:hAnsi="微软雅黑" w:eastAsia="微软雅黑" w:cs="微软雅黑"/>
                <w:color w:val="auto"/>
                <w:sz w:val="24"/>
                <w:szCs w:val="24"/>
                <w:highlight w:val="none"/>
              </w:rPr>
            </w:pPr>
          </w:p>
        </w:tc>
        <w:tc>
          <w:tcPr>
            <w:tcW w:w="1506" w:type="dxa"/>
          </w:tcPr>
          <w:p w14:paraId="336A50CF">
            <w:pPr>
              <w:pStyle w:val="15"/>
              <w:ind w:left="1080" w:leftChars="257" w:hanging="540"/>
              <w:rPr>
                <w:rFonts w:ascii="微软雅黑" w:hAnsi="微软雅黑" w:eastAsia="微软雅黑" w:cs="微软雅黑"/>
                <w:color w:val="auto"/>
                <w:sz w:val="24"/>
                <w:szCs w:val="24"/>
                <w:highlight w:val="none"/>
              </w:rPr>
            </w:pPr>
          </w:p>
        </w:tc>
        <w:tc>
          <w:tcPr>
            <w:tcW w:w="1076" w:type="dxa"/>
          </w:tcPr>
          <w:p w14:paraId="0A0A3DBB">
            <w:pPr>
              <w:pStyle w:val="15"/>
              <w:ind w:left="1080" w:leftChars="257" w:hanging="540"/>
              <w:rPr>
                <w:rFonts w:ascii="微软雅黑" w:hAnsi="微软雅黑" w:eastAsia="微软雅黑" w:cs="微软雅黑"/>
                <w:color w:val="auto"/>
                <w:sz w:val="24"/>
                <w:szCs w:val="24"/>
                <w:highlight w:val="none"/>
              </w:rPr>
            </w:pPr>
          </w:p>
        </w:tc>
      </w:tr>
      <w:tr w14:paraId="1EC4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03840F61">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43C9FFD3">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7E34D1BB">
            <w:pPr>
              <w:pStyle w:val="15"/>
              <w:ind w:left="1080" w:leftChars="257" w:hanging="540"/>
              <w:rPr>
                <w:rFonts w:ascii="微软雅黑" w:hAnsi="微软雅黑" w:eastAsia="微软雅黑" w:cs="微软雅黑"/>
                <w:color w:val="auto"/>
                <w:sz w:val="24"/>
                <w:szCs w:val="24"/>
                <w:highlight w:val="none"/>
              </w:rPr>
            </w:pPr>
          </w:p>
        </w:tc>
        <w:tc>
          <w:tcPr>
            <w:tcW w:w="1506" w:type="dxa"/>
          </w:tcPr>
          <w:p w14:paraId="69895C6F">
            <w:pPr>
              <w:pStyle w:val="15"/>
              <w:ind w:left="1080" w:leftChars="257" w:hanging="540"/>
              <w:rPr>
                <w:rFonts w:ascii="微软雅黑" w:hAnsi="微软雅黑" w:eastAsia="微软雅黑" w:cs="微软雅黑"/>
                <w:color w:val="auto"/>
                <w:sz w:val="24"/>
                <w:szCs w:val="24"/>
                <w:highlight w:val="none"/>
              </w:rPr>
            </w:pPr>
          </w:p>
        </w:tc>
        <w:tc>
          <w:tcPr>
            <w:tcW w:w="1506" w:type="dxa"/>
          </w:tcPr>
          <w:p w14:paraId="72BACC78">
            <w:pPr>
              <w:pStyle w:val="15"/>
              <w:ind w:left="1080" w:leftChars="257" w:hanging="540"/>
              <w:rPr>
                <w:rFonts w:ascii="微软雅黑" w:hAnsi="微软雅黑" w:eastAsia="微软雅黑" w:cs="微软雅黑"/>
                <w:color w:val="auto"/>
                <w:sz w:val="24"/>
                <w:szCs w:val="24"/>
                <w:highlight w:val="none"/>
              </w:rPr>
            </w:pPr>
          </w:p>
        </w:tc>
        <w:tc>
          <w:tcPr>
            <w:tcW w:w="1076" w:type="dxa"/>
          </w:tcPr>
          <w:p w14:paraId="50D88035">
            <w:pPr>
              <w:pStyle w:val="15"/>
              <w:ind w:left="1080" w:leftChars="257" w:hanging="540"/>
              <w:rPr>
                <w:rFonts w:ascii="微软雅黑" w:hAnsi="微软雅黑" w:eastAsia="微软雅黑" w:cs="微软雅黑"/>
                <w:color w:val="auto"/>
                <w:sz w:val="24"/>
                <w:szCs w:val="24"/>
                <w:highlight w:val="none"/>
              </w:rPr>
            </w:pPr>
          </w:p>
        </w:tc>
      </w:tr>
      <w:tr w14:paraId="51AA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0E9BE931">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40C1179D">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1D7C0878">
            <w:pPr>
              <w:pStyle w:val="15"/>
              <w:ind w:left="1080" w:leftChars="257" w:hanging="540"/>
              <w:rPr>
                <w:rFonts w:ascii="微软雅黑" w:hAnsi="微软雅黑" w:eastAsia="微软雅黑" w:cs="微软雅黑"/>
                <w:color w:val="auto"/>
                <w:sz w:val="24"/>
                <w:szCs w:val="24"/>
                <w:highlight w:val="none"/>
              </w:rPr>
            </w:pPr>
          </w:p>
        </w:tc>
        <w:tc>
          <w:tcPr>
            <w:tcW w:w="1506" w:type="dxa"/>
          </w:tcPr>
          <w:p w14:paraId="3910B74C">
            <w:pPr>
              <w:pStyle w:val="15"/>
              <w:ind w:left="1080" w:leftChars="257" w:hanging="540"/>
              <w:rPr>
                <w:rFonts w:ascii="微软雅黑" w:hAnsi="微软雅黑" w:eastAsia="微软雅黑" w:cs="微软雅黑"/>
                <w:color w:val="auto"/>
                <w:sz w:val="24"/>
                <w:szCs w:val="24"/>
                <w:highlight w:val="none"/>
              </w:rPr>
            </w:pPr>
          </w:p>
        </w:tc>
        <w:tc>
          <w:tcPr>
            <w:tcW w:w="1506" w:type="dxa"/>
          </w:tcPr>
          <w:p w14:paraId="5C86C593">
            <w:pPr>
              <w:pStyle w:val="15"/>
              <w:ind w:left="1080" w:leftChars="257" w:hanging="540"/>
              <w:rPr>
                <w:rFonts w:ascii="微软雅黑" w:hAnsi="微软雅黑" w:eastAsia="微软雅黑" w:cs="微软雅黑"/>
                <w:color w:val="auto"/>
                <w:sz w:val="24"/>
                <w:szCs w:val="24"/>
                <w:highlight w:val="none"/>
              </w:rPr>
            </w:pPr>
          </w:p>
        </w:tc>
        <w:tc>
          <w:tcPr>
            <w:tcW w:w="1076" w:type="dxa"/>
          </w:tcPr>
          <w:p w14:paraId="0B3ED213">
            <w:pPr>
              <w:pStyle w:val="15"/>
              <w:ind w:left="1080" w:leftChars="257" w:hanging="540"/>
              <w:rPr>
                <w:rFonts w:ascii="微软雅黑" w:hAnsi="微软雅黑" w:eastAsia="微软雅黑" w:cs="微软雅黑"/>
                <w:color w:val="auto"/>
                <w:sz w:val="24"/>
                <w:szCs w:val="24"/>
                <w:highlight w:val="none"/>
              </w:rPr>
            </w:pPr>
          </w:p>
        </w:tc>
      </w:tr>
      <w:tr w14:paraId="010A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42188F03">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515BDCD1">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2D7B3378">
            <w:pPr>
              <w:pStyle w:val="15"/>
              <w:ind w:left="1080" w:leftChars="257" w:hanging="540"/>
              <w:rPr>
                <w:rFonts w:ascii="微软雅黑" w:hAnsi="微软雅黑" w:eastAsia="微软雅黑" w:cs="微软雅黑"/>
                <w:color w:val="auto"/>
                <w:sz w:val="24"/>
                <w:szCs w:val="24"/>
                <w:highlight w:val="none"/>
              </w:rPr>
            </w:pPr>
          </w:p>
        </w:tc>
        <w:tc>
          <w:tcPr>
            <w:tcW w:w="1506" w:type="dxa"/>
          </w:tcPr>
          <w:p w14:paraId="53358BD7">
            <w:pPr>
              <w:pStyle w:val="15"/>
              <w:ind w:left="1080" w:leftChars="257" w:hanging="540"/>
              <w:rPr>
                <w:rFonts w:ascii="微软雅黑" w:hAnsi="微软雅黑" w:eastAsia="微软雅黑" w:cs="微软雅黑"/>
                <w:color w:val="auto"/>
                <w:sz w:val="24"/>
                <w:szCs w:val="24"/>
                <w:highlight w:val="none"/>
              </w:rPr>
            </w:pPr>
          </w:p>
        </w:tc>
        <w:tc>
          <w:tcPr>
            <w:tcW w:w="1506" w:type="dxa"/>
          </w:tcPr>
          <w:p w14:paraId="1C64D924">
            <w:pPr>
              <w:pStyle w:val="15"/>
              <w:ind w:left="1080" w:leftChars="257" w:hanging="540"/>
              <w:rPr>
                <w:rFonts w:ascii="微软雅黑" w:hAnsi="微软雅黑" w:eastAsia="微软雅黑" w:cs="微软雅黑"/>
                <w:color w:val="auto"/>
                <w:sz w:val="24"/>
                <w:szCs w:val="24"/>
                <w:highlight w:val="none"/>
              </w:rPr>
            </w:pPr>
          </w:p>
        </w:tc>
        <w:tc>
          <w:tcPr>
            <w:tcW w:w="1076" w:type="dxa"/>
          </w:tcPr>
          <w:p w14:paraId="054F2EB4">
            <w:pPr>
              <w:pStyle w:val="15"/>
              <w:ind w:left="1080" w:leftChars="257" w:hanging="540"/>
              <w:rPr>
                <w:rFonts w:ascii="微软雅黑" w:hAnsi="微软雅黑" w:eastAsia="微软雅黑" w:cs="微软雅黑"/>
                <w:color w:val="auto"/>
                <w:sz w:val="24"/>
                <w:szCs w:val="24"/>
                <w:highlight w:val="none"/>
              </w:rPr>
            </w:pPr>
          </w:p>
        </w:tc>
      </w:tr>
      <w:tr w14:paraId="61D3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34A1DA7B">
            <w:pPr>
              <w:pStyle w:val="15"/>
              <w:ind w:left="1080" w:leftChars="257" w:hanging="540"/>
              <w:rPr>
                <w:rFonts w:ascii="微软雅黑" w:hAnsi="微软雅黑" w:eastAsia="微软雅黑" w:cs="微软雅黑"/>
                <w:color w:val="auto"/>
                <w:sz w:val="24"/>
                <w:szCs w:val="24"/>
                <w:highlight w:val="none"/>
              </w:rPr>
            </w:pPr>
          </w:p>
        </w:tc>
        <w:tc>
          <w:tcPr>
            <w:tcW w:w="1504" w:type="dxa"/>
            <w:shd w:val="clear" w:color="auto" w:fill="auto"/>
            <w:vAlign w:val="center"/>
          </w:tcPr>
          <w:p w14:paraId="08917A0C">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color w:val="auto"/>
                <w:kern w:val="2"/>
                <w:sz w:val="24"/>
                <w:szCs w:val="24"/>
                <w:lang w:val="en-US" w:eastAsia="zh-CN" w:bidi="ar-SA"/>
              </w:rPr>
            </w:pPr>
          </w:p>
        </w:tc>
        <w:tc>
          <w:tcPr>
            <w:tcW w:w="2797" w:type="dxa"/>
          </w:tcPr>
          <w:p w14:paraId="5DB3B3D7">
            <w:pPr>
              <w:pStyle w:val="15"/>
              <w:ind w:left="1080" w:leftChars="257" w:hanging="540"/>
              <w:rPr>
                <w:rFonts w:ascii="微软雅黑" w:hAnsi="微软雅黑" w:eastAsia="微软雅黑" w:cs="微软雅黑"/>
                <w:color w:val="auto"/>
                <w:sz w:val="24"/>
                <w:szCs w:val="24"/>
                <w:highlight w:val="none"/>
              </w:rPr>
            </w:pPr>
          </w:p>
        </w:tc>
        <w:tc>
          <w:tcPr>
            <w:tcW w:w="1506" w:type="dxa"/>
          </w:tcPr>
          <w:p w14:paraId="586A059D">
            <w:pPr>
              <w:pStyle w:val="15"/>
              <w:ind w:left="1080" w:leftChars="257" w:hanging="540"/>
              <w:rPr>
                <w:rFonts w:ascii="微软雅黑" w:hAnsi="微软雅黑" w:eastAsia="微软雅黑" w:cs="微软雅黑"/>
                <w:color w:val="auto"/>
                <w:sz w:val="24"/>
                <w:szCs w:val="24"/>
                <w:highlight w:val="none"/>
              </w:rPr>
            </w:pPr>
          </w:p>
        </w:tc>
        <w:tc>
          <w:tcPr>
            <w:tcW w:w="1506" w:type="dxa"/>
          </w:tcPr>
          <w:p w14:paraId="2BB1C2E3">
            <w:pPr>
              <w:pStyle w:val="15"/>
              <w:ind w:left="1080" w:leftChars="257" w:hanging="540"/>
              <w:rPr>
                <w:rFonts w:ascii="微软雅黑" w:hAnsi="微软雅黑" w:eastAsia="微软雅黑" w:cs="微软雅黑"/>
                <w:color w:val="auto"/>
                <w:sz w:val="24"/>
                <w:szCs w:val="24"/>
                <w:highlight w:val="none"/>
              </w:rPr>
            </w:pPr>
          </w:p>
        </w:tc>
        <w:tc>
          <w:tcPr>
            <w:tcW w:w="1076" w:type="dxa"/>
          </w:tcPr>
          <w:p w14:paraId="4EB3F926">
            <w:pPr>
              <w:pStyle w:val="15"/>
              <w:ind w:left="1080" w:leftChars="257" w:hanging="540"/>
              <w:rPr>
                <w:rFonts w:ascii="微软雅黑" w:hAnsi="微软雅黑" w:eastAsia="微软雅黑" w:cs="微软雅黑"/>
                <w:color w:val="auto"/>
                <w:sz w:val="24"/>
                <w:szCs w:val="24"/>
                <w:highlight w:val="none"/>
              </w:rPr>
            </w:pPr>
          </w:p>
        </w:tc>
      </w:tr>
      <w:tr w14:paraId="446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90" w:type="dxa"/>
          </w:tcPr>
          <w:p w14:paraId="5C8679F5">
            <w:pPr>
              <w:pStyle w:val="15"/>
              <w:ind w:left="1080" w:leftChars="257" w:hanging="540"/>
              <w:rPr>
                <w:rFonts w:ascii="微软雅黑" w:hAnsi="微软雅黑" w:eastAsia="微软雅黑" w:cs="微软雅黑"/>
                <w:color w:val="auto"/>
                <w:sz w:val="24"/>
                <w:szCs w:val="24"/>
                <w:highlight w:val="none"/>
              </w:rPr>
            </w:pPr>
          </w:p>
        </w:tc>
        <w:tc>
          <w:tcPr>
            <w:tcW w:w="1504" w:type="dxa"/>
          </w:tcPr>
          <w:p w14:paraId="4F9DA7F5">
            <w:pPr>
              <w:pStyle w:val="15"/>
              <w:ind w:left="1080" w:leftChars="257" w:hanging="540"/>
              <w:rPr>
                <w:rFonts w:ascii="微软雅黑" w:hAnsi="微软雅黑" w:eastAsia="微软雅黑" w:cs="微软雅黑"/>
                <w:color w:val="auto"/>
                <w:sz w:val="24"/>
                <w:szCs w:val="24"/>
                <w:highlight w:val="none"/>
              </w:rPr>
            </w:pPr>
          </w:p>
        </w:tc>
        <w:tc>
          <w:tcPr>
            <w:tcW w:w="2797" w:type="dxa"/>
          </w:tcPr>
          <w:p w14:paraId="4E16FC00">
            <w:pPr>
              <w:pStyle w:val="15"/>
              <w:ind w:left="1080" w:leftChars="257" w:hanging="540"/>
              <w:rPr>
                <w:rFonts w:ascii="微软雅黑" w:hAnsi="微软雅黑" w:eastAsia="微软雅黑" w:cs="微软雅黑"/>
                <w:color w:val="auto"/>
                <w:sz w:val="24"/>
                <w:szCs w:val="24"/>
                <w:highlight w:val="none"/>
              </w:rPr>
            </w:pPr>
          </w:p>
        </w:tc>
        <w:tc>
          <w:tcPr>
            <w:tcW w:w="1506" w:type="dxa"/>
          </w:tcPr>
          <w:p w14:paraId="0166A2AF">
            <w:pPr>
              <w:pStyle w:val="15"/>
              <w:ind w:left="1080" w:leftChars="257" w:hanging="540"/>
              <w:rPr>
                <w:rFonts w:ascii="微软雅黑" w:hAnsi="微软雅黑" w:eastAsia="微软雅黑" w:cs="微软雅黑"/>
                <w:color w:val="auto"/>
                <w:sz w:val="24"/>
                <w:szCs w:val="24"/>
                <w:highlight w:val="none"/>
              </w:rPr>
            </w:pPr>
          </w:p>
        </w:tc>
        <w:tc>
          <w:tcPr>
            <w:tcW w:w="1506" w:type="dxa"/>
          </w:tcPr>
          <w:p w14:paraId="00337357">
            <w:pPr>
              <w:pStyle w:val="15"/>
              <w:ind w:left="1080" w:leftChars="257" w:hanging="540"/>
              <w:rPr>
                <w:rFonts w:ascii="微软雅黑" w:hAnsi="微软雅黑" w:eastAsia="微软雅黑" w:cs="微软雅黑"/>
                <w:color w:val="auto"/>
                <w:sz w:val="24"/>
                <w:szCs w:val="24"/>
                <w:highlight w:val="none"/>
              </w:rPr>
            </w:pPr>
          </w:p>
        </w:tc>
        <w:tc>
          <w:tcPr>
            <w:tcW w:w="1076" w:type="dxa"/>
          </w:tcPr>
          <w:p w14:paraId="2E0E3333">
            <w:pPr>
              <w:pStyle w:val="15"/>
              <w:ind w:left="1080" w:leftChars="257" w:hanging="540"/>
              <w:rPr>
                <w:rFonts w:ascii="微软雅黑" w:hAnsi="微软雅黑" w:eastAsia="微软雅黑" w:cs="微软雅黑"/>
                <w:color w:val="auto"/>
                <w:sz w:val="24"/>
                <w:szCs w:val="24"/>
                <w:highlight w:val="none"/>
              </w:rPr>
            </w:pPr>
          </w:p>
        </w:tc>
      </w:tr>
      <w:tr w14:paraId="54F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90" w:type="dxa"/>
          </w:tcPr>
          <w:p w14:paraId="42984DD4">
            <w:pPr>
              <w:pStyle w:val="15"/>
              <w:ind w:left="1080" w:leftChars="257" w:hanging="540"/>
              <w:rPr>
                <w:rFonts w:ascii="微软雅黑" w:hAnsi="微软雅黑" w:eastAsia="微软雅黑" w:cs="微软雅黑"/>
                <w:color w:val="auto"/>
                <w:sz w:val="24"/>
                <w:szCs w:val="24"/>
                <w:highlight w:val="none"/>
              </w:rPr>
            </w:pPr>
          </w:p>
        </w:tc>
        <w:tc>
          <w:tcPr>
            <w:tcW w:w="1504" w:type="dxa"/>
          </w:tcPr>
          <w:p w14:paraId="1A524F42">
            <w:pPr>
              <w:pStyle w:val="15"/>
              <w:ind w:left="1080" w:leftChars="257" w:hanging="540"/>
              <w:rPr>
                <w:rFonts w:ascii="微软雅黑" w:hAnsi="微软雅黑" w:eastAsia="微软雅黑" w:cs="微软雅黑"/>
                <w:color w:val="auto"/>
                <w:sz w:val="24"/>
                <w:szCs w:val="24"/>
                <w:highlight w:val="none"/>
              </w:rPr>
            </w:pPr>
          </w:p>
        </w:tc>
        <w:tc>
          <w:tcPr>
            <w:tcW w:w="2797" w:type="dxa"/>
          </w:tcPr>
          <w:p w14:paraId="054EAA1E">
            <w:pPr>
              <w:pStyle w:val="15"/>
              <w:ind w:left="1080" w:leftChars="257" w:hanging="540"/>
              <w:rPr>
                <w:rFonts w:ascii="微软雅黑" w:hAnsi="微软雅黑" w:eastAsia="微软雅黑" w:cs="微软雅黑"/>
                <w:color w:val="auto"/>
                <w:sz w:val="24"/>
                <w:szCs w:val="24"/>
                <w:highlight w:val="none"/>
              </w:rPr>
            </w:pPr>
          </w:p>
        </w:tc>
        <w:tc>
          <w:tcPr>
            <w:tcW w:w="1506" w:type="dxa"/>
          </w:tcPr>
          <w:p w14:paraId="5C3006F6">
            <w:pPr>
              <w:pStyle w:val="15"/>
              <w:ind w:left="1080" w:leftChars="257" w:hanging="540"/>
              <w:rPr>
                <w:rFonts w:ascii="微软雅黑" w:hAnsi="微软雅黑" w:eastAsia="微软雅黑" w:cs="微软雅黑"/>
                <w:color w:val="auto"/>
                <w:sz w:val="24"/>
                <w:szCs w:val="24"/>
                <w:highlight w:val="none"/>
              </w:rPr>
            </w:pPr>
          </w:p>
        </w:tc>
        <w:tc>
          <w:tcPr>
            <w:tcW w:w="1506" w:type="dxa"/>
          </w:tcPr>
          <w:p w14:paraId="1B65B014">
            <w:pPr>
              <w:pStyle w:val="15"/>
              <w:ind w:left="1080" w:leftChars="257" w:hanging="540"/>
              <w:rPr>
                <w:rFonts w:ascii="微软雅黑" w:hAnsi="微软雅黑" w:eastAsia="微软雅黑" w:cs="微软雅黑"/>
                <w:color w:val="auto"/>
                <w:sz w:val="24"/>
                <w:szCs w:val="24"/>
                <w:highlight w:val="none"/>
              </w:rPr>
            </w:pPr>
          </w:p>
        </w:tc>
        <w:tc>
          <w:tcPr>
            <w:tcW w:w="1076" w:type="dxa"/>
          </w:tcPr>
          <w:p w14:paraId="2C8C4791">
            <w:pPr>
              <w:pStyle w:val="15"/>
              <w:ind w:left="1080" w:leftChars="257" w:hanging="540"/>
              <w:rPr>
                <w:rFonts w:ascii="微软雅黑" w:hAnsi="微软雅黑" w:eastAsia="微软雅黑" w:cs="微软雅黑"/>
                <w:color w:val="auto"/>
                <w:sz w:val="24"/>
                <w:szCs w:val="24"/>
                <w:highlight w:val="none"/>
              </w:rPr>
            </w:pPr>
          </w:p>
        </w:tc>
      </w:tr>
    </w:tbl>
    <w:p w14:paraId="72B8F536">
      <w:pPr>
        <w:pStyle w:val="15"/>
        <w:rPr>
          <w:rFonts w:ascii="微软雅黑" w:hAnsi="微软雅黑" w:eastAsia="微软雅黑" w:cs="微软雅黑"/>
          <w:color w:val="auto"/>
          <w:sz w:val="24"/>
          <w:szCs w:val="24"/>
          <w:highlight w:val="none"/>
        </w:rPr>
      </w:pPr>
    </w:p>
    <w:p w14:paraId="06FA1928">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244BA54D">
      <w:pPr>
        <w:pStyle w:val="15"/>
        <w:tabs>
          <w:tab w:val="left" w:pos="5370"/>
        </w:tabs>
        <w:ind w:left="1080" w:leftChars="257" w:hanging="540"/>
        <w:rPr>
          <w:rFonts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4"/>
          <w:szCs w:val="24"/>
          <w:highlight w:val="none"/>
        </w:rPr>
        <w:t>供应商(公章):</w:t>
      </w:r>
    </w:p>
    <w:bookmarkEnd w:id="564"/>
    <w:bookmarkEnd w:id="565"/>
    <w:bookmarkEnd w:id="566"/>
    <w:bookmarkEnd w:id="567"/>
    <w:p w14:paraId="2A1C386E">
      <w:pPr>
        <w:ind w:firstLine="2310" w:firstLineChars="1100"/>
        <w:rPr>
          <w:rFonts w:ascii="微软雅黑" w:hAnsi="微软雅黑" w:eastAsia="微软雅黑" w:cs="微软雅黑"/>
          <w:color w:val="auto"/>
          <w:highlight w:val="none"/>
        </w:rPr>
      </w:pPr>
      <w:bookmarkStart w:id="584" w:name="_Toc515647821"/>
      <w:bookmarkStart w:id="585" w:name="_Toc23"/>
      <w:bookmarkStart w:id="586" w:name="_Toc31439"/>
      <w:bookmarkStart w:id="587" w:name="_Toc1980"/>
      <w:bookmarkStart w:id="588" w:name="_Toc216582818"/>
    </w:p>
    <w:p w14:paraId="12156C25">
      <w:pPr>
        <w:ind w:firstLine="2310" w:firstLineChars="1100"/>
        <w:rPr>
          <w:rFonts w:ascii="微软雅黑" w:hAnsi="微软雅黑" w:eastAsia="微软雅黑" w:cs="微软雅黑"/>
          <w:color w:val="auto"/>
          <w:highlight w:val="none"/>
        </w:rPr>
      </w:pPr>
    </w:p>
    <w:p w14:paraId="7BEAE50C">
      <w:pPr>
        <w:rPr>
          <w:rFonts w:ascii="微软雅黑" w:hAnsi="微软雅黑" w:eastAsia="微软雅黑" w:cs="微软雅黑"/>
          <w:color w:val="auto"/>
          <w:highlight w:val="none"/>
        </w:rPr>
      </w:pPr>
    </w:p>
    <w:p w14:paraId="15EF41B7">
      <w:pPr>
        <w:pStyle w:val="4"/>
        <w:rPr>
          <w:rFonts w:ascii="微软雅黑" w:hAnsi="微软雅黑" w:eastAsia="微软雅黑" w:cs="微软雅黑"/>
          <w:color w:val="auto"/>
          <w:highlight w:val="none"/>
        </w:rPr>
      </w:pPr>
    </w:p>
    <w:p w14:paraId="1819BF47">
      <w:pPr>
        <w:rPr>
          <w:rFonts w:ascii="微软雅黑" w:hAnsi="微软雅黑" w:eastAsia="微软雅黑" w:cs="微软雅黑"/>
          <w:color w:val="auto"/>
          <w:highlight w:val="none"/>
        </w:rPr>
      </w:pPr>
    </w:p>
    <w:p w14:paraId="7879B145">
      <w:pPr>
        <w:pStyle w:val="4"/>
        <w:rPr>
          <w:rFonts w:ascii="微软雅黑" w:hAnsi="微软雅黑" w:eastAsia="微软雅黑" w:cs="微软雅黑"/>
          <w:color w:val="auto"/>
          <w:highlight w:val="none"/>
        </w:rPr>
      </w:pPr>
    </w:p>
    <w:p w14:paraId="7289DB36">
      <w:pPr>
        <w:rPr>
          <w:rFonts w:ascii="微软雅黑" w:hAnsi="微软雅黑" w:eastAsia="微软雅黑" w:cs="微软雅黑"/>
          <w:color w:val="auto"/>
          <w:highlight w:val="none"/>
        </w:rPr>
      </w:pPr>
    </w:p>
    <w:p w14:paraId="545B8CAB">
      <w:pPr>
        <w:pStyle w:val="4"/>
        <w:rPr>
          <w:rFonts w:ascii="微软雅黑" w:hAnsi="微软雅黑" w:eastAsia="微软雅黑" w:cs="微软雅黑"/>
          <w:color w:val="auto"/>
          <w:highlight w:val="none"/>
        </w:rPr>
      </w:pPr>
    </w:p>
    <w:p w14:paraId="03785922">
      <w:pPr>
        <w:pStyle w:val="5"/>
        <w:rPr>
          <w:rFonts w:ascii="微软雅黑" w:hAnsi="微软雅黑" w:eastAsia="微软雅黑" w:cs="微软雅黑"/>
          <w:color w:val="auto"/>
          <w:highlight w:val="none"/>
        </w:rPr>
      </w:pPr>
    </w:p>
    <w:p w14:paraId="16CA6EBF">
      <w:pPr>
        <w:rPr>
          <w:color w:val="auto"/>
          <w:highlight w:val="none"/>
        </w:rPr>
      </w:pPr>
    </w:p>
    <w:p w14:paraId="0FD667EC">
      <w:pPr>
        <w:rPr>
          <w:color w:val="auto"/>
          <w:highlight w:val="none"/>
        </w:rPr>
      </w:pPr>
    </w:p>
    <w:p w14:paraId="500A0DA8">
      <w:pPr>
        <w:pStyle w:val="54"/>
        <w:ind w:left="0" w:leftChars="0" w:firstLine="0" w:firstLineChars="0"/>
        <w:jc w:val="both"/>
        <w:outlineLvl w:val="9"/>
        <w:rPr>
          <w:rFonts w:ascii="微软雅黑" w:hAnsi="微软雅黑" w:eastAsia="微软雅黑" w:cs="微软雅黑"/>
          <w:color w:val="auto"/>
          <w:sz w:val="21"/>
          <w:szCs w:val="21"/>
          <w:highlight w:val="none"/>
        </w:rPr>
      </w:pPr>
    </w:p>
    <w:bookmarkEnd w:id="584"/>
    <w:bookmarkEnd w:id="585"/>
    <w:bookmarkEnd w:id="586"/>
    <w:bookmarkEnd w:id="587"/>
    <w:bookmarkEnd w:id="588"/>
    <w:p w14:paraId="39893FEF">
      <w:pPr>
        <w:pStyle w:val="3"/>
        <w:spacing w:before="0" w:line="240" w:lineRule="auto"/>
        <w:rPr>
          <w:rFonts w:ascii="微软雅黑" w:hAnsi="微软雅黑" w:eastAsia="微软雅黑" w:cs="微软雅黑"/>
          <w:b/>
          <w:bCs/>
          <w:color w:val="auto"/>
          <w:kern w:val="2"/>
          <w:sz w:val="24"/>
          <w:szCs w:val="24"/>
          <w:highlight w:val="none"/>
        </w:rPr>
      </w:pPr>
      <w:bookmarkStart w:id="589" w:name="_Toc22640"/>
      <w:bookmarkStart w:id="590" w:name="_Toc14878"/>
      <w:bookmarkStart w:id="591" w:name="_Toc29782"/>
      <w:bookmarkStart w:id="592" w:name="_Toc7965"/>
      <w:bookmarkStart w:id="593" w:name="_Toc28566"/>
      <w:bookmarkStart w:id="594" w:name="_Toc29562"/>
      <w:bookmarkStart w:id="595" w:name="_Toc1896"/>
      <w:bookmarkStart w:id="596" w:name="_Toc24526"/>
      <w:r>
        <w:rPr>
          <w:rFonts w:hint="eastAsia" w:ascii="微软雅黑" w:hAnsi="微软雅黑" w:eastAsia="微软雅黑" w:cs="微软雅黑"/>
          <w:b/>
          <w:bCs/>
          <w:color w:val="auto"/>
          <w:kern w:val="2"/>
          <w:sz w:val="24"/>
          <w:szCs w:val="24"/>
          <w:highlight w:val="none"/>
        </w:rPr>
        <w:t>5、商务条款偏离表</w:t>
      </w:r>
      <w:bookmarkEnd w:id="589"/>
      <w:bookmarkEnd w:id="590"/>
      <w:bookmarkEnd w:id="591"/>
      <w:bookmarkEnd w:id="592"/>
      <w:bookmarkEnd w:id="593"/>
      <w:bookmarkEnd w:id="594"/>
      <w:bookmarkEnd w:id="595"/>
      <w:bookmarkEnd w:id="596"/>
    </w:p>
    <w:p w14:paraId="14DEB7CC">
      <w:pPr>
        <w:pStyle w:val="15"/>
        <w:ind w:left="1080" w:leftChars="257" w:hanging="540"/>
        <w:rPr>
          <w:rFonts w:ascii="微软雅黑" w:hAnsi="微软雅黑" w:eastAsia="微软雅黑" w:cs="微软雅黑"/>
          <w:color w:val="auto"/>
          <w:sz w:val="24"/>
          <w:szCs w:val="24"/>
          <w:highlight w:val="none"/>
        </w:rPr>
      </w:pPr>
    </w:p>
    <w:p w14:paraId="1A5499CD">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项目名称:                      项目编号:             包号:</w:t>
      </w:r>
    </w:p>
    <w:p w14:paraId="582FD1B8">
      <w:pPr>
        <w:pStyle w:val="15"/>
        <w:ind w:left="1080" w:leftChars="257" w:hanging="540"/>
        <w:rPr>
          <w:rFonts w:ascii="微软雅黑" w:hAnsi="微软雅黑" w:eastAsia="微软雅黑" w:cs="微软雅黑"/>
          <w:color w:val="auto"/>
          <w:sz w:val="24"/>
          <w:szCs w:val="24"/>
          <w:highlight w:val="none"/>
        </w:rPr>
      </w:pPr>
    </w:p>
    <w:tbl>
      <w:tblPr>
        <w:tblStyle w:val="3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gridCol w:w="957"/>
      </w:tblGrid>
      <w:tr w14:paraId="23E6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5" w:type="dxa"/>
          </w:tcPr>
          <w:p w14:paraId="71301656">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926" w:type="dxa"/>
          </w:tcPr>
          <w:p w14:paraId="1F1F1053">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380" w:type="dxa"/>
          </w:tcPr>
          <w:p w14:paraId="3054702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380" w:type="dxa"/>
          </w:tcPr>
          <w:p w14:paraId="5014A920">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957" w:type="dxa"/>
          </w:tcPr>
          <w:p w14:paraId="18F961AD">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7" w:type="dxa"/>
          </w:tcPr>
          <w:p w14:paraId="682BC8D7">
            <w:pPr>
              <w:pStyle w:val="15"/>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E6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6B9123D">
            <w:pPr>
              <w:pStyle w:val="15"/>
              <w:ind w:left="1080" w:leftChars="257" w:hanging="540"/>
              <w:rPr>
                <w:rFonts w:ascii="微软雅黑" w:hAnsi="微软雅黑" w:eastAsia="微软雅黑" w:cs="微软雅黑"/>
                <w:color w:val="auto"/>
                <w:sz w:val="24"/>
                <w:szCs w:val="24"/>
                <w:highlight w:val="none"/>
              </w:rPr>
            </w:pPr>
          </w:p>
        </w:tc>
        <w:tc>
          <w:tcPr>
            <w:tcW w:w="1926" w:type="dxa"/>
          </w:tcPr>
          <w:p w14:paraId="09D2A769">
            <w:pPr>
              <w:pStyle w:val="15"/>
              <w:ind w:left="1080" w:leftChars="257" w:hanging="540"/>
              <w:rPr>
                <w:rFonts w:ascii="微软雅黑" w:hAnsi="微软雅黑" w:eastAsia="微软雅黑" w:cs="微软雅黑"/>
                <w:color w:val="auto"/>
                <w:sz w:val="24"/>
                <w:szCs w:val="24"/>
                <w:highlight w:val="none"/>
              </w:rPr>
            </w:pPr>
          </w:p>
        </w:tc>
        <w:tc>
          <w:tcPr>
            <w:tcW w:w="2380" w:type="dxa"/>
          </w:tcPr>
          <w:p w14:paraId="13066BC1">
            <w:pPr>
              <w:pStyle w:val="15"/>
              <w:ind w:left="1080" w:leftChars="257" w:hanging="540"/>
              <w:jc w:val="center"/>
              <w:rPr>
                <w:rFonts w:ascii="微软雅黑" w:hAnsi="微软雅黑" w:eastAsia="微软雅黑" w:cs="微软雅黑"/>
                <w:color w:val="auto"/>
                <w:sz w:val="24"/>
                <w:szCs w:val="24"/>
                <w:highlight w:val="none"/>
              </w:rPr>
            </w:pPr>
          </w:p>
        </w:tc>
        <w:tc>
          <w:tcPr>
            <w:tcW w:w="2380" w:type="dxa"/>
          </w:tcPr>
          <w:p w14:paraId="194916EB">
            <w:pPr>
              <w:pStyle w:val="15"/>
              <w:ind w:left="1080" w:leftChars="257" w:hanging="540"/>
              <w:jc w:val="center"/>
              <w:rPr>
                <w:rFonts w:ascii="微软雅黑" w:hAnsi="微软雅黑" w:eastAsia="微软雅黑" w:cs="微软雅黑"/>
                <w:color w:val="auto"/>
                <w:sz w:val="24"/>
                <w:szCs w:val="24"/>
                <w:highlight w:val="none"/>
              </w:rPr>
            </w:pPr>
          </w:p>
        </w:tc>
        <w:tc>
          <w:tcPr>
            <w:tcW w:w="957" w:type="dxa"/>
          </w:tcPr>
          <w:p w14:paraId="2D793DAE">
            <w:pPr>
              <w:pStyle w:val="15"/>
              <w:ind w:left="1080" w:leftChars="257" w:hanging="540"/>
              <w:rPr>
                <w:rFonts w:ascii="微软雅黑" w:hAnsi="微软雅黑" w:eastAsia="微软雅黑" w:cs="微软雅黑"/>
                <w:color w:val="auto"/>
                <w:sz w:val="24"/>
                <w:szCs w:val="24"/>
                <w:highlight w:val="none"/>
              </w:rPr>
            </w:pPr>
          </w:p>
        </w:tc>
        <w:tc>
          <w:tcPr>
            <w:tcW w:w="957" w:type="dxa"/>
          </w:tcPr>
          <w:p w14:paraId="60A3E537">
            <w:pPr>
              <w:pStyle w:val="15"/>
              <w:ind w:left="1080" w:leftChars="257" w:hanging="540"/>
              <w:rPr>
                <w:rFonts w:ascii="微软雅黑" w:hAnsi="微软雅黑" w:eastAsia="微软雅黑" w:cs="微软雅黑"/>
                <w:color w:val="auto"/>
                <w:sz w:val="24"/>
                <w:szCs w:val="24"/>
                <w:highlight w:val="none"/>
              </w:rPr>
            </w:pPr>
          </w:p>
        </w:tc>
      </w:tr>
      <w:tr w14:paraId="7437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E29D4D8">
            <w:pPr>
              <w:pStyle w:val="15"/>
              <w:ind w:left="1080" w:leftChars="257" w:hanging="540"/>
              <w:rPr>
                <w:rFonts w:ascii="微软雅黑" w:hAnsi="微软雅黑" w:eastAsia="微软雅黑" w:cs="微软雅黑"/>
                <w:color w:val="auto"/>
                <w:sz w:val="24"/>
                <w:szCs w:val="24"/>
                <w:highlight w:val="none"/>
              </w:rPr>
            </w:pPr>
          </w:p>
        </w:tc>
        <w:tc>
          <w:tcPr>
            <w:tcW w:w="1926" w:type="dxa"/>
          </w:tcPr>
          <w:p w14:paraId="254329A4">
            <w:pPr>
              <w:pStyle w:val="15"/>
              <w:ind w:left="1080" w:leftChars="257" w:hanging="540"/>
              <w:rPr>
                <w:rFonts w:ascii="微软雅黑" w:hAnsi="微软雅黑" w:eastAsia="微软雅黑" w:cs="微软雅黑"/>
                <w:color w:val="auto"/>
                <w:sz w:val="24"/>
                <w:szCs w:val="24"/>
                <w:highlight w:val="none"/>
              </w:rPr>
            </w:pPr>
          </w:p>
        </w:tc>
        <w:tc>
          <w:tcPr>
            <w:tcW w:w="2380" w:type="dxa"/>
          </w:tcPr>
          <w:p w14:paraId="02A9F45B">
            <w:pPr>
              <w:pStyle w:val="15"/>
              <w:ind w:left="1080" w:leftChars="257" w:hanging="540"/>
              <w:rPr>
                <w:rFonts w:ascii="微软雅黑" w:hAnsi="微软雅黑" w:eastAsia="微软雅黑" w:cs="微软雅黑"/>
                <w:color w:val="auto"/>
                <w:sz w:val="24"/>
                <w:szCs w:val="24"/>
                <w:highlight w:val="none"/>
              </w:rPr>
            </w:pPr>
          </w:p>
        </w:tc>
        <w:tc>
          <w:tcPr>
            <w:tcW w:w="2380" w:type="dxa"/>
          </w:tcPr>
          <w:p w14:paraId="3B9CE391">
            <w:pPr>
              <w:pStyle w:val="15"/>
              <w:ind w:left="1080" w:leftChars="257" w:hanging="540"/>
              <w:rPr>
                <w:rFonts w:ascii="微软雅黑" w:hAnsi="微软雅黑" w:eastAsia="微软雅黑" w:cs="微软雅黑"/>
                <w:color w:val="auto"/>
                <w:sz w:val="24"/>
                <w:szCs w:val="24"/>
                <w:highlight w:val="none"/>
              </w:rPr>
            </w:pPr>
          </w:p>
        </w:tc>
        <w:tc>
          <w:tcPr>
            <w:tcW w:w="957" w:type="dxa"/>
          </w:tcPr>
          <w:p w14:paraId="6E894377">
            <w:pPr>
              <w:pStyle w:val="15"/>
              <w:ind w:left="1080" w:leftChars="257" w:hanging="540"/>
              <w:rPr>
                <w:rFonts w:ascii="微软雅黑" w:hAnsi="微软雅黑" w:eastAsia="微软雅黑" w:cs="微软雅黑"/>
                <w:color w:val="auto"/>
                <w:sz w:val="24"/>
                <w:szCs w:val="24"/>
                <w:highlight w:val="none"/>
              </w:rPr>
            </w:pPr>
          </w:p>
        </w:tc>
        <w:tc>
          <w:tcPr>
            <w:tcW w:w="957" w:type="dxa"/>
          </w:tcPr>
          <w:p w14:paraId="4C9E66F1">
            <w:pPr>
              <w:pStyle w:val="15"/>
              <w:ind w:left="1080" w:leftChars="257" w:hanging="540"/>
              <w:rPr>
                <w:rFonts w:ascii="微软雅黑" w:hAnsi="微软雅黑" w:eastAsia="微软雅黑" w:cs="微软雅黑"/>
                <w:color w:val="auto"/>
                <w:sz w:val="24"/>
                <w:szCs w:val="24"/>
                <w:highlight w:val="none"/>
              </w:rPr>
            </w:pPr>
          </w:p>
        </w:tc>
      </w:tr>
      <w:tr w14:paraId="4E4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25F894B">
            <w:pPr>
              <w:pStyle w:val="15"/>
              <w:ind w:left="1080" w:leftChars="257" w:hanging="540"/>
              <w:rPr>
                <w:rFonts w:ascii="微软雅黑" w:hAnsi="微软雅黑" w:eastAsia="微软雅黑" w:cs="微软雅黑"/>
                <w:color w:val="auto"/>
                <w:sz w:val="24"/>
                <w:szCs w:val="24"/>
                <w:highlight w:val="none"/>
              </w:rPr>
            </w:pPr>
          </w:p>
        </w:tc>
        <w:tc>
          <w:tcPr>
            <w:tcW w:w="1926" w:type="dxa"/>
          </w:tcPr>
          <w:p w14:paraId="3B3A504C">
            <w:pPr>
              <w:pStyle w:val="15"/>
              <w:ind w:left="1080" w:leftChars="257" w:hanging="540"/>
              <w:rPr>
                <w:rFonts w:ascii="微软雅黑" w:hAnsi="微软雅黑" w:eastAsia="微软雅黑" w:cs="微软雅黑"/>
                <w:color w:val="auto"/>
                <w:sz w:val="24"/>
                <w:szCs w:val="24"/>
                <w:highlight w:val="none"/>
              </w:rPr>
            </w:pPr>
          </w:p>
        </w:tc>
        <w:tc>
          <w:tcPr>
            <w:tcW w:w="2380" w:type="dxa"/>
          </w:tcPr>
          <w:p w14:paraId="061D45E5">
            <w:pPr>
              <w:pStyle w:val="15"/>
              <w:ind w:left="1080" w:leftChars="257" w:hanging="540"/>
              <w:rPr>
                <w:rFonts w:ascii="微软雅黑" w:hAnsi="微软雅黑" w:eastAsia="微软雅黑" w:cs="微软雅黑"/>
                <w:color w:val="auto"/>
                <w:sz w:val="24"/>
                <w:szCs w:val="24"/>
                <w:highlight w:val="none"/>
              </w:rPr>
            </w:pPr>
          </w:p>
        </w:tc>
        <w:tc>
          <w:tcPr>
            <w:tcW w:w="2380" w:type="dxa"/>
          </w:tcPr>
          <w:p w14:paraId="1AB7FA83">
            <w:pPr>
              <w:pStyle w:val="15"/>
              <w:ind w:left="1080" w:leftChars="257" w:hanging="540"/>
              <w:rPr>
                <w:rFonts w:ascii="微软雅黑" w:hAnsi="微软雅黑" w:eastAsia="微软雅黑" w:cs="微软雅黑"/>
                <w:color w:val="auto"/>
                <w:sz w:val="24"/>
                <w:szCs w:val="24"/>
                <w:highlight w:val="none"/>
              </w:rPr>
            </w:pPr>
          </w:p>
        </w:tc>
        <w:tc>
          <w:tcPr>
            <w:tcW w:w="957" w:type="dxa"/>
          </w:tcPr>
          <w:p w14:paraId="03ED892A">
            <w:pPr>
              <w:pStyle w:val="15"/>
              <w:ind w:left="1080" w:leftChars="257" w:hanging="540"/>
              <w:rPr>
                <w:rFonts w:ascii="微软雅黑" w:hAnsi="微软雅黑" w:eastAsia="微软雅黑" w:cs="微软雅黑"/>
                <w:color w:val="auto"/>
                <w:sz w:val="24"/>
                <w:szCs w:val="24"/>
                <w:highlight w:val="none"/>
              </w:rPr>
            </w:pPr>
          </w:p>
        </w:tc>
        <w:tc>
          <w:tcPr>
            <w:tcW w:w="957" w:type="dxa"/>
          </w:tcPr>
          <w:p w14:paraId="19472826">
            <w:pPr>
              <w:pStyle w:val="15"/>
              <w:ind w:left="1080" w:leftChars="257" w:hanging="540"/>
              <w:rPr>
                <w:rFonts w:ascii="微软雅黑" w:hAnsi="微软雅黑" w:eastAsia="微软雅黑" w:cs="微软雅黑"/>
                <w:color w:val="auto"/>
                <w:sz w:val="24"/>
                <w:szCs w:val="24"/>
                <w:highlight w:val="none"/>
              </w:rPr>
            </w:pPr>
          </w:p>
        </w:tc>
      </w:tr>
      <w:tr w14:paraId="3E5E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B216D52">
            <w:pPr>
              <w:pStyle w:val="15"/>
              <w:ind w:left="1080" w:leftChars="257" w:hanging="540"/>
              <w:rPr>
                <w:rFonts w:ascii="微软雅黑" w:hAnsi="微软雅黑" w:eastAsia="微软雅黑" w:cs="微软雅黑"/>
                <w:color w:val="auto"/>
                <w:sz w:val="24"/>
                <w:szCs w:val="24"/>
                <w:highlight w:val="none"/>
              </w:rPr>
            </w:pPr>
          </w:p>
        </w:tc>
        <w:tc>
          <w:tcPr>
            <w:tcW w:w="1926" w:type="dxa"/>
          </w:tcPr>
          <w:p w14:paraId="3F73DF71">
            <w:pPr>
              <w:pStyle w:val="15"/>
              <w:ind w:left="1080" w:leftChars="257" w:hanging="540"/>
              <w:rPr>
                <w:rFonts w:ascii="微软雅黑" w:hAnsi="微软雅黑" w:eastAsia="微软雅黑" w:cs="微软雅黑"/>
                <w:color w:val="auto"/>
                <w:sz w:val="24"/>
                <w:szCs w:val="24"/>
                <w:highlight w:val="none"/>
              </w:rPr>
            </w:pPr>
          </w:p>
        </w:tc>
        <w:tc>
          <w:tcPr>
            <w:tcW w:w="2380" w:type="dxa"/>
          </w:tcPr>
          <w:p w14:paraId="24AC095D">
            <w:pPr>
              <w:pStyle w:val="15"/>
              <w:ind w:left="1080" w:leftChars="257" w:hanging="540"/>
              <w:rPr>
                <w:rFonts w:ascii="微软雅黑" w:hAnsi="微软雅黑" w:eastAsia="微软雅黑" w:cs="微软雅黑"/>
                <w:color w:val="auto"/>
                <w:sz w:val="24"/>
                <w:szCs w:val="24"/>
                <w:highlight w:val="none"/>
              </w:rPr>
            </w:pPr>
          </w:p>
        </w:tc>
        <w:tc>
          <w:tcPr>
            <w:tcW w:w="2380" w:type="dxa"/>
          </w:tcPr>
          <w:p w14:paraId="3EF0DBE5">
            <w:pPr>
              <w:pStyle w:val="15"/>
              <w:ind w:left="1080" w:leftChars="257" w:hanging="540"/>
              <w:rPr>
                <w:rFonts w:ascii="微软雅黑" w:hAnsi="微软雅黑" w:eastAsia="微软雅黑" w:cs="微软雅黑"/>
                <w:color w:val="auto"/>
                <w:sz w:val="24"/>
                <w:szCs w:val="24"/>
                <w:highlight w:val="none"/>
              </w:rPr>
            </w:pPr>
          </w:p>
        </w:tc>
        <w:tc>
          <w:tcPr>
            <w:tcW w:w="957" w:type="dxa"/>
          </w:tcPr>
          <w:p w14:paraId="51A46A45">
            <w:pPr>
              <w:pStyle w:val="15"/>
              <w:ind w:left="1080" w:leftChars="257" w:hanging="540"/>
              <w:rPr>
                <w:rFonts w:ascii="微软雅黑" w:hAnsi="微软雅黑" w:eastAsia="微软雅黑" w:cs="微软雅黑"/>
                <w:color w:val="auto"/>
                <w:sz w:val="24"/>
                <w:szCs w:val="24"/>
                <w:highlight w:val="none"/>
              </w:rPr>
            </w:pPr>
          </w:p>
        </w:tc>
        <w:tc>
          <w:tcPr>
            <w:tcW w:w="957" w:type="dxa"/>
          </w:tcPr>
          <w:p w14:paraId="5ED243D7">
            <w:pPr>
              <w:pStyle w:val="15"/>
              <w:ind w:left="1080" w:leftChars="257" w:hanging="540"/>
              <w:rPr>
                <w:rFonts w:ascii="微软雅黑" w:hAnsi="微软雅黑" w:eastAsia="微软雅黑" w:cs="微软雅黑"/>
                <w:color w:val="auto"/>
                <w:sz w:val="24"/>
                <w:szCs w:val="24"/>
                <w:highlight w:val="none"/>
              </w:rPr>
            </w:pPr>
          </w:p>
        </w:tc>
      </w:tr>
      <w:tr w14:paraId="1881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8F4ABB8">
            <w:pPr>
              <w:pStyle w:val="15"/>
              <w:ind w:left="1080" w:leftChars="257" w:hanging="540"/>
              <w:rPr>
                <w:rFonts w:ascii="微软雅黑" w:hAnsi="微软雅黑" w:eastAsia="微软雅黑" w:cs="微软雅黑"/>
                <w:color w:val="auto"/>
                <w:sz w:val="24"/>
                <w:szCs w:val="24"/>
                <w:highlight w:val="none"/>
              </w:rPr>
            </w:pPr>
          </w:p>
        </w:tc>
        <w:tc>
          <w:tcPr>
            <w:tcW w:w="1926" w:type="dxa"/>
          </w:tcPr>
          <w:p w14:paraId="29FD7D51">
            <w:pPr>
              <w:pStyle w:val="15"/>
              <w:ind w:left="1080" w:leftChars="257" w:hanging="540"/>
              <w:rPr>
                <w:rFonts w:ascii="微软雅黑" w:hAnsi="微软雅黑" w:eastAsia="微软雅黑" w:cs="微软雅黑"/>
                <w:color w:val="auto"/>
                <w:sz w:val="24"/>
                <w:szCs w:val="24"/>
                <w:highlight w:val="none"/>
              </w:rPr>
            </w:pPr>
          </w:p>
        </w:tc>
        <w:tc>
          <w:tcPr>
            <w:tcW w:w="2380" w:type="dxa"/>
          </w:tcPr>
          <w:p w14:paraId="664CABC9">
            <w:pPr>
              <w:pStyle w:val="15"/>
              <w:ind w:left="1080" w:leftChars="257" w:hanging="540"/>
              <w:rPr>
                <w:rFonts w:ascii="微软雅黑" w:hAnsi="微软雅黑" w:eastAsia="微软雅黑" w:cs="微软雅黑"/>
                <w:color w:val="auto"/>
                <w:sz w:val="24"/>
                <w:szCs w:val="24"/>
                <w:highlight w:val="none"/>
              </w:rPr>
            </w:pPr>
          </w:p>
        </w:tc>
        <w:tc>
          <w:tcPr>
            <w:tcW w:w="2380" w:type="dxa"/>
          </w:tcPr>
          <w:p w14:paraId="3777ECF4">
            <w:pPr>
              <w:pStyle w:val="15"/>
              <w:ind w:left="1080" w:leftChars="257" w:hanging="540"/>
              <w:rPr>
                <w:rFonts w:ascii="微软雅黑" w:hAnsi="微软雅黑" w:eastAsia="微软雅黑" w:cs="微软雅黑"/>
                <w:color w:val="auto"/>
                <w:sz w:val="24"/>
                <w:szCs w:val="24"/>
                <w:highlight w:val="none"/>
              </w:rPr>
            </w:pPr>
          </w:p>
        </w:tc>
        <w:tc>
          <w:tcPr>
            <w:tcW w:w="957" w:type="dxa"/>
          </w:tcPr>
          <w:p w14:paraId="069DD157">
            <w:pPr>
              <w:pStyle w:val="15"/>
              <w:ind w:left="1080" w:leftChars="257" w:hanging="540"/>
              <w:rPr>
                <w:rFonts w:ascii="微软雅黑" w:hAnsi="微软雅黑" w:eastAsia="微软雅黑" w:cs="微软雅黑"/>
                <w:color w:val="auto"/>
                <w:sz w:val="24"/>
                <w:szCs w:val="24"/>
                <w:highlight w:val="none"/>
              </w:rPr>
            </w:pPr>
          </w:p>
        </w:tc>
        <w:tc>
          <w:tcPr>
            <w:tcW w:w="957" w:type="dxa"/>
          </w:tcPr>
          <w:p w14:paraId="3398E548">
            <w:pPr>
              <w:pStyle w:val="15"/>
              <w:ind w:left="1080" w:leftChars="257" w:hanging="540"/>
              <w:rPr>
                <w:rFonts w:ascii="微软雅黑" w:hAnsi="微软雅黑" w:eastAsia="微软雅黑" w:cs="微软雅黑"/>
                <w:color w:val="auto"/>
                <w:sz w:val="24"/>
                <w:szCs w:val="24"/>
                <w:highlight w:val="none"/>
              </w:rPr>
            </w:pPr>
          </w:p>
        </w:tc>
      </w:tr>
      <w:tr w14:paraId="7E25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DD9B04E">
            <w:pPr>
              <w:pStyle w:val="15"/>
              <w:ind w:left="1080" w:leftChars="257" w:hanging="540"/>
              <w:rPr>
                <w:rFonts w:ascii="微软雅黑" w:hAnsi="微软雅黑" w:eastAsia="微软雅黑" w:cs="微软雅黑"/>
                <w:color w:val="auto"/>
                <w:sz w:val="24"/>
                <w:szCs w:val="24"/>
                <w:highlight w:val="none"/>
              </w:rPr>
            </w:pPr>
          </w:p>
        </w:tc>
        <w:tc>
          <w:tcPr>
            <w:tcW w:w="1926" w:type="dxa"/>
          </w:tcPr>
          <w:p w14:paraId="0F154E23">
            <w:pPr>
              <w:pStyle w:val="15"/>
              <w:ind w:left="1080" w:leftChars="257" w:hanging="540"/>
              <w:rPr>
                <w:rFonts w:ascii="微软雅黑" w:hAnsi="微软雅黑" w:eastAsia="微软雅黑" w:cs="微软雅黑"/>
                <w:color w:val="auto"/>
                <w:sz w:val="24"/>
                <w:szCs w:val="24"/>
                <w:highlight w:val="none"/>
              </w:rPr>
            </w:pPr>
          </w:p>
        </w:tc>
        <w:tc>
          <w:tcPr>
            <w:tcW w:w="2380" w:type="dxa"/>
          </w:tcPr>
          <w:p w14:paraId="5BA9097D">
            <w:pPr>
              <w:pStyle w:val="15"/>
              <w:ind w:left="1080" w:leftChars="257" w:hanging="540"/>
              <w:rPr>
                <w:rFonts w:ascii="微软雅黑" w:hAnsi="微软雅黑" w:eastAsia="微软雅黑" w:cs="微软雅黑"/>
                <w:color w:val="auto"/>
                <w:sz w:val="24"/>
                <w:szCs w:val="24"/>
                <w:highlight w:val="none"/>
              </w:rPr>
            </w:pPr>
          </w:p>
        </w:tc>
        <w:tc>
          <w:tcPr>
            <w:tcW w:w="2380" w:type="dxa"/>
          </w:tcPr>
          <w:p w14:paraId="57D3B0F8">
            <w:pPr>
              <w:pStyle w:val="15"/>
              <w:ind w:left="1080" w:leftChars="257" w:hanging="540"/>
              <w:rPr>
                <w:rFonts w:ascii="微软雅黑" w:hAnsi="微软雅黑" w:eastAsia="微软雅黑" w:cs="微软雅黑"/>
                <w:color w:val="auto"/>
                <w:sz w:val="24"/>
                <w:szCs w:val="24"/>
                <w:highlight w:val="none"/>
              </w:rPr>
            </w:pPr>
          </w:p>
        </w:tc>
        <w:tc>
          <w:tcPr>
            <w:tcW w:w="957" w:type="dxa"/>
          </w:tcPr>
          <w:p w14:paraId="1E82D051">
            <w:pPr>
              <w:pStyle w:val="15"/>
              <w:ind w:left="1080" w:leftChars="257" w:hanging="540"/>
              <w:rPr>
                <w:rFonts w:ascii="微软雅黑" w:hAnsi="微软雅黑" w:eastAsia="微软雅黑" w:cs="微软雅黑"/>
                <w:color w:val="auto"/>
                <w:sz w:val="24"/>
                <w:szCs w:val="24"/>
                <w:highlight w:val="none"/>
              </w:rPr>
            </w:pPr>
          </w:p>
        </w:tc>
        <w:tc>
          <w:tcPr>
            <w:tcW w:w="957" w:type="dxa"/>
          </w:tcPr>
          <w:p w14:paraId="56E86C99">
            <w:pPr>
              <w:pStyle w:val="15"/>
              <w:ind w:left="1080" w:leftChars="257" w:hanging="540"/>
              <w:rPr>
                <w:rFonts w:ascii="微软雅黑" w:hAnsi="微软雅黑" w:eastAsia="微软雅黑" w:cs="微软雅黑"/>
                <w:color w:val="auto"/>
                <w:sz w:val="24"/>
                <w:szCs w:val="24"/>
                <w:highlight w:val="none"/>
              </w:rPr>
            </w:pPr>
          </w:p>
        </w:tc>
      </w:tr>
      <w:tr w14:paraId="2BE1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0885C3A3">
            <w:pPr>
              <w:pStyle w:val="15"/>
              <w:ind w:left="1080" w:leftChars="257" w:hanging="540"/>
              <w:rPr>
                <w:rFonts w:ascii="微软雅黑" w:hAnsi="微软雅黑" w:eastAsia="微软雅黑" w:cs="微软雅黑"/>
                <w:color w:val="auto"/>
                <w:sz w:val="24"/>
                <w:szCs w:val="24"/>
                <w:highlight w:val="none"/>
              </w:rPr>
            </w:pPr>
          </w:p>
        </w:tc>
        <w:tc>
          <w:tcPr>
            <w:tcW w:w="1926" w:type="dxa"/>
          </w:tcPr>
          <w:p w14:paraId="5DE94C98">
            <w:pPr>
              <w:pStyle w:val="15"/>
              <w:ind w:left="1080" w:leftChars="257" w:hanging="540"/>
              <w:rPr>
                <w:rFonts w:ascii="微软雅黑" w:hAnsi="微软雅黑" w:eastAsia="微软雅黑" w:cs="微软雅黑"/>
                <w:color w:val="auto"/>
                <w:sz w:val="24"/>
                <w:szCs w:val="24"/>
                <w:highlight w:val="none"/>
              </w:rPr>
            </w:pPr>
          </w:p>
        </w:tc>
        <w:tc>
          <w:tcPr>
            <w:tcW w:w="2380" w:type="dxa"/>
          </w:tcPr>
          <w:p w14:paraId="24267540">
            <w:pPr>
              <w:pStyle w:val="15"/>
              <w:ind w:left="1080" w:leftChars="257" w:hanging="540"/>
              <w:rPr>
                <w:rFonts w:ascii="微软雅黑" w:hAnsi="微软雅黑" w:eastAsia="微软雅黑" w:cs="微软雅黑"/>
                <w:color w:val="auto"/>
                <w:sz w:val="24"/>
                <w:szCs w:val="24"/>
                <w:highlight w:val="none"/>
              </w:rPr>
            </w:pPr>
          </w:p>
        </w:tc>
        <w:tc>
          <w:tcPr>
            <w:tcW w:w="2380" w:type="dxa"/>
          </w:tcPr>
          <w:p w14:paraId="52E774D4">
            <w:pPr>
              <w:pStyle w:val="15"/>
              <w:ind w:left="1080" w:leftChars="257" w:hanging="540"/>
              <w:rPr>
                <w:rFonts w:ascii="微软雅黑" w:hAnsi="微软雅黑" w:eastAsia="微软雅黑" w:cs="微软雅黑"/>
                <w:color w:val="auto"/>
                <w:sz w:val="24"/>
                <w:szCs w:val="24"/>
                <w:highlight w:val="none"/>
              </w:rPr>
            </w:pPr>
          </w:p>
        </w:tc>
        <w:tc>
          <w:tcPr>
            <w:tcW w:w="957" w:type="dxa"/>
          </w:tcPr>
          <w:p w14:paraId="2B3219CA">
            <w:pPr>
              <w:pStyle w:val="15"/>
              <w:ind w:left="1080" w:leftChars="257" w:hanging="540"/>
              <w:rPr>
                <w:rFonts w:ascii="微软雅黑" w:hAnsi="微软雅黑" w:eastAsia="微软雅黑" w:cs="微软雅黑"/>
                <w:color w:val="auto"/>
                <w:sz w:val="24"/>
                <w:szCs w:val="24"/>
                <w:highlight w:val="none"/>
              </w:rPr>
            </w:pPr>
          </w:p>
        </w:tc>
        <w:tc>
          <w:tcPr>
            <w:tcW w:w="957" w:type="dxa"/>
          </w:tcPr>
          <w:p w14:paraId="5794451F">
            <w:pPr>
              <w:pStyle w:val="15"/>
              <w:ind w:left="1080" w:leftChars="257" w:hanging="540"/>
              <w:rPr>
                <w:rFonts w:ascii="微软雅黑" w:hAnsi="微软雅黑" w:eastAsia="微软雅黑" w:cs="微软雅黑"/>
                <w:color w:val="auto"/>
                <w:sz w:val="24"/>
                <w:szCs w:val="24"/>
                <w:highlight w:val="none"/>
              </w:rPr>
            </w:pPr>
          </w:p>
        </w:tc>
      </w:tr>
      <w:tr w14:paraId="1A04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818614B">
            <w:pPr>
              <w:pStyle w:val="15"/>
              <w:ind w:left="1080" w:leftChars="257" w:hanging="540"/>
              <w:rPr>
                <w:rFonts w:ascii="微软雅黑" w:hAnsi="微软雅黑" w:eastAsia="微软雅黑" w:cs="微软雅黑"/>
                <w:color w:val="auto"/>
                <w:sz w:val="24"/>
                <w:szCs w:val="24"/>
                <w:highlight w:val="none"/>
              </w:rPr>
            </w:pPr>
          </w:p>
        </w:tc>
        <w:tc>
          <w:tcPr>
            <w:tcW w:w="1926" w:type="dxa"/>
          </w:tcPr>
          <w:p w14:paraId="72B074C1">
            <w:pPr>
              <w:pStyle w:val="15"/>
              <w:ind w:left="1080" w:leftChars="257" w:hanging="540"/>
              <w:rPr>
                <w:rFonts w:ascii="微软雅黑" w:hAnsi="微软雅黑" w:eastAsia="微软雅黑" w:cs="微软雅黑"/>
                <w:color w:val="auto"/>
                <w:sz w:val="24"/>
                <w:szCs w:val="24"/>
                <w:highlight w:val="none"/>
              </w:rPr>
            </w:pPr>
          </w:p>
        </w:tc>
        <w:tc>
          <w:tcPr>
            <w:tcW w:w="2380" w:type="dxa"/>
          </w:tcPr>
          <w:p w14:paraId="77D1935A">
            <w:pPr>
              <w:pStyle w:val="15"/>
              <w:ind w:left="1080" w:leftChars="257" w:hanging="540"/>
              <w:rPr>
                <w:rFonts w:ascii="微软雅黑" w:hAnsi="微软雅黑" w:eastAsia="微软雅黑" w:cs="微软雅黑"/>
                <w:color w:val="auto"/>
                <w:sz w:val="24"/>
                <w:szCs w:val="24"/>
                <w:highlight w:val="none"/>
              </w:rPr>
            </w:pPr>
          </w:p>
        </w:tc>
        <w:tc>
          <w:tcPr>
            <w:tcW w:w="2380" w:type="dxa"/>
          </w:tcPr>
          <w:p w14:paraId="27359ED8">
            <w:pPr>
              <w:pStyle w:val="15"/>
              <w:ind w:left="1080" w:leftChars="257" w:hanging="540"/>
              <w:rPr>
                <w:rFonts w:ascii="微软雅黑" w:hAnsi="微软雅黑" w:eastAsia="微软雅黑" w:cs="微软雅黑"/>
                <w:color w:val="auto"/>
                <w:sz w:val="24"/>
                <w:szCs w:val="24"/>
                <w:highlight w:val="none"/>
              </w:rPr>
            </w:pPr>
          </w:p>
        </w:tc>
        <w:tc>
          <w:tcPr>
            <w:tcW w:w="957" w:type="dxa"/>
          </w:tcPr>
          <w:p w14:paraId="3683C98F">
            <w:pPr>
              <w:pStyle w:val="15"/>
              <w:ind w:left="1080" w:leftChars="257" w:hanging="540"/>
              <w:rPr>
                <w:rFonts w:ascii="微软雅黑" w:hAnsi="微软雅黑" w:eastAsia="微软雅黑" w:cs="微软雅黑"/>
                <w:color w:val="auto"/>
                <w:sz w:val="24"/>
                <w:szCs w:val="24"/>
                <w:highlight w:val="none"/>
              </w:rPr>
            </w:pPr>
          </w:p>
        </w:tc>
        <w:tc>
          <w:tcPr>
            <w:tcW w:w="957" w:type="dxa"/>
          </w:tcPr>
          <w:p w14:paraId="27ED90E1">
            <w:pPr>
              <w:pStyle w:val="15"/>
              <w:ind w:left="1080" w:leftChars="257" w:hanging="540"/>
              <w:rPr>
                <w:rFonts w:ascii="微软雅黑" w:hAnsi="微软雅黑" w:eastAsia="微软雅黑" w:cs="微软雅黑"/>
                <w:color w:val="auto"/>
                <w:sz w:val="24"/>
                <w:szCs w:val="24"/>
                <w:highlight w:val="none"/>
              </w:rPr>
            </w:pPr>
          </w:p>
        </w:tc>
      </w:tr>
      <w:tr w14:paraId="7FBF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09F1238">
            <w:pPr>
              <w:pStyle w:val="15"/>
              <w:ind w:left="1080" w:leftChars="257" w:hanging="540"/>
              <w:rPr>
                <w:rFonts w:ascii="微软雅黑" w:hAnsi="微软雅黑" w:eastAsia="微软雅黑" w:cs="微软雅黑"/>
                <w:color w:val="auto"/>
                <w:sz w:val="24"/>
                <w:szCs w:val="24"/>
                <w:highlight w:val="none"/>
              </w:rPr>
            </w:pPr>
          </w:p>
        </w:tc>
        <w:tc>
          <w:tcPr>
            <w:tcW w:w="1926" w:type="dxa"/>
          </w:tcPr>
          <w:p w14:paraId="1685861C">
            <w:pPr>
              <w:pStyle w:val="15"/>
              <w:ind w:left="1080" w:leftChars="257" w:hanging="540"/>
              <w:rPr>
                <w:rFonts w:ascii="微软雅黑" w:hAnsi="微软雅黑" w:eastAsia="微软雅黑" w:cs="微软雅黑"/>
                <w:color w:val="auto"/>
                <w:sz w:val="24"/>
                <w:szCs w:val="24"/>
                <w:highlight w:val="none"/>
              </w:rPr>
            </w:pPr>
          </w:p>
        </w:tc>
        <w:tc>
          <w:tcPr>
            <w:tcW w:w="2380" w:type="dxa"/>
          </w:tcPr>
          <w:p w14:paraId="12912CF9">
            <w:pPr>
              <w:pStyle w:val="15"/>
              <w:ind w:left="1080" w:leftChars="257" w:hanging="540"/>
              <w:rPr>
                <w:rFonts w:ascii="微软雅黑" w:hAnsi="微软雅黑" w:eastAsia="微软雅黑" w:cs="微软雅黑"/>
                <w:color w:val="auto"/>
                <w:sz w:val="24"/>
                <w:szCs w:val="24"/>
                <w:highlight w:val="none"/>
              </w:rPr>
            </w:pPr>
          </w:p>
        </w:tc>
        <w:tc>
          <w:tcPr>
            <w:tcW w:w="2380" w:type="dxa"/>
          </w:tcPr>
          <w:p w14:paraId="520C7285">
            <w:pPr>
              <w:pStyle w:val="15"/>
              <w:ind w:left="1080" w:leftChars="257" w:hanging="540"/>
              <w:rPr>
                <w:rFonts w:ascii="微软雅黑" w:hAnsi="微软雅黑" w:eastAsia="微软雅黑" w:cs="微软雅黑"/>
                <w:color w:val="auto"/>
                <w:sz w:val="24"/>
                <w:szCs w:val="24"/>
                <w:highlight w:val="none"/>
              </w:rPr>
            </w:pPr>
          </w:p>
        </w:tc>
        <w:tc>
          <w:tcPr>
            <w:tcW w:w="957" w:type="dxa"/>
          </w:tcPr>
          <w:p w14:paraId="38116961">
            <w:pPr>
              <w:pStyle w:val="15"/>
              <w:ind w:left="1080" w:leftChars="257" w:hanging="540"/>
              <w:rPr>
                <w:rFonts w:ascii="微软雅黑" w:hAnsi="微软雅黑" w:eastAsia="微软雅黑" w:cs="微软雅黑"/>
                <w:color w:val="auto"/>
                <w:sz w:val="24"/>
                <w:szCs w:val="24"/>
                <w:highlight w:val="none"/>
              </w:rPr>
            </w:pPr>
          </w:p>
        </w:tc>
        <w:tc>
          <w:tcPr>
            <w:tcW w:w="957" w:type="dxa"/>
          </w:tcPr>
          <w:p w14:paraId="00D57DC7">
            <w:pPr>
              <w:pStyle w:val="15"/>
              <w:ind w:left="1080" w:leftChars="257" w:hanging="540"/>
              <w:rPr>
                <w:rFonts w:ascii="微软雅黑" w:hAnsi="微软雅黑" w:eastAsia="微软雅黑" w:cs="微软雅黑"/>
                <w:color w:val="auto"/>
                <w:sz w:val="24"/>
                <w:szCs w:val="24"/>
                <w:highlight w:val="none"/>
              </w:rPr>
            </w:pPr>
          </w:p>
        </w:tc>
      </w:tr>
      <w:tr w14:paraId="0153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1365EA3">
            <w:pPr>
              <w:pStyle w:val="15"/>
              <w:ind w:left="1080" w:leftChars="257" w:hanging="540"/>
              <w:rPr>
                <w:rFonts w:ascii="微软雅黑" w:hAnsi="微软雅黑" w:eastAsia="微软雅黑" w:cs="微软雅黑"/>
                <w:color w:val="auto"/>
                <w:sz w:val="24"/>
                <w:szCs w:val="24"/>
                <w:highlight w:val="none"/>
              </w:rPr>
            </w:pPr>
          </w:p>
        </w:tc>
        <w:tc>
          <w:tcPr>
            <w:tcW w:w="1926" w:type="dxa"/>
          </w:tcPr>
          <w:p w14:paraId="54F511D1">
            <w:pPr>
              <w:pStyle w:val="15"/>
              <w:ind w:left="1080" w:leftChars="257" w:hanging="540"/>
              <w:rPr>
                <w:rFonts w:ascii="微软雅黑" w:hAnsi="微软雅黑" w:eastAsia="微软雅黑" w:cs="微软雅黑"/>
                <w:color w:val="auto"/>
                <w:sz w:val="24"/>
                <w:szCs w:val="24"/>
                <w:highlight w:val="none"/>
              </w:rPr>
            </w:pPr>
          </w:p>
        </w:tc>
        <w:tc>
          <w:tcPr>
            <w:tcW w:w="2380" w:type="dxa"/>
          </w:tcPr>
          <w:p w14:paraId="32FC110A">
            <w:pPr>
              <w:pStyle w:val="15"/>
              <w:ind w:left="1080" w:leftChars="257" w:hanging="540"/>
              <w:rPr>
                <w:rFonts w:ascii="微软雅黑" w:hAnsi="微软雅黑" w:eastAsia="微软雅黑" w:cs="微软雅黑"/>
                <w:color w:val="auto"/>
                <w:sz w:val="24"/>
                <w:szCs w:val="24"/>
                <w:highlight w:val="none"/>
              </w:rPr>
            </w:pPr>
          </w:p>
        </w:tc>
        <w:tc>
          <w:tcPr>
            <w:tcW w:w="2380" w:type="dxa"/>
          </w:tcPr>
          <w:p w14:paraId="7B9D6D86">
            <w:pPr>
              <w:pStyle w:val="15"/>
              <w:ind w:left="1080" w:leftChars="257" w:hanging="540"/>
              <w:rPr>
                <w:rFonts w:ascii="微软雅黑" w:hAnsi="微软雅黑" w:eastAsia="微软雅黑" w:cs="微软雅黑"/>
                <w:color w:val="auto"/>
                <w:sz w:val="24"/>
                <w:szCs w:val="24"/>
                <w:highlight w:val="none"/>
              </w:rPr>
            </w:pPr>
          </w:p>
        </w:tc>
        <w:tc>
          <w:tcPr>
            <w:tcW w:w="957" w:type="dxa"/>
          </w:tcPr>
          <w:p w14:paraId="39FA550B">
            <w:pPr>
              <w:pStyle w:val="15"/>
              <w:ind w:left="1080" w:leftChars="257" w:hanging="540"/>
              <w:rPr>
                <w:rFonts w:ascii="微软雅黑" w:hAnsi="微软雅黑" w:eastAsia="微软雅黑" w:cs="微软雅黑"/>
                <w:color w:val="auto"/>
                <w:sz w:val="24"/>
                <w:szCs w:val="24"/>
                <w:highlight w:val="none"/>
              </w:rPr>
            </w:pPr>
          </w:p>
        </w:tc>
        <w:tc>
          <w:tcPr>
            <w:tcW w:w="957" w:type="dxa"/>
          </w:tcPr>
          <w:p w14:paraId="781B9AA7">
            <w:pPr>
              <w:pStyle w:val="15"/>
              <w:ind w:left="1080" w:leftChars="257" w:hanging="540"/>
              <w:rPr>
                <w:rFonts w:ascii="微软雅黑" w:hAnsi="微软雅黑" w:eastAsia="微软雅黑" w:cs="微软雅黑"/>
                <w:color w:val="auto"/>
                <w:sz w:val="24"/>
                <w:szCs w:val="24"/>
                <w:highlight w:val="none"/>
              </w:rPr>
            </w:pPr>
          </w:p>
        </w:tc>
      </w:tr>
      <w:tr w14:paraId="0FD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32A91DA0">
            <w:pPr>
              <w:pStyle w:val="15"/>
              <w:ind w:left="1080" w:leftChars="257" w:hanging="540"/>
              <w:rPr>
                <w:rFonts w:ascii="微软雅黑" w:hAnsi="微软雅黑" w:eastAsia="微软雅黑" w:cs="微软雅黑"/>
                <w:color w:val="auto"/>
                <w:sz w:val="24"/>
                <w:szCs w:val="24"/>
                <w:highlight w:val="none"/>
              </w:rPr>
            </w:pPr>
          </w:p>
        </w:tc>
        <w:tc>
          <w:tcPr>
            <w:tcW w:w="1926" w:type="dxa"/>
          </w:tcPr>
          <w:p w14:paraId="355F6793">
            <w:pPr>
              <w:pStyle w:val="15"/>
              <w:ind w:left="1080" w:leftChars="257" w:hanging="540"/>
              <w:rPr>
                <w:rFonts w:ascii="微软雅黑" w:hAnsi="微软雅黑" w:eastAsia="微软雅黑" w:cs="微软雅黑"/>
                <w:color w:val="auto"/>
                <w:sz w:val="24"/>
                <w:szCs w:val="24"/>
                <w:highlight w:val="none"/>
              </w:rPr>
            </w:pPr>
          </w:p>
        </w:tc>
        <w:tc>
          <w:tcPr>
            <w:tcW w:w="2380" w:type="dxa"/>
          </w:tcPr>
          <w:p w14:paraId="15972942">
            <w:pPr>
              <w:pStyle w:val="15"/>
              <w:ind w:left="1080" w:leftChars="257" w:hanging="540"/>
              <w:rPr>
                <w:rFonts w:ascii="微软雅黑" w:hAnsi="微软雅黑" w:eastAsia="微软雅黑" w:cs="微软雅黑"/>
                <w:color w:val="auto"/>
                <w:sz w:val="24"/>
                <w:szCs w:val="24"/>
                <w:highlight w:val="none"/>
              </w:rPr>
            </w:pPr>
          </w:p>
        </w:tc>
        <w:tc>
          <w:tcPr>
            <w:tcW w:w="2380" w:type="dxa"/>
          </w:tcPr>
          <w:p w14:paraId="565A7473">
            <w:pPr>
              <w:pStyle w:val="15"/>
              <w:ind w:left="1080" w:leftChars="257" w:hanging="540"/>
              <w:rPr>
                <w:rFonts w:ascii="微软雅黑" w:hAnsi="微软雅黑" w:eastAsia="微软雅黑" w:cs="微软雅黑"/>
                <w:color w:val="auto"/>
                <w:sz w:val="24"/>
                <w:szCs w:val="24"/>
                <w:highlight w:val="none"/>
              </w:rPr>
            </w:pPr>
          </w:p>
        </w:tc>
        <w:tc>
          <w:tcPr>
            <w:tcW w:w="957" w:type="dxa"/>
          </w:tcPr>
          <w:p w14:paraId="38F0991A">
            <w:pPr>
              <w:pStyle w:val="15"/>
              <w:ind w:left="1080" w:leftChars="257" w:hanging="540"/>
              <w:rPr>
                <w:rFonts w:ascii="微软雅黑" w:hAnsi="微软雅黑" w:eastAsia="微软雅黑" w:cs="微软雅黑"/>
                <w:color w:val="auto"/>
                <w:sz w:val="24"/>
                <w:szCs w:val="24"/>
                <w:highlight w:val="none"/>
              </w:rPr>
            </w:pPr>
          </w:p>
        </w:tc>
        <w:tc>
          <w:tcPr>
            <w:tcW w:w="957" w:type="dxa"/>
          </w:tcPr>
          <w:p w14:paraId="19D875D9">
            <w:pPr>
              <w:pStyle w:val="15"/>
              <w:ind w:left="1080" w:leftChars="257" w:hanging="540"/>
              <w:rPr>
                <w:rFonts w:ascii="微软雅黑" w:hAnsi="微软雅黑" w:eastAsia="微软雅黑" w:cs="微软雅黑"/>
                <w:color w:val="auto"/>
                <w:sz w:val="24"/>
                <w:szCs w:val="24"/>
                <w:highlight w:val="none"/>
              </w:rPr>
            </w:pPr>
          </w:p>
        </w:tc>
      </w:tr>
    </w:tbl>
    <w:p w14:paraId="6C9F0400">
      <w:pPr>
        <w:pStyle w:val="15"/>
        <w:ind w:left="1080" w:leftChars="257" w:hanging="540"/>
        <w:rPr>
          <w:rFonts w:ascii="微软雅黑" w:hAnsi="微软雅黑" w:eastAsia="微软雅黑" w:cs="微软雅黑"/>
          <w:color w:val="auto"/>
          <w:sz w:val="24"/>
          <w:szCs w:val="24"/>
          <w:highlight w:val="none"/>
        </w:rPr>
      </w:pPr>
    </w:p>
    <w:p w14:paraId="24481D5D">
      <w:pPr>
        <w:pStyle w:val="15"/>
        <w:ind w:left="1080" w:leftChars="257" w:hanging="540"/>
        <w:rPr>
          <w:rFonts w:ascii="微软雅黑" w:hAnsi="微软雅黑" w:eastAsia="微软雅黑" w:cs="微软雅黑"/>
          <w:color w:val="auto"/>
          <w:sz w:val="24"/>
          <w:szCs w:val="24"/>
          <w:highlight w:val="none"/>
        </w:rPr>
      </w:pPr>
    </w:p>
    <w:p w14:paraId="5AA5385A">
      <w:pPr>
        <w:pStyle w:val="15"/>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法定代表人或其委托代理人（签字或盖章）:</w:t>
      </w:r>
    </w:p>
    <w:p w14:paraId="31CEB795">
      <w:pPr>
        <w:pStyle w:val="15"/>
        <w:tabs>
          <w:tab w:val="left" w:pos="5370"/>
        </w:tabs>
        <w:ind w:left="1080" w:leftChars="257" w:hanging="540"/>
        <w:rPr>
          <w:rFonts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供应商(公章):</w:t>
      </w:r>
    </w:p>
    <w:p w14:paraId="7C6B266F">
      <w:pPr>
        <w:pStyle w:val="15"/>
        <w:ind w:left="1080" w:leftChars="257" w:hanging="540"/>
        <w:rPr>
          <w:rFonts w:hint="eastAsia" w:ascii="微软雅黑" w:hAnsi="微软雅黑" w:eastAsia="微软雅黑" w:cs="微软雅黑"/>
          <w:color w:val="auto"/>
          <w:highlight w:val="none"/>
          <w:u w:val="single"/>
        </w:rPr>
      </w:pPr>
    </w:p>
    <w:p w14:paraId="5EE13AA2">
      <w:pPr>
        <w:pStyle w:val="15"/>
        <w:ind w:left="1080" w:leftChars="257" w:hanging="540"/>
        <w:rPr>
          <w:rFonts w:hint="eastAsia" w:ascii="微软雅黑" w:hAnsi="微软雅黑" w:eastAsia="微软雅黑" w:cs="微软雅黑"/>
          <w:color w:val="auto"/>
          <w:highlight w:val="none"/>
          <w:u w:val="single"/>
        </w:rPr>
      </w:pPr>
    </w:p>
    <w:p w14:paraId="29A30BDC">
      <w:pPr>
        <w:pStyle w:val="15"/>
        <w:ind w:left="1080" w:leftChars="257" w:hanging="540"/>
        <w:rPr>
          <w:rFonts w:hint="eastAsia" w:ascii="微软雅黑" w:hAnsi="微软雅黑" w:eastAsia="微软雅黑" w:cs="微软雅黑"/>
          <w:color w:val="auto"/>
          <w:highlight w:val="none"/>
          <w:u w:val="single"/>
        </w:rPr>
      </w:pPr>
    </w:p>
    <w:p w14:paraId="51DCCEC3">
      <w:pPr>
        <w:pStyle w:val="15"/>
        <w:ind w:left="1080" w:leftChars="257" w:hanging="540"/>
        <w:rPr>
          <w:rFonts w:hint="eastAsia" w:ascii="微软雅黑" w:hAnsi="微软雅黑" w:eastAsia="微软雅黑" w:cs="微软雅黑"/>
          <w:color w:val="auto"/>
          <w:highlight w:val="none"/>
          <w:u w:val="single"/>
        </w:rPr>
      </w:pPr>
    </w:p>
    <w:p w14:paraId="29D304FD">
      <w:pPr>
        <w:pStyle w:val="15"/>
        <w:ind w:left="1080" w:leftChars="257" w:hanging="540"/>
        <w:rPr>
          <w:rFonts w:hint="eastAsia" w:ascii="微软雅黑" w:hAnsi="微软雅黑" w:eastAsia="微软雅黑" w:cs="微软雅黑"/>
          <w:color w:val="auto"/>
          <w:highlight w:val="none"/>
          <w:u w:val="single"/>
        </w:rPr>
      </w:pPr>
    </w:p>
    <w:p w14:paraId="1C506464">
      <w:pPr>
        <w:pStyle w:val="15"/>
        <w:ind w:left="1080" w:leftChars="257" w:hanging="540"/>
        <w:rPr>
          <w:rFonts w:hint="eastAsia" w:ascii="微软雅黑" w:hAnsi="微软雅黑" w:eastAsia="微软雅黑" w:cs="微软雅黑"/>
          <w:color w:val="auto"/>
          <w:highlight w:val="none"/>
          <w:u w:val="single"/>
        </w:rPr>
      </w:pPr>
    </w:p>
    <w:p w14:paraId="01E58890">
      <w:pPr>
        <w:pStyle w:val="15"/>
        <w:ind w:left="1080" w:leftChars="257" w:hanging="540"/>
        <w:rPr>
          <w:rFonts w:hint="eastAsia" w:ascii="微软雅黑" w:hAnsi="微软雅黑" w:eastAsia="微软雅黑" w:cs="微软雅黑"/>
          <w:color w:val="auto"/>
          <w:highlight w:val="none"/>
          <w:u w:val="single"/>
        </w:rPr>
      </w:pPr>
    </w:p>
    <w:p w14:paraId="5887A22A">
      <w:pPr>
        <w:pStyle w:val="15"/>
        <w:ind w:left="1080" w:leftChars="257" w:hanging="540"/>
        <w:rPr>
          <w:rFonts w:hint="eastAsia" w:ascii="微软雅黑" w:hAnsi="微软雅黑" w:eastAsia="微软雅黑" w:cs="微软雅黑"/>
          <w:color w:val="auto"/>
          <w:highlight w:val="none"/>
          <w:u w:val="single"/>
        </w:rPr>
      </w:pPr>
    </w:p>
    <w:p w14:paraId="165A9457">
      <w:pPr>
        <w:pStyle w:val="15"/>
        <w:ind w:left="1080" w:leftChars="257" w:hanging="540"/>
        <w:rPr>
          <w:rFonts w:hint="eastAsia" w:ascii="微软雅黑" w:hAnsi="微软雅黑" w:eastAsia="微软雅黑" w:cs="微软雅黑"/>
          <w:color w:val="auto"/>
          <w:highlight w:val="none"/>
          <w:u w:val="single"/>
        </w:rPr>
      </w:pPr>
    </w:p>
    <w:p w14:paraId="504EA18C">
      <w:pPr>
        <w:pStyle w:val="15"/>
        <w:ind w:left="1080" w:leftChars="257" w:hanging="540"/>
        <w:rPr>
          <w:rFonts w:hint="eastAsia" w:ascii="微软雅黑" w:hAnsi="微软雅黑" w:eastAsia="微软雅黑" w:cs="微软雅黑"/>
          <w:color w:val="auto"/>
          <w:highlight w:val="none"/>
          <w:u w:val="single"/>
        </w:rPr>
      </w:pPr>
    </w:p>
    <w:p w14:paraId="5F87FC5D">
      <w:pPr>
        <w:pStyle w:val="15"/>
        <w:ind w:left="1080" w:leftChars="257" w:hanging="540"/>
        <w:rPr>
          <w:rFonts w:hint="eastAsia" w:ascii="微软雅黑" w:hAnsi="微软雅黑" w:eastAsia="微软雅黑" w:cs="微软雅黑"/>
          <w:color w:val="auto"/>
          <w:highlight w:val="none"/>
          <w:u w:val="single"/>
        </w:rPr>
      </w:pPr>
    </w:p>
    <w:p w14:paraId="2877A21A">
      <w:pPr>
        <w:pStyle w:val="15"/>
        <w:ind w:left="1080" w:leftChars="257" w:hanging="540"/>
        <w:rPr>
          <w:rFonts w:hint="eastAsia" w:ascii="微软雅黑" w:hAnsi="微软雅黑" w:eastAsia="微软雅黑" w:cs="微软雅黑"/>
          <w:color w:val="auto"/>
          <w:highlight w:val="none"/>
          <w:u w:val="single"/>
        </w:rPr>
        <w:sectPr>
          <w:pgSz w:w="11905" w:h="16838"/>
          <w:pgMar w:top="1440" w:right="1080" w:bottom="1440" w:left="1080" w:header="851" w:footer="992" w:gutter="0"/>
          <w:pgNumType w:fmt="decimal"/>
          <w:cols w:space="0" w:num="1"/>
          <w:rtlGutter w:val="0"/>
          <w:docGrid w:linePitch="312" w:charSpace="0"/>
        </w:sectPr>
      </w:pPr>
    </w:p>
    <w:p w14:paraId="59D87EAE">
      <w:pPr>
        <w:pStyle w:val="15"/>
        <w:ind w:left="1080" w:leftChars="257" w:hanging="540"/>
        <w:rPr>
          <w:rFonts w:hint="eastAsia" w:ascii="微软雅黑" w:hAnsi="微软雅黑" w:eastAsia="微软雅黑" w:cs="微软雅黑"/>
          <w:color w:val="auto"/>
          <w:highlight w:val="none"/>
          <w:u w:val="single"/>
        </w:rPr>
      </w:pPr>
    </w:p>
    <w:p w14:paraId="025520E7">
      <w:pPr>
        <w:pStyle w:val="3"/>
        <w:spacing w:before="0" w:line="240" w:lineRule="auto"/>
        <w:rPr>
          <w:rFonts w:hint="eastAsia" w:ascii="微软雅黑" w:hAnsi="微软雅黑" w:eastAsia="微软雅黑" w:cs="微软雅黑"/>
          <w:b/>
          <w:bCs/>
          <w:color w:val="auto"/>
          <w:kern w:val="2"/>
          <w:sz w:val="24"/>
          <w:szCs w:val="24"/>
          <w:highlight w:val="none"/>
        </w:rPr>
      </w:pPr>
      <w:bookmarkStart w:id="597" w:name="_Toc11701"/>
      <w:r>
        <w:rPr>
          <w:rFonts w:hint="eastAsia" w:ascii="微软雅黑" w:hAnsi="微软雅黑" w:eastAsia="微软雅黑" w:cs="微软雅黑"/>
          <w:b/>
          <w:bCs/>
          <w:color w:val="auto"/>
          <w:kern w:val="2"/>
          <w:sz w:val="24"/>
          <w:szCs w:val="24"/>
          <w:highlight w:val="none"/>
          <w:lang w:val="en-US" w:eastAsia="zh-CN"/>
        </w:rPr>
        <w:t>6、</w:t>
      </w:r>
      <w:r>
        <w:rPr>
          <w:rFonts w:hint="eastAsia" w:ascii="微软雅黑" w:hAnsi="微软雅黑" w:eastAsia="微软雅黑" w:cs="微软雅黑"/>
          <w:b/>
          <w:bCs/>
          <w:color w:val="auto"/>
          <w:kern w:val="2"/>
          <w:sz w:val="24"/>
          <w:szCs w:val="24"/>
          <w:highlight w:val="none"/>
        </w:rPr>
        <w:t>中小企业声明函（货物）</w:t>
      </w:r>
      <w:bookmarkEnd w:id="597"/>
    </w:p>
    <w:p w14:paraId="7B5FEE98">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本公司（联合体）郑重声明，根据《政府采购促进中小企业发展管理办法》（财库﹝2020﹞46 号）的规定，本公司（联合体）参加（单位名称）的（项目名称）采购活动，提     供的货物全部由符合政策要求的中小企业制造。相关企业（含联合体中的中小企业、签订分包意向协议的中小企业） 的具体情况如下：</w:t>
      </w:r>
    </w:p>
    <w:p w14:paraId="1C02C6FA">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 xml:space="preserve"> 1、</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采 购 文 件 中 明 确 的 所 属 行 业 ）</w:t>
      </w:r>
      <w:r>
        <w:rPr>
          <w:rFonts w:hint="eastAsia" w:ascii="微软雅黑" w:hAnsi="微软雅黑" w:eastAsia="微软雅黑" w:cs="微软雅黑"/>
          <w:color w:val="auto"/>
          <w:highlight w:val="none"/>
        </w:rPr>
        <w:t xml:space="preserve"> 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50460680">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w:t>
      </w:r>
      <w:r>
        <w:rPr>
          <w:rFonts w:hint="eastAsia" w:ascii="微软雅黑" w:hAnsi="微软雅黑" w:eastAsia="微软雅黑" w:cs="微软雅黑"/>
          <w:color w:val="auto"/>
          <w:highlight w:val="none"/>
          <w:u w:val="single"/>
        </w:rPr>
        <w:t>（ 标 的 名 称 ）</w:t>
      </w:r>
      <w:r>
        <w:rPr>
          <w:rFonts w:hint="eastAsia" w:ascii="微软雅黑" w:hAnsi="微软雅黑" w:eastAsia="微软雅黑" w:cs="微软雅黑"/>
          <w:color w:val="auto"/>
          <w:highlight w:val="none"/>
        </w:rPr>
        <w:t xml:space="preserve"> ， 属 于 </w:t>
      </w:r>
      <w:r>
        <w:rPr>
          <w:rFonts w:hint="eastAsia" w:ascii="微软雅黑" w:hAnsi="微软雅黑" w:eastAsia="微软雅黑" w:cs="微软雅黑"/>
          <w:color w:val="auto"/>
          <w:highlight w:val="none"/>
          <w:u w:val="single"/>
        </w:rPr>
        <w:t xml:space="preserve">（ 采 购 文 件 中 明 确 的 所 属 行 业 ） </w:t>
      </w:r>
      <w:r>
        <w:rPr>
          <w:rFonts w:hint="eastAsia" w:ascii="微软雅黑" w:hAnsi="微软雅黑" w:eastAsia="微软雅黑" w:cs="微软雅黑"/>
          <w:color w:val="auto"/>
          <w:highlight w:val="none"/>
        </w:rPr>
        <w:t>行业；制造商为</w:t>
      </w:r>
      <w:r>
        <w:rPr>
          <w:rFonts w:hint="eastAsia" w:ascii="微软雅黑" w:hAnsi="微软雅黑" w:eastAsia="微软雅黑" w:cs="微软雅黑"/>
          <w:color w:val="auto"/>
          <w:highlight w:val="none"/>
          <w:u w:val="single"/>
        </w:rPr>
        <w:t>（生产企业名称）</w:t>
      </w:r>
      <w:r>
        <w:rPr>
          <w:rFonts w:hint="eastAsia" w:ascii="微软雅黑" w:hAnsi="微软雅黑" w:eastAsia="微软雅黑" w:cs="微软雅黑"/>
          <w:color w:val="auto"/>
          <w:highlight w:val="none"/>
        </w:rPr>
        <w:t>，从业人员</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人，营业收入为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万元，资产总额为</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u w:val="single"/>
        </w:rPr>
        <w:tab/>
      </w:r>
      <w:r>
        <w:rPr>
          <w:rFonts w:hint="eastAsia" w:ascii="微软雅黑" w:hAnsi="微软雅黑" w:eastAsia="微软雅黑" w:cs="微软雅黑"/>
          <w:color w:val="auto"/>
          <w:highlight w:val="none"/>
        </w:rPr>
        <w:t>万元，属于</w:t>
      </w:r>
      <w:r>
        <w:rPr>
          <w:rFonts w:hint="eastAsia" w:ascii="微软雅黑" w:hAnsi="微软雅黑" w:eastAsia="微软雅黑" w:cs="微软雅黑"/>
          <w:color w:val="auto"/>
          <w:highlight w:val="none"/>
          <w:u w:val="single"/>
        </w:rPr>
        <w:t>（中型企业、小型企业、微型企业）</w:t>
      </w:r>
      <w:r>
        <w:rPr>
          <w:rFonts w:hint="eastAsia" w:ascii="微软雅黑" w:hAnsi="微软雅黑" w:eastAsia="微软雅黑" w:cs="微软雅黑"/>
          <w:color w:val="auto"/>
          <w:highlight w:val="none"/>
        </w:rPr>
        <w:t>；</w:t>
      </w:r>
    </w:p>
    <w:p w14:paraId="0878A5AD">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w:t>
      </w:r>
    </w:p>
    <w:p w14:paraId="16823995">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以上企业，不属于大企业的分支机构，不存在控股股东为大企业的情形，也不存在与大企业的负责人为同一人的情形。</w:t>
      </w:r>
    </w:p>
    <w:p w14:paraId="380AEAC3">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本企业对上述声明内容的真实性负责。如有虚假，将依法承担相应责任。</w:t>
      </w:r>
    </w:p>
    <w:p w14:paraId="75CF3D5E">
      <w:pPr>
        <w:widowControl/>
        <w:spacing w:before="100" w:beforeAutospacing="1" w:after="100" w:afterAutospacing="1"/>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企业名称（盖章）：日期：</w:t>
      </w:r>
    </w:p>
    <w:p w14:paraId="3AE9D129">
      <w:pPr>
        <w:rPr>
          <w:rFonts w:ascii="微软雅黑" w:hAnsi="微软雅黑" w:eastAsia="微软雅黑" w:cs="微软雅黑"/>
          <w:color w:val="auto"/>
          <w:highlight w:val="none"/>
        </w:rPr>
      </w:pPr>
      <w:r>
        <w:rPr>
          <w:rFonts w:hint="eastAsia" w:ascii="微软雅黑" w:hAnsi="微软雅黑" w:eastAsia="微软雅黑" w:cs="微软雅黑"/>
          <w:b/>
          <w:bCs/>
          <w:color w:val="auto"/>
          <w:kern w:val="0"/>
          <w:highlight w:val="none"/>
        </w:rPr>
        <w:t>注：1、须附从业人员、营业收入、资产总额填报上一年度数据，无上一年度数据的新成立企业可不填报。</w:t>
      </w:r>
    </w:p>
    <w:p w14:paraId="32D1AEEF">
      <w:pPr>
        <w:numPr>
          <w:ilvl w:val="0"/>
          <w:numId w:val="9"/>
        </w:numPr>
        <w:rPr>
          <w:rFonts w:ascii="微软雅黑" w:hAnsi="微软雅黑" w:eastAsia="微软雅黑" w:cs="微软雅黑"/>
          <w:b/>
          <w:bCs/>
          <w:color w:val="auto"/>
          <w:kern w:val="0"/>
          <w:highlight w:val="none"/>
        </w:rPr>
      </w:pPr>
      <w:r>
        <w:rPr>
          <w:rFonts w:hint="eastAsia" w:ascii="微软雅黑" w:hAnsi="微软雅黑" w:eastAsia="微软雅黑" w:cs="微软雅黑"/>
          <w:b/>
          <w:bCs/>
          <w:color w:val="auto"/>
          <w:kern w:val="0"/>
          <w:highlight w:val="none"/>
        </w:rPr>
        <w:t>潜在投标企业属于中小微企业的，应在投标文件中提供‘’中小企业声明函”如果未提供或提供“中小企业声明函”内容不实的或标的信息提供不全的，供应商将承担由此造成的一切不利后果。</w:t>
      </w:r>
    </w:p>
    <w:p w14:paraId="56904B9F">
      <w:pPr>
        <w:numPr>
          <w:ilvl w:val="0"/>
          <w:numId w:val="9"/>
        </w:numPr>
        <w:spacing w:line="240" w:lineRule="atLeast"/>
        <w:ind w:left="315" w:leftChars="0" w:firstLine="0" w:firstLineChars="0"/>
        <w:rPr>
          <w:rFonts w:hint="eastAsia"/>
          <w:color w:val="auto"/>
          <w:lang w:eastAsia="zh-CN"/>
        </w:rPr>
      </w:pPr>
      <w:r>
        <w:rPr>
          <w:rFonts w:hint="eastAsia" w:ascii="微软雅黑" w:hAnsi="微软雅黑" w:eastAsia="微软雅黑" w:cs="微软雅黑"/>
          <w:b/>
          <w:bCs/>
          <w:color w:val="auto"/>
          <w:kern w:val="0"/>
          <w:sz w:val="22"/>
          <w:szCs w:val="22"/>
          <w:highlight w:val="none"/>
        </w:rPr>
        <w:t>本项目所属行业：</w:t>
      </w:r>
      <w:r>
        <w:rPr>
          <w:rFonts w:hint="eastAsia" w:ascii="微软雅黑" w:hAnsi="微软雅黑" w:eastAsia="微软雅黑" w:cs="微软雅黑"/>
          <w:b/>
          <w:bCs/>
          <w:color w:val="auto"/>
          <w:kern w:val="0"/>
          <w:sz w:val="22"/>
          <w:szCs w:val="22"/>
          <w:highlight w:val="none"/>
          <w:lang w:eastAsia="zh-CN"/>
        </w:rPr>
        <w:t>鸡蛋属于（农、林、牧、渔业）；大米、面粉、食用油、玉米粉属于（工业）</w:t>
      </w:r>
    </w:p>
    <w:p w14:paraId="301ED7A4">
      <w:pPr>
        <w:numPr>
          <w:ilvl w:val="0"/>
          <w:numId w:val="9"/>
        </w:numPr>
        <w:rPr>
          <w:rFonts w:hint="eastAsia" w:ascii="微软雅黑" w:hAnsi="微软雅黑" w:eastAsia="微软雅黑" w:cs="微软雅黑"/>
          <w:b/>
          <w:bCs/>
          <w:color w:val="auto"/>
          <w:kern w:val="0"/>
          <w:highlight w:val="none"/>
          <w:lang w:val="en-US" w:eastAsia="zh-CN"/>
        </w:rPr>
      </w:pPr>
      <w:r>
        <w:rPr>
          <w:rFonts w:hint="eastAsia" w:ascii="微软雅黑" w:hAnsi="微软雅黑" w:eastAsia="微软雅黑" w:cs="微软雅黑"/>
          <w:b/>
          <w:bCs/>
          <w:color w:val="auto"/>
          <w:kern w:val="0"/>
          <w:highlight w:val="none"/>
          <w:lang w:val="en-US" w:eastAsia="zh-CN"/>
        </w:rPr>
        <w:t>说明：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0E37F961">
      <w:pPr>
        <w:rPr>
          <w:rFonts w:ascii="微软雅黑" w:hAnsi="微软雅黑" w:eastAsia="微软雅黑" w:cs="微软雅黑"/>
          <w:b/>
          <w:bCs/>
          <w:color w:val="auto"/>
          <w:kern w:val="0"/>
          <w:highlight w:val="none"/>
        </w:rPr>
      </w:pPr>
    </w:p>
    <w:p w14:paraId="5FE99505">
      <w:pPr>
        <w:pStyle w:val="38"/>
        <w:rPr>
          <w:rFonts w:ascii="微软雅黑" w:hAnsi="微软雅黑" w:eastAsia="微软雅黑" w:cs="微软雅黑"/>
          <w:b/>
          <w:bCs/>
          <w:color w:val="auto"/>
          <w:kern w:val="0"/>
          <w:highlight w:val="none"/>
        </w:rPr>
      </w:pPr>
    </w:p>
    <w:p w14:paraId="269EECDD">
      <w:pPr>
        <w:pStyle w:val="38"/>
        <w:rPr>
          <w:rFonts w:ascii="微软雅黑" w:hAnsi="微软雅黑" w:eastAsia="微软雅黑" w:cs="微软雅黑"/>
          <w:b/>
          <w:bCs/>
          <w:color w:val="auto"/>
          <w:kern w:val="0"/>
          <w:highlight w:val="none"/>
        </w:rPr>
      </w:pPr>
    </w:p>
    <w:p w14:paraId="48EB720E">
      <w:pPr>
        <w:pStyle w:val="38"/>
        <w:rPr>
          <w:rFonts w:ascii="微软雅黑" w:hAnsi="微软雅黑" w:eastAsia="微软雅黑" w:cs="微软雅黑"/>
          <w:b/>
          <w:bCs/>
          <w:color w:val="auto"/>
          <w:kern w:val="0"/>
          <w:highlight w:val="none"/>
        </w:rPr>
      </w:pPr>
    </w:p>
    <w:p w14:paraId="502C09BE">
      <w:pPr>
        <w:pStyle w:val="38"/>
        <w:rPr>
          <w:rFonts w:ascii="微软雅黑" w:hAnsi="微软雅黑" w:eastAsia="微软雅黑" w:cs="微软雅黑"/>
          <w:b/>
          <w:bCs/>
          <w:color w:val="auto"/>
          <w:kern w:val="0"/>
          <w:highlight w:val="none"/>
        </w:rPr>
      </w:pPr>
    </w:p>
    <w:p w14:paraId="35A6F302">
      <w:pPr>
        <w:spacing w:line="400" w:lineRule="exact"/>
        <w:jc w:val="left"/>
        <w:rPr>
          <w:rFonts w:hint="eastAsia" w:ascii="微软雅黑" w:hAnsi="微软雅黑" w:eastAsia="微软雅黑" w:cs="微软雅黑"/>
          <w:b/>
          <w:bCs/>
          <w:color w:val="auto"/>
          <w:kern w:val="0"/>
          <w:sz w:val="24"/>
          <w:szCs w:val="24"/>
          <w:highlight w:val="none"/>
        </w:rPr>
        <w:sectPr>
          <w:footerReference r:id="rId6" w:type="default"/>
          <w:pgSz w:w="11905" w:h="16838"/>
          <w:pgMar w:top="1440" w:right="1080" w:bottom="1440" w:left="1080" w:header="851" w:footer="992" w:gutter="0"/>
          <w:pgNumType w:fmt="decimal"/>
          <w:cols w:space="0" w:num="1"/>
          <w:rtlGutter w:val="0"/>
          <w:docGrid w:linePitch="312" w:charSpace="0"/>
        </w:sectPr>
      </w:pPr>
    </w:p>
    <w:p w14:paraId="36C12DC2">
      <w:pPr>
        <w:spacing w:line="400" w:lineRule="exact"/>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附：</w:t>
      </w:r>
    </w:p>
    <w:p w14:paraId="4DD40CC3">
      <w:pPr>
        <w:widowControl/>
        <w:spacing w:before="100" w:beforeAutospacing="1" w:after="100" w:afterAutospacing="1" w:line="400" w:lineRule="exact"/>
        <w:ind w:left="420" w:leftChars="200"/>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中小企业划分标准</w:t>
      </w:r>
    </w:p>
    <w:p w14:paraId="5DE88F29">
      <w:pPr>
        <w:spacing w:line="420" w:lineRule="exact"/>
        <w:ind w:firstLine="480" w:firstLineChars="200"/>
        <w:jc w:val="left"/>
        <w:rPr>
          <w:rFonts w:ascii="微软雅黑" w:hAnsi="微软雅黑" w:eastAsia="微软雅黑" w:cs="微软雅黑"/>
          <w:b/>
          <w:bCs/>
          <w:color w:val="auto"/>
          <w:kern w:val="0"/>
          <w:sz w:val="24"/>
          <w:szCs w:val="24"/>
          <w:highlight w:val="none"/>
        </w:rPr>
      </w:pPr>
      <w:r>
        <w:rPr>
          <w:rFonts w:hint="eastAsia" w:ascii="微软雅黑" w:hAnsi="微软雅黑" w:eastAsia="微软雅黑" w:cs="微软雅黑"/>
          <w:color w:val="auto"/>
          <w:kern w:val="0"/>
          <w:sz w:val="24"/>
          <w:szCs w:val="24"/>
          <w:highlight w:val="none"/>
        </w:rPr>
        <w:t>工业和信息化部、国家统计局、发展改革委、财政部等四部门《关于印发中 小企业划型标准规定的通知》（工信部联企业〔2011〕300号）规定中小企业划型标准如表所示：</w:t>
      </w:r>
    </w:p>
    <w:tbl>
      <w:tblPr>
        <w:tblStyle w:val="30"/>
        <w:tblW w:w="9793" w:type="dxa"/>
        <w:jc w:val="center"/>
        <w:tblLayout w:type="autofit"/>
        <w:tblCellMar>
          <w:top w:w="0" w:type="dxa"/>
          <w:left w:w="108" w:type="dxa"/>
          <w:bottom w:w="0" w:type="dxa"/>
          <w:right w:w="108" w:type="dxa"/>
        </w:tblCellMar>
      </w:tblPr>
      <w:tblGrid>
        <w:gridCol w:w="2391"/>
        <w:gridCol w:w="849"/>
        <w:gridCol w:w="6553"/>
      </w:tblGrid>
      <w:tr w14:paraId="561FF2F6">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F4D0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E405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营业收入20000万元以下的为中小微型企业。</w:t>
            </w:r>
          </w:p>
        </w:tc>
      </w:tr>
      <w:tr w14:paraId="5DF2B4D4">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17B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CFC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A22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500万元-20000万元</w:t>
            </w:r>
          </w:p>
        </w:tc>
      </w:tr>
      <w:tr w14:paraId="67817D5D">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A3CF">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078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D7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50万元-500万元</w:t>
            </w:r>
          </w:p>
        </w:tc>
      </w:tr>
      <w:tr w14:paraId="58DFFD3D">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40A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58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0A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50万元以下</w:t>
            </w:r>
          </w:p>
        </w:tc>
      </w:tr>
      <w:tr w14:paraId="2E6B9219">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D8D99">
            <w:pPr>
              <w:widowControl/>
              <w:spacing w:line="340" w:lineRule="exact"/>
              <w:jc w:val="center"/>
              <w:textAlignment w:val="center"/>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kern w:val="0"/>
                <w:highlight w:val="none"/>
              </w:rPr>
              <w:t>工业</w:t>
            </w:r>
          </w:p>
          <w:p w14:paraId="49355C79">
            <w:pPr>
              <w:widowControl/>
              <w:spacing w:line="340" w:lineRule="exact"/>
              <w:jc w:val="center"/>
              <w:textAlignment w:val="center"/>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kern w:val="0"/>
                <w:highlight w:val="none"/>
              </w:rPr>
              <w:t>（包括采矿业，制造 业，电力、热力、燃 气及水生产和供应</w:t>
            </w:r>
          </w:p>
          <w:p w14:paraId="1FEEB43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3CB6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40000万元以下的为中小微型企业。</w:t>
            </w:r>
          </w:p>
        </w:tc>
      </w:tr>
      <w:tr w14:paraId="4C3E941C">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426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4BD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6F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2000万元一40000万元</w:t>
            </w:r>
          </w:p>
        </w:tc>
      </w:tr>
      <w:tr w14:paraId="2664B135">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F4C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23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F8F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300万元一2000万元</w:t>
            </w:r>
          </w:p>
        </w:tc>
      </w:tr>
      <w:tr w14:paraId="25807768">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4E7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DD3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439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300万元以下</w:t>
            </w:r>
          </w:p>
        </w:tc>
      </w:tr>
      <w:tr w14:paraId="3AB6510B">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2632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C9FA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营业收入80000万元以下或资产总额 80000万元以下的为中小微型企业。</w:t>
            </w:r>
          </w:p>
        </w:tc>
      </w:tr>
      <w:tr w14:paraId="348B87DE">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016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EF0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923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营业收入6000万元一80000万元，且资产总额 5000万元一80000万元</w:t>
            </w:r>
          </w:p>
        </w:tc>
      </w:tr>
      <w:tr w14:paraId="755E566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7FCE">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49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D0C9">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 300万元一6000万元，且资产总额 300万一5000万元</w:t>
            </w:r>
          </w:p>
        </w:tc>
      </w:tr>
      <w:tr w14:paraId="1387210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0D8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3A4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47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营业收入300万元以下或资产总额 300万元以下</w:t>
            </w:r>
          </w:p>
        </w:tc>
      </w:tr>
      <w:tr w14:paraId="4DF39D6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CABCA">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1471F">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从业人员200人以下或营业收入40000万元以下的为中小微型企业。</w:t>
            </w:r>
          </w:p>
        </w:tc>
      </w:tr>
      <w:tr w14:paraId="6437128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2ADF">
            <w:pPr>
              <w:spacing w:line="340" w:lineRule="exact"/>
              <w:jc w:val="center"/>
              <w:rPr>
                <w:rFonts w:ascii="微软雅黑" w:hAnsi="微软雅黑" w:eastAsia="微软雅黑" w:cs="微软雅黑"/>
                <w:b/>
                <w:bCs/>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3BD">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2FDD">
            <w:pPr>
              <w:widowControl/>
              <w:spacing w:line="340" w:lineRule="exact"/>
              <w:jc w:val="left"/>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从业人员20人一200人，且营业收入5000万元一40000万元</w:t>
            </w:r>
          </w:p>
        </w:tc>
      </w:tr>
      <w:tr w14:paraId="23C250B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A308">
            <w:pPr>
              <w:spacing w:line="340" w:lineRule="exact"/>
              <w:jc w:val="center"/>
              <w:rPr>
                <w:rFonts w:ascii="微软雅黑" w:hAnsi="微软雅黑" w:eastAsia="微软雅黑" w:cs="微软雅黑"/>
                <w:b/>
                <w:bCs/>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576">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0E7F">
            <w:pPr>
              <w:widowControl/>
              <w:spacing w:line="340" w:lineRule="exact"/>
              <w:jc w:val="left"/>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从业人员5人一20人，且营业收入1000万元一5000万元</w:t>
            </w:r>
          </w:p>
        </w:tc>
      </w:tr>
      <w:tr w14:paraId="5ABF62B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5F528">
            <w:pPr>
              <w:spacing w:line="340" w:lineRule="exact"/>
              <w:jc w:val="center"/>
              <w:rPr>
                <w:rFonts w:ascii="微软雅黑" w:hAnsi="微软雅黑" w:eastAsia="微软雅黑" w:cs="微软雅黑"/>
                <w:b/>
                <w:bCs/>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BB6">
            <w:pPr>
              <w:widowControl/>
              <w:spacing w:line="340" w:lineRule="exact"/>
              <w:jc w:val="center"/>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1EA">
            <w:pPr>
              <w:widowControl/>
              <w:spacing w:line="340" w:lineRule="exact"/>
              <w:jc w:val="left"/>
              <w:textAlignment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kern w:val="0"/>
                <w:highlight w:val="none"/>
              </w:rPr>
              <w:t>从业人员5人以下或营业收入1000万元以下</w:t>
            </w:r>
          </w:p>
        </w:tc>
      </w:tr>
      <w:tr w14:paraId="4737D97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313A3">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0FCC2">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从业人员300人以下或营业收入 20000万元以下的为中小微型企业。</w:t>
            </w:r>
          </w:p>
        </w:tc>
      </w:tr>
      <w:tr w14:paraId="3F60772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27D4F">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CE49">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D8B0">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 50人一300人，且营业收入500万元一20000万元</w:t>
            </w:r>
          </w:p>
        </w:tc>
      </w:tr>
      <w:tr w14:paraId="5ED4AE2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29A9">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552D">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ABA">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从业人员10人一50人，且营业收入100万元一500万元</w:t>
            </w:r>
          </w:p>
        </w:tc>
      </w:tr>
      <w:tr w14:paraId="6AB44B9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61C8">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8CA2">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38C">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从业人员10人以下或营业收入100万元以下</w:t>
            </w:r>
          </w:p>
        </w:tc>
      </w:tr>
      <w:tr w14:paraId="478095E4">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5DB5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0356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38796F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C74B">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4A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C0F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3000万元一30000万元</w:t>
            </w:r>
          </w:p>
        </w:tc>
      </w:tr>
      <w:tr w14:paraId="5980CE8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6F5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94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FF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200万元一3000万元</w:t>
            </w:r>
          </w:p>
        </w:tc>
      </w:tr>
      <w:tr w14:paraId="741CAED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E9D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B2E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46C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从业人员20人以下或营业收入200万元以下</w:t>
            </w:r>
          </w:p>
        </w:tc>
      </w:tr>
      <w:tr w14:paraId="7816D92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0D68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B0E8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从业人员200人以下或营业收入 30000万元以下的为中小微型企业。</w:t>
            </w:r>
          </w:p>
        </w:tc>
      </w:tr>
      <w:tr w14:paraId="0FAA6A0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191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1AA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53B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从业人员100人一200人，且营业收入 1000万元一30000万元</w:t>
            </w:r>
          </w:p>
        </w:tc>
      </w:tr>
      <w:tr w14:paraId="1CC7835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D71B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F7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123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从业人员20人一100人，且营业收入 100万元一1000万元</w:t>
            </w:r>
          </w:p>
        </w:tc>
      </w:tr>
      <w:tr w14:paraId="2293773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AD5F">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2F9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56F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61F4D793">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CB97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C263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30000万元以下的为中小微型企业。</w:t>
            </w:r>
          </w:p>
        </w:tc>
      </w:tr>
      <w:tr w14:paraId="4CE7799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39E03">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D3D4">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9B5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300人一1000人，且营业收入 2000万元一30000万元</w:t>
            </w:r>
          </w:p>
        </w:tc>
      </w:tr>
      <w:tr w14:paraId="4B588CD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5628">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956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26">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从业人员20人一300人，且营业收入 100万元一2000万元</w:t>
            </w:r>
          </w:p>
        </w:tc>
      </w:tr>
      <w:tr w14:paraId="36092C7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598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23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E902">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从业人员20人以下或营业收入 100万元以下</w:t>
            </w:r>
          </w:p>
        </w:tc>
      </w:tr>
      <w:tr w14:paraId="55D69F7D">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8E77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BE737">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492950D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F975F">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A9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EFA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2000万元一10000万元</w:t>
            </w:r>
          </w:p>
        </w:tc>
      </w:tr>
      <w:tr w14:paraId="161B688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8892">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9CB">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45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100万元一2000万元</w:t>
            </w:r>
          </w:p>
        </w:tc>
      </w:tr>
      <w:tr w14:paraId="4699F72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5FC5">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1A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E0D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39A1FF5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04A8F">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199B">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从业人员300人以下或营业收入 10000万元以下的为中小微型企业。</w:t>
            </w:r>
          </w:p>
        </w:tc>
      </w:tr>
      <w:tr w14:paraId="0F3643E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B59E">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2E97">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1FF">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从业人员100— 300人，且营业收入 2000万元一10000万元</w:t>
            </w:r>
          </w:p>
        </w:tc>
      </w:tr>
      <w:tr w14:paraId="3E09E0E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A5A4">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F44">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13A1">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从业人员10人一100人，且营业收入 100万元一2000万元</w:t>
            </w:r>
          </w:p>
        </w:tc>
      </w:tr>
      <w:tr w14:paraId="04BDE37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010D">
            <w:pPr>
              <w:spacing w:line="340" w:lineRule="exact"/>
              <w:jc w:val="center"/>
              <w:rPr>
                <w:rFonts w:ascii="微软雅黑" w:hAnsi="微软雅黑" w:eastAsia="微软雅黑" w:cs="微软雅黑"/>
                <w:b w:val="0"/>
                <w:bCs w:val="0"/>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C4C">
            <w:pPr>
              <w:widowControl/>
              <w:spacing w:line="340" w:lineRule="exact"/>
              <w:jc w:val="center"/>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B18">
            <w:pPr>
              <w:widowControl/>
              <w:spacing w:line="340" w:lineRule="exact"/>
              <w:jc w:val="left"/>
              <w:textAlignment w:val="center"/>
              <w:rPr>
                <w:rFonts w:ascii="微软雅黑" w:hAnsi="微软雅黑" w:eastAsia="微软雅黑" w:cs="微软雅黑"/>
                <w:b w:val="0"/>
                <w:bCs w:val="0"/>
                <w:color w:val="auto"/>
                <w:highlight w:val="none"/>
              </w:rPr>
            </w:pPr>
            <w:r>
              <w:rPr>
                <w:rFonts w:hint="eastAsia" w:ascii="微软雅黑" w:hAnsi="微软雅黑" w:eastAsia="微软雅黑" w:cs="微软雅黑"/>
                <w:b w:val="0"/>
                <w:bCs w:val="0"/>
                <w:color w:val="auto"/>
                <w:kern w:val="0"/>
                <w:highlight w:val="none"/>
              </w:rPr>
              <w:t>从业人员10人以下或营业收入 100万元以下</w:t>
            </w:r>
          </w:p>
        </w:tc>
      </w:tr>
      <w:tr w14:paraId="3EDAB83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5B5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6ADE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从业人员2000人以下或营业收入 100000万元以下的为中小微型企业。</w:t>
            </w:r>
          </w:p>
        </w:tc>
      </w:tr>
      <w:tr w14:paraId="2B56D95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7E9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5E6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50C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从业人员100人一2000人，且营业收入 1000万元一10000万元</w:t>
            </w:r>
          </w:p>
        </w:tc>
      </w:tr>
      <w:tr w14:paraId="721C3DC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B6E9">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ACC">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796A">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100万元一1000万元</w:t>
            </w:r>
          </w:p>
        </w:tc>
      </w:tr>
      <w:tr w14:paraId="0E027A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869C">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921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42E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100万元以下</w:t>
            </w:r>
          </w:p>
        </w:tc>
      </w:tr>
      <w:tr w14:paraId="03B2BA6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CE92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2E8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从业人员300人以下或营业收入 10000万元以下的为中小微型企业。</w:t>
            </w:r>
          </w:p>
        </w:tc>
      </w:tr>
      <w:tr w14:paraId="3A229DA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0A327">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79D">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9C1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300人，且营业收入 1000万元一10000万元</w:t>
            </w:r>
          </w:p>
        </w:tc>
      </w:tr>
      <w:tr w14:paraId="39E210F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A43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B54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30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从业人员10人一100人，且营业收入 50万元一1000万元</w:t>
            </w:r>
          </w:p>
        </w:tc>
      </w:tr>
      <w:tr w14:paraId="7EE95AC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AD3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AE1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4F4">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从业人员10人以下或营业收入 50万元以下</w:t>
            </w:r>
          </w:p>
        </w:tc>
      </w:tr>
      <w:tr w14:paraId="774ADE7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E8F3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0B89A">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营业收入200000万元以下或资产总额 10000万元以下的为中小微型企业。</w:t>
            </w:r>
          </w:p>
        </w:tc>
      </w:tr>
      <w:tr w14:paraId="7E5481A2">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829B6">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3B82">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DEC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营业收入1000万元一200000万元，且资产总额 5000万元一10000万元</w:t>
            </w:r>
          </w:p>
        </w:tc>
      </w:tr>
      <w:tr w14:paraId="3DEC59B8">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34FD">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49F">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45FE">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营业收入100万元一1000万元，且资产总额 2 000万元一5000 万元</w:t>
            </w:r>
          </w:p>
        </w:tc>
      </w:tr>
      <w:tr w14:paraId="69BBB9E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1CC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DCA6">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F2B7">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营业收入100万元以下或资产总额 2000万元以下的为微型企业</w:t>
            </w:r>
          </w:p>
        </w:tc>
      </w:tr>
      <w:tr w14:paraId="40EF5B5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F7DEE">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A2A2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从业人员1000人以下或营业收入 5000万元以下的为中小微型企业。</w:t>
            </w:r>
          </w:p>
        </w:tc>
      </w:tr>
      <w:tr w14:paraId="6FB198A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D17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37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4C0">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 300人一1 000人，且营业收入 1000万元一5000万元</w:t>
            </w:r>
          </w:p>
        </w:tc>
      </w:tr>
      <w:tr w14:paraId="2F4B4B5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362C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0D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547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从业人员100人一300人，且营业收入 500万元一1000万元</w:t>
            </w:r>
          </w:p>
        </w:tc>
      </w:tr>
      <w:tr w14:paraId="7F66152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ADFB0">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DD8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8F5C">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从业人员100人以下或营业收入 500万元以下</w:t>
            </w:r>
          </w:p>
        </w:tc>
      </w:tr>
      <w:tr w14:paraId="2235196C">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85D3B">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2CF2D">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17B36CF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2248">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88E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FD1">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从业人员100人一300人，且资产总额 8000万元一120000万元</w:t>
            </w:r>
          </w:p>
        </w:tc>
      </w:tr>
      <w:tr w14:paraId="2638EA8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451D">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CF1">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12D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从业人员10人一100人，且资产总额 100万元一8000万元</w:t>
            </w:r>
          </w:p>
        </w:tc>
      </w:tr>
      <w:tr w14:paraId="1F09BC4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A93A">
            <w:pPr>
              <w:spacing w:line="340" w:lineRule="exact"/>
              <w:jc w:val="left"/>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4980">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3F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从业人员10人以下或资产总额 100万元以下</w:t>
            </w:r>
          </w:p>
        </w:tc>
      </w:tr>
      <w:tr w14:paraId="67CE1B0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F1FA8">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F429">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从业人员300人以下的为中小微型企业。</w:t>
            </w:r>
          </w:p>
        </w:tc>
      </w:tr>
      <w:tr w14:paraId="4FF6149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BEE6A">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D4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80A5">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从业人员100— 300人</w:t>
            </w:r>
          </w:p>
        </w:tc>
      </w:tr>
      <w:tr w14:paraId="300C791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91D4">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EB75">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8C0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从业人员10人一100人</w:t>
            </w:r>
          </w:p>
        </w:tc>
      </w:tr>
      <w:tr w14:paraId="4902E79C">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6C4D1">
            <w:pPr>
              <w:spacing w:line="340" w:lineRule="exact"/>
              <w:jc w:val="center"/>
              <w:rPr>
                <w:rFonts w:ascii="微软雅黑" w:hAnsi="微软雅黑" w:eastAsia="微软雅黑" w:cs="微软雅黑"/>
                <w:color w:val="auto"/>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F483">
            <w:pPr>
              <w:widowControl/>
              <w:spacing w:line="340" w:lineRule="exact"/>
              <w:jc w:val="center"/>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A5BF">
            <w:pPr>
              <w:widowControl/>
              <w:spacing w:line="340" w:lineRule="exact"/>
              <w:jc w:val="left"/>
              <w:textAlignment w:val="center"/>
              <w:rPr>
                <w:rFonts w:ascii="微软雅黑" w:hAnsi="微软雅黑" w:eastAsia="微软雅黑" w:cs="微软雅黑"/>
                <w:color w:val="auto"/>
                <w:highlight w:val="none"/>
              </w:rPr>
            </w:pPr>
            <w:r>
              <w:rPr>
                <w:rFonts w:hint="eastAsia" w:ascii="微软雅黑" w:hAnsi="微软雅黑" w:eastAsia="微软雅黑" w:cs="微软雅黑"/>
                <w:color w:val="auto"/>
                <w:kern w:val="0"/>
                <w:highlight w:val="none"/>
              </w:rPr>
              <w:t>从业人员10人以下</w:t>
            </w:r>
          </w:p>
        </w:tc>
      </w:tr>
    </w:tbl>
    <w:p w14:paraId="41C2A521">
      <w:pPr>
        <w:snapToGrid w:val="0"/>
        <w:spacing w:line="420" w:lineRule="exact"/>
        <w:contextualSpacing/>
        <w:jc w:val="left"/>
        <w:rPr>
          <w:rFonts w:ascii="微软雅黑" w:hAnsi="微软雅黑" w:eastAsia="微软雅黑" w:cs="微软雅黑"/>
          <w:b/>
          <w:color w:val="auto"/>
          <w:sz w:val="24"/>
          <w:szCs w:val="24"/>
          <w:highlight w:val="none"/>
        </w:rPr>
      </w:pPr>
    </w:p>
    <w:p w14:paraId="3D837F93">
      <w:pPr>
        <w:snapToGrid w:val="0"/>
        <w:spacing w:line="420" w:lineRule="exact"/>
        <w:ind w:firstLine="240" w:firstLineChars="100"/>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行业包括：</w:t>
      </w:r>
      <w:r>
        <w:rPr>
          <w:rFonts w:hint="eastAsia" w:ascii="微软雅黑" w:hAnsi="微软雅黑" w:eastAsia="微软雅黑" w:cs="微软雅黑"/>
          <w:bCs/>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微软雅黑"/>
          <w:b/>
          <w:color w:val="auto"/>
          <w:sz w:val="24"/>
          <w:szCs w:val="24"/>
          <w:highlight w:val="none"/>
        </w:rPr>
        <w:t>。</w:t>
      </w:r>
    </w:p>
    <w:p w14:paraId="219E9980">
      <w:pPr>
        <w:snapToGrid w:val="0"/>
        <w:spacing w:line="420" w:lineRule="exact"/>
        <w:contextualSpacing/>
        <w:jc w:val="left"/>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说明：</w:t>
      </w:r>
    </w:p>
    <w:p w14:paraId="7F275731">
      <w:pPr>
        <w:snapToGrid w:val="0"/>
        <w:spacing w:line="420" w:lineRule="exact"/>
        <w:contextualSpacing/>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上述标准参照《关于印发中小企业划型标准规定的通知》（工信部联企业[2011]300号），大型、中型和小型企业须同时满足所列指标的下限，否则下划一档；微型企业只需满足所列指标中的一项即可。</w:t>
      </w:r>
    </w:p>
    <w:p w14:paraId="7BFAECDB">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本招标文件所称中小企业，是指在中华人民共和国境内依法设立，依据国务院批准的</w:t>
      </w:r>
    </w:p>
    <w:p w14:paraId="5331404F">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D621B62">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3C66F3A1">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（2）在工程采购项目中，工程由中小企业承建，即工程施工单位为中小企业，不对其中涉及的货物的制造商和服务的承接商作出要求；</w:t>
      </w:r>
    </w:p>
    <w:p w14:paraId="1699AD70">
      <w:pPr>
        <w:snapToGrid w:val="0"/>
        <w:spacing w:line="420" w:lineRule="exact"/>
        <w:ind w:firstLine="480" w:firstLineChars="200"/>
        <w:contextualSpacing/>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5DB150C">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7FB938">
      <w:pPr>
        <w:snapToGrid w:val="0"/>
        <w:spacing w:line="420" w:lineRule="exact"/>
        <w:ind w:firstLine="480" w:firstLineChars="200"/>
        <w:contextualSpacing/>
        <w:jc w:val="left"/>
        <w:textAlignment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依据本招标文件规定享受扶持政策获得政府采购合同的，小微企业不得将合同分包给大中型企业，中型企业不得将合同分包给大型企业。</w:t>
      </w:r>
    </w:p>
    <w:p w14:paraId="330E77A6">
      <w:pPr>
        <w:pStyle w:val="15"/>
        <w:ind w:left="1080" w:leftChars="257" w:hanging="540"/>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u w:val="single"/>
        </w:rPr>
        <w:br w:type="page"/>
      </w:r>
    </w:p>
    <w:p w14:paraId="5E11673F">
      <w:pPr>
        <w:rPr>
          <w:rFonts w:ascii="微软雅黑" w:hAnsi="微软雅黑" w:eastAsia="微软雅黑" w:cs="微软雅黑"/>
          <w:color w:val="auto"/>
          <w:highlight w:val="none"/>
        </w:rPr>
      </w:pPr>
      <w:bookmarkStart w:id="598" w:name="_Hlt520274911"/>
      <w:bookmarkEnd w:id="598"/>
      <w:bookmarkStart w:id="599" w:name="_Hlt520343000"/>
      <w:bookmarkEnd w:id="599"/>
      <w:bookmarkStart w:id="600" w:name="_Hlt520273973"/>
      <w:bookmarkEnd w:id="600"/>
      <w:bookmarkStart w:id="601" w:name="_Hlt520350957"/>
      <w:bookmarkEnd w:id="601"/>
      <w:bookmarkStart w:id="602" w:name="_Hlt520350918"/>
      <w:bookmarkEnd w:id="602"/>
      <w:bookmarkStart w:id="603" w:name="_Hlt520274393"/>
      <w:bookmarkEnd w:id="603"/>
      <w:bookmarkStart w:id="604" w:name="_Hlt520273711"/>
      <w:bookmarkEnd w:id="604"/>
      <w:bookmarkStart w:id="605" w:name="_Hlt520274065"/>
      <w:bookmarkEnd w:id="605"/>
      <w:bookmarkStart w:id="606" w:name="_Hlt520343392"/>
      <w:bookmarkEnd w:id="606"/>
      <w:bookmarkStart w:id="607" w:name="_Hlt520274407"/>
      <w:bookmarkEnd w:id="607"/>
      <w:bookmarkStart w:id="608" w:name="_Hlt520271212"/>
      <w:bookmarkEnd w:id="608"/>
    </w:p>
    <w:p w14:paraId="16976AF3">
      <w:pPr>
        <w:pStyle w:val="3"/>
        <w:spacing w:before="0" w:line="240" w:lineRule="auto"/>
        <w:rPr>
          <w:rFonts w:ascii="微软雅黑" w:hAnsi="微软雅黑" w:eastAsia="微软雅黑" w:cs="微软雅黑"/>
          <w:color w:val="auto"/>
          <w:kern w:val="2"/>
          <w:sz w:val="24"/>
          <w:szCs w:val="24"/>
          <w:highlight w:val="none"/>
        </w:rPr>
      </w:pPr>
      <w:bookmarkStart w:id="609" w:name="_Toc732"/>
      <w:bookmarkStart w:id="610" w:name="_Toc24860"/>
      <w:bookmarkStart w:id="611" w:name="_Toc4244"/>
      <w:bookmarkStart w:id="612" w:name="_Toc13947"/>
      <w:bookmarkStart w:id="613" w:name="_Toc26931"/>
      <w:bookmarkStart w:id="614" w:name="_Toc19284"/>
      <w:bookmarkStart w:id="615" w:name="_Toc30849"/>
      <w:bookmarkStart w:id="616" w:name="_Toc3420"/>
      <w:bookmarkStart w:id="617" w:name="_Toc22735"/>
      <w:bookmarkStart w:id="618" w:name="_Toc15294"/>
      <w:bookmarkStart w:id="619" w:name="_Toc2621"/>
      <w:bookmarkStart w:id="620" w:name="_Toc32586"/>
      <w:bookmarkStart w:id="621" w:name="_Toc14454"/>
      <w:bookmarkStart w:id="622" w:name="_Toc515647825"/>
      <w:bookmarkStart w:id="623" w:name="_Toc23068"/>
      <w:bookmarkStart w:id="624" w:name="OLE_LINK13"/>
      <w:bookmarkStart w:id="625" w:name="OLE_LINK14"/>
      <w:r>
        <w:rPr>
          <w:rFonts w:hint="eastAsia" w:ascii="微软雅黑" w:hAnsi="微软雅黑" w:eastAsia="微软雅黑" w:cs="微软雅黑"/>
          <w:b/>
          <w:bCs/>
          <w:color w:val="auto"/>
          <w:kern w:val="2"/>
          <w:sz w:val="24"/>
          <w:szCs w:val="24"/>
          <w:highlight w:val="none"/>
          <w:lang w:val="en-US" w:eastAsia="zh-CN"/>
        </w:rPr>
        <w:t>7</w:t>
      </w:r>
      <w:r>
        <w:rPr>
          <w:rFonts w:hint="eastAsia" w:ascii="微软雅黑" w:hAnsi="微软雅黑" w:eastAsia="微软雅黑" w:cs="微软雅黑"/>
          <w:b/>
          <w:bCs/>
          <w:color w:val="auto"/>
          <w:kern w:val="2"/>
          <w:sz w:val="24"/>
          <w:szCs w:val="24"/>
          <w:highlight w:val="none"/>
        </w:rPr>
        <w:t>、残疾人福利性单位声明函</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bookmarkEnd w:id="624"/>
    <w:bookmarkEnd w:id="625"/>
    <w:p w14:paraId="32A15D03">
      <w:pPr>
        <w:ind w:left="1080" w:leftChars="257" w:hanging="540"/>
        <w:jc w:val="center"/>
        <w:rPr>
          <w:rFonts w:ascii="微软雅黑" w:hAnsi="微软雅黑" w:eastAsia="微软雅黑" w:cs="微软雅黑"/>
          <w:color w:val="auto"/>
          <w:sz w:val="24"/>
          <w:szCs w:val="24"/>
          <w:highlight w:val="none"/>
        </w:rPr>
      </w:pPr>
    </w:p>
    <w:p w14:paraId="3C5B74BC">
      <w:pPr>
        <w:ind w:firstLine="567"/>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AAD266C">
      <w:pPr>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本单位对上述声明的真实性负责。如有虚假，将依法承担相应责任。</w:t>
      </w:r>
    </w:p>
    <w:p w14:paraId="2D7B1606">
      <w:pPr>
        <w:ind w:left="1080" w:leftChars="257" w:hanging="540"/>
        <w:jc w:val="center"/>
        <w:rPr>
          <w:rFonts w:ascii="微软雅黑" w:hAnsi="微软雅黑" w:eastAsia="微软雅黑" w:cs="微软雅黑"/>
          <w:color w:val="auto"/>
          <w:sz w:val="24"/>
          <w:szCs w:val="24"/>
          <w:highlight w:val="none"/>
        </w:rPr>
      </w:pPr>
    </w:p>
    <w:p w14:paraId="37B91BD9">
      <w:pPr>
        <w:ind w:left="1080" w:leftChars="257" w:hanging="540"/>
        <w:jc w:val="center"/>
        <w:rPr>
          <w:rFonts w:ascii="微软雅黑" w:hAnsi="微软雅黑" w:eastAsia="微软雅黑" w:cs="微软雅黑"/>
          <w:color w:val="auto"/>
          <w:sz w:val="24"/>
          <w:szCs w:val="24"/>
          <w:highlight w:val="none"/>
        </w:rPr>
      </w:pPr>
    </w:p>
    <w:p w14:paraId="2A4A6D98">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残疾人福利性单位名称（公章）：</w:t>
      </w:r>
    </w:p>
    <w:p w14:paraId="3499ABD9">
      <w:pPr>
        <w:ind w:left="1080" w:leftChars="257" w:hanging="540"/>
        <w:jc w:val="center"/>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日  期：</w:t>
      </w:r>
    </w:p>
    <w:p w14:paraId="522C2BA6">
      <w:pPr>
        <w:pStyle w:val="4"/>
        <w:ind w:firstLine="0"/>
        <w:rPr>
          <w:rFonts w:ascii="微软雅黑" w:hAnsi="微软雅黑" w:eastAsia="微软雅黑" w:cs="微软雅黑"/>
          <w:color w:val="auto"/>
          <w:kern w:val="2"/>
          <w:highlight w:val="none"/>
        </w:rPr>
      </w:pPr>
    </w:p>
    <w:p w14:paraId="579EC508">
      <w:pPr>
        <w:ind w:left="1080" w:leftChars="257" w:hanging="540"/>
        <w:jc w:val="center"/>
        <w:rPr>
          <w:rFonts w:ascii="微软雅黑" w:hAnsi="微软雅黑" w:eastAsia="微软雅黑" w:cs="微软雅黑"/>
          <w:color w:val="auto"/>
          <w:sz w:val="24"/>
          <w:szCs w:val="24"/>
          <w:highlight w:val="none"/>
        </w:rPr>
      </w:pPr>
    </w:p>
    <w:p w14:paraId="7EAB399C">
      <w:pPr>
        <w:pStyle w:val="3"/>
        <w:spacing w:before="0" w:line="240" w:lineRule="auto"/>
        <w:ind w:left="1080" w:leftChars="257" w:hanging="540"/>
        <w:jc w:val="left"/>
        <w:rPr>
          <w:rFonts w:ascii="微软雅黑" w:hAnsi="微软雅黑" w:eastAsia="微软雅黑" w:cs="微软雅黑"/>
          <w:color w:val="auto"/>
          <w:kern w:val="2"/>
          <w:highlight w:val="none"/>
        </w:rPr>
      </w:pPr>
      <w:bookmarkStart w:id="626" w:name="_Toc30946"/>
      <w:bookmarkStart w:id="627" w:name="_Toc19223"/>
      <w:bookmarkStart w:id="628" w:name="_Toc2304"/>
      <w:bookmarkStart w:id="629" w:name="_Toc5527"/>
      <w:bookmarkStart w:id="630" w:name="_Toc6009"/>
      <w:bookmarkStart w:id="631" w:name="_Toc1808"/>
      <w:bookmarkStart w:id="632" w:name="_Toc515647827"/>
      <w:bookmarkStart w:id="633" w:name="_Toc22378"/>
      <w:bookmarkStart w:id="634" w:name="_Toc22561"/>
      <w:bookmarkStart w:id="635" w:name="_Toc26133"/>
      <w:bookmarkStart w:id="636" w:name="_Toc11868"/>
      <w:bookmarkStart w:id="637" w:name="_Toc30795"/>
      <w:bookmarkStart w:id="638" w:name="_Toc28099"/>
      <w:bookmarkStart w:id="639" w:name="_Toc5568"/>
      <w:bookmarkStart w:id="640" w:name="_Toc6004"/>
      <w:r>
        <w:rPr>
          <w:rFonts w:hint="eastAsia" w:ascii="微软雅黑" w:hAnsi="微软雅黑" w:eastAsia="微软雅黑" w:cs="微软雅黑"/>
          <w:b/>
          <w:bCs/>
          <w:color w:val="auto"/>
          <w:kern w:val="2"/>
          <w:sz w:val="24"/>
          <w:szCs w:val="24"/>
          <w:highlight w:val="none"/>
          <w:lang w:val="en-US" w:eastAsia="zh-CN"/>
        </w:rPr>
        <w:t>8</w:t>
      </w:r>
      <w:r>
        <w:rPr>
          <w:rFonts w:hint="eastAsia" w:ascii="微软雅黑" w:hAnsi="微软雅黑" w:eastAsia="微软雅黑" w:cs="微软雅黑"/>
          <w:b/>
          <w:bCs/>
          <w:color w:val="auto"/>
          <w:kern w:val="2"/>
          <w:sz w:val="24"/>
          <w:szCs w:val="24"/>
          <w:highlight w:val="none"/>
        </w:rPr>
        <w:t>、供应商关联单位的说明</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1C4F847D">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说明：供应商应当如实披露与本单位存在下列关联关系的单位名称：</w:t>
      </w:r>
    </w:p>
    <w:p w14:paraId="6E229DFA">
      <w:pPr>
        <w:pStyle w:val="4"/>
        <w:ind w:firstLine="480" w:firstLineChars="200"/>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（1）与供应商单位负责人为同一人的其他单位；</w:t>
      </w:r>
    </w:p>
    <w:p w14:paraId="12EB0FD2">
      <w:pPr>
        <w:ind w:left="1080" w:leftChars="257" w:hanging="540"/>
        <w:jc w:val="both"/>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（2）与供应商存在直接控股、管理关系的其他单位。</w:t>
      </w:r>
    </w:p>
    <w:p w14:paraId="79C5FAF2">
      <w:pPr>
        <w:pStyle w:val="4"/>
        <w:rPr>
          <w:rFonts w:ascii="微软雅黑" w:hAnsi="微软雅黑" w:eastAsia="微软雅黑" w:cs="微软雅黑"/>
          <w:color w:val="auto"/>
          <w:kern w:val="2"/>
          <w:highlight w:val="none"/>
        </w:rPr>
      </w:pPr>
    </w:p>
    <w:p w14:paraId="50ECB608">
      <w:pPr>
        <w:rPr>
          <w:rFonts w:ascii="微软雅黑" w:hAnsi="微软雅黑" w:eastAsia="微软雅黑" w:cs="微软雅黑"/>
          <w:color w:val="auto"/>
          <w:highlight w:val="none"/>
        </w:rPr>
      </w:pPr>
    </w:p>
    <w:p w14:paraId="52FCB83B">
      <w:pPr>
        <w:pStyle w:val="4"/>
        <w:rPr>
          <w:color w:val="auto"/>
          <w:highlight w:val="none"/>
        </w:rPr>
      </w:pPr>
    </w:p>
    <w:p w14:paraId="67DE2DAB">
      <w:pPr>
        <w:rPr>
          <w:color w:val="auto"/>
          <w:highlight w:val="none"/>
        </w:rPr>
      </w:pPr>
    </w:p>
    <w:p w14:paraId="65537709">
      <w:pPr>
        <w:ind w:left="1080" w:leftChars="257" w:hanging="540"/>
        <w:jc w:val="left"/>
        <w:rPr>
          <w:rFonts w:ascii="微软雅黑" w:hAnsi="微软雅黑" w:eastAsia="微软雅黑" w:cs="微软雅黑"/>
          <w:b/>
          <w:bCs/>
          <w:color w:val="auto"/>
          <w:sz w:val="24"/>
          <w:szCs w:val="24"/>
          <w:highlight w:val="none"/>
        </w:rPr>
      </w:pPr>
      <w:bookmarkStart w:id="641" w:name="_Toc7414"/>
      <w:bookmarkStart w:id="642" w:name="_Toc17333"/>
      <w:bookmarkStart w:id="643" w:name="_Toc10352"/>
      <w:bookmarkStart w:id="644" w:name="_Toc29367"/>
      <w:bookmarkStart w:id="645" w:name="_Toc515647828"/>
      <w:bookmarkStart w:id="646" w:name="_Toc15535"/>
      <w:bookmarkStart w:id="647" w:name="_Toc6932"/>
      <w:bookmarkStart w:id="648" w:name="_Toc7966"/>
      <w:bookmarkStart w:id="649" w:name="_Toc20015"/>
      <w:bookmarkStart w:id="650" w:name="_Toc25126"/>
      <w:bookmarkStart w:id="651" w:name="_Toc17843"/>
      <w:bookmarkStart w:id="652" w:name="_Toc23897"/>
      <w:bookmarkStart w:id="653" w:name="_Toc12486"/>
      <w:bookmarkStart w:id="654" w:name="_Toc31226"/>
    </w:p>
    <w:bookmarkEnd w:id="641"/>
    <w:bookmarkEnd w:id="642"/>
    <w:bookmarkEnd w:id="643"/>
    <w:bookmarkEnd w:id="644"/>
    <w:bookmarkEnd w:id="645"/>
    <w:p w14:paraId="59F0F9DD">
      <w:pPr>
        <w:pStyle w:val="3"/>
        <w:spacing w:before="0" w:line="240" w:lineRule="auto"/>
        <w:ind w:left="1080" w:leftChars="257" w:hanging="540"/>
        <w:jc w:val="left"/>
        <w:rPr>
          <w:rFonts w:ascii="微软雅黑" w:hAnsi="微软雅黑" w:eastAsia="微软雅黑" w:cs="微软雅黑"/>
          <w:b/>
          <w:bCs/>
          <w:color w:val="auto"/>
          <w:kern w:val="2"/>
          <w:sz w:val="24"/>
          <w:szCs w:val="24"/>
          <w:highlight w:val="none"/>
        </w:rPr>
      </w:pPr>
      <w:bookmarkStart w:id="655" w:name="_Toc27058"/>
      <w:bookmarkStart w:id="656" w:name="_Toc30413"/>
      <w:r>
        <w:rPr>
          <w:rFonts w:hint="eastAsia" w:ascii="微软雅黑" w:hAnsi="微软雅黑" w:eastAsia="微软雅黑" w:cs="微软雅黑"/>
          <w:b/>
          <w:bCs/>
          <w:color w:val="auto"/>
          <w:kern w:val="2"/>
          <w:sz w:val="24"/>
          <w:szCs w:val="24"/>
          <w:highlight w:val="none"/>
          <w:lang w:val="en-US" w:eastAsia="zh-CN"/>
        </w:rPr>
        <w:t>9</w:t>
      </w:r>
      <w:r>
        <w:rPr>
          <w:rFonts w:hint="eastAsia" w:ascii="微软雅黑" w:hAnsi="微软雅黑" w:eastAsia="微软雅黑" w:cs="微软雅黑"/>
          <w:b/>
          <w:bCs/>
          <w:color w:val="auto"/>
          <w:kern w:val="2"/>
          <w:sz w:val="24"/>
          <w:szCs w:val="24"/>
          <w:highlight w:val="none"/>
        </w:rPr>
        <w:t>、供应商可提供有利于投标的其他资格证明材料</w:t>
      </w:r>
      <w:bookmarkEnd w:id="646"/>
      <w:bookmarkEnd w:id="647"/>
      <w:bookmarkEnd w:id="648"/>
      <w:bookmarkEnd w:id="649"/>
      <w:bookmarkEnd w:id="650"/>
      <w:bookmarkEnd w:id="651"/>
      <w:bookmarkEnd w:id="652"/>
      <w:bookmarkEnd w:id="653"/>
      <w:bookmarkEnd w:id="654"/>
      <w:bookmarkEnd w:id="655"/>
      <w:bookmarkEnd w:id="656"/>
    </w:p>
    <w:p w14:paraId="6E1E8F72">
      <w:pPr>
        <w:jc w:val="left"/>
        <w:rPr>
          <w:rFonts w:ascii="微软雅黑" w:hAnsi="微软雅黑" w:eastAsia="微软雅黑" w:cs="微软雅黑"/>
          <w:color w:val="auto"/>
          <w:sz w:val="24"/>
          <w:szCs w:val="24"/>
          <w:highlight w:val="none"/>
        </w:rPr>
      </w:pPr>
    </w:p>
    <w:p w14:paraId="4FC7DACF">
      <w:pPr>
        <w:pStyle w:val="4"/>
        <w:rPr>
          <w:rFonts w:ascii="微软雅黑" w:hAnsi="微软雅黑" w:eastAsia="微软雅黑" w:cs="微软雅黑"/>
          <w:color w:val="auto"/>
          <w:highlight w:val="none"/>
        </w:rPr>
      </w:pPr>
    </w:p>
    <w:p w14:paraId="14A2FF78">
      <w:pPr>
        <w:rPr>
          <w:rFonts w:ascii="微软雅黑" w:hAnsi="微软雅黑" w:eastAsia="微软雅黑" w:cs="微软雅黑"/>
          <w:color w:val="auto"/>
          <w:highlight w:val="none"/>
        </w:rPr>
      </w:pPr>
    </w:p>
    <w:p w14:paraId="57407535">
      <w:pPr>
        <w:pStyle w:val="4"/>
        <w:rPr>
          <w:rFonts w:ascii="微软雅黑" w:hAnsi="微软雅黑" w:eastAsia="微软雅黑" w:cs="微软雅黑"/>
          <w:color w:val="auto"/>
          <w:highlight w:val="none"/>
        </w:rPr>
      </w:pPr>
    </w:p>
    <w:p w14:paraId="25B2D149">
      <w:pPr>
        <w:rPr>
          <w:rFonts w:ascii="微软雅黑" w:hAnsi="微软雅黑" w:eastAsia="微软雅黑" w:cs="微软雅黑"/>
          <w:color w:val="auto"/>
          <w:highlight w:val="none"/>
        </w:rPr>
      </w:pPr>
    </w:p>
    <w:p w14:paraId="397D237B">
      <w:pPr>
        <w:pStyle w:val="4"/>
        <w:rPr>
          <w:rFonts w:ascii="微软雅黑" w:hAnsi="微软雅黑" w:eastAsia="微软雅黑" w:cs="微软雅黑"/>
          <w:color w:val="auto"/>
          <w:highlight w:val="none"/>
        </w:rPr>
      </w:pPr>
    </w:p>
    <w:p w14:paraId="1DE045A1">
      <w:pPr>
        <w:rPr>
          <w:color w:val="auto"/>
          <w:highlight w:val="none"/>
        </w:rPr>
      </w:pPr>
    </w:p>
    <w:p w14:paraId="3A2EF478">
      <w:pPr>
        <w:rPr>
          <w:rFonts w:ascii="微软雅黑" w:hAnsi="微软雅黑" w:eastAsia="微软雅黑" w:cs="微软雅黑"/>
          <w:color w:val="auto"/>
          <w:highlight w:val="none"/>
        </w:rPr>
      </w:pPr>
    </w:p>
    <w:p w14:paraId="658EC82E">
      <w:pPr>
        <w:rPr>
          <w:rFonts w:ascii="微软雅黑" w:hAnsi="微软雅黑" w:eastAsia="微软雅黑" w:cs="微软雅黑"/>
          <w:color w:val="auto"/>
          <w:highlight w:val="none"/>
        </w:rPr>
      </w:pPr>
    </w:p>
    <w:p w14:paraId="40F1B937">
      <w:pPr>
        <w:rPr>
          <w:color w:val="auto"/>
          <w:highlight w:val="none"/>
        </w:rPr>
      </w:pPr>
    </w:p>
    <w:p w14:paraId="25390B5A">
      <w:pPr>
        <w:pStyle w:val="4"/>
        <w:rPr>
          <w:rFonts w:ascii="微软雅黑" w:hAnsi="微软雅黑" w:eastAsia="微软雅黑" w:cs="微软雅黑"/>
          <w:color w:val="auto"/>
          <w:highlight w:val="none"/>
        </w:rPr>
      </w:pPr>
    </w:p>
    <w:p w14:paraId="3E03F605">
      <w:pPr>
        <w:rPr>
          <w:rFonts w:ascii="微软雅黑" w:hAnsi="微软雅黑" w:eastAsia="微软雅黑" w:cs="微软雅黑"/>
          <w:color w:val="auto"/>
          <w:highlight w:val="none"/>
        </w:rPr>
      </w:pPr>
    </w:p>
    <w:p w14:paraId="1084D125">
      <w:pPr>
        <w:ind w:left="1080" w:leftChars="257" w:hanging="540"/>
        <w:rPr>
          <w:rFonts w:ascii="微软雅黑" w:hAnsi="微软雅黑" w:eastAsia="微软雅黑" w:cs="微软雅黑"/>
          <w:b/>
          <w:bCs/>
          <w:color w:val="auto"/>
          <w:kern w:val="0"/>
          <w:sz w:val="24"/>
          <w:szCs w:val="24"/>
          <w:highlight w:val="none"/>
        </w:rPr>
      </w:pPr>
      <w:bookmarkStart w:id="657" w:name="_Toc23424"/>
      <w:bookmarkStart w:id="658" w:name="_Toc17701"/>
      <w:bookmarkStart w:id="659" w:name="_Toc2969"/>
      <w:bookmarkStart w:id="660" w:name="_Toc31381"/>
      <w:bookmarkStart w:id="661" w:name="_Toc25807"/>
      <w:bookmarkStart w:id="662" w:name="_Toc19009"/>
      <w:bookmarkStart w:id="663" w:name="_Toc16684"/>
    </w:p>
    <w:p w14:paraId="3499676D">
      <w:pPr>
        <w:ind w:left="1080" w:leftChars="257" w:hanging="540"/>
        <w:outlineLvl w:val="1"/>
        <w:rPr>
          <w:rFonts w:ascii="微软雅黑" w:hAnsi="微软雅黑" w:eastAsia="微软雅黑" w:cs="微软雅黑"/>
          <w:b/>
          <w:bCs/>
          <w:color w:val="auto"/>
          <w:kern w:val="0"/>
          <w:sz w:val="24"/>
          <w:szCs w:val="24"/>
          <w:highlight w:val="none"/>
        </w:rPr>
      </w:pPr>
      <w:bookmarkStart w:id="664" w:name="_Toc23691"/>
      <w:r>
        <w:rPr>
          <w:rFonts w:hint="eastAsia" w:ascii="微软雅黑" w:hAnsi="微软雅黑" w:eastAsia="微软雅黑" w:cs="微软雅黑"/>
          <w:b/>
          <w:bCs/>
          <w:color w:val="auto"/>
          <w:kern w:val="0"/>
          <w:sz w:val="24"/>
          <w:szCs w:val="24"/>
          <w:highlight w:val="none"/>
          <w:lang w:val="en-US" w:eastAsia="zh-CN"/>
        </w:rPr>
        <w:t>10</w:t>
      </w:r>
      <w:r>
        <w:rPr>
          <w:rFonts w:hint="eastAsia" w:ascii="微软雅黑" w:hAnsi="微软雅黑" w:eastAsia="微软雅黑" w:cs="微软雅黑"/>
          <w:b/>
          <w:bCs/>
          <w:color w:val="auto"/>
          <w:kern w:val="0"/>
          <w:sz w:val="24"/>
          <w:szCs w:val="24"/>
          <w:highlight w:val="none"/>
        </w:rPr>
        <w:t>、投标文件格式范本</w:t>
      </w:r>
      <w:bookmarkEnd w:id="657"/>
      <w:bookmarkEnd w:id="658"/>
      <w:bookmarkEnd w:id="659"/>
      <w:bookmarkEnd w:id="660"/>
      <w:bookmarkEnd w:id="661"/>
      <w:bookmarkEnd w:id="662"/>
      <w:bookmarkEnd w:id="663"/>
      <w:bookmarkEnd w:id="664"/>
    </w:p>
    <w:tbl>
      <w:tblPr>
        <w:tblStyle w:val="30"/>
        <w:tblpPr w:leftFromText="180" w:rightFromText="180" w:vertAnchor="text" w:horzAnchor="page" w:tblpX="1380" w:tblpY="440"/>
        <w:tblOverlap w:val="never"/>
        <w:tblW w:w="88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8820"/>
      </w:tblGrid>
      <w:tr w14:paraId="6D3A7C2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8820" w:type="dxa"/>
            <w:shd w:val="clear" w:color="auto" w:fill="FCFEEA"/>
          </w:tcPr>
          <w:p w14:paraId="7706DFC0">
            <w:pPr>
              <w:pStyle w:val="11"/>
              <w:spacing w:line="240" w:lineRule="auto"/>
              <w:jc w:val="center"/>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xml:space="preserve">                                              （正本或副本）</w:t>
            </w:r>
          </w:p>
          <w:p w14:paraId="59DC8B13">
            <w:pPr>
              <w:pStyle w:val="11"/>
              <w:spacing w:line="240" w:lineRule="auto"/>
              <w:ind w:firstLine="4202" w:firstLineChars="1500"/>
              <w:rPr>
                <w:rFonts w:ascii="微软雅黑" w:hAnsi="微软雅黑" w:eastAsia="微软雅黑" w:cs="微软雅黑"/>
                <w:b/>
                <w:bCs/>
                <w:color w:val="auto"/>
                <w:sz w:val="28"/>
                <w:szCs w:val="28"/>
                <w:highlight w:val="none"/>
              </w:rPr>
            </w:pPr>
          </w:p>
          <w:p w14:paraId="7A4A4163">
            <w:pPr>
              <w:pStyle w:val="11"/>
              <w:spacing w:line="240" w:lineRule="auto"/>
              <w:ind w:firstLine="4202" w:firstLineChars="1500"/>
              <w:rPr>
                <w:rFonts w:ascii="微软雅黑" w:hAnsi="微软雅黑" w:eastAsia="微软雅黑" w:cs="微软雅黑"/>
                <w:b/>
                <w:bCs/>
                <w:color w:val="auto"/>
                <w:sz w:val="28"/>
                <w:szCs w:val="28"/>
                <w:highlight w:val="none"/>
              </w:rPr>
            </w:pPr>
          </w:p>
          <w:p w14:paraId="6991C9DF">
            <w:pPr>
              <w:pStyle w:val="11"/>
              <w:spacing w:line="240" w:lineRule="auto"/>
              <w:rPr>
                <w:rFonts w:ascii="微软雅黑" w:hAnsi="微软雅黑" w:eastAsia="微软雅黑" w:cs="微软雅黑"/>
                <w:b/>
                <w:bCs/>
                <w:color w:val="auto"/>
                <w:sz w:val="28"/>
                <w:szCs w:val="28"/>
                <w:highlight w:val="none"/>
              </w:rPr>
            </w:pPr>
          </w:p>
          <w:p w14:paraId="3F86DA98">
            <w:pPr>
              <w:pStyle w:val="11"/>
              <w:spacing w:line="240" w:lineRule="auto"/>
              <w:ind w:firstLine="2521" w:firstLineChars="900"/>
              <w:rPr>
                <w:rFonts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 *** *** *** ***   项目</w:t>
            </w:r>
          </w:p>
          <w:p w14:paraId="7EC77E97">
            <w:pPr>
              <w:pStyle w:val="11"/>
              <w:spacing w:line="240" w:lineRule="auto"/>
              <w:jc w:val="center"/>
              <w:rPr>
                <w:rFonts w:ascii="微软雅黑" w:hAnsi="微软雅黑" w:eastAsia="微软雅黑" w:cs="微软雅黑"/>
                <w:b/>
                <w:bCs/>
                <w:color w:val="auto"/>
                <w:sz w:val="21"/>
                <w:szCs w:val="21"/>
                <w:highlight w:val="none"/>
              </w:rPr>
            </w:pPr>
          </w:p>
          <w:p w14:paraId="3337FDA1">
            <w:pPr>
              <w:pStyle w:val="11"/>
              <w:spacing w:line="240" w:lineRule="auto"/>
              <w:ind w:firstLine="3152" w:firstLineChars="15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编号＊＊＊＊＊＊   包号＊＊＊＊＊</w:t>
            </w:r>
          </w:p>
          <w:p w14:paraId="37C00009">
            <w:pPr>
              <w:pStyle w:val="11"/>
              <w:spacing w:line="240" w:lineRule="auto"/>
              <w:jc w:val="center"/>
              <w:rPr>
                <w:rFonts w:ascii="微软雅黑" w:hAnsi="微软雅黑" w:eastAsia="微软雅黑" w:cs="微软雅黑"/>
                <w:b/>
                <w:bCs/>
                <w:color w:val="auto"/>
                <w:sz w:val="48"/>
                <w:szCs w:val="48"/>
                <w:highlight w:val="none"/>
              </w:rPr>
            </w:pPr>
          </w:p>
          <w:p w14:paraId="11B64905">
            <w:pPr>
              <w:pStyle w:val="11"/>
              <w:spacing w:line="240" w:lineRule="auto"/>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投 标 文 件</w:t>
            </w:r>
          </w:p>
          <w:p w14:paraId="18A3D162">
            <w:pPr>
              <w:jc w:val="center"/>
              <w:rPr>
                <w:rFonts w:ascii="微软雅黑" w:hAnsi="微软雅黑" w:eastAsia="微软雅黑" w:cs="微软雅黑"/>
                <w:b/>
                <w:bCs/>
                <w:color w:val="auto"/>
                <w:sz w:val="32"/>
                <w:szCs w:val="32"/>
                <w:highlight w:val="none"/>
              </w:rPr>
            </w:pPr>
          </w:p>
          <w:p w14:paraId="4DD34891">
            <w:pPr>
              <w:pStyle w:val="4"/>
              <w:rPr>
                <w:rFonts w:ascii="微软雅黑" w:hAnsi="微软雅黑" w:eastAsia="微软雅黑" w:cs="微软雅黑"/>
                <w:b/>
                <w:bCs/>
                <w:color w:val="auto"/>
                <w:sz w:val="32"/>
                <w:szCs w:val="32"/>
                <w:highlight w:val="none"/>
              </w:rPr>
            </w:pPr>
          </w:p>
          <w:p w14:paraId="0A7DD487">
            <w:pPr>
              <w:pStyle w:val="4"/>
              <w:rPr>
                <w:rFonts w:ascii="微软雅黑" w:hAnsi="微软雅黑" w:eastAsia="微软雅黑" w:cs="微软雅黑"/>
                <w:b/>
                <w:bCs/>
                <w:color w:val="auto"/>
                <w:sz w:val="32"/>
                <w:szCs w:val="32"/>
                <w:highlight w:val="none"/>
              </w:rPr>
            </w:pPr>
          </w:p>
          <w:p w14:paraId="5E187121">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投 标 单位：</w:t>
            </w:r>
            <w:r>
              <w:rPr>
                <w:rFonts w:hint="eastAsia" w:ascii="微软雅黑" w:hAnsi="微软雅黑" w:eastAsia="微软雅黑" w:cs="微软雅黑"/>
                <w:color w:val="auto"/>
                <w:highlight w:val="none"/>
                <w:u w:val="single"/>
              </w:rPr>
              <w:t xml:space="preserve">                                       </w:t>
            </w:r>
            <w:r>
              <w:rPr>
                <w:rFonts w:hint="eastAsia" w:ascii="微软雅黑" w:hAnsi="微软雅黑" w:eastAsia="微软雅黑" w:cs="微软雅黑"/>
                <w:color w:val="auto"/>
                <w:highlight w:val="none"/>
              </w:rPr>
              <w:t>（公章）</w:t>
            </w:r>
          </w:p>
          <w:p w14:paraId="55CCB6F8">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项目名称：</w:t>
            </w:r>
            <w:r>
              <w:rPr>
                <w:rFonts w:hint="eastAsia" w:ascii="微软雅黑" w:hAnsi="微软雅黑" w:eastAsia="微软雅黑" w:cs="微软雅黑"/>
                <w:color w:val="auto"/>
                <w:highlight w:val="none"/>
                <w:u w:val="single"/>
              </w:rPr>
              <w:t xml:space="preserve">                                          </w:t>
            </w:r>
          </w:p>
          <w:p w14:paraId="22B5490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项目编号：</w:t>
            </w:r>
            <w:r>
              <w:rPr>
                <w:rFonts w:hint="eastAsia" w:ascii="微软雅黑" w:hAnsi="微软雅黑" w:eastAsia="微软雅黑" w:cs="微软雅黑"/>
                <w:color w:val="auto"/>
                <w:highlight w:val="none"/>
                <w:u w:val="single"/>
              </w:rPr>
              <w:t xml:space="preserve">                                        （包号）</w:t>
            </w:r>
          </w:p>
          <w:p w14:paraId="02D30C5A">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联 系 人：</w:t>
            </w:r>
            <w:r>
              <w:rPr>
                <w:rFonts w:hint="eastAsia" w:ascii="微软雅黑" w:hAnsi="微软雅黑" w:eastAsia="微软雅黑" w:cs="微软雅黑"/>
                <w:color w:val="auto"/>
                <w:highlight w:val="none"/>
                <w:u w:val="single"/>
              </w:rPr>
              <w:t xml:space="preserve">                                        </w:t>
            </w:r>
          </w:p>
          <w:p w14:paraId="4CCD72C9">
            <w:pPr>
              <w:ind w:left="176" w:leftChars="84" w:firstLine="840" w:firstLineChars="4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电    话：</w:t>
            </w:r>
            <w:r>
              <w:rPr>
                <w:rFonts w:hint="eastAsia" w:ascii="微软雅黑" w:hAnsi="微软雅黑" w:eastAsia="微软雅黑" w:cs="微软雅黑"/>
                <w:color w:val="auto"/>
                <w:highlight w:val="none"/>
                <w:u w:val="single"/>
              </w:rPr>
              <w:t xml:space="preserve">                                        </w:t>
            </w:r>
          </w:p>
          <w:p w14:paraId="4BCE6FCB">
            <w:pPr>
              <w:ind w:left="176" w:leftChars="84" w:firstLine="840" w:firstLineChars="400"/>
              <w:rPr>
                <w:rFonts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 xml:space="preserve">地    址  ：  </w:t>
            </w:r>
            <w:r>
              <w:rPr>
                <w:rFonts w:hint="eastAsia" w:ascii="微软雅黑" w:hAnsi="微软雅黑" w:eastAsia="微软雅黑" w:cs="微软雅黑"/>
                <w:color w:val="auto"/>
                <w:highlight w:val="none"/>
                <w:u w:val="single"/>
              </w:rPr>
              <w:t xml:space="preserve">                                    </w:t>
            </w:r>
          </w:p>
          <w:p w14:paraId="72C282E0">
            <w:pPr>
              <w:ind w:left="176" w:leftChars="84" w:firstLine="960" w:firstLineChars="400"/>
              <w:rPr>
                <w:rFonts w:ascii="微软雅黑" w:hAnsi="微软雅黑" w:eastAsia="微软雅黑" w:cs="微软雅黑"/>
                <w:color w:val="auto"/>
                <w:sz w:val="24"/>
                <w:szCs w:val="24"/>
                <w:highlight w:val="none"/>
              </w:rPr>
            </w:pPr>
          </w:p>
          <w:p w14:paraId="1B68515A">
            <w:pPr>
              <w:jc w:val="center"/>
              <w:rPr>
                <w:rFonts w:ascii="微软雅黑" w:hAnsi="微软雅黑" w:eastAsia="微软雅黑" w:cs="微软雅黑"/>
                <w:b/>
                <w:bCs/>
                <w:color w:val="auto"/>
                <w:highlight w:val="none"/>
              </w:rPr>
            </w:pPr>
          </w:p>
          <w:p w14:paraId="082B35F2">
            <w:pPr>
              <w:jc w:val="center"/>
              <w:rPr>
                <w:rFonts w:ascii="微软雅黑" w:hAnsi="微软雅黑" w:eastAsia="微软雅黑" w:cs="微软雅黑"/>
                <w:b/>
                <w:bCs/>
                <w:color w:val="auto"/>
                <w:highlight w:val="none"/>
              </w:rPr>
            </w:pPr>
          </w:p>
          <w:p w14:paraId="7C0DC781">
            <w:pPr>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注：   在202</w:t>
            </w:r>
            <w:r>
              <w:rPr>
                <w:rFonts w:hint="eastAsia" w:ascii="微软雅黑" w:hAnsi="微软雅黑" w:eastAsia="微软雅黑" w:cs="微软雅黑"/>
                <w:b/>
                <w:bCs/>
                <w:color w:val="auto"/>
                <w:highlight w:val="none"/>
                <w:lang w:val="en-US" w:eastAsia="zh-CN"/>
              </w:rPr>
              <w:t>5</w:t>
            </w:r>
            <w:r>
              <w:rPr>
                <w:rFonts w:hint="eastAsia" w:ascii="微软雅黑" w:hAnsi="微软雅黑" w:eastAsia="微软雅黑" w:cs="微软雅黑"/>
                <w:b/>
                <w:bCs/>
                <w:color w:val="auto"/>
                <w:highlight w:val="none"/>
              </w:rPr>
              <w:t>年   月  日 *午   之前不得启封</w:t>
            </w:r>
          </w:p>
          <w:p w14:paraId="5175C74D">
            <w:pPr>
              <w:jc w:val="center"/>
              <w:rPr>
                <w:rFonts w:ascii="微软雅黑" w:hAnsi="微软雅黑" w:eastAsia="微软雅黑" w:cs="微软雅黑"/>
                <w:b/>
                <w:bCs/>
                <w:color w:val="auto"/>
                <w:highlight w:val="none"/>
              </w:rPr>
            </w:pPr>
          </w:p>
        </w:tc>
      </w:tr>
    </w:tbl>
    <w:p w14:paraId="6BCB1082">
      <w:pPr>
        <w:rPr>
          <w:rFonts w:ascii="微软雅黑" w:hAnsi="微软雅黑" w:eastAsia="微软雅黑" w:cs="微软雅黑"/>
          <w:b/>
          <w:bCs/>
          <w:color w:val="auto"/>
          <w:sz w:val="30"/>
          <w:szCs w:val="30"/>
          <w:highlight w:val="none"/>
        </w:rPr>
      </w:pPr>
      <w:r>
        <w:rPr>
          <w:rFonts w:hint="eastAsia" w:ascii="微软雅黑" w:hAnsi="微软雅黑" w:eastAsia="微软雅黑" w:cs="微软雅黑"/>
          <w:color w:val="auto"/>
          <w:sz w:val="24"/>
          <w:szCs w:val="24"/>
          <w:highlight w:val="none"/>
        </w:rPr>
        <w:br w:type="page"/>
      </w:r>
    </w:p>
    <w:p w14:paraId="7B1BFBA5">
      <w:pPr>
        <w:pStyle w:val="4"/>
        <w:ind w:firstLine="0"/>
        <w:rPr>
          <w:rFonts w:ascii="微软雅黑" w:hAnsi="微软雅黑" w:eastAsia="微软雅黑" w:cs="微软雅黑"/>
          <w:color w:val="auto"/>
          <w:highlight w:val="none"/>
        </w:rPr>
      </w:pPr>
    </w:p>
    <w:p w14:paraId="14BDFA35">
      <w:pPr>
        <w:pStyle w:val="4"/>
        <w:rPr>
          <w:rFonts w:ascii="微软雅黑" w:hAnsi="微软雅黑" w:eastAsia="微软雅黑" w:cs="微软雅黑"/>
          <w:color w:val="auto"/>
          <w:highlight w:val="none"/>
        </w:rPr>
      </w:pPr>
    </w:p>
    <w:p w14:paraId="0A1C7501">
      <w:pPr>
        <w:jc w:val="center"/>
        <w:rPr>
          <w:rFonts w:ascii="微软雅黑" w:hAnsi="微软雅黑" w:eastAsia="微软雅黑" w:cs="微软雅黑"/>
          <w:b/>
          <w:bCs/>
          <w:color w:val="auto"/>
          <w:sz w:val="44"/>
          <w:szCs w:val="44"/>
          <w:highlight w:val="none"/>
        </w:rPr>
      </w:pPr>
    </w:p>
    <w:p w14:paraId="0D8CD79E">
      <w:pPr>
        <w:jc w:val="center"/>
        <w:rPr>
          <w:rFonts w:ascii="微软雅黑" w:hAnsi="微软雅黑" w:eastAsia="微软雅黑" w:cs="微软雅黑"/>
          <w:b/>
          <w:bCs/>
          <w:color w:val="auto"/>
          <w:sz w:val="44"/>
          <w:szCs w:val="44"/>
          <w:highlight w:val="none"/>
        </w:rPr>
      </w:pPr>
    </w:p>
    <w:p w14:paraId="6833999A">
      <w:pPr>
        <w:rPr>
          <w:rFonts w:ascii="微软雅黑" w:hAnsi="微软雅黑" w:eastAsia="微软雅黑" w:cs="微软雅黑"/>
          <w:b/>
          <w:bCs/>
          <w:color w:val="auto"/>
          <w:sz w:val="44"/>
          <w:szCs w:val="44"/>
          <w:highlight w:val="none"/>
        </w:rPr>
      </w:pPr>
    </w:p>
    <w:p w14:paraId="66CCFE98">
      <w:pPr>
        <w:jc w:val="both"/>
        <w:rPr>
          <w:rFonts w:ascii="微软雅黑" w:hAnsi="微软雅黑" w:eastAsia="微软雅黑" w:cs="微软雅黑"/>
          <w:b/>
          <w:bCs/>
          <w:color w:val="auto"/>
          <w:sz w:val="44"/>
          <w:szCs w:val="44"/>
          <w:highlight w:val="none"/>
        </w:rPr>
      </w:pPr>
    </w:p>
    <w:p w14:paraId="7D7B96C6">
      <w:pPr>
        <w:jc w:val="center"/>
        <w:rPr>
          <w:rFonts w:ascii="微软雅黑" w:hAnsi="微软雅黑" w:eastAsia="微软雅黑" w:cs="微软雅黑"/>
          <w:b/>
          <w:bCs/>
          <w:color w:val="auto"/>
          <w:sz w:val="44"/>
          <w:szCs w:val="44"/>
          <w:highlight w:val="none"/>
        </w:rPr>
      </w:pPr>
    </w:p>
    <w:p w14:paraId="74615854">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招 标 文 件</w:t>
      </w:r>
    </w:p>
    <w:p w14:paraId="7327350B">
      <w:pPr>
        <w:jc w:val="center"/>
        <w:rPr>
          <w:rFonts w:ascii="微软雅黑" w:hAnsi="微软雅黑" w:eastAsia="微软雅黑" w:cs="微软雅黑"/>
          <w:b/>
          <w:bCs/>
          <w:color w:val="auto"/>
          <w:sz w:val="40"/>
          <w:szCs w:val="40"/>
          <w:highlight w:val="none"/>
        </w:rPr>
      </w:pPr>
    </w:p>
    <w:p w14:paraId="3CD2D13F">
      <w:pPr>
        <w:jc w:val="center"/>
        <w:rPr>
          <w:rFonts w:hint="default"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40"/>
          <w:szCs w:val="40"/>
          <w:highlight w:val="none"/>
        </w:rPr>
        <w:t>项目编号：</w:t>
      </w:r>
      <w:r>
        <w:rPr>
          <w:rFonts w:hint="eastAsia" w:ascii="微软雅黑" w:hAnsi="微软雅黑" w:eastAsia="微软雅黑" w:cs="微软雅黑"/>
          <w:b/>
          <w:bCs/>
          <w:color w:val="auto"/>
          <w:sz w:val="40"/>
          <w:szCs w:val="40"/>
          <w:highlight w:val="none"/>
          <w:lang w:val="en-US" w:eastAsia="zh-CN"/>
        </w:rPr>
        <w:t>YXGJ(GK)2025-01号</w:t>
      </w:r>
    </w:p>
    <w:p w14:paraId="244DF96C">
      <w:pPr>
        <w:jc w:val="center"/>
        <w:rPr>
          <w:rFonts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第 二 册</w:t>
      </w:r>
    </w:p>
    <w:p w14:paraId="5F4E8F3A">
      <w:pPr>
        <w:jc w:val="center"/>
        <w:rPr>
          <w:rFonts w:ascii="微软雅黑" w:hAnsi="微软雅黑" w:eastAsia="微软雅黑" w:cs="微软雅黑"/>
          <w:b/>
          <w:bCs/>
          <w:color w:val="auto"/>
          <w:sz w:val="32"/>
          <w:szCs w:val="32"/>
          <w:highlight w:val="none"/>
        </w:rPr>
      </w:pPr>
    </w:p>
    <w:p w14:paraId="72FEC9B9">
      <w:pPr>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  </w:t>
      </w:r>
    </w:p>
    <w:p w14:paraId="75267B97">
      <w:pPr>
        <w:ind w:left="1080" w:leftChars="257" w:hanging="540"/>
        <w:rPr>
          <w:rFonts w:ascii="微软雅黑" w:hAnsi="微软雅黑" w:eastAsia="微软雅黑" w:cs="微软雅黑"/>
          <w:b/>
          <w:bCs/>
          <w:color w:val="auto"/>
          <w:sz w:val="28"/>
          <w:szCs w:val="28"/>
          <w:highlight w:val="none"/>
        </w:rPr>
      </w:pPr>
    </w:p>
    <w:p w14:paraId="681DFE3A">
      <w:pPr>
        <w:pStyle w:val="10"/>
        <w:rPr>
          <w:rFonts w:ascii="微软雅黑" w:hAnsi="微软雅黑" w:eastAsia="微软雅黑" w:cs="微软雅黑"/>
          <w:b/>
          <w:bCs/>
          <w:color w:val="auto"/>
          <w:sz w:val="28"/>
          <w:szCs w:val="28"/>
          <w:highlight w:val="none"/>
        </w:rPr>
      </w:pPr>
    </w:p>
    <w:p w14:paraId="6E336218">
      <w:pPr>
        <w:rPr>
          <w:rFonts w:ascii="微软雅黑" w:hAnsi="微软雅黑" w:eastAsia="微软雅黑" w:cs="微软雅黑"/>
          <w:b/>
          <w:bCs/>
          <w:color w:val="auto"/>
          <w:sz w:val="28"/>
          <w:szCs w:val="28"/>
          <w:highlight w:val="none"/>
        </w:rPr>
      </w:pPr>
    </w:p>
    <w:p w14:paraId="1B813C94">
      <w:pPr>
        <w:pStyle w:val="11"/>
        <w:rPr>
          <w:rFonts w:ascii="微软雅黑" w:hAnsi="微软雅黑" w:eastAsia="微软雅黑" w:cs="微软雅黑"/>
          <w:b/>
          <w:bCs/>
          <w:color w:val="auto"/>
          <w:sz w:val="28"/>
          <w:szCs w:val="28"/>
          <w:highlight w:val="none"/>
        </w:rPr>
      </w:pPr>
    </w:p>
    <w:p w14:paraId="5B59C3E4">
      <w:pPr>
        <w:rPr>
          <w:rFonts w:ascii="微软雅黑" w:hAnsi="微软雅黑" w:eastAsia="微软雅黑" w:cs="微软雅黑"/>
          <w:b/>
          <w:bCs/>
          <w:color w:val="auto"/>
          <w:sz w:val="28"/>
          <w:szCs w:val="28"/>
          <w:highlight w:val="none"/>
        </w:rPr>
      </w:pPr>
    </w:p>
    <w:p w14:paraId="1ACDB6BA">
      <w:pPr>
        <w:pStyle w:val="11"/>
        <w:rPr>
          <w:color w:val="auto"/>
        </w:rPr>
      </w:pPr>
    </w:p>
    <w:p w14:paraId="0B6609E4">
      <w:pPr>
        <w:pStyle w:val="10"/>
        <w:rPr>
          <w:color w:val="auto"/>
          <w:highlight w:val="none"/>
        </w:rPr>
      </w:pPr>
    </w:p>
    <w:p w14:paraId="448602B1">
      <w:pPr>
        <w:ind w:left="1080" w:leftChars="257" w:hanging="540"/>
        <w:rPr>
          <w:rFonts w:ascii="微软雅黑" w:hAnsi="微软雅黑" w:eastAsia="微软雅黑" w:cs="微软雅黑"/>
          <w:b/>
          <w:bCs/>
          <w:color w:val="auto"/>
          <w:sz w:val="28"/>
          <w:szCs w:val="28"/>
          <w:highlight w:val="none"/>
        </w:rPr>
      </w:pPr>
    </w:p>
    <w:p w14:paraId="326314EA">
      <w:pPr>
        <w:rPr>
          <w:rFonts w:ascii="微软雅黑" w:hAnsi="微软雅黑" w:eastAsia="微软雅黑" w:cs="微软雅黑"/>
          <w:b/>
          <w:bCs/>
          <w:color w:val="auto"/>
          <w:sz w:val="52"/>
          <w:szCs w:val="52"/>
          <w:highlight w:val="none"/>
        </w:rPr>
      </w:pPr>
    </w:p>
    <w:p w14:paraId="0494E4D2">
      <w:pPr>
        <w:pStyle w:val="2"/>
        <w:numPr>
          <w:ilvl w:val="0"/>
          <w:numId w:val="10"/>
        </w:numPr>
        <w:tabs>
          <w:tab w:val="left" w:pos="0"/>
        </w:tabs>
        <w:spacing w:before="0" w:after="0" w:line="240" w:lineRule="auto"/>
        <w:rPr>
          <w:rFonts w:ascii="微软雅黑" w:hAnsi="微软雅黑" w:eastAsia="微软雅黑" w:cs="微软雅黑"/>
          <w:b/>
          <w:bCs/>
          <w:color w:val="auto"/>
          <w:highlight w:val="none"/>
        </w:rPr>
      </w:pPr>
      <w:bookmarkStart w:id="665" w:name="_Toc507399902"/>
      <w:bookmarkStart w:id="666" w:name="_Toc29715"/>
      <w:bookmarkStart w:id="667" w:name="_Toc216582822"/>
      <w:bookmarkStart w:id="668" w:name="_Toc16370"/>
      <w:bookmarkStart w:id="669" w:name="_Toc515647829"/>
      <w:bookmarkStart w:id="670" w:name="_Toc219175634"/>
      <w:bookmarkStart w:id="671" w:name="_Toc28765"/>
      <w:bookmarkStart w:id="672" w:name="_Toc218935350"/>
      <w:bookmarkStart w:id="673" w:name="_Toc30980"/>
      <w:bookmarkStart w:id="674" w:name="_Toc507399903"/>
      <w:bookmarkStart w:id="675" w:name="_Toc216582823"/>
      <w:bookmarkStart w:id="676" w:name="_Toc515647830"/>
      <w:bookmarkStart w:id="677" w:name="_Toc10488"/>
      <w:bookmarkStart w:id="678" w:name="_Toc31583"/>
      <w:bookmarkStart w:id="679" w:name="_Toc5272"/>
      <w:bookmarkStart w:id="680" w:name="_Toc512937850"/>
      <w:r>
        <w:rPr>
          <w:rFonts w:hint="eastAsia" w:ascii="微软雅黑" w:hAnsi="微软雅黑" w:eastAsia="微软雅黑" w:cs="微软雅黑"/>
          <w:b/>
          <w:bCs/>
          <w:color w:val="auto"/>
          <w:highlight w:val="none"/>
        </w:rPr>
        <w:t xml:space="preserve"> </w:t>
      </w:r>
      <w:bookmarkStart w:id="681" w:name="_Toc24354"/>
      <w:r>
        <w:rPr>
          <w:rFonts w:hint="eastAsia" w:ascii="微软雅黑" w:hAnsi="微软雅黑" w:eastAsia="微软雅黑" w:cs="微软雅黑"/>
          <w:b/>
          <w:bCs/>
          <w:color w:val="auto"/>
          <w:highlight w:val="none"/>
        </w:rPr>
        <w:t>投标邀请</w:t>
      </w:r>
      <w:bookmarkEnd w:id="665"/>
      <w:bookmarkEnd w:id="666"/>
      <w:bookmarkEnd w:id="667"/>
      <w:bookmarkEnd w:id="668"/>
      <w:bookmarkEnd w:id="669"/>
      <w:bookmarkEnd w:id="670"/>
      <w:bookmarkEnd w:id="671"/>
      <w:bookmarkEnd w:id="672"/>
      <w:bookmarkEnd w:id="681"/>
    </w:p>
    <w:bookmarkEnd w:id="673"/>
    <w:p w14:paraId="4BE1CB3B">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b/>
          <w:color w:val="auto"/>
          <w:sz w:val="36"/>
          <w:szCs w:val="30"/>
          <w:highlight w:val="none"/>
          <w:lang w:eastAsia="zh-CN"/>
        </w:rPr>
      </w:pPr>
      <w:bookmarkStart w:id="682" w:name="_Toc9574"/>
      <w:bookmarkStart w:id="683" w:name="_Toc31446"/>
      <w:bookmarkStart w:id="684" w:name="_Toc10812"/>
      <w:r>
        <w:rPr>
          <w:rFonts w:hint="eastAsia" w:ascii="微软雅黑" w:hAnsi="微软雅黑" w:eastAsia="微软雅黑" w:cs="微软雅黑"/>
          <w:b/>
          <w:color w:val="auto"/>
          <w:sz w:val="36"/>
          <w:szCs w:val="30"/>
          <w:highlight w:val="none"/>
          <w:lang w:eastAsia="zh-CN"/>
        </w:rPr>
        <w:t>莎车县教育系统2025年学生营养膳食食材大米、小麦粉、清油、鲜鸡蛋、玉米粉采购项目（第四标段）</w:t>
      </w:r>
    </w:p>
    <w:p w14:paraId="1135229D">
      <w:pPr>
        <w:keepNext w:val="0"/>
        <w:keepLines w:val="0"/>
        <w:pageBreakBefore w:val="0"/>
        <w:tabs>
          <w:tab w:val="left" w:pos="4947"/>
        </w:tabs>
        <w:kinsoku/>
        <w:wordWrap/>
        <w:overflowPunct/>
        <w:topLinePunct w:val="0"/>
        <w:bidi w:val="0"/>
        <w:spacing w:line="240" w:lineRule="auto"/>
        <w:ind w:right="0"/>
        <w:jc w:val="center"/>
        <w:textAlignment w:val="auto"/>
        <w:outlineLvl w:val="9"/>
        <w:rPr>
          <w:rFonts w:hint="eastAsia" w:ascii="微软雅黑" w:hAnsi="微软雅黑" w:eastAsia="微软雅黑" w:cs="微软雅黑"/>
          <w:i w:val="0"/>
          <w:iCs w:val="0"/>
          <w:caps w:val="0"/>
          <w:color w:val="auto"/>
          <w:spacing w:val="0"/>
          <w:sz w:val="27"/>
          <w:szCs w:val="27"/>
          <w:highlight w:val="none"/>
          <w:vertAlign w:val="baseline"/>
        </w:rPr>
      </w:pPr>
      <w:r>
        <w:rPr>
          <w:rFonts w:hint="eastAsia" w:ascii="微软雅黑" w:hAnsi="微软雅黑" w:eastAsia="微软雅黑" w:cs="微软雅黑"/>
          <w:b/>
          <w:color w:val="auto"/>
          <w:sz w:val="36"/>
          <w:szCs w:val="30"/>
          <w:highlight w:val="none"/>
          <w:lang w:eastAsia="zh-CN"/>
        </w:rPr>
        <w:t>公开招标公告</w:t>
      </w:r>
      <w:bookmarkEnd w:id="682"/>
      <w:bookmarkEnd w:id="683"/>
      <w:bookmarkEnd w:id="684"/>
    </w:p>
    <w:tbl>
      <w:tblPr>
        <w:tblStyle w:val="31"/>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5CE5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900" w:type="dxa"/>
          </w:tcPr>
          <w:p w14:paraId="3E2AB46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left="0" w:right="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rPr>
              <w:t>项目况                                                    </w:t>
            </w:r>
          </w:p>
          <w:p w14:paraId="4A956CC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150" w:afterAutospacing="0" w:line="420" w:lineRule="exact"/>
              <w:ind w:right="0"/>
              <w:textAlignment w:val="auto"/>
              <w:rPr>
                <w:rFonts w:hint="eastAsia" w:ascii="微软雅黑" w:hAnsi="微软雅黑" w:eastAsia="微软雅黑" w:cs="微软雅黑"/>
                <w:i w:val="0"/>
                <w:iCs w:val="0"/>
                <w:caps w:val="0"/>
                <w:color w:val="auto"/>
                <w:spacing w:val="0"/>
                <w:sz w:val="24"/>
                <w:szCs w:val="24"/>
                <w:highlight w:val="none"/>
                <w:vertAlign w:val="baseline"/>
              </w:rPr>
            </w:pPr>
            <w:r>
              <w:rPr>
                <w:rFonts w:hint="eastAsia" w:ascii="微软雅黑" w:hAnsi="微软雅黑" w:eastAsia="微软雅黑" w:cs="微软雅黑"/>
                <w:i w:val="0"/>
                <w:iCs w:val="0"/>
                <w:caps w:val="0"/>
                <w:color w:val="auto"/>
                <w:spacing w:val="0"/>
                <w:sz w:val="24"/>
                <w:szCs w:val="24"/>
                <w:highlight w:val="none"/>
                <w:lang w:val="en-US" w:eastAsia="zh-CN"/>
              </w:rPr>
              <w:t>莎车县教育系统2025年学生营养膳食食材大米、小麦粉、清油、鲜鸡蛋、玉米粉采购项目（第四标段）</w:t>
            </w:r>
            <w:r>
              <w:rPr>
                <w:rFonts w:hint="eastAsia" w:ascii="微软雅黑" w:hAnsi="微软雅黑" w:eastAsia="微软雅黑" w:cs="微软雅黑"/>
                <w:i w:val="0"/>
                <w:iCs w:val="0"/>
                <w:caps w:val="0"/>
                <w:color w:val="auto"/>
                <w:spacing w:val="0"/>
                <w:sz w:val="24"/>
                <w:szCs w:val="24"/>
                <w:highlight w:val="none"/>
              </w:rPr>
              <w:t>的潜在供应商应在政采云平台（https://www.zcygov.cn/）</w:t>
            </w:r>
            <w:r>
              <w:rPr>
                <w:rFonts w:hint="eastAsia" w:ascii="微软雅黑" w:hAnsi="微软雅黑" w:eastAsia="微软雅黑" w:cs="微软雅黑"/>
                <w:color w:val="auto"/>
                <w:sz w:val="24"/>
                <w:szCs w:val="24"/>
                <w:highlight w:val="none"/>
                <w:lang w:val="en-US" w:eastAsia="zh-CN"/>
              </w:rPr>
              <w:t>获</w:t>
            </w:r>
            <w:r>
              <w:rPr>
                <w:rFonts w:hint="eastAsia" w:ascii="微软雅黑" w:hAnsi="微软雅黑" w:eastAsia="微软雅黑" w:cs="微软雅黑"/>
                <w:i w:val="0"/>
                <w:iCs w:val="0"/>
                <w:caps w:val="0"/>
                <w:color w:val="auto"/>
                <w:spacing w:val="0"/>
                <w:sz w:val="24"/>
                <w:szCs w:val="24"/>
                <w:highlight w:val="none"/>
              </w:rPr>
              <w:t>取采购文件，并于</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（北京时间）前提交</w:t>
            </w:r>
            <w:r>
              <w:rPr>
                <w:rFonts w:hint="eastAsia" w:ascii="微软雅黑" w:hAnsi="微软雅黑" w:eastAsia="微软雅黑" w:cs="微软雅黑"/>
                <w:i w:val="0"/>
                <w:iCs w:val="0"/>
                <w:caps w:val="0"/>
                <w:color w:val="auto"/>
                <w:spacing w:val="0"/>
                <w:sz w:val="24"/>
                <w:szCs w:val="24"/>
                <w:highlight w:val="none"/>
                <w:lang w:eastAsia="zh-CN"/>
              </w:rPr>
              <w:t>投标</w:t>
            </w:r>
            <w:r>
              <w:rPr>
                <w:rFonts w:hint="eastAsia" w:ascii="微软雅黑" w:hAnsi="微软雅黑" w:eastAsia="微软雅黑" w:cs="微软雅黑"/>
                <w:i w:val="0"/>
                <w:iCs w:val="0"/>
                <w:caps w:val="0"/>
                <w:color w:val="auto"/>
                <w:spacing w:val="0"/>
                <w:sz w:val="24"/>
                <w:szCs w:val="24"/>
                <w:highlight w:val="none"/>
              </w:rPr>
              <w:t xml:space="preserve">文件。  </w:t>
            </w:r>
          </w:p>
        </w:tc>
      </w:tr>
    </w:tbl>
    <w:p w14:paraId="5DE2070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jc w:val="left"/>
        <w:textAlignment w:val="auto"/>
        <w:rPr>
          <w:rFonts w:hint="eastAsia" w:ascii="微软雅黑" w:hAnsi="微软雅黑" w:eastAsia="微软雅黑" w:cs="微软雅黑"/>
          <w:i w:val="0"/>
          <w:iCs w:val="0"/>
          <w:caps w:val="0"/>
          <w:color w:val="auto"/>
          <w:spacing w:val="0"/>
          <w:sz w:val="24"/>
          <w:szCs w:val="24"/>
          <w:highlight w:val="none"/>
        </w:rPr>
      </w:pPr>
      <w:r>
        <w:rPr>
          <w:rStyle w:val="33"/>
          <w:rFonts w:hint="eastAsia" w:ascii="微软雅黑" w:hAnsi="微软雅黑" w:eastAsia="微软雅黑" w:cs="微软雅黑"/>
          <w:i w:val="0"/>
          <w:iCs w:val="0"/>
          <w:caps w:val="0"/>
          <w:color w:val="auto"/>
          <w:spacing w:val="0"/>
          <w:sz w:val="24"/>
          <w:szCs w:val="24"/>
          <w:highlight w:val="none"/>
        </w:rPr>
        <w:t>一、项目基本情况</w:t>
      </w:r>
    </w:p>
    <w:p w14:paraId="6B5E924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xml:space="preserve">  </w:t>
      </w:r>
      <w:r>
        <w:rPr>
          <w:rFonts w:hint="eastAsia" w:ascii="微软雅黑" w:hAnsi="微软雅黑" w:eastAsia="微软雅黑" w:cs="微软雅黑"/>
          <w:i w:val="0"/>
          <w:iCs w:val="0"/>
          <w:caps w:val="0"/>
          <w:color w:val="auto"/>
          <w:spacing w:val="0"/>
          <w:sz w:val="24"/>
          <w:szCs w:val="24"/>
          <w:highlight w:val="none"/>
          <w:lang w:val="en-US" w:eastAsia="zh-CN"/>
        </w:rPr>
        <w:t xml:space="preserve">  1、</w:t>
      </w:r>
      <w:r>
        <w:rPr>
          <w:rFonts w:hint="eastAsia" w:ascii="微软雅黑" w:hAnsi="微软雅黑" w:eastAsia="微软雅黑" w:cs="微软雅黑"/>
          <w:i w:val="0"/>
          <w:iCs w:val="0"/>
          <w:caps w:val="0"/>
          <w:color w:val="auto"/>
          <w:spacing w:val="0"/>
          <w:sz w:val="24"/>
          <w:szCs w:val="24"/>
          <w:highlight w:val="none"/>
        </w:rPr>
        <w:t xml:space="preserve">项目编号： </w:t>
      </w:r>
      <w:r>
        <w:rPr>
          <w:rFonts w:hint="eastAsia" w:ascii="微软雅黑" w:hAnsi="微软雅黑" w:eastAsia="微软雅黑" w:cs="微软雅黑"/>
          <w:i w:val="0"/>
          <w:iCs w:val="0"/>
          <w:caps w:val="0"/>
          <w:color w:val="auto"/>
          <w:spacing w:val="0"/>
          <w:sz w:val="24"/>
          <w:szCs w:val="24"/>
          <w:highlight w:val="none"/>
          <w:lang w:val="en-US" w:eastAsia="zh-CN"/>
        </w:rPr>
        <w:t>YXGJ(GK)2025-01号</w:t>
      </w:r>
    </w:p>
    <w:p w14:paraId="6E2B64F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2、</w:t>
      </w:r>
      <w:r>
        <w:rPr>
          <w:rFonts w:hint="eastAsia" w:ascii="微软雅黑" w:hAnsi="微软雅黑" w:eastAsia="微软雅黑" w:cs="微软雅黑"/>
          <w:i w:val="0"/>
          <w:iCs w:val="0"/>
          <w:caps w:val="0"/>
          <w:color w:val="auto"/>
          <w:spacing w:val="0"/>
          <w:sz w:val="24"/>
          <w:szCs w:val="24"/>
          <w:highlight w:val="none"/>
        </w:rPr>
        <w:t>项目名称：</w:t>
      </w:r>
      <w:r>
        <w:rPr>
          <w:rFonts w:hint="eastAsia" w:ascii="微软雅黑" w:hAnsi="微软雅黑" w:eastAsia="微软雅黑" w:cs="微软雅黑"/>
          <w:i w:val="0"/>
          <w:iCs w:val="0"/>
          <w:caps w:val="0"/>
          <w:color w:val="auto"/>
          <w:spacing w:val="0"/>
          <w:sz w:val="24"/>
          <w:szCs w:val="24"/>
          <w:highlight w:val="none"/>
          <w:lang w:val="en-US" w:eastAsia="zh-CN"/>
        </w:rPr>
        <w:t>莎车县教育系统2025年学生营养膳食食材大米、小麦粉、清油、鲜鸡蛋、玉米粉采购项目（第四标段）</w:t>
      </w:r>
    </w:p>
    <w:p w14:paraId="2E2A0BD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i w:val="0"/>
          <w:iCs w:val="0"/>
          <w:caps w:val="0"/>
          <w:color w:val="auto"/>
          <w:spacing w:val="0"/>
          <w:sz w:val="24"/>
          <w:szCs w:val="24"/>
          <w:highlight w:val="none"/>
          <w:lang w:val="en-US" w:eastAsia="zh-CN"/>
        </w:rPr>
        <w:t>3、</w:t>
      </w:r>
      <w:r>
        <w:rPr>
          <w:rFonts w:hint="eastAsia" w:ascii="微软雅黑" w:hAnsi="微软雅黑" w:eastAsia="微软雅黑" w:cs="微软雅黑"/>
          <w:i w:val="0"/>
          <w:iCs w:val="0"/>
          <w:caps w:val="0"/>
          <w:color w:val="auto"/>
          <w:spacing w:val="0"/>
          <w:sz w:val="24"/>
          <w:szCs w:val="24"/>
          <w:highlight w:val="none"/>
        </w:rPr>
        <w:t>采购方式：</w:t>
      </w:r>
      <w:r>
        <w:rPr>
          <w:rFonts w:hint="eastAsia" w:ascii="微软雅黑" w:hAnsi="微软雅黑" w:eastAsia="微软雅黑" w:cs="微软雅黑"/>
          <w:i w:val="0"/>
          <w:iCs w:val="0"/>
          <w:caps w:val="0"/>
          <w:color w:val="auto"/>
          <w:spacing w:val="0"/>
          <w:sz w:val="24"/>
          <w:szCs w:val="24"/>
          <w:highlight w:val="none"/>
          <w:lang w:eastAsia="zh-CN"/>
        </w:rPr>
        <w:t>公开招标</w:t>
      </w:r>
    </w:p>
    <w:p w14:paraId="2605C08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4、总预算金额（元）：1485.6510万元</w:t>
      </w:r>
    </w:p>
    <w:p w14:paraId="3295E66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382"/>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采购需求：</w:t>
      </w:r>
      <w:r>
        <w:rPr>
          <w:rFonts w:hint="eastAsia" w:ascii="微软雅黑" w:hAnsi="微软雅黑" w:eastAsia="微软雅黑" w:cs="微软雅黑"/>
          <w:i w:val="0"/>
          <w:iCs w:val="0"/>
          <w:caps w:val="0"/>
          <w:color w:val="auto"/>
          <w:spacing w:val="0"/>
          <w:sz w:val="24"/>
          <w:szCs w:val="24"/>
          <w:highlight w:val="none"/>
          <w:lang w:val="en-US" w:eastAsia="zh-CN"/>
        </w:rPr>
        <w:t xml:space="preserve">采购食材大米、小麦粉、清油、鲜鸡蛋、玉米粉一批 </w:t>
      </w:r>
      <w:r>
        <w:rPr>
          <w:rFonts w:hint="eastAsia" w:ascii="微软雅黑" w:hAnsi="微软雅黑" w:eastAsia="微软雅黑" w:cs="微软雅黑"/>
          <w:i w:val="0"/>
          <w:iCs w:val="0"/>
          <w:color w:val="auto"/>
          <w:sz w:val="24"/>
          <w:szCs w:val="24"/>
          <w:highlight w:val="none"/>
          <w:lang w:val="en-US" w:eastAsia="zh-CN"/>
        </w:rPr>
        <w:t>。</w:t>
      </w:r>
      <w:r>
        <w:rPr>
          <w:rFonts w:hint="eastAsia" w:ascii="微软雅黑" w:hAnsi="微软雅黑" w:eastAsia="微软雅黑" w:cs="微软雅黑"/>
          <w:i w:val="0"/>
          <w:iCs w:val="0"/>
          <w:caps w:val="0"/>
          <w:color w:val="auto"/>
          <w:spacing w:val="0"/>
          <w:sz w:val="24"/>
          <w:szCs w:val="24"/>
          <w:highlight w:val="none"/>
          <w:lang w:val="en-US" w:eastAsia="zh-CN"/>
        </w:rPr>
        <w:t>（具体数量及规格要求详见招标文件）</w:t>
      </w:r>
    </w:p>
    <w:p w14:paraId="4BC7CE3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240" w:firstLineChars="1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 6、本项目不接受联合体投标。  </w:t>
      </w:r>
    </w:p>
    <w:p w14:paraId="68815D4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二、申请人的资格要求：</w:t>
      </w:r>
    </w:p>
    <w:p w14:paraId="7D5FD0F8">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val="en-US" w:eastAsia="zh-CN"/>
        </w:rPr>
        <w:t>1、满足《中华人民共和国政府采购法》第二十二条规定；</w:t>
      </w:r>
    </w:p>
    <w:p w14:paraId="792BA525">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①</w:t>
      </w:r>
      <w:r>
        <w:rPr>
          <w:rFonts w:hint="eastAsia" w:ascii="微软雅黑" w:hAnsi="微软雅黑" w:eastAsia="微软雅黑" w:cs="微软雅黑"/>
          <w:color w:val="auto"/>
          <w:lang w:val="en-US" w:eastAsia="zh-CN"/>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893B47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②</w:t>
      </w:r>
      <w:r>
        <w:rPr>
          <w:rFonts w:hint="eastAsia" w:ascii="微软雅黑" w:hAnsi="微软雅黑" w:eastAsia="微软雅黑" w:cs="微软雅黑"/>
          <w:color w:val="auto"/>
          <w:lang w:val="en-US" w:eastAsia="zh-CN"/>
        </w:rPr>
        <w:t>被授权委托人参与投标提供法定代表人授权书及被授权人身份证；法人本人参与投标提供法人身份证及法人资格证明</w:t>
      </w:r>
      <w:r>
        <w:rPr>
          <w:rFonts w:hint="eastAsia" w:ascii="微软雅黑" w:hAnsi="微软雅黑" w:eastAsia="微软雅黑" w:cs="微软雅黑"/>
          <w:color w:val="auto"/>
        </w:rPr>
        <w:t>；</w:t>
      </w:r>
    </w:p>
    <w:p w14:paraId="2CD04BF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③</w:t>
      </w:r>
      <w:r>
        <w:rPr>
          <w:rFonts w:hint="eastAsia" w:ascii="微软雅黑" w:hAnsi="微软雅黑" w:eastAsia="微软雅黑" w:cs="微软雅黑"/>
          <w:color w:val="auto"/>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r>
        <w:rPr>
          <w:rFonts w:hint="eastAsia" w:ascii="微软雅黑" w:hAnsi="微软雅黑" w:eastAsia="微软雅黑" w:cs="微软雅黑"/>
          <w:color w:val="auto"/>
        </w:rPr>
        <w:t>；</w:t>
      </w:r>
    </w:p>
    <w:p w14:paraId="5BF4E35F">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④</w:t>
      </w:r>
      <w:r>
        <w:rPr>
          <w:rFonts w:hint="eastAsia" w:ascii="微软雅黑" w:hAnsi="微软雅黑" w:eastAsia="微软雅黑" w:cs="微软雅黑"/>
          <w:color w:val="auto"/>
          <w:lang w:val="en-US" w:eastAsia="zh-CN"/>
        </w:rPr>
        <w:t>提供近期（投标截止日期前六个月内任意一个月）依法缴纳税收的证明材料（税务部门出具的完税凭证或缴税证明，新成立公司提供相关证明文件）</w:t>
      </w:r>
      <w:r>
        <w:rPr>
          <w:rFonts w:hint="eastAsia" w:ascii="微软雅黑" w:hAnsi="微软雅黑" w:eastAsia="微软雅黑" w:cs="微软雅黑"/>
          <w:color w:val="auto"/>
        </w:rPr>
        <w:t>；</w:t>
      </w:r>
    </w:p>
    <w:p w14:paraId="3FE9AC11">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⑤ </w:t>
      </w:r>
      <w:r>
        <w:rPr>
          <w:rFonts w:hint="eastAsia" w:ascii="微软雅黑" w:hAnsi="微软雅黑" w:eastAsia="微软雅黑" w:cs="微软雅黑"/>
          <w:color w:val="auto"/>
          <w:lang w:val="en-US" w:eastAsia="zh-CN"/>
        </w:rPr>
        <w:t>提供2023 年或2024年的财务审计报告与财务会计制度（新成立的公司近三个月内的银行资信证明与财务会计制度）</w:t>
      </w:r>
      <w:r>
        <w:rPr>
          <w:rFonts w:hint="eastAsia" w:ascii="微软雅黑" w:hAnsi="微软雅黑" w:eastAsia="微软雅黑" w:cs="微软雅黑"/>
          <w:color w:val="auto"/>
        </w:rPr>
        <w:t>；</w:t>
      </w:r>
    </w:p>
    <w:p w14:paraId="273AAFB5">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ascii="微软雅黑" w:hAnsi="微软雅黑" w:eastAsia="微软雅黑" w:cs="微软雅黑"/>
          <w:color w:val="auto"/>
        </w:rPr>
      </w:pPr>
      <w:r>
        <w:rPr>
          <w:rFonts w:hint="eastAsia" w:ascii="微软雅黑" w:hAnsi="微软雅黑" w:eastAsia="微软雅黑" w:cs="微软雅黑"/>
          <w:color w:val="auto"/>
        </w:rPr>
        <w:t>⑥参与政府采购活动前3年内未被列入失信、重大税收违法案件、财政部门禁止参加政府采购活动的承诺书；</w:t>
      </w:r>
    </w:p>
    <w:p w14:paraId="3DD9B84C">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rPr>
        <w:t>⑦提供针对本次项目的反商业贿赂承诺书</w:t>
      </w:r>
      <w:r>
        <w:rPr>
          <w:rFonts w:hint="eastAsia" w:ascii="微软雅黑" w:hAnsi="微软雅黑" w:eastAsia="微软雅黑" w:cs="微软雅黑"/>
          <w:color w:val="auto"/>
          <w:lang w:eastAsia="zh-CN"/>
        </w:rPr>
        <w:t>；</w:t>
      </w:r>
    </w:p>
    <w:p w14:paraId="0DA2467B">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rPr>
        <w:t>⑧</w:t>
      </w:r>
      <w:r>
        <w:rPr>
          <w:rFonts w:hint="eastAsia" w:ascii="微软雅黑" w:hAnsi="微软雅黑" w:eastAsia="微软雅黑" w:cs="微软雅黑"/>
          <w:color w:val="auto"/>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2BDAE7A">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80" w:firstLineChars="200"/>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⑨必须具有履行合同所必需的设备和专业技术能力。</w:t>
      </w:r>
    </w:p>
    <w:p w14:paraId="609008FC">
      <w:pPr>
        <w:pStyle w:val="25"/>
        <w:keepNext w:val="0"/>
        <w:keepLines w:val="0"/>
        <w:pageBreakBefore w:val="0"/>
        <w:widowControl/>
        <w:numPr>
          <w:ilvl w:val="0"/>
          <w:numId w:val="11"/>
        </w:numPr>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u w:val="none" w:color="auto"/>
          <w:lang w:val="en-US" w:eastAsia="zh-CN"/>
        </w:rPr>
      </w:pPr>
      <w:r>
        <w:rPr>
          <w:rFonts w:hint="eastAsia" w:ascii="微软雅黑" w:hAnsi="微软雅黑" w:eastAsia="微软雅黑" w:cs="微软雅黑"/>
          <w:i w:val="0"/>
          <w:iCs w:val="0"/>
          <w:caps w:val="0"/>
          <w:color w:val="auto"/>
          <w:spacing w:val="0"/>
          <w:sz w:val="24"/>
          <w:szCs w:val="24"/>
          <w:highlight w:val="none"/>
          <w:u w:val="none" w:color="auto"/>
          <w:lang w:val="en-US" w:eastAsia="zh-CN"/>
        </w:rPr>
        <w:t>落实政府采购政策需满足的资格要求：无。</w:t>
      </w:r>
    </w:p>
    <w:p w14:paraId="4A8B54AB">
      <w:pPr>
        <w:pStyle w:val="25"/>
        <w:keepNext w:val="0"/>
        <w:keepLines w:val="0"/>
        <w:pageBreakBefore w:val="0"/>
        <w:widowControl/>
        <w:numPr>
          <w:ilvl w:val="0"/>
          <w:numId w:val="11"/>
        </w:numPr>
        <w:suppressLineNumbers w:val="0"/>
        <w:kinsoku/>
        <w:wordWrap/>
        <w:overflowPunct/>
        <w:topLinePunct w:val="0"/>
        <w:autoSpaceDE/>
        <w:autoSpaceDN/>
        <w:bidi w:val="0"/>
        <w:adjustRightInd/>
        <w:snapToGrid/>
        <w:spacing w:before="75" w:beforeAutospacing="0" w:after="75" w:afterAutospacing="0" w:line="420" w:lineRule="exact"/>
        <w:ind w:left="0" w:leftChars="0" w:right="0" w:firstLine="480" w:firstLineChars="200"/>
        <w:textAlignment w:val="auto"/>
        <w:rPr>
          <w:rFonts w:hint="eastAsia" w:ascii="微软雅黑" w:hAnsi="微软雅黑" w:eastAsia="微软雅黑" w:cs="微软雅黑"/>
          <w:i w:val="0"/>
          <w:iCs w:val="0"/>
          <w:caps w:val="0"/>
          <w:color w:val="auto"/>
          <w:spacing w:val="0"/>
          <w:sz w:val="24"/>
          <w:szCs w:val="24"/>
          <w:highlight w:val="none"/>
          <w:u w:val="none" w:color="auto"/>
          <w:lang w:val="en-US" w:eastAsia="zh-CN"/>
        </w:rPr>
      </w:pPr>
      <w:r>
        <w:rPr>
          <w:rFonts w:hint="eastAsia" w:ascii="微软雅黑" w:hAnsi="微软雅黑" w:eastAsia="微软雅黑" w:cs="微软雅黑"/>
          <w:i w:val="0"/>
          <w:iCs w:val="0"/>
          <w:caps w:val="0"/>
          <w:color w:val="auto"/>
          <w:spacing w:val="0"/>
          <w:sz w:val="24"/>
          <w:szCs w:val="24"/>
          <w:highlight w:val="none"/>
          <w:u w:val="none" w:color="auto"/>
          <w:lang w:val="en-US" w:eastAsia="zh-CN"/>
        </w:rPr>
        <w:t>本项目的特定资格要求：供应商为生产商的需提供有效期的《食品生产许可证》；供应商为经销商的需提供有效期《食品经营许可证》或《仅销售预包装食品备案表》。</w:t>
      </w:r>
    </w:p>
    <w:p w14:paraId="0E78E1F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三、获取采购文件</w:t>
      </w:r>
    </w:p>
    <w:p w14:paraId="6ED16D5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458" w:leftChars="218" w:right="0" w:firstLine="0" w:firstLineChars="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时间：202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8</w:t>
      </w:r>
      <w:r>
        <w:rPr>
          <w:rFonts w:hint="eastAsia" w:ascii="微软雅黑" w:hAnsi="微软雅黑" w:eastAsia="微软雅黑" w:cs="微软雅黑"/>
          <w:i w:val="0"/>
          <w:iCs w:val="0"/>
          <w:caps w:val="0"/>
          <w:color w:val="auto"/>
          <w:spacing w:val="0"/>
          <w:sz w:val="24"/>
          <w:szCs w:val="24"/>
          <w:highlight w:val="none"/>
        </w:rPr>
        <w:t>日至202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年</w:t>
      </w:r>
      <w:r>
        <w:rPr>
          <w:rFonts w:hint="eastAsia" w:ascii="微软雅黑" w:hAnsi="微软雅黑" w:eastAsia="微软雅黑" w:cs="微软雅黑"/>
          <w:i w:val="0"/>
          <w:iCs w:val="0"/>
          <w:caps w:val="0"/>
          <w:color w:val="auto"/>
          <w:spacing w:val="0"/>
          <w:sz w:val="24"/>
          <w:szCs w:val="24"/>
          <w:highlight w:val="none"/>
          <w:lang w:val="en-US" w:eastAsia="zh-CN"/>
        </w:rPr>
        <w:t>1</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22</w:t>
      </w:r>
      <w:r>
        <w:rPr>
          <w:rFonts w:hint="eastAsia" w:ascii="微软雅黑" w:hAnsi="微软雅黑" w:eastAsia="微软雅黑" w:cs="微软雅黑"/>
          <w:i w:val="0"/>
          <w:iCs w:val="0"/>
          <w:caps w:val="0"/>
          <w:color w:val="auto"/>
          <w:spacing w:val="0"/>
          <w:sz w:val="24"/>
          <w:szCs w:val="24"/>
          <w:highlight w:val="none"/>
        </w:rPr>
        <w:t>日，每天上午</w:t>
      </w:r>
      <w:r>
        <w:rPr>
          <w:rFonts w:hint="eastAsia" w:ascii="微软雅黑" w:hAnsi="微软雅黑" w:eastAsia="微软雅黑" w:cs="微软雅黑"/>
          <w:i w:val="0"/>
          <w:iCs w:val="0"/>
          <w:caps w:val="0"/>
          <w:color w:val="auto"/>
          <w:spacing w:val="0"/>
          <w:sz w:val="24"/>
          <w:szCs w:val="24"/>
          <w:highlight w:val="none"/>
          <w:lang w:val="en-US" w:eastAsia="zh-CN"/>
        </w:rPr>
        <w:t>00</w:t>
      </w:r>
      <w:r>
        <w:rPr>
          <w:rFonts w:hint="eastAsia" w:ascii="微软雅黑" w:hAnsi="微软雅黑" w:eastAsia="微软雅黑" w:cs="微软雅黑"/>
          <w:i w:val="0"/>
          <w:iCs w:val="0"/>
          <w:caps w:val="0"/>
          <w:color w:val="auto"/>
          <w:spacing w:val="0"/>
          <w:sz w:val="24"/>
          <w:szCs w:val="24"/>
          <w:highlight w:val="none"/>
        </w:rPr>
        <w:t>:00至</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:00，下午</w:t>
      </w:r>
      <w:r>
        <w:rPr>
          <w:rFonts w:hint="eastAsia" w:ascii="微软雅黑" w:hAnsi="微软雅黑" w:eastAsia="微软雅黑" w:cs="微软雅黑"/>
          <w:i w:val="0"/>
          <w:iCs w:val="0"/>
          <w:caps w:val="0"/>
          <w:color w:val="auto"/>
          <w:spacing w:val="0"/>
          <w:sz w:val="24"/>
          <w:szCs w:val="24"/>
          <w:highlight w:val="none"/>
          <w:lang w:val="en-US" w:eastAsia="zh-CN"/>
        </w:rPr>
        <w:t>12</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rPr>
        <w:t>0至</w:t>
      </w:r>
      <w:r>
        <w:rPr>
          <w:rFonts w:hint="eastAsia" w:ascii="微软雅黑" w:hAnsi="微软雅黑" w:eastAsia="微软雅黑" w:cs="微软雅黑"/>
          <w:i w:val="0"/>
          <w:iCs w:val="0"/>
          <w:caps w:val="0"/>
          <w:color w:val="auto"/>
          <w:spacing w:val="0"/>
          <w:sz w:val="24"/>
          <w:szCs w:val="24"/>
          <w:highlight w:val="none"/>
          <w:lang w:val="en-US" w:eastAsia="zh-CN"/>
        </w:rPr>
        <w:t>23</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59</w:t>
      </w:r>
      <w:r>
        <w:rPr>
          <w:rFonts w:hint="eastAsia" w:ascii="微软雅黑" w:hAnsi="微软雅黑" w:eastAsia="微软雅黑" w:cs="微软雅黑"/>
          <w:i w:val="0"/>
          <w:iCs w:val="0"/>
          <w:caps w:val="0"/>
          <w:color w:val="auto"/>
          <w:spacing w:val="0"/>
          <w:sz w:val="24"/>
          <w:szCs w:val="24"/>
          <w:highlight w:val="none"/>
        </w:rPr>
        <w:t>（北京时间，法定节假日除外）</w:t>
      </w:r>
    </w:p>
    <w:p w14:paraId="3C648662">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地点：政采云平台线上</w:t>
      </w:r>
      <w:r>
        <w:rPr>
          <w:rFonts w:hint="eastAsia" w:ascii="微软雅黑" w:hAnsi="微软雅黑" w:eastAsia="微软雅黑" w:cs="微软雅黑"/>
          <w:color w:val="auto"/>
          <w:sz w:val="24"/>
          <w:szCs w:val="24"/>
          <w:highlight w:val="none"/>
          <w:lang w:val="en-US" w:eastAsia="zh-CN"/>
        </w:rPr>
        <w:t> </w:t>
      </w:r>
    </w:p>
    <w:p w14:paraId="5E45D66E">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方式：</w:t>
      </w:r>
      <w:r>
        <w:rPr>
          <w:rFonts w:hint="eastAsia" w:ascii="微软雅黑" w:hAnsi="微软雅黑" w:eastAsia="微软雅黑" w:cs="微软雅黑"/>
          <w:i w:val="0"/>
          <w:iCs w:val="0"/>
          <w:caps w:val="0"/>
          <w:color w:val="auto"/>
          <w:spacing w:val="0"/>
          <w:sz w:val="24"/>
          <w:szCs w:val="24"/>
          <w:highlight w:val="none"/>
          <w:lang w:val="en-US" w:eastAsia="zh-CN"/>
        </w:rPr>
        <w:t>（1）线上获取（登录政府采购云平台 → 项目采购 → 获取招标文件）。（2）供应商获取招标文件前应注册成为政府采购云平台正式供应商。</w:t>
      </w:r>
    </w:p>
    <w:p w14:paraId="002D8E8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四、</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文件提交 </w:t>
      </w:r>
    </w:p>
    <w:p w14:paraId="5DAC4E5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7BEFB9C7">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地点：请登录政采云投标客户端投标</w:t>
      </w:r>
    </w:p>
    <w:p w14:paraId="7805FF3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五、</w:t>
      </w:r>
      <w:r>
        <w:rPr>
          <w:rFonts w:hint="eastAsia" w:ascii="微软雅黑" w:hAnsi="微软雅黑" w:eastAsia="微软雅黑" w:cs="微软雅黑"/>
          <w:b/>
          <w:bCs/>
          <w:i w:val="0"/>
          <w:iCs w:val="0"/>
          <w:caps w:val="0"/>
          <w:color w:val="auto"/>
          <w:spacing w:val="0"/>
          <w:sz w:val="24"/>
          <w:szCs w:val="24"/>
          <w:highlight w:val="none"/>
          <w:lang w:val="en-US" w:eastAsia="zh-CN"/>
        </w:rPr>
        <w:t>投标</w:t>
      </w:r>
      <w:r>
        <w:rPr>
          <w:rFonts w:hint="eastAsia" w:ascii="微软雅黑" w:hAnsi="微软雅黑" w:eastAsia="微软雅黑" w:cs="微软雅黑"/>
          <w:b/>
          <w:bCs/>
          <w:i w:val="0"/>
          <w:iCs w:val="0"/>
          <w:caps w:val="0"/>
          <w:color w:val="auto"/>
          <w:spacing w:val="0"/>
          <w:sz w:val="24"/>
          <w:szCs w:val="24"/>
          <w:highlight w:val="none"/>
        </w:rPr>
        <w:t>文件开启 </w:t>
      </w:r>
    </w:p>
    <w:p w14:paraId="56506700">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开启时间：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7FE0AA9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rPr>
        <w:t>  地点：</w:t>
      </w:r>
      <w:r>
        <w:rPr>
          <w:rFonts w:hint="eastAsia" w:ascii="微软雅黑" w:hAnsi="微软雅黑" w:eastAsia="微软雅黑" w:cs="微软雅黑"/>
          <w:i w:val="0"/>
          <w:iCs w:val="0"/>
          <w:caps w:val="0"/>
          <w:color w:val="auto"/>
          <w:spacing w:val="0"/>
          <w:sz w:val="24"/>
          <w:szCs w:val="24"/>
          <w:highlight w:val="none"/>
          <w:lang w:eastAsia="zh-CN"/>
        </w:rPr>
        <w:t>供应商</w:t>
      </w:r>
      <w:r>
        <w:rPr>
          <w:rFonts w:hint="eastAsia" w:ascii="微软雅黑" w:hAnsi="微软雅黑" w:eastAsia="微软雅黑" w:cs="微软雅黑"/>
          <w:i w:val="0"/>
          <w:iCs w:val="0"/>
          <w:caps w:val="0"/>
          <w:color w:val="auto"/>
          <w:spacing w:val="0"/>
          <w:sz w:val="24"/>
          <w:szCs w:val="24"/>
          <w:highlight w:val="none"/>
        </w:rPr>
        <w:t>登录政采云平台https://www.zcygov.cn/，进入“项目采购-开标评标-右边选择对应项目点击“进入项目”进入开标大厅。</w:t>
      </w:r>
    </w:p>
    <w:p w14:paraId="3A205706">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b/>
          <w:bCs/>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六、公告期限</w:t>
      </w:r>
    </w:p>
    <w:p w14:paraId="43AA70C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    自本公告发布之日起</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rPr>
        <w:t>个工作日。</w:t>
      </w:r>
    </w:p>
    <w:p w14:paraId="5F9266F0">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rPr>
        <w:t>七、其他补充事宜</w:t>
      </w:r>
      <w:r>
        <w:rPr>
          <w:rFonts w:hint="eastAsia" w:ascii="微软雅黑" w:hAnsi="微软雅黑" w:eastAsia="微软雅黑" w:cs="微软雅黑"/>
          <w:i w:val="0"/>
          <w:iCs w:val="0"/>
          <w:caps w:val="0"/>
          <w:color w:val="auto"/>
          <w:spacing w:val="0"/>
          <w:sz w:val="24"/>
          <w:szCs w:val="24"/>
          <w:highlight w:val="none"/>
        </w:rPr>
        <w:t> </w:t>
      </w:r>
    </w:p>
    <w:p w14:paraId="13E4D73D">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2E06298">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30EBF194">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1B4FD5B0">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4C8FBF5">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3A28882E">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71C0CBB6">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54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E32DBE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80" w:firstLineChars="200"/>
        <w:textAlignment w:val="auto"/>
        <w:rPr>
          <w:rFonts w:hint="eastAsia"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特别提示：</w:t>
      </w:r>
    </w:p>
    <w:p w14:paraId="7E023FA4">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i w:val="0"/>
          <w:iCs w:val="0"/>
          <w:caps w:val="0"/>
          <w:color w:val="auto"/>
          <w:spacing w:val="0"/>
          <w:sz w:val="24"/>
          <w:szCs w:val="24"/>
          <w:highlight w:val="none"/>
          <w:lang w:val="en-US" w:eastAsia="zh-CN"/>
        </w:rPr>
        <w:t>1、超过200</w:t>
      </w:r>
      <w:r>
        <w:rPr>
          <w:rFonts w:hint="eastAsia" w:ascii="微软雅黑" w:hAnsi="微软雅黑" w:eastAsia="微软雅黑" w:cs="微软雅黑"/>
          <w:b w:val="0"/>
          <w:bCs w:val="0"/>
          <w:color w:val="auto"/>
          <w:kern w:val="2"/>
          <w:sz w:val="24"/>
          <w:szCs w:val="24"/>
          <w:highlight w:val="none"/>
          <w:lang w:val="en-US" w:eastAsia="zh-CN" w:bidi="ar-SA"/>
        </w:rPr>
        <w:t>万元的货物和服务采购项目、超过400万元的工程采购项目中适宜由中小企业提供的，预留该部分采购项目预算总额的30%以上专门面向中小企业采购，其中预留给小微企业的比例不低于60%。</w:t>
      </w:r>
    </w:p>
    <w:p w14:paraId="4798623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2、对于未预留份额专门面向中小企业的采购项目，以及预留份额项目中的非预留部分采购包，采购人、采购代理机构应当对符合规定的小微企业报价给予10%~20%（工程项目为6%~10%）的扣除，用扣除后的价格参加评标。适用招标投标法的政府采购工程建设项目，采用综合评估法但未采用低价优先法计算价格分的，评标时应当在采用原报价进行评分的基础上增加其价格得分的6%~10%作为其价格分。</w:t>
      </w:r>
    </w:p>
    <w:p w14:paraId="4CF2C371">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firstLine="480" w:firstLineChars="20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val="0"/>
          <w:bCs w:val="0"/>
          <w:color w:val="auto"/>
          <w:kern w:val="2"/>
          <w:sz w:val="24"/>
          <w:szCs w:val="24"/>
          <w:highlight w:val="none"/>
          <w:lang w:val="en-US" w:eastAsia="zh-CN" w:bidi="ar-SA"/>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w:t>
      </w:r>
      <w:r>
        <w:rPr>
          <w:rStyle w:val="37"/>
          <w:rFonts w:hint="eastAsia" w:ascii="微软雅黑" w:hAnsi="微软雅黑" w:eastAsia="微软雅黑" w:cs="微软雅黑"/>
          <w:i w:val="0"/>
          <w:iCs w:val="0"/>
          <w:caps w:val="0"/>
          <w:color w:val="auto"/>
          <w:spacing w:val="0"/>
          <w:sz w:val="24"/>
          <w:szCs w:val="24"/>
          <w:highlight w:val="none"/>
          <w:lang w:val="en-US" w:eastAsia="zh-CN"/>
        </w:rPr>
        <w:t>程项目为2%~4%）的扣除，用扣除后的价格参加评标。适用招标投标法的政府采购工程建设项目，采用综合评估法但未采用低价优先法计算价格分的，评标时应当在采用原报价进行评分的基础上增加其价格得分的2%~4%作为其价格分。</w:t>
      </w:r>
    </w:p>
    <w:p w14:paraId="5954B04B">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right="0"/>
        <w:textAlignment w:val="auto"/>
        <w:rPr>
          <w:rStyle w:val="37"/>
          <w:rFonts w:hint="eastAsia" w:ascii="微软雅黑" w:hAnsi="微软雅黑" w:eastAsia="微软雅黑" w:cs="微软雅黑"/>
          <w:b/>
          <w:bCs/>
          <w:i w:val="0"/>
          <w:iCs w:val="0"/>
          <w:caps w:val="0"/>
          <w:color w:val="auto"/>
          <w:spacing w:val="0"/>
          <w:sz w:val="24"/>
          <w:szCs w:val="24"/>
          <w:highlight w:val="none"/>
          <w:lang w:val="en-US" w:eastAsia="zh-CN"/>
        </w:rPr>
      </w:pPr>
      <w:r>
        <w:rPr>
          <w:rStyle w:val="37"/>
          <w:rFonts w:hint="eastAsia" w:ascii="微软雅黑" w:hAnsi="微软雅黑" w:eastAsia="微软雅黑" w:cs="微软雅黑"/>
          <w:b/>
          <w:bCs/>
          <w:i w:val="0"/>
          <w:iCs w:val="0"/>
          <w:caps w:val="0"/>
          <w:color w:val="auto"/>
          <w:spacing w:val="0"/>
          <w:sz w:val="24"/>
          <w:szCs w:val="24"/>
          <w:highlight w:val="none"/>
          <w:lang w:val="en-US" w:eastAsia="zh-CN"/>
        </w:rPr>
        <w:t>八、凡对本次招标提出询问，请按以下方式联系</w:t>
      </w:r>
    </w:p>
    <w:p w14:paraId="7C3889D9">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1.采购人信息</w:t>
      </w:r>
    </w:p>
    <w:p w14:paraId="187DB25D">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名    称：莎车县教育局</w:t>
      </w:r>
    </w:p>
    <w:p w14:paraId="4411051F">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eastAsia"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 系 人：闫茂义</w:t>
      </w:r>
    </w:p>
    <w:p w14:paraId="26901DFC">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Style w:val="37"/>
          <w:rFonts w:hint="default" w:ascii="微软雅黑" w:hAnsi="微软雅黑" w:eastAsia="微软雅黑" w:cs="微软雅黑"/>
          <w:i w:val="0"/>
          <w:iCs w:val="0"/>
          <w:caps w:val="0"/>
          <w:color w:val="auto"/>
          <w:spacing w:val="0"/>
          <w:sz w:val="24"/>
          <w:szCs w:val="24"/>
          <w:highlight w:val="none"/>
          <w:lang w:val="en-US" w:eastAsia="zh-CN"/>
        </w:rPr>
      </w:pPr>
      <w:r>
        <w:rPr>
          <w:rStyle w:val="37"/>
          <w:rFonts w:hint="eastAsia" w:ascii="微软雅黑" w:hAnsi="微软雅黑" w:eastAsia="微软雅黑" w:cs="微软雅黑"/>
          <w:i w:val="0"/>
          <w:iCs w:val="0"/>
          <w:caps w:val="0"/>
          <w:color w:val="auto"/>
          <w:spacing w:val="0"/>
          <w:sz w:val="24"/>
          <w:szCs w:val="24"/>
          <w:highlight w:val="none"/>
          <w:lang w:val="en-US" w:eastAsia="zh-CN"/>
        </w:rPr>
        <w:t>联系方式：18699857582</w:t>
      </w:r>
    </w:p>
    <w:p w14:paraId="74AB5135">
      <w:pPr>
        <w:pStyle w:val="2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420"/>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2.采购代理机构信息</w:t>
      </w:r>
    </w:p>
    <w:p w14:paraId="1A9A7442">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7"/>
          <w:rFonts w:hint="eastAsia" w:ascii="微软雅黑" w:hAnsi="微软雅黑" w:eastAsia="微软雅黑" w:cs="微软雅黑"/>
          <w:color w:val="auto"/>
          <w:highlight w:val="none"/>
          <w:lang w:eastAsia="zh-CN"/>
        </w:rPr>
      </w:pPr>
      <w:bookmarkStart w:id="685" w:name="_Toc24709"/>
      <w:bookmarkStart w:id="686" w:name="_Toc17272"/>
      <w:bookmarkStart w:id="687" w:name="_Toc11627"/>
      <w:r>
        <w:rPr>
          <w:rStyle w:val="37"/>
          <w:rFonts w:hint="eastAsia" w:ascii="微软雅黑" w:hAnsi="微软雅黑" w:eastAsia="微软雅黑" w:cs="微软雅黑"/>
          <w:color w:val="auto"/>
          <w:highlight w:val="none"/>
        </w:rPr>
        <w:t>名    称：</w:t>
      </w:r>
      <w:bookmarkEnd w:id="685"/>
      <w:bookmarkEnd w:id="686"/>
      <w:bookmarkEnd w:id="687"/>
      <w:bookmarkStart w:id="688" w:name="_Toc31217"/>
      <w:bookmarkStart w:id="689" w:name="_Toc21793"/>
      <w:bookmarkStart w:id="690" w:name="_Toc7142"/>
      <w:r>
        <w:rPr>
          <w:rStyle w:val="37"/>
          <w:rFonts w:hint="eastAsia" w:ascii="微软雅黑" w:hAnsi="微软雅黑" w:eastAsia="微软雅黑" w:cs="微软雅黑"/>
          <w:color w:val="auto"/>
          <w:highlight w:val="none"/>
          <w:lang w:val="en-US" w:eastAsia="zh-CN"/>
        </w:rPr>
        <w:t>新疆永信国金工程管理咨询有限公司</w:t>
      </w:r>
    </w:p>
    <w:bookmarkEnd w:id="688"/>
    <w:bookmarkEnd w:id="689"/>
    <w:bookmarkEnd w:id="690"/>
    <w:p w14:paraId="378E85B8">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7"/>
          <w:rFonts w:hint="eastAsia" w:ascii="微软雅黑" w:hAnsi="微软雅黑" w:eastAsia="微软雅黑" w:cs="微软雅黑"/>
          <w:color w:val="auto"/>
          <w:highlight w:val="none"/>
        </w:rPr>
      </w:pPr>
      <w:bookmarkStart w:id="691" w:name="_Toc21494"/>
      <w:bookmarkStart w:id="692" w:name="_Toc9618"/>
      <w:bookmarkStart w:id="693" w:name="_Toc9353"/>
      <w:r>
        <w:rPr>
          <w:rStyle w:val="37"/>
          <w:rFonts w:hint="eastAsia" w:ascii="微软雅黑" w:hAnsi="微软雅黑" w:eastAsia="微软雅黑" w:cs="微软雅黑"/>
          <w:color w:val="auto"/>
          <w:highlight w:val="none"/>
        </w:rPr>
        <w:t>联 系 人：</w:t>
      </w:r>
      <w:bookmarkEnd w:id="691"/>
      <w:bookmarkEnd w:id="692"/>
      <w:bookmarkEnd w:id="693"/>
      <w:r>
        <w:rPr>
          <w:rStyle w:val="37"/>
          <w:rFonts w:hint="eastAsia" w:ascii="微软雅黑" w:hAnsi="微软雅黑" w:eastAsia="微软雅黑" w:cs="微软雅黑"/>
          <w:color w:val="auto"/>
          <w:highlight w:val="none"/>
          <w:lang w:val="en-US" w:eastAsia="zh-CN"/>
        </w:rPr>
        <w:t>陈玉杰</w:t>
      </w:r>
    </w:p>
    <w:p w14:paraId="5E2EEECD">
      <w:pPr>
        <w:pStyle w:val="25"/>
        <w:keepNext w:val="0"/>
        <w:keepLines w:val="0"/>
        <w:pageBreakBefore w:val="0"/>
        <w:widowControl/>
        <w:kinsoku/>
        <w:wordWrap/>
        <w:overflowPunct/>
        <w:topLinePunct w:val="0"/>
        <w:autoSpaceDE/>
        <w:autoSpaceDN/>
        <w:bidi w:val="0"/>
        <w:adjustRightInd/>
        <w:snapToGrid/>
        <w:spacing w:before="75" w:beforeAutospacing="0" w:after="75" w:afterAutospacing="0" w:line="420" w:lineRule="exact"/>
        <w:ind w:firstLine="420"/>
        <w:textAlignment w:val="auto"/>
        <w:rPr>
          <w:rStyle w:val="37"/>
          <w:rFonts w:hint="default" w:ascii="微软雅黑" w:hAnsi="微软雅黑" w:eastAsia="微软雅黑" w:cs="微软雅黑"/>
          <w:color w:val="auto"/>
          <w:highlight w:val="none"/>
          <w:lang w:val="en-US" w:eastAsia="zh-CN"/>
        </w:rPr>
      </w:pPr>
      <w:bookmarkStart w:id="694" w:name="_Toc9066"/>
      <w:bookmarkStart w:id="695" w:name="_Toc18984"/>
      <w:bookmarkStart w:id="696" w:name="_Toc6311"/>
      <w:r>
        <w:rPr>
          <w:rStyle w:val="37"/>
          <w:rFonts w:hint="eastAsia" w:ascii="微软雅黑" w:hAnsi="微软雅黑" w:eastAsia="微软雅黑" w:cs="微软雅黑"/>
          <w:color w:val="auto"/>
          <w:highlight w:val="none"/>
        </w:rPr>
        <w:t>联系电话：</w:t>
      </w:r>
      <w:bookmarkEnd w:id="694"/>
      <w:bookmarkEnd w:id="695"/>
      <w:bookmarkEnd w:id="696"/>
      <w:r>
        <w:rPr>
          <w:rStyle w:val="37"/>
          <w:rFonts w:hint="eastAsia" w:ascii="微软雅黑" w:hAnsi="微软雅黑" w:eastAsia="微软雅黑" w:cs="微软雅黑"/>
          <w:color w:val="auto"/>
          <w:highlight w:val="none"/>
          <w:lang w:val="en-US" w:eastAsia="zh-CN"/>
        </w:rPr>
        <w:t>15569228338</w:t>
      </w:r>
    </w:p>
    <w:p w14:paraId="34017378">
      <w:pPr>
        <w:rPr>
          <w:color w:val="auto"/>
        </w:rPr>
      </w:pPr>
    </w:p>
    <w:p w14:paraId="5B1DBB22">
      <w:pPr>
        <w:rPr>
          <w:rFonts w:hint="eastAsia"/>
          <w:color w:val="auto"/>
        </w:rPr>
      </w:pPr>
    </w:p>
    <w:p w14:paraId="7C52359D">
      <w:pPr>
        <w:rPr>
          <w:rFonts w:hint="eastAsia" w:ascii="微软雅黑" w:hAnsi="微软雅黑" w:eastAsia="微软雅黑" w:cs="微软雅黑"/>
          <w:color w:val="auto"/>
          <w:highlight w:val="none"/>
        </w:rPr>
      </w:pPr>
    </w:p>
    <w:p w14:paraId="5042F7C5">
      <w:pPr>
        <w:rPr>
          <w:color w:val="auto"/>
          <w:highlight w:val="none"/>
        </w:rPr>
      </w:pPr>
    </w:p>
    <w:p w14:paraId="707EB8E6">
      <w:pPr>
        <w:rPr>
          <w:color w:val="auto"/>
          <w:highlight w:val="none"/>
        </w:rPr>
      </w:pPr>
    </w:p>
    <w:p w14:paraId="083DD80C">
      <w:pPr>
        <w:rPr>
          <w:color w:val="auto"/>
          <w:highlight w:val="none"/>
        </w:rPr>
      </w:pPr>
    </w:p>
    <w:p w14:paraId="7E5446A1">
      <w:pPr>
        <w:rPr>
          <w:color w:val="auto"/>
          <w:highlight w:val="none"/>
        </w:rPr>
      </w:pPr>
    </w:p>
    <w:p w14:paraId="75E33946">
      <w:pPr>
        <w:rPr>
          <w:color w:val="auto"/>
          <w:highlight w:val="none"/>
        </w:rPr>
      </w:pPr>
    </w:p>
    <w:p w14:paraId="6F8AE9C3">
      <w:pPr>
        <w:rPr>
          <w:color w:val="auto"/>
          <w:highlight w:val="none"/>
        </w:rPr>
      </w:pPr>
    </w:p>
    <w:p w14:paraId="32CCC624">
      <w:pPr>
        <w:rPr>
          <w:color w:val="auto"/>
          <w:highlight w:val="none"/>
        </w:rPr>
      </w:pPr>
    </w:p>
    <w:p w14:paraId="35D1FE4F">
      <w:pPr>
        <w:rPr>
          <w:color w:val="auto"/>
          <w:highlight w:val="none"/>
        </w:rPr>
      </w:pPr>
    </w:p>
    <w:p w14:paraId="1137B97E">
      <w:pPr>
        <w:rPr>
          <w:color w:val="auto"/>
          <w:highlight w:val="none"/>
        </w:rPr>
      </w:pPr>
    </w:p>
    <w:p w14:paraId="6271AAF8">
      <w:pPr>
        <w:pStyle w:val="25"/>
        <w:widowControl/>
        <w:spacing w:before="75" w:beforeAutospacing="0" w:after="75" w:afterAutospacing="0"/>
        <w:rPr>
          <w:rStyle w:val="37"/>
          <w:rFonts w:ascii="微软雅黑" w:hAnsi="微软雅黑" w:eastAsia="微软雅黑" w:cs="微软雅黑"/>
          <w:color w:val="auto"/>
          <w:highlight w:val="none"/>
        </w:rPr>
      </w:pPr>
    </w:p>
    <w:p w14:paraId="764EE1B6">
      <w:pPr>
        <w:pStyle w:val="2"/>
        <w:numPr>
          <w:ilvl w:val="0"/>
          <w:numId w:val="10"/>
        </w:numPr>
        <w:tabs>
          <w:tab w:val="left" w:pos="0"/>
        </w:tabs>
        <w:spacing w:before="0" w:after="0" w:line="240" w:lineRule="auto"/>
        <w:rPr>
          <w:rFonts w:ascii="微软雅黑" w:hAnsi="微软雅黑" w:eastAsia="微软雅黑" w:cs="微软雅黑"/>
          <w:b/>
          <w:bCs/>
          <w:color w:val="auto"/>
          <w:highlight w:val="none"/>
        </w:rPr>
      </w:pPr>
      <w:bookmarkStart w:id="697" w:name="_Toc984"/>
      <w:r>
        <w:rPr>
          <w:rFonts w:hint="eastAsia" w:ascii="微软雅黑" w:hAnsi="微软雅黑" w:eastAsia="微软雅黑" w:cs="微软雅黑"/>
          <w:b/>
          <w:bCs/>
          <w:color w:val="auto"/>
          <w:highlight w:val="none"/>
        </w:rPr>
        <w:t>供应商须知资料表</w:t>
      </w:r>
      <w:bookmarkEnd w:id="674"/>
      <w:bookmarkEnd w:id="675"/>
      <w:bookmarkEnd w:id="676"/>
      <w:bookmarkEnd w:id="677"/>
      <w:bookmarkEnd w:id="678"/>
      <w:bookmarkEnd w:id="679"/>
      <w:bookmarkEnd w:id="697"/>
    </w:p>
    <w:bookmarkEnd w:id="680"/>
    <w:p w14:paraId="59471C1F">
      <w:pPr>
        <w:ind w:firstLine="360" w:firstLineChars="15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30"/>
        <w:tblW w:w="10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4"/>
        <w:gridCol w:w="8715"/>
      </w:tblGrid>
      <w:tr w14:paraId="094D6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404" w:type="dxa"/>
            <w:tcBorders>
              <w:top w:val="single" w:color="auto" w:sz="12" w:space="0"/>
            </w:tcBorders>
            <w:vAlign w:val="center"/>
          </w:tcPr>
          <w:p w14:paraId="58D9334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8715" w:type="dxa"/>
            <w:tcBorders>
              <w:top w:val="single" w:color="auto" w:sz="12" w:space="0"/>
            </w:tcBorders>
            <w:vAlign w:val="center"/>
          </w:tcPr>
          <w:p w14:paraId="1AD7381B">
            <w:pPr>
              <w:keepNext w:val="0"/>
              <w:keepLines w:val="0"/>
              <w:pageBreakBefore w:val="0"/>
              <w:widowControl w:val="0"/>
              <w:kinsoku/>
              <w:wordWrap/>
              <w:overflowPunct/>
              <w:topLinePunct w:val="0"/>
              <w:bidi w:val="0"/>
              <w:snapToGrid/>
              <w:spacing w:line="420" w:lineRule="exact"/>
              <w:ind w:left="1080" w:leftChars="257" w:hanging="54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1BE8C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068B50D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8715" w:type="dxa"/>
            <w:vAlign w:val="center"/>
          </w:tcPr>
          <w:p w14:paraId="6BEDED7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采购人：</w:t>
            </w:r>
            <w:r>
              <w:rPr>
                <w:rFonts w:hint="eastAsia" w:ascii="微软雅黑" w:hAnsi="微软雅黑" w:eastAsia="微软雅黑" w:cs="微软雅黑"/>
                <w:color w:val="auto"/>
                <w:sz w:val="24"/>
                <w:szCs w:val="24"/>
                <w:highlight w:val="none"/>
                <w:lang w:eastAsia="zh-CN"/>
              </w:rPr>
              <w:t>莎车县教育局</w:t>
            </w:r>
          </w:p>
          <w:p w14:paraId="5EDFB3D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闫茂义</w:t>
            </w:r>
            <w:r>
              <w:rPr>
                <w:rFonts w:hint="eastAsia" w:ascii="微软雅黑" w:hAnsi="微软雅黑" w:eastAsia="微软雅黑" w:cs="微软雅黑"/>
                <w:color w:val="auto"/>
                <w:sz w:val="24"/>
                <w:szCs w:val="24"/>
                <w:highlight w:val="none"/>
              </w:rPr>
              <w:t xml:space="preserve">        联系电话：</w:t>
            </w:r>
            <w:r>
              <w:rPr>
                <w:rFonts w:hint="eastAsia" w:ascii="微软雅黑" w:hAnsi="微软雅黑" w:eastAsia="微软雅黑" w:cs="微软雅黑"/>
                <w:color w:val="auto"/>
                <w:sz w:val="24"/>
                <w:szCs w:val="24"/>
                <w:highlight w:val="none"/>
                <w:lang w:eastAsia="zh-CN"/>
              </w:rPr>
              <w:t>18699857582</w:t>
            </w:r>
          </w:p>
        </w:tc>
      </w:tr>
      <w:tr w14:paraId="4D469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32E0A19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8715" w:type="dxa"/>
            <w:vAlign w:val="center"/>
          </w:tcPr>
          <w:p w14:paraId="103753A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w:t>
            </w:r>
            <w:r>
              <w:rPr>
                <w:rFonts w:hint="eastAsia" w:ascii="微软雅黑" w:hAnsi="微软雅黑" w:eastAsia="微软雅黑" w:cs="微软雅黑"/>
                <w:color w:val="auto"/>
                <w:sz w:val="24"/>
                <w:szCs w:val="24"/>
                <w:highlight w:val="none"/>
                <w:lang w:val="en-US" w:eastAsia="zh-CN"/>
              </w:rPr>
              <w:t>新疆永信国金工程管理咨询有限公司</w:t>
            </w:r>
            <w:r>
              <w:rPr>
                <w:rFonts w:hint="eastAsia" w:ascii="微软雅黑" w:hAnsi="微软雅黑" w:eastAsia="微软雅黑" w:cs="微软雅黑"/>
                <w:color w:val="auto"/>
                <w:sz w:val="24"/>
                <w:szCs w:val="24"/>
                <w:highlight w:val="none"/>
              </w:rPr>
              <w:t xml:space="preserve"> </w:t>
            </w:r>
          </w:p>
          <w:p w14:paraId="41BC32D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联系人：</w:t>
            </w:r>
            <w:r>
              <w:rPr>
                <w:rStyle w:val="37"/>
                <w:rFonts w:hint="eastAsia" w:ascii="微软雅黑" w:hAnsi="微软雅黑" w:eastAsia="微软雅黑" w:cs="微软雅黑"/>
                <w:color w:val="auto"/>
                <w:sz w:val="24"/>
                <w:szCs w:val="24"/>
                <w:highlight w:val="none"/>
                <w:lang w:eastAsia="zh-CN"/>
              </w:rPr>
              <w:t>陈玉杰</w:t>
            </w:r>
            <w:r>
              <w:rPr>
                <w:rFonts w:hint="eastAsia" w:ascii="微软雅黑" w:hAnsi="微软雅黑" w:eastAsia="微软雅黑" w:cs="微软雅黑"/>
                <w:color w:val="auto"/>
                <w:sz w:val="24"/>
                <w:szCs w:val="24"/>
                <w:highlight w:val="none"/>
              </w:rPr>
              <w:t xml:space="preserve">      联系电话：</w:t>
            </w:r>
            <w:r>
              <w:rPr>
                <w:rFonts w:hint="eastAsia" w:ascii="微软雅黑" w:hAnsi="微软雅黑" w:eastAsia="微软雅黑" w:cs="微软雅黑"/>
                <w:color w:val="auto"/>
                <w:sz w:val="24"/>
                <w:szCs w:val="24"/>
                <w:highlight w:val="none"/>
                <w:lang w:eastAsia="zh-CN"/>
              </w:rPr>
              <w:t>15569228338</w:t>
            </w:r>
          </w:p>
        </w:tc>
      </w:tr>
      <w:tr w14:paraId="3BAF1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0" w:hRule="atLeast"/>
          <w:jc w:val="center"/>
        </w:trPr>
        <w:tc>
          <w:tcPr>
            <w:tcW w:w="1404" w:type="dxa"/>
            <w:vAlign w:val="center"/>
          </w:tcPr>
          <w:p w14:paraId="0A8C097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8715" w:type="dxa"/>
            <w:vAlign w:val="center"/>
          </w:tcPr>
          <w:p w14:paraId="2452E5A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合格供应商的其他资格要求：</w:t>
            </w:r>
          </w:p>
          <w:p w14:paraId="5C8F803A">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1、满足《中华人民共和国政府采购法》第二十二条规定；</w:t>
            </w:r>
          </w:p>
          <w:p w14:paraId="04836B88">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①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1046751">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②供应商为生产商的需提供有效期的《食品生产许可证》；供应商为经销商的需提供有效期《食品经营许可证》或《仅销售预包装食品备案表》；</w:t>
            </w:r>
          </w:p>
          <w:p w14:paraId="2B470433">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③被授权委托人参与投标提供法定代表人授权书及被授权人身份证；法人本人参与投标提供法人身份证及法人资格证明；</w:t>
            </w:r>
          </w:p>
          <w:p w14:paraId="4AD70B75">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④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06F62966">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⑤提供近期（投标截止日期前六个月内任意一个月）依法缴纳税收的证明材料（税务部门出具的完税凭证或缴税证明，新成立公司提供相关证明文件）；</w:t>
            </w:r>
          </w:p>
          <w:p w14:paraId="5AECDDCD">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⑥提供2023 年或2024年的财务审计报告与财务会计制度（新成立的公司近三个月内的银行资信证明与财务会计制度）；</w:t>
            </w:r>
          </w:p>
          <w:p w14:paraId="746E0E65">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⑦参与政府采购活动前3年内未被列入失信、重大税收违法案件、财政部门禁止参加政府采购活动的承诺书；</w:t>
            </w:r>
          </w:p>
          <w:p w14:paraId="57C060D7">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⑧提供针对本次项目的反商业贿赂承诺书；</w:t>
            </w:r>
          </w:p>
          <w:p w14:paraId="33AF3E77">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⑨根据《财政部关于在政府采购活动中查询及使用信用记录有关问题的通知》（财库﹝2016﹞125号）的要求，凡拟参加本次招标项目的供应商，如在“信用中国”网站（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829F5F6">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⑩必须具有履行合同所必需的设备和专业技术能力。</w:t>
            </w:r>
          </w:p>
          <w:p w14:paraId="4D85819A">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2、投标保证金有效凭证。</w:t>
            </w:r>
            <w:r>
              <w:rPr>
                <w:rFonts w:hint="eastAsia" w:ascii="微软雅黑" w:hAnsi="微软雅黑" w:eastAsia="微软雅黑" w:cs="微软雅黑"/>
                <w:b/>
                <w:bCs/>
                <w:color w:val="auto"/>
                <w:sz w:val="24"/>
                <w:szCs w:val="24"/>
                <w:highlight w:val="none"/>
              </w:rPr>
              <w:t>。</w:t>
            </w:r>
          </w:p>
          <w:p w14:paraId="2B80539C">
            <w:pPr>
              <w:pStyle w:val="4"/>
              <w:keepNext w:val="0"/>
              <w:keepLines w:val="0"/>
              <w:pageBreakBefore w:val="0"/>
              <w:widowControl w:val="0"/>
              <w:kinsoku/>
              <w:wordWrap/>
              <w:overflowPunct/>
              <w:topLinePunct w:val="0"/>
              <w:bidi w:val="0"/>
              <w:snapToGrid/>
              <w:spacing w:line="420" w:lineRule="exact"/>
              <w:ind w:firstLine="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提示：1、完税证明中“税种”非养老保险、医疗保险、失业保险、工伤保险和生育保险。请各投标供应商注意！</w:t>
            </w:r>
          </w:p>
          <w:p w14:paraId="7C7BC85B">
            <w:pPr>
              <w:keepNext w:val="0"/>
              <w:keepLines w:val="0"/>
              <w:pageBreakBefore w:val="0"/>
              <w:widowControl w:val="0"/>
              <w:numPr>
                <w:ilvl w:val="0"/>
                <w:numId w:val="0"/>
              </w:numPr>
              <w:kinsoku/>
              <w:wordWrap/>
              <w:overflowPunct/>
              <w:topLinePunct w:val="0"/>
              <w:bidi w:val="0"/>
              <w:snapToGrid/>
              <w:spacing w:line="420" w:lineRule="exact"/>
              <w:ind w:leftChars="0"/>
              <w:textAlignment w:val="auto"/>
              <w:rPr>
                <w:rFonts w:hint="eastAsia" w:ascii="微软雅黑" w:hAnsi="微软雅黑" w:eastAsia="微软雅黑" w:cs="微软雅黑"/>
                <w:b/>
                <w:iCs/>
                <w:color w:val="auto"/>
                <w:sz w:val="24"/>
                <w:szCs w:val="24"/>
                <w:highlight w:val="none"/>
              </w:rPr>
            </w:pPr>
            <w:r>
              <w:rPr>
                <w:rFonts w:hint="eastAsia" w:ascii="微软雅黑" w:hAnsi="微软雅黑" w:eastAsia="微软雅黑" w:cs="微软雅黑"/>
                <w:b/>
                <w:iCs/>
                <w:color w:val="auto"/>
                <w:sz w:val="24"/>
                <w:szCs w:val="24"/>
                <w:highlight w:val="none"/>
                <w:lang w:val="en-US" w:eastAsia="zh-CN"/>
              </w:rPr>
              <w:t>2、</w:t>
            </w:r>
            <w:r>
              <w:rPr>
                <w:rFonts w:hint="eastAsia" w:ascii="微软雅黑" w:hAnsi="微软雅黑" w:eastAsia="微软雅黑" w:cs="微软雅黑"/>
                <w:b/>
                <w:iCs/>
                <w:color w:val="auto"/>
                <w:sz w:val="24"/>
                <w:szCs w:val="24"/>
                <w:highlight w:val="none"/>
              </w:rPr>
              <w:t>未通过资格审查的</w:t>
            </w:r>
            <w:r>
              <w:rPr>
                <w:rFonts w:hint="eastAsia" w:ascii="微软雅黑" w:hAnsi="微软雅黑" w:eastAsia="微软雅黑" w:cs="微软雅黑"/>
                <w:b/>
                <w:iCs/>
                <w:color w:val="auto"/>
                <w:sz w:val="24"/>
                <w:szCs w:val="24"/>
                <w:highlight w:val="none"/>
                <w:lang w:eastAsia="zh-CN"/>
              </w:rPr>
              <w:t>供应商</w:t>
            </w:r>
            <w:r>
              <w:rPr>
                <w:rFonts w:hint="eastAsia" w:ascii="微软雅黑" w:hAnsi="微软雅黑" w:eastAsia="微软雅黑" w:cs="微软雅黑"/>
                <w:b/>
                <w:iCs/>
                <w:color w:val="auto"/>
                <w:sz w:val="24"/>
                <w:szCs w:val="24"/>
                <w:highlight w:val="none"/>
              </w:rPr>
              <w:t>不进入评标；通过资格审查的</w:t>
            </w:r>
            <w:r>
              <w:rPr>
                <w:rFonts w:hint="eastAsia" w:ascii="微软雅黑" w:hAnsi="微软雅黑" w:eastAsia="微软雅黑" w:cs="微软雅黑"/>
                <w:b/>
                <w:iCs/>
                <w:color w:val="auto"/>
                <w:sz w:val="24"/>
                <w:szCs w:val="24"/>
                <w:highlight w:val="none"/>
                <w:lang w:eastAsia="zh-CN"/>
              </w:rPr>
              <w:t>供应商</w:t>
            </w:r>
            <w:r>
              <w:rPr>
                <w:rFonts w:hint="eastAsia" w:ascii="微软雅黑" w:hAnsi="微软雅黑" w:eastAsia="微软雅黑" w:cs="微软雅黑"/>
                <w:b/>
                <w:iCs/>
                <w:color w:val="auto"/>
                <w:sz w:val="24"/>
                <w:szCs w:val="24"/>
                <w:highlight w:val="none"/>
              </w:rPr>
              <w:t>少于不足三家的，不得评标。</w:t>
            </w:r>
          </w:p>
          <w:p w14:paraId="3FE780B5">
            <w:pPr>
              <w:pStyle w:val="38"/>
              <w:numPr>
                <w:ilvl w:val="0"/>
                <w:numId w:val="0"/>
              </w:numPr>
              <w:ind w:leftChars="0"/>
              <w:rPr>
                <w:rFonts w:hint="eastAsia"/>
                <w:color w:val="auto"/>
              </w:rPr>
            </w:pPr>
            <w:r>
              <w:rPr>
                <w:rFonts w:hint="eastAsia" w:ascii="微软雅黑" w:hAnsi="微软雅黑" w:eastAsia="微软雅黑" w:cs="微软雅黑"/>
                <w:b/>
                <w:bCs/>
                <w:color w:val="auto"/>
                <w:sz w:val="24"/>
                <w:szCs w:val="24"/>
                <w:lang w:val="en-US" w:eastAsia="zh-CN"/>
              </w:rPr>
              <w:t>3、上述资质能够通过官方网络查证的，均视为合格供应商。</w:t>
            </w:r>
          </w:p>
        </w:tc>
      </w:tr>
      <w:tr w14:paraId="680BE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7ACF65D2">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1.3.5   </w:t>
            </w:r>
          </w:p>
        </w:tc>
        <w:tc>
          <w:tcPr>
            <w:tcW w:w="8715" w:type="dxa"/>
            <w:vAlign w:val="center"/>
          </w:tcPr>
          <w:p w14:paraId="45F2279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（是、否）</w:t>
            </w:r>
          </w:p>
        </w:tc>
      </w:tr>
      <w:tr w14:paraId="2E264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BA332F2">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1.3.6</w:t>
            </w:r>
          </w:p>
        </w:tc>
        <w:tc>
          <w:tcPr>
            <w:tcW w:w="8715" w:type="dxa"/>
            <w:vAlign w:val="center"/>
          </w:tcPr>
          <w:p w14:paraId="2D09BB2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是否为专门面向中小企业采购：</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i/>
                <w:iCs/>
                <w:color w:val="auto"/>
                <w:sz w:val="24"/>
                <w:szCs w:val="24"/>
                <w:highlight w:val="none"/>
              </w:rPr>
              <w:t>（是、否）</w:t>
            </w:r>
            <w:r>
              <w:rPr>
                <w:rFonts w:hint="eastAsia" w:ascii="微软雅黑" w:hAnsi="微软雅黑" w:eastAsia="微软雅黑" w:cs="微软雅黑"/>
                <w:b/>
                <w:bCs/>
                <w:i/>
                <w:iCs/>
                <w:color w:val="auto"/>
                <w:sz w:val="24"/>
                <w:szCs w:val="24"/>
                <w:highlight w:val="none"/>
              </w:rPr>
              <w:t>（注：</w:t>
            </w:r>
            <w:r>
              <w:rPr>
                <w:rFonts w:hint="eastAsia" w:ascii="微软雅黑" w:hAnsi="微软雅黑" w:eastAsia="微软雅黑" w:cs="微软雅黑"/>
                <w:b/>
                <w:bCs/>
                <w:i/>
                <w:iCs/>
                <w:color w:val="auto"/>
                <w:sz w:val="24"/>
                <w:szCs w:val="24"/>
                <w:lang w:val="en-US" w:eastAsia="zh-CN"/>
              </w:rPr>
              <w:t>本项目不属于专门面向中小企业项目，产品生产厂家为小型企业或微型企业的可享受价10%的价格扣除后参与评审。须根据招标文件中的法定格式</w:t>
            </w:r>
            <w:r>
              <w:rPr>
                <w:rFonts w:hint="eastAsia" w:ascii="微软雅黑" w:hAnsi="微软雅黑" w:eastAsia="微软雅黑" w:cs="微软雅黑"/>
                <w:b/>
                <w:bCs/>
                <w:i/>
                <w:iCs/>
                <w:color w:val="auto"/>
                <w:sz w:val="24"/>
                <w:szCs w:val="24"/>
              </w:rPr>
              <w:t>提供中小企业声明函</w:t>
            </w:r>
            <w:r>
              <w:rPr>
                <w:rFonts w:hint="eastAsia" w:ascii="微软雅黑" w:hAnsi="微软雅黑" w:eastAsia="微软雅黑" w:cs="微软雅黑"/>
                <w:b/>
                <w:bCs/>
                <w:i/>
                <w:iCs/>
                <w:color w:val="auto"/>
                <w:sz w:val="24"/>
                <w:szCs w:val="24"/>
                <w:lang w:eastAsia="zh-CN"/>
              </w:rPr>
              <w:t>，未提供或提供虚假信息造成的后果由供应商自行承担</w:t>
            </w:r>
            <w:r>
              <w:rPr>
                <w:rFonts w:hint="eastAsia" w:ascii="微软雅黑" w:hAnsi="微软雅黑" w:eastAsia="微软雅黑" w:cs="微软雅黑"/>
                <w:b/>
                <w:bCs/>
                <w:i/>
                <w:iCs/>
                <w:color w:val="auto"/>
                <w:sz w:val="24"/>
                <w:szCs w:val="24"/>
                <w:highlight w:val="none"/>
                <w:lang w:eastAsia="zh-CN"/>
              </w:rPr>
              <w:t>。</w:t>
            </w:r>
            <w:r>
              <w:rPr>
                <w:rFonts w:hint="eastAsia" w:ascii="微软雅黑" w:hAnsi="微软雅黑" w:eastAsia="微软雅黑" w:cs="微软雅黑"/>
                <w:b/>
                <w:bCs/>
                <w:i/>
                <w:iCs/>
                <w:color w:val="auto"/>
                <w:sz w:val="24"/>
                <w:szCs w:val="24"/>
                <w:highlight w:val="none"/>
              </w:rPr>
              <w:t>）</w:t>
            </w:r>
          </w:p>
        </w:tc>
      </w:tr>
      <w:tr w14:paraId="1AA35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5BA595E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8715" w:type="dxa"/>
            <w:vAlign w:val="center"/>
          </w:tcPr>
          <w:p w14:paraId="5B65A97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i/>
                <w:iCs/>
                <w:color w:val="auto"/>
                <w:sz w:val="24"/>
                <w:szCs w:val="24"/>
                <w:highlight w:val="none"/>
              </w:rPr>
              <w:t>（是、否）</w:t>
            </w:r>
          </w:p>
        </w:tc>
      </w:tr>
      <w:tr w14:paraId="3BA1F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33F8AC4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8715" w:type="dxa"/>
            <w:shd w:val="clear" w:color="auto" w:fill="auto"/>
            <w:vAlign w:val="center"/>
          </w:tcPr>
          <w:p w14:paraId="3EFD59A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联合体的其他资格要求：</w:t>
            </w:r>
            <w:r>
              <w:rPr>
                <w:rFonts w:hint="eastAsia" w:ascii="微软雅黑" w:hAnsi="微软雅黑" w:eastAsia="微软雅黑" w:cs="微软雅黑"/>
                <w:color w:val="auto"/>
                <w:sz w:val="24"/>
                <w:szCs w:val="24"/>
                <w:highlight w:val="none"/>
                <w:u w:val="single"/>
              </w:rPr>
              <w:t>无</w:t>
            </w:r>
          </w:p>
        </w:tc>
      </w:tr>
      <w:tr w14:paraId="55B04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404" w:type="dxa"/>
            <w:vAlign w:val="center"/>
          </w:tcPr>
          <w:p w14:paraId="21A1CC6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8715" w:type="dxa"/>
            <w:shd w:val="clear" w:color="auto" w:fill="auto"/>
            <w:vAlign w:val="center"/>
          </w:tcPr>
          <w:p w14:paraId="3A896991">
            <w:pPr>
              <w:pStyle w:val="4"/>
              <w:keepNext w:val="0"/>
              <w:keepLines w:val="0"/>
              <w:pageBreakBefore w:val="0"/>
              <w:widowControl w:val="0"/>
              <w:kinsoku/>
              <w:wordWrap/>
              <w:overflowPunct/>
              <w:topLinePunct w:val="0"/>
              <w:bidi w:val="0"/>
              <w:snapToGrid/>
              <w:spacing w:line="420" w:lineRule="exact"/>
              <w:ind w:firstLine="0"/>
              <w:jc w:val="both"/>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预算金额</w:t>
            </w:r>
            <w:r>
              <w:rPr>
                <w:rFonts w:hint="eastAsia" w:ascii="微软雅黑" w:hAnsi="微软雅黑" w:eastAsia="微软雅黑" w:cs="微软雅黑"/>
                <w:b/>
                <w:bCs/>
                <w:color w:val="auto"/>
                <w:sz w:val="24"/>
                <w:szCs w:val="24"/>
                <w:highlight w:val="none"/>
                <w:lang w:val="en-US" w:eastAsia="zh-CN"/>
              </w:rPr>
              <w:t xml:space="preserve"> 1485.6510万元；最高限价金额 1485.6510万元。</w:t>
            </w:r>
          </w:p>
        </w:tc>
      </w:tr>
      <w:tr w14:paraId="51245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404" w:type="dxa"/>
            <w:vAlign w:val="center"/>
          </w:tcPr>
          <w:p w14:paraId="3693352E">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w:t>
            </w:r>
          </w:p>
        </w:tc>
        <w:tc>
          <w:tcPr>
            <w:tcW w:w="8715" w:type="dxa"/>
            <w:vAlign w:val="center"/>
          </w:tcPr>
          <w:p w14:paraId="063F78C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投标保证金形式：☑保函  ☑电汇  </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支票   ☑对公转账   </w:t>
            </w:r>
          </w:p>
          <w:p w14:paraId="7EF9060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投标保证金金额：</w:t>
            </w:r>
            <w:r>
              <w:rPr>
                <w:rFonts w:hint="eastAsia" w:ascii="微软雅黑" w:hAnsi="微软雅黑" w:eastAsia="微软雅黑" w:cs="微软雅黑"/>
                <w:b/>
                <w:bCs/>
                <w:color w:val="auto"/>
                <w:sz w:val="24"/>
                <w:szCs w:val="24"/>
                <w:highlight w:val="none"/>
                <w:lang w:val="en-US" w:eastAsia="zh-CN"/>
              </w:rPr>
              <w:t>148000元（大写：壹拾肆万捌仟元整）</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color w:val="auto"/>
                <w:sz w:val="24"/>
                <w:szCs w:val="24"/>
                <w:highlight w:val="none"/>
              </w:rPr>
              <w:t>按照分包预算金额</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%以内的整数计算</w:t>
            </w:r>
            <w:r>
              <w:rPr>
                <w:rFonts w:hint="eastAsia" w:ascii="微软雅黑" w:hAnsi="微软雅黑" w:eastAsia="微软雅黑" w:cs="微软雅黑"/>
                <w:b/>
                <w:bCs/>
                <w:color w:val="auto"/>
                <w:sz w:val="24"/>
                <w:szCs w:val="24"/>
                <w:highlight w:val="none"/>
              </w:rPr>
              <w:t>）</w:t>
            </w:r>
          </w:p>
          <w:p w14:paraId="662643C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保证金收款人：</w:t>
            </w:r>
            <w:r>
              <w:rPr>
                <w:rFonts w:hint="eastAsia" w:ascii="微软雅黑" w:hAnsi="微软雅黑" w:eastAsia="微软雅黑" w:cs="微软雅黑"/>
                <w:b/>
                <w:bCs/>
                <w:color w:val="auto"/>
                <w:sz w:val="24"/>
                <w:szCs w:val="24"/>
                <w:highlight w:val="none"/>
                <w:lang w:val="en-US" w:eastAsia="zh-CN"/>
              </w:rPr>
              <w:t>新疆永信国金工程管理咨询有限公司</w:t>
            </w:r>
          </w:p>
          <w:p w14:paraId="759BDFD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开 户 行：中国银行喀什市西域大道支行</w:t>
            </w:r>
          </w:p>
          <w:p w14:paraId="64BF58E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账   号：</w:t>
            </w:r>
            <w:bookmarkStart w:id="698" w:name="OLE_LINK52"/>
            <w:r>
              <w:rPr>
                <w:rFonts w:hint="eastAsia" w:ascii="微软雅黑" w:hAnsi="微软雅黑" w:eastAsia="微软雅黑" w:cs="微软雅黑"/>
                <w:b/>
                <w:bCs/>
                <w:color w:val="auto"/>
                <w:sz w:val="24"/>
                <w:szCs w:val="24"/>
                <w:highlight w:val="none"/>
                <w:lang w:val="en-US" w:eastAsia="zh-CN"/>
              </w:rPr>
              <w:t>107086326183</w:t>
            </w:r>
            <w:bookmarkEnd w:id="698"/>
          </w:p>
          <w:p w14:paraId="635819DE">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联系人：</w:t>
            </w:r>
            <w:r>
              <w:rPr>
                <w:rFonts w:hint="eastAsia" w:ascii="微软雅黑" w:hAnsi="微软雅黑" w:eastAsia="微软雅黑" w:cs="微软雅黑"/>
                <w:b/>
                <w:bCs/>
                <w:color w:val="auto"/>
                <w:sz w:val="24"/>
                <w:szCs w:val="24"/>
                <w:highlight w:val="none"/>
                <w:lang w:eastAsia="zh-CN"/>
              </w:rPr>
              <w:t>陈玉杰</w:t>
            </w:r>
            <w:r>
              <w:rPr>
                <w:rFonts w:hint="eastAsia" w:ascii="微软雅黑" w:hAnsi="微软雅黑" w:eastAsia="微软雅黑" w:cs="微软雅黑"/>
                <w:b/>
                <w:bCs/>
                <w:color w:val="auto"/>
                <w:sz w:val="24"/>
                <w:szCs w:val="24"/>
                <w:highlight w:val="none"/>
              </w:rPr>
              <w:t>　    联系电话：</w:t>
            </w:r>
            <w:r>
              <w:rPr>
                <w:rFonts w:hint="eastAsia" w:ascii="微软雅黑" w:hAnsi="微软雅黑" w:eastAsia="微软雅黑" w:cs="微软雅黑"/>
                <w:b/>
                <w:bCs/>
                <w:color w:val="auto"/>
                <w:sz w:val="24"/>
                <w:szCs w:val="24"/>
                <w:highlight w:val="none"/>
                <w:lang w:eastAsia="zh-CN"/>
              </w:rPr>
              <w:t>15569228338</w:t>
            </w:r>
          </w:p>
          <w:p w14:paraId="14432BF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（电汇时请在汇款备注栏注明：项目名称</w:t>
            </w:r>
            <w:r>
              <w:rPr>
                <w:rFonts w:hint="eastAsia" w:ascii="微软雅黑" w:hAnsi="微软雅黑" w:eastAsia="微软雅黑" w:cs="微软雅黑"/>
                <w:b/>
                <w:bCs/>
                <w:color w:val="auto"/>
                <w:sz w:val="24"/>
                <w:szCs w:val="24"/>
                <w:highlight w:val="none"/>
                <w:lang w:eastAsia="zh-CN"/>
              </w:rPr>
              <w:t>简写</w:t>
            </w:r>
            <w:r>
              <w:rPr>
                <w:rFonts w:hint="eastAsia" w:ascii="微软雅黑" w:hAnsi="微软雅黑" w:eastAsia="微软雅黑" w:cs="微软雅黑"/>
                <w:b/>
                <w:bCs/>
                <w:color w:val="auto"/>
                <w:sz w:val="24"/>
                <w:szCs w:val="24"/>
                <w:highlight w:val="none"/>
              </w:rPr>
              <w:t xml:space="preserve">，包号，并注明是投标保证金，否则视为无效投标保证金。）      </w:t>
            </w:r>
            <w:r>
              <w:rPr>
                <w:rFonts w:hint="eastAsia" w:ascii="微软雅黑" w:hAnsi="微软雅黑" w:eastAsia="微软雅黑" w:cs="微软雅黑"/>
                <w:color w:val="auto"/>
                <w:sz w:val="24"/>
                <w:szCs w:val="24"/>
                <w:highlight w:val="none"/>
              </w:rPr>
              <w:t xml:space="preserve">    </w:t>
            </w:r>
          </w:p>
          <w:p w14:paraId="1CB6E5E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保证金缴纳要求：</w:t>
            </w:r>
            <w:r>
              <w:rPr>
                <w:rFonts w:hint="eastAsia" w:ascii="微软雅黑" w:hAnsi="微软雅黑" w:eastAsia="微软雅黑" w:cs="微软雅黑"/>
                <w:color w:val="auto"/>
                <w:sz w:val="24"/>
                <w:szCs w:val="24"/>
                <w:highlight w:val="none"/>
              </w:rPr>
              <w:t>采用对公转账方式的，保证金须在开标前从投标供应商的基本账户一次性汇入指定账户，不接受现金、支票及任何个人、分公司汇款。若没有在规定时间内汇入指定账户，视为自动放弃本项目投标。打款时注明投标保证金项目名称。</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未按本条规定提交投标保证金的，其投标将被认定为投标无效。</w:t>
            </w:r>
          </w:p>
          <w:p w14:paraId="4A3B1B1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保证金的退还：</w:t>
            </w:r>
            <w:r>
              <w:rPr>
                <w:rFonts w:hint="eastAsia" w:ascii="微软雅黑" w:hAnsi="微软雅黑" w:eastAsia="微软雅黑" w:cs="微软雅黑"/>
                <w:color w:val="auto"/>
                <w:sz w:val="24"/>
                <w:szCs w:val="24"/>
                <w:highlight w:val="none"/>
              </w:rPr>
              <w:t>依据财库</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根据财库〔2014〕214号《政府采购竞争性磋商采购方式管理暂行办法》第三十一条规定，①未成交供应商的磋商保证金在成交通知书发出后5个工作日内退还；②成交供应商的磋商保证金在供应商与采购人采购合同签订后5个工作日内退还（供应商需将采购合同发至邮箱1543019885@qq.comhou"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中华人民共和国政府采购法实施条例》第三十三条规定，①未中标供应商的投标保证金在中标通知书发出后5个工作日内退还；②中标供应商的保证金在供应商与采购人采购合同签订后5个工作日内退还（供应商需将采购合同发至邮箱</w:t>
            </w:r>
            <w:r>
              <w:rPr>
                <w:rFonts w:hint="eastAsia" w:ascii="微软雅黑" w:hAnsi="微软雅黑" w:eastAsia="微软雅黑" w:cs="微软雅黑"/>
                <w:color w:val="auto"/>
                <w:sz w:val="24"/>
                <w:szCs w:val="24"/>
                <w:highlight w:val="none"/>
                <w:lang w:val="en-US" w:eastAsia="zh-CN"/>
              </w:rPr>
              <w:t>1543019885</w:t>
            </w:r>
            <w:r>
              <w:rPr>
                <w:rFonts w:hint="eastAsia" w:ascii="微软雅黑" w:hAnsi="微软雅黑" w:eastAsia="微软雅黑" w:cs="微软雅黑"/>
                <w:color w:val="auto"/>
                <w:sz w:val="24"/>
                <w:szCs w:val="24"/>
                <w:highlight w:val="none"/>
              </w:rPr>
              <w:t>@qq.com后</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，5个工作日内原账户退回）。</w:t>
            </w:r>
          </w:p>
        </w:tc>
      </w:tr>
      <w:tr w14:paraId="008CF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138B7EE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8715" w:type="dxa"/>
            <w:vAlign w:val="center"/>
          </w:tcPr>
          <w:p w14:paraId="43234E9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90　</w:t>
            </w:r>
            <w:r>
              <w:rPr>
                <w:rFonts w:hint="eastAsia" w:ascii="微软雅黑" w:hAnsi="微软雅黑" w:eastAsia="微软雅黑" w:cs="微软雅黑"/>
                <w:color w:val="auto"/>
                <w:sz w:val="24"/>
                <w:szCs w:val="24"/>
                <w:highlight w:val="none"/>
              </w:rPr>
              <w:t>日历日</w:t>
            </w:r>
          </w:p>
        </w:tc>
      </w:tr>
      <w:tr w14:paraId="77A52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404" w:type="dxa"/>
            <w:vAlign w:val="center"/>
          </w:tcPr>
          <w:p w14:paraId="4D04AF0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8715" w:type="dxa"/>
            <w:vAlign w:val="center"/>
          </w:tcPr>
          <w:p w14:paraId="79865C51">
            <w:pPr>
              <w:pStyle w:val="4"/>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21550D8E">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58CE0C80">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80D13A4">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153895F">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（5）供应商在开标时须使用制作加密电子投标文件所使用的CA锁及电脑，电脑须提前配置好浏览器（建议使用谷歌浏览器），以便开标时解锁。</w:t>
            </w:r>
          </w:p>
          <w:p w14:paraId="2B68F65F">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（6）投标保证金缴纳及确认时间：凡拟参加本次招标项目的供应商，必须在开标前将投标保证金汇入指定账户。投标保证金汇款凭证上用途栏应注明:招标项目名称+投标保证金。否则，届时其投标将被拒绝。</w:t>
            </w:r>
          </w:p>
          <w:p w14:paraId="7E7BD265">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F9FAFCB">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02EAA91C">
            <w:pPr>
              <w:pStyle w:val="4"/>
              <w:keepNext w:val="0"/>
              <w:keepLines w:val="0"/>
              <w:pageBreakBefore w:val="0"/>
              <w:widowControl w:val="0"/>
              <w:kinsoku/>
              <w:wordWrap/>
              <w:overflowPunct/>
              <w:topLinePunct w:val="0"/>
              <w:bidi w:val="0"/>
              <w:snapToGrid/>
              <w:spacing w:line="420" w:lineRule="exact"/>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454594CB">
            <w:pPr>
              <w:pStyle w:val="4"/>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（10）</w:t>
            </w:r>
            <w:r>
              <w:rPr>
                <w:rFonts w:hint="eastAsia" w:ascii="微软雅黑" w:hAnsi="微软雅黑" w:eastAsia="微软雅黑" w:cs="微软雅黑"/>
                <w:b/>
                <w:bCs/>
                <w:color w:val="auto"/>
                <w:sz w:val="24"/>
                <w:szCs w:val="24"/>
                <w:highlight w:val="none"/>
              </w:rPr>
              <w:t>解密时长为30分钟。</w:t>
            </w:r>
          </w:p>
          <w:p w14:paraId="465710D4">
            <w:pPr>
              <w:pStyle w:val="4"/>
              <w:keepNext w:val="0"/>
              <w:keepLines w:val="0"/>
              <w:pageBreakBefore w:val="0"/>
              <w:widowControl w:val="0"/>
              <w:kinsoku/>
              <w:wordWrap/>
              <w:overflowPunct/>
              <w:topLinePunct w:val="0"/>
              <w:bidi w:val="0"/>
              <w:snapToGrid/>
              <w:spacing w:line="420" w:lineRule="exact"/>
              <w:ind w:left="0" w:leftChars="0" w:firstLine="0" w:firstLineChars="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（11）须供应商提供备份的投标文件,后缀为.bfbs。</w:t>
            </w:r>
          </w:p>
          <w:p w14:paraId="425A0E3F">
            <w:pPr>
              <w:pStyle w:val="4"/>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highlight w:val="none"/>
                <w:lang w:val="en-US" w:eastAsia="zh-CN"/>
              </w:rPr>
              <w:t>中标供应商在中标公告公示期结束后3个工作日内将纸质版投标文件送至或邮寄至代理机构，纸质版投标文件</w:t>
            </w:r>
            <w:r>
              <w:rPr>
                <w:rFonts w:hint="eastAsia" w:ascii="微软雅黑" w:hAnsi="微软雅黑" w:eastAsia="微软雅黑" w:cs="微软雅黑"/>
                <w:b/>
                <w:bCs/>
                <w:color w:val="auto"/>
                <w:highlight w:val="none"/>
              </w:rPr>
              <w:t>包括“</w:t>
            </w:r>
            <w:r>
              <w:rPr>
                <w:rFonts w:hint="eastAsia" w:ascii="微软雅黑" w:hAnsi="微软雅黑" w:eastAsia="微软雅黑" w:cs="微软雅黑"/>
                <w:b/>
                <w:bCs/>
                <w:color w:val="auto"/>
                <w:highlight w:val="none"/>
                <w:lang w:val="en-US" w:eastAsia="zh-CN"/>
              </w:rPr>
              <w:t>开标一览表</w:t>
            </w:r>
            <w:r>
              <w:rPr>
                <w:rFonts w:hint="eastAsia" w:ascii="微软雅黑" w:hAnsi="微软雅黑" w:eastAsia="微软雅黑" w:cs="微软雅黑"/>
                <w:b/>
                <w:bCs/>
                <w:color w:val="auto"/>
                <w:highlight w:val="none"/>
                <w:lang w:eastAsia="zh-CN"/>
              </w:rPr>
              <w:t>表</w:t>
            </w:r>
            <w:r>
              <w:rPr>
                <w:rFonts w:hint="eastAsia" w:ascii="微软雅黑" w:hAnsi="微软雅黑" w:eastAsia="微软雅黑" w:cs="微软雅黑"/>
                <w:b/>
                <w:bCs/>
                <w:color w:val="auto"/>
                <w:highlight w:val="none"/>
              </w:rPr>
              <w:t>及资格证明文件”和“商务及技术文件”两部分，两部分合订成一册递交。</w:t>
            </w:r>
          </w:p>
          <w:p w14:paraId="23628224">
            <w:pPr>
              <w:pStyle w:val="4"/>
              <w:keepNext w:val="0"/>
              <w:keepLines w:val="0"/>
              <w:pageBreakBefore w:val="0"/>
              <w:widowControl w:val="0"/>
              <w:kinsoku/>
              <w:wordWrap/>
              <w:overflowPunct/>
              <w:topLinePunct w:val="0"/>
              <w:bidi w:val="0"/>
              <w:snapToGrid/>
              <w:spacing w:line="360" w:lineRule="exact"/>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lang w:val="en-US" w:eastAsia="zh-CN"/>
              </w:rPr>
              <w:t>递交数量</w:t>
            </w:r>
            <w:r>
              <w:rPr>
                <w:rFonts w:hint="eastAsia" w:ascii="微软雅黑" w:hAnsi="微软雅黑" w:eastAsia="微软雅黑" w:cs="微软雅黑"/>
                <w:color w:val="auto"/>
                <w:highlight w:val="none"/>
                <w:lang w:val="en-US" w:eastAsia="zh-CN"/>
              </w:rPr>
              <w:t>：</w:t>
            </w:r>
            <w:r>
              <w:rPr>
                <w:rFonts w:hint="eastAsia" w:ascii="微软雅黑" w:hAnsi="微软雅黑" w:eastAsia="微软雅黑" w:cs="微软雅黑"/>
                <w:color w:val="auto"/>
                <w:highlight w:val="none"/>
              </w:rPr>
              <w:t>正本：壹份、副本：壹份；</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以正本为准，副本可以是正本的复印件）</w:t>
            </w:r>
          </w:p>
          <w:p w14:paraId="40BD126B">
            <w:pPr>
              <w:pStyle w:val="4"/>
              <w:keepNext w:val="0"/>
              <w:keepLines w:val="0"/>
              <w:pageBreakBefore w:val="0"/>
              <w:widowControl w:val="0"/>
              <w:kinsoku/>
              <w:wordWrap/>
              <w:overflowPunct/>
              <w:topLinePunct w:val="0"/>
              <w:bidi w:val="0"/>
              <w:snapToGrid/>
              <w:spacing w:line="360" w:lineRule="exact"/>
              <w:jc w:val="both"/>
              <w:textAlignment w:val="auto"/>
              <w:rPr>
                <w:rFonts w:hint="eastAsia" w:eastAsia="微软雅黑"/>
                <w:color w:val="auto"/>
                <w:lang w:eastAsia="zh-CN"/>
              </w:rPr>
            </w:pPr>
            <w:bookmarkStart w:id="699" w:name="_Toc14647"/>
            <w:r>
              <w:rPr>
                <w:rFonts w:hint="eastAsia" w:ascii="微软雅黑" w:hAnsi="微软雅黑" w:eastAsia="微软雅黑" w:cs="微软雅黑"/>
                <w:b/>
                <w:bCs/>
                <w:color w:val="auto"/>
                <w:highlight w:val="none"/>
                <w:lang w:val="en-US" w:eastAsia="zh-CN"/>
              </w:rPr>
              <w:t>纸质投标文件</w:t>
            </w:r>
            <w:r>
              <w:rPr>
                <w:rFonts w:hint="eastAsia" w:ascii="微软雅黑" w:hAnsi="微软雅黑" w:eastAsia="微软雅黑" w:cs="微软雅黑"/>
                <w:b/>
                <w:bCs/>
                <w:color w:val="auto"/>
                <w:highlight w:val="none"/>
              </w:rPr>
              <w:t>的签署及规定</w:t>
            </w:r>
            <w:r>
              <w:rPr>
                <w:rFonts w:hint="eastAsia" w:ascii="微软雅黑" w:hAnsi="微软雅黑" w:eastAsia="微软雅黑" w:cs="微软雅黑"/>
                <w:b/>
                <w:bCs/>
                <w:color w:val="auto"/>
                <w:highlight w:val="none"/>
                <w:lang w:eastAsia="zh-CN"/>
              </w:rPr>
              <w:t>：</w:t>
            </w:r>
            <w:bookmarkEnd w:id="699"/>
            <w:r>
              <w:rPr>
                <w:rFonts w:hint="eastAsia" w:ascii="微软雅黑" w:hAnsi="微软雅黑" w:eastAsia="微软雅黑" w:cs="微软雅黑"/>
                <w:color w:val="auto"/>
                <w:highlight w:val="none"/>
                <w:lang w:val="en-US" w:eastAsia="zh-CN"/>
              </w:rPr>
              <w:t>投标文件</w:t>
            </w:r>
            <w:r>
              <w:rPr>
                <w:rFonts w:hint="eastAsia" w:ascii="微软雅黑" w:hAnsi="微软雅黑" w:eastAsia="微软雅黑" w:cs="微软雅黑"/>
                <w:color w:val="auto"/>
                <w:highlight w:val="none"/>
              </w:rPr>
              <w:t>的正</w:t>
            </w:r>
            <w:r>
              <w:rPr>
                <w:rFonts w:hint="eastAsia" w:ascii="微软雅黑" w:hAnsi="微软雅黑" w:eastAsia="微软雅黑" w:cs="微软雅黑"/>
                <w:color w:val="auto"/>
                <w:highlight w:val="none"/>
                <w:lang w:val="en-US" w:eastAsia="zh-CN"/>
              </w:rPr>
              <w:t>副本</w:t>
            </w:r>
            <w:r>
              <w:rPr>
                <w:rFonts w:hint="eastAsia" w:ascii="微软雅黑" w:hAnsi="微软雅黑" w:eastAsia="微软雅黑" w:cs="微软雅黑"/>
                <w:color w:val="auto"/>
                <w:highlight w:val="none"/>
              </w:rPr>
              <w:t>需打印或用不褪色墨水书写，并由</w:t>
            </w:r>
            <w:r>
              <w:rPr>
                <w:rFonts w:hint="eastAsia" w:ascii="微软雅黑" w:hAnsi="微软雅黑" w:eastAsia="微软雅黑" w:cs="微软雅黑"/>
                <w:color w:val="auto"/>
                <w:highlight w:val="none"/>
                <w:lang w:eastAsia="zh-CN"/>
              </w:rPr>
              <w:t>供应</w:t>
            </w:r>
            <w:r>
              <w:rPr>
                <w:rFonts w:hint="eastAsia" w:ascii="微软雅黑" w:hAnsi="微软雅黑" w:eastAsia="微软雅黑" w:cs="微软雅黑"/>
                <w:color w:val="auto"/>
                <w:highlight w:val="none"/>
                <w:lang w:val="en-US" w:eastAsia="zh-CN"/>
              </w:rPr>
              <w:t>商的法定代表人或经其正式委托代理人按招标文件规定在投标文件上签字或盖章，并加盖单位印章。</w:t>
            </w:r>
          </w:p>
        </w:tc>
      </w:tr>
      <w:tr w14:paraId="4F1AB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570A656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8715" w:type="dxa"/>
            <w:shd w:val="clear" w:color="auto" w:fill="auto"/>
            <w:vAlign w:val="center"/>
          </w:tcPr>
          <w:p w14:paraId="107C0F5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tc>
      </w:tr>
      <w:tr w14:paraId="6C54D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404" w:type="dxa"/>
            <w:vAlign w:val="center"/>
          </w:tcPr>
          <w:p w14:paraId="52715D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8715" w:type="dxa"/>
            <w:shd w:val="clear" w:color="auto" w:fill="auto"/>
            <w:vAlign w:val="center"/>
          </w:tcPr>
          <w:p w14:paraId="1C613034">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i w:val="0"/>
                <w:iCs w:val="0"/>
                <w:caps w:val="0"/>
                <w:color w:val="auto"/>
                <w:spacing w:val="0"/>
                <w:sz w:val="24"/>
                <w:szCs w:val="24"/>
                <w:highlight w:val="none"/>
                <w:lang w:eastAsia="zh-CN"/>
              </w:rPr>
              <w:t>202</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年</w:t>
            </w:r>
            <w:r>
              <w:rPr>
                <w:rFonts w:hint="eastAsia" w:ascii="微软雅黑" w:hAnsi="微软雅黑" w:eastAsia="微软雅黑" w:cs="微软雅黑"/>
                <w:i w:val="0"/>
                <w:iCs w:val="0"/>
                <w:caps w:val="0"/>
                <w:color w:val="auto"/>
                <w:spacing w:val="0"/>
                <w:sz w:val="24"/>
                <w:szCs w:val="24"/>
                <w:highlight w:val="none"/>
                <w:lang w:val="en-US" w:eastAsia="zh-CN"/>
              </w:rPr>
              <w:t>2日5</w:t>
            </w:r>
            <w:r>
              <w:rPr>
                <w:rFonts w:hint="eastAsia" w:ascii="微软雅黑" w:hAnsi="微软雅黑" w:eastAsia="微软雅黑" w:cs="微软雅黑"/>
                <w:i w:val="0"/>
                <w:iCs w:val="0"/>
                <w:caps w:val="0"/>
                <w:color w:val="auto"/>
                <w:spacing w:val="0"/>
                <w:sz w:val="24"/>
                <w:szCs w:val="24"/>
                <w:highlight w:val="none"/>
                <w:lang w:eastAsia="zh-CN"/>
              </w:rPr>
              <w:t>日</w:t>
            </w:r>
            <w:r>
              <w:rPr>
                <w:rFonts w:hint="eastAsia" w:ascii="微软雅黑" w:hAnsi="微软雅黑" w:eastAsia="微软雅黑" w:cs="微软雅黑"/>
                <w:i w:val="0"/>
                <w:iCs w:val="0"/>
                <w:caps w:val="0"/>
                <w:color w:val="auto"/>
                <w:spacing w:val="0"/>
                <w:sz w:val="24"/>
                <w:szCs w:val="24"/>
                <w:highlight w:val="none"/>
                <w:lang w:val="en-US" w:eastAsia="zh-CN"/>
              </w:rPr>
              <w:t>11</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0</w:t>
            </w:r>
            <w:r>
              <w:rPr>
                <w:rFonts w:hint="eastAsia" w:ascii="微软雅黑" w:hAnsi="微软雅黑" w:eastAsia="微软雅黑" w:cs="微软雅黑"/>
                <w:i w:val="0"/>
                <w:iCs w:val="0"/>
                <w:caps w:val="0"/>
                <w:color w:val="auto"/>
                <w:spacing w:val="0"/>
                <w:sz w:val="24"/>
                <w:szCs w:val="24"/>
                <w:highlight w:val="none"/>
                <w:lang w:eastAsia="zh-CN"/>
              </w:rPr>
              <w:t>0</w:t>
            </w:r>
            <w:r>
              <w:rPr>
                <w:rFonts w:hint="eastAsia" w:ascii="微软雅黑" w:hAnsi="微软雅黑" w:eastAsia="微软雅黑" w:cs="微软雅黑"/>
                <w:i w:val="0"/>
                <w:iCs w:val="0"/>
                <w:caps w:val="0"/>
                <w:color w:val="auto"/>
                <w:spacing w:val="0"/>
                <w:sz w:val="24"/>
                <w:szCs w:val="24"/>
                <w:highlight w:val="none"/>
              </w:rPr>
              <w:t>（北京时间）</w:t>
            </w:r>
          </w:p>
          <w:p w14:paraId="18472967">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开标地点：政采云平台（https://login.zcygov.cn/user-login/#/login）</w:t>
            </w:r>
          </w:p>
        </w:tc>
      </w:tr>
      <w:tr w14:paraId="60455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41C24DF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8715" w:type="dxa"/>
            <w:vAlign w:val="center"/>
          </w:tcPr>
          <w:p w14:paraId="1A760BF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p>
          <w:p w14:paraId="2C08ED4C">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lang w:val="en-US" w:eastAsia="zh-CN"/>
              </w:rPr>
              <w:t>即：投标文件满足招标文件全部实质性要求，且按照评审因素的量化指标评审得分最高的供应商为中标候选人的评标方法。</w:t>
            </w:r>
            <w:r>
              <w:rPr>
                <w:rFonts w:hint="eastAsia" w:ascii="微软雅黑" w:hAnsi="微软雅黑" w:eastAsia="微软雅黑" w:cs="微软雅黑"/>
                <w:color w:val="auto"/>
                <w:sz w:val="24"/>
                <w:szCs w:val="24"/>
                <w:highlight w:val="none"/>
              </w:rPr>
              <w:t>　</w:t>
            </w:r>
          </w:p>
        </w:tc>
      </w:tr>
      <w:tr w14:paraId="13656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285CB270">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6F85F83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推荐中标候选</w:t>
            </w:r>
            <w:r>
              <w:rPr>
                <w:rFonts w:hint="eastAsia" w:ascii="微软雅黑" w:hAnsi="微软雅黑" w:eastAsia="微软雅黑" w:cs="微软雅黑"/>
                <w:color w:val="auto"/>
                <w:sz w:val="24"/>
                <w:szCs w:val="24"/>
                <w:highlight w:val="none"/>
              </w:rPr>
              <w:t>供应商的数量：</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3家</w:t>
            </w:r>
            <w:r>
              <w:rPr>
                <w:rFonts w:hint="eastAsia" w:ascii="微软雅黑" w:hAnsi="微软雅黑" w:eastAsia="微软雅黑" w:cs="微软雅黑"/>
                <w:color w:val="auto"/>
                <w:sz w:val="24"/>
                <w:szCs w:val="24"/>
                <w:highlight w:val="none"/>
                <w:u w:val="single"/>
              </w:rPr>
              <w:t>　　</w:t>
            </w:r>
          </w:p>
        </w:tc>
      </w:tr>
      <w:tr w14:paraId="67BA6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404" w:type="dxa"/>
            <w:vAlign w:val="center"/>
          </w:tcPr>
          <w:p w14:paraId="63808B8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8715" w:type="dxa"/>
            <w:vAlign w:val="center"/>
          </w:tcPr>
          <w:p w14:paraId="2DCC4DE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招标人是否委托评标委员会直接确定中标人：</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iCs/>
                <w:color w:val="auto"/>
                <w:sz w:val="24"/>
                <w:szCs w:val="24"/>
                <w:highlight w:val="none"/>
              </w:rPr>
              <w:t>（是、否）</w:t>
            </w:r>
          </w:p>
        </w:tc>
      </w:tr>
      <w:tr w14:paraId="69527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404" w:type="dxa"/>
            <w:vAlign w:val="center"/>
          </w:tcPr>
          <w:p w14:paraId="4657B47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8715" w:type="dxa"/>
            <w:vAlign w:val="center"/>
          </w:tcPr>
          <w:p w14:paraId="6FA8E9D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i/>
                <w:iCs/>
                <w:color w:val="auto"/>
                <w:sz w:val="24"/>
                <w:szCs w:val="24"/>
                <w:highlight w:val="none"/>
              </w:rPr>
            </w:pPr>
            <w:r>
              <w:rPr>
                <w:rFonts w:hint="eastAsia" w:ascii="微软雅黑" w:hAnsi="微软雅黑" w:eastAsia="微软雅黑" w:cs="微软雅黑"/>
                <w:color w:val="auto"/>
                <w:sz w:val="24"/>
                <w:szCs w:val="24"/>
                <w:highlight w:val="none"/>
              </w:rPr>
              <w:t>履约保证金金额：合同总价的</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7</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i/>
                <w:iCs/>
                <w:color w:val="auto"/>
                <w:sz w:val="24"/>
                <w:szCs w:val="24"/>
                <w:highlight w:val="none"/>
              </w:rPr>
              <w:t>（</w:t>
            </w:r>
            <w:r>
              <w:rPr>
                <w:rFonts w:hint="eastAsia" w:ascii="微软雅黑" w:hAnsi="微软雅黑" w:eastAsia="微软雅黑" w:cs="微软雅黑"/>
                <w:i/>
                <w:iCs/>
                <w:color w:val="auto"/>
                <w:sz w:val="24"/>
                <w:szCs w:val="24"/>
                <w:highlight w:val="none"/>
                <w:lang w:val="en-US" w:eastAsia="zh-CN"/>
              </w:rPr>
              <w:t>具体以合同签订为主</w:t>
            </w:r>
            <w:r>
              <w:rPr>
                <w:rFonts w:hint="eastAsia" w:ascii="微软雅黑" w:hAnsi="微软雅黑" w:eastAsia="微软雅黑" w:cs="微软雅黑"/>
                <w:i/>
                <w:iCs/>
                <w:color w:val="auto"/>
                <w:sz w:val="24"/>
                <w:szCs w:val="24"/>
                <w:highlight w:val="none"/>
              </w:rPr>
              <w:t>）</w:t>
            </w:r>
          </w:p>
          <w:p w14:paraId="6E13C4D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履约保证金形式：☑</w:t>
            </w:r>
            <w:r>
              <w:rPr>
                <w:rFonts w:hint="eastAsia" w:ascii="微软雅黑" w:hAnsi="微软雅黑" w:eastAsia="微软雅黑" w:cs="微软雅黑"/>
                <w:color w:val="auto"/>
                <w:sz w:val="24"/>
                <w:szCs w:val="24"/>
                <w:highlight w:val="none"/>
                <w:lang w:eastAsia="zh-CN"/>
              </w:rPr>
              <w:t>银行</w:t>
            </w:r>
            <w:r>
              <w:rPr>
                <w:rFonts w:hint="eastAsia" w:ascii="微软雅黑" w:hAnsi="微软雅黑" w:eastAsia="微软雅黑" w:cs="微软雅黑"/>
                <w:color w:val="auto"/>
                <w:sz w:val="24"/>
                <w:szCs w:val="24"/>
                <w:highlight w:val="none"/>
              </w:rPr>
              <w:t>保函  ☑电汇   ☑对公转账</w:t>
            </w:r>
          </w:p>
          <w:p w14:paraId="1DD2717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提交履约保证金的时间：签订合同</w:t>
            </w:r>
            <w:r>
              <w:rPr>
                <w:rFonts w:hint="eastAsia" w:ascii="微软雅黑" w:hAnsi="微软雅黑" w:eastAsia="微软雅黑" w:cs="微软雅黑"/>
                <w:color w:val="auto"/>
                <w:sz w:val="24"/>
                <w:szCs w:val="24"/>
                <w:highlight w:val="none"/>
                <w:lang w:eastAsia="zh-CN"/>
              </w:rPr>
              <w:t>时</w:t>
            </w:r>
            <w:r>
              <w:rPr>
                <w:rFonts w:hint="eastAsia" w:ascii="微软雅黑" w:hAnsi="微软雅黑" w:eastAsia="微软雅黑" w:cs="微软雅黑"/>
                <w:color w:val="auto"/>
                <w:sz w:val="24"/>
                <w:szCs w:val="24"/>
                <w:highlight w:val="none"/>
              </w:rPr>
              <w:t>打入甲方指定账户</w:t>
            </w:r>
          </w:p>
        </w:tc>
      </w:tr>
      <w:tr w14:paraId="74ACC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1" w:hRule="atLeast"/>
          <w:jc w:val="center"/>
        </w:trPr>
        <w:tc>
          <w:tcPr>
            <w:tcW w:w="1404" w:type="dxa"/>
            <w:vAlign w:val="center"/>
          </w:tcPr>
          <w:p w14:paraId="6F53119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8715" w:type="dxa"/>
            <w:vAlign w:val="center"/>
          </w:tcPr>
          <w:p w14:paraId="516E409B">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rPr>
            </w:pPr>
            <w:r>
              <w:rPr>
                <w:rFonts w:hint="eastAsia" w:ascii="微软雅黑" w:hAnsi="微软雅黑" w:eastAsia="微软雅黑" w:cs="微软雅黑"/>
                <w:b/>
                <w:bCs/>
                <w:color w:val="auto"/>
                <w:sz w:val="24"/>
                <w:szCs w:val="24"/>
                <w:highlight w:val="none"/>
              </w:rPr>
              <w:t>中标服务费：</w:t>
            </w:r>
            <w:r>
              <w:rPr>
                <w:rFonts w:hint="eastAsia" w:ascii="微软雅黑" w:hAnsi="微软雅黑" w:eastAsia="微软雅黑" w:cs="微软雅黑"/>
                <w:b/>
                <w:bCs/>
                <w:color w:val="auto"/>
                <w:sz w:val="24"/>
                <w:szCs w:val="24"/>
                <w:highlight w:val="none"/>
                <w:lang w:val="en-US" w:eastAsia="zh-CN"/>
              </w:rPr>
              <w:t>经与采购单位协商确定，本项目服务费按中标金额的0.48%收取，由中标供应商支付。</w:t>
            </w:r>
          </w:p>
          <w:p w14:paraId="50014435">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支付形式：</w:t>
            </w:r>
            <w:r>
              <w:rPr>
                <w:rFonts w:hint="eastAsia" w:ascii="微软雅黑" w:hAnsi="微软雅黑" w:eastAsia="微软雅黑" w:cs="微软雅黑"/>
                <w:color w:val="auto"/>
                <w:sz w:val="24"/>
                <w:szCs w:val="24"/>
                <w:highlight w:val="none"/>
                <w:u w:val="single"/>
              </w:rPr>
              <w:t xml:space="preserve">  对公转账  </w:t>
            </w:r>
          </w:p>
          <w:p w14:paraId="48A51FA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支付时间：</w:t>
            </w:r>
            <w:r>
              <w:rPr>
                <w:rFonts w:hint="eastAsia" w:ascii="微软雅黑" w:hAnsi="微软雅黑" w:eastAsia="微软雅黑" w:cs="微软雅黑"/>
                <w:color w:val="auto"/>
                <w:sz w:val="24"/>
                <w:szCs w:val="24"/>
                <w:highlight w:val="none"/>
                <w:u w:val="single"/>
              </w:rPr>
              <w:t xml:space="preserve">  领取中标通知书时 </w:t>
            </w:r>
          </w:p>
        </w:tc>
      </w:tr>
      <w:tr w14:paraId="11805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FEDBAA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8715" w:type="dxa"/>
            <w:vAlign w:val="center"/>
          </w:tcPr>
          <w:p w14:paraId="4B5287D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  否   （是、否）</w:t>
            </w:r>
          </w:p>
          <w:p w14:paraId="67CAFEF8">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莎车县保函机构：</w:t>
            </w:r>
          </w:p>
          <w:p w14:paraId="7FE48AB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政府采购专业担保机构：莎车县宏远融资担保有限责任公司</w:t>
            </w:r>
          </w:p>
          <w:p w14:paraId="5926C46F">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联系人：王升        联系电话：18699899296</w:t>
            </w:r>
          </w:p>
          <w:p w14:paraId="677BE20A">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地址：莎车县新城路 16 号</w:t>
            </w:r>
          </w:p>
          <w:p w14:paraId="2E3E26B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邮箱：245462334@qq.com</w:t>
            </w:r>
          </w:p>
          <w:p w14:paraId="14D4DF5F">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注：①本项目允许投标单位以专业的担保机构出具的保函形式提交投标保证金并鼓励使用电子保函</w:t>
            </w:r>
          </w:p>
          <w:p w14:paraId="05773617">
            <w:pPr>
              <w:keepNext w:val="0"/>
              <w:keepLines w:val="0"/>
              <w:pageBreakBefore w:val="0"/>
              <w:widowControl w:val="0"/>
              <w:kinsoku/>
              <w:wordWrap/>
              <w:overflowPunct/>
              <w:topLinePunct w:val="0"/>
              <w:bidi w:val="0"/>
              <w:snapToGrid/>
              <w:spacing w:line="420" w:lineRule="exact"/>
              <w:textAlignment w:val="auto"/>
              <w:rPr>
                <w:rFonts w:hint="eastAsia"/>
                <w:color w:val="auto"/>
              </w:rPr>
            </w:pPr>
            <w:r>
              <w:rPr>
                <w:rFonts w:hint="eastAsia" w:ascii="微软雅黑" w:hAnsi="微软雅黑" w:eastAsia="微软雅黑" w:cs="微软雅黑"/>
                <w:color w:val="auto"/>
                <w:sz w:val="24"/>
                <w:szCs w:val="24"/>
                <w:highlight w:val="none"/>
                <w:lang w:val="en-US" w:eastAsia="zh-CN"/>
              </w:rPr>
              <w:t xml:space="preserve">  ②上述担保机构只是给投标商多一个选择，最终选择哪个机构由投标单位自己决定，不论选择哪个合法的担保机构，不影响正常项目投标。</w:t>
            </w:r>
          </w:p>
        </w:tc>
      </w:tr>
      <w:tr w14:paraId="18C86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30366586">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34.3</w:t>
            </w:r>
          </w:p>
        </w:tc>
        <w:tc>
          <w:tcPr>
            <w:tcW w:w="8715" w:type="dxa"/>
            <w:vAlign w:val="center"/>
          </w:tcPr>
          <w:p w14:paraId="4B5AC0B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政府采购监管：莎车县财政局采购办 联系电话：0998-8512578</w:t>
            </w:r>
          </w:p>
        </w:tc>
      </w:tr>
      <w:tr w14:paraId="41BFF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64029F9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2"/>
                <w:szCs w:val="22"/>
                <w:highlight w:val="none"/>
              </w:rPr>
              <w:t>36.3</w:t>
            </w:r>
          </w:p>
        </w:tc>
        <w:tc>
          <w:tcPr>
            <w:tcW w:w="8715" w:type="dxa"/>
            <w:vAlign w:val="center"/>
          </w:tcPr>
          <w:p w14:paraId="295B214A">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质疑函</w:t>
            </w:r>
          </w:p>
          <w:p w14:paraId="1FC9EE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default" w:ascii="微软雅黑" w:hAnsi="微软雅黑" w:eastAsia="微软雅黑" w:cs="微软雅黑"/>
                <w:color w:val="auto"/>
                <w:sz w:val="24"/>
                <w:szCs w:val="24"/>
                <w:highlight w:val="none"/>
                <w:lang w:val="en-US" w:eastAsia="zh-CN"/>
              </w:rPr>
              <w:t>接收部门</w:t>
            </w:r>
            <w:r>
              <w:rPr>
                <w:rFonts w:hint="eastAsia" w:ascii="微软雅黑" w:hAnsi="微软雅黑" w:eastAsia="微软雅黑" w:cs="微软雅黑"/>
                <w:color w:val="auto"/>
                <w:sz w:val="24"/>
                <w:szCs w:val="24"/>
                <w:highlight w:val="none"/>
                <w:lang w:val="en-US" w:eastAsia="zh-CN"/>
              </w:rPr>
              <w:t>：莎车县教育局或新疆永信国金工程管理咨询有限公司</w:t>
            </w:r>
          </w:p>
          <w:p w14:paraId="35449D01">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联系电话：</w:t>
            </w:r>
            <w:r>
              <w:rPr>
                <w:rFonts w:hint="eastAsia" w:ascii="微软雅黑" w:hAnsi="微软雅黑" w:eastAsia="微软雅黑" w:cs="微软雅黑"/>
                <w:b w:val="0"/>
                <w:bCs w:val="0"/>
                <w:color w:val="auto"/>
                <w:kern w:val="2"/>
                <w:sz w:val="24"/>
                <w:szCs w:val="24"/>
                <w:lang w:val="en-US" w:eastAsia="zh-CN" w:bidi="ar-SA"/>
              </w:rPr>
              <w:t>18699857582、</w:t>
            </w:r>
            <w:r>
              <w:rPr>
                <w:rFonts w:hint="eastAsia" w:ascii="微软雅黑" w:hAnsi="微软雅黑" w:eastAsia="微软雅黑" w:cs="微软雅黑"/>
                <w:color w:val="auto"/>
                <w:sz w:val="24"/>
                <w:szCs w:val="24"/>
                <w:highlight w:val="none"/>
                <w:lang w:val="en-US" w:eastAsia="zh-CN"/>
              </w:rPr>
              <w:t>15569228338</w:t>
            </w:r>
          </w:p>
          <w:p w14:paraId="17D930DF">
            <w:pPr>
              <w:keepNext w:val="0"/>
              <w:keepLines w:val="0"/>
              <w:pageBreakBefore w:val="0"/>
              <w:widowControl w:val="0"/>
              <w:kinsoku/>
              <w:wordWrap/>
              <w:overflowPunct/>
              <w:topLinePunct w:val="0"/>
              <w:bidi w:val="0"/>
              <w:snapToGrid/>
              <w:spacing w:line="420" w:lineRule="exact"/>
              <w:textAlignment w:val="auto"/>
              <w:rPr>
                <w:rFonts w:hint="default"/>
                <w:color w:val="auto"/>
                <w:lang w:val="en-US" w:eastAsia="zh-CN"/>
              </w:rPr>
            </w:pPr>
            <w:r>
              <w:rPr>
                <w:rFonts w:hint="eastAsia" w:ascii="微软雅黑" w:hAnsi="微软雅黑" w:eastAsia="微软雅黑" w:cs="微软雅黑"/>
                <w:color w:val="auto"/>
                <w:sz w:val="24"/>
                <w:szCs w:val="24"/>
                <w:highlight w:val="none"/>
                <w:lang w:val="en-US" w:eastAsia="zh-CN"/>
              </w:rPr>
              <w:t>联系邮箱：1543019885@qq.com</w:t>
            </w:r>
          </w:p>
        </w:tc>
      </w:tr>
      <w:tr w14:paraId="75AF9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7717412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适用于本供应商须知的额外增加的变动：</w:t>
            </w:r>
          </w:p>
        </w:tc>
      </w:tr>
      <w:tr w14:paraId="4B928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08B9D77B">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1</w:t>
            </w:r>
          </w:p>
        </w:tc>
        <w:tc>
          <w:tcPr>
            <w:tcW w:w="8715" w:type="dxa"/>
            <w:vAlign w:val="center"/>
          </w:tcPr>
          <w:p w14:paraId="7CEAE1E6">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本项目所属行业：鸡蛋属于（农、林、牧、渔业）；大米、面粉、食用油、玉米粉属于（工业）</w:t>
            </w:r>
          </w:p>
        </w:tc>
      </w:tr>
      <w:tr w14:paraId="0EB94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404" w:type="dxa"/>
            <w:vAlign w:val="center"/>
          </w:tcPr>
          <w:p w14:paraId="44AB7B62">
            <w:pPr>
              <w:keepNext w:val="0"/>
              <w:keepLines w:val="0"/>
              <w:pageBreakBefore w:val="0"/>
              <w:widowControl w:val="0"/>
              <w:kinsoku/>
              <w:wordWrap/>
              <w:overflowPunct/>
              <w:topLinePunct w:val="0"/>
              <w:bidi w:val="0"/>
              <w:snapToGrid/>
              <w:spacing w:line="420" w:lineRule="exact"/>
              <w:textAlignment w:val="auto"/>
              <w:rPr>
                <w:rFonts w:hint="default"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2</w:t>
            </w:r>
          </w:p>
        </w:tc>
        <w:tc>
          <w:tcPr>
            <w:tcW w:w="8715" w:type="dxa"/>
            <w:vAlign w:val="center"/>
          </w:tcPr>
          <w:p w14:paraId="5E2F2896">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为保证本项目货物质量，最低报价不作为中标的唯一依据。</w:t>
            </w:r>
          </w:p>
        </w:tc>
      </w:tr>
      <w:tr w14:paraId="35A84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27420D0D">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供应商通过PS造假等手段提供虚假证明材料，隐瞒事实、虚假投标并中标，验收过程中经过严格验收发现问题后，立即终止并反馈当地采购办要求列入黑名单，并承担造成的一切后果。 </w:t>
            </w:r>
          </w:p>
          <w:p w14:paraId="07EBFA19">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供应商以他人名义投标或者以其他方式弄虚作假，骗取中标的，中标无效，给采购人造成损失的，依法承担赔偿责任；构成犯罪的，依法追究刑事责任。</w:t>
            </w:r>
          </w:p>
        </w:tc>
      </w:tr>
      <w:tr w14:paraId="1BF98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0119" w:type="dxa"/>
            <w:gridSpan w:val="2"/>
            <w:vAlign w:val="center"/>
          </w:tcPr>
          <w:p w14:paraId="776C0A93">
            <w:pPr>
              <w:keepNext w:val="0"/>
              <w:keepLines w:val="0"/>
              <w:pageBreakBefore w:val="0"/>
              <w:widowControl w:val="0"/>
              <w:kinsoku/>
              <w:wordWrap/>
              <w:overflowPunct/>
              <w:topLinePunct w:val="0"/>
              <w:bidi w:val="0"/>
              <w:snapToGrid/>
              <w:spacing w:line="420" w:lineRule="exact"/>
              <w:textAlignment w:val="auto"/>
              <w:rPr>
                <w:rFonts w:hint="eastAsia" w:ascii="微软雅黑" w:hAnsi="微软雅黑" w:eastAsia="微软雅黑" w:cs="微软雅黑"/>
                <w:color w:val="auto"/>
                <w:sz w:val="24"/>
                <w:szCs w:val="24"/>
                <w:highlight w:val="none"/>
                <w:lang w:val="en-US" w:eastAsia="zh-CN"/>
              </w:rPr>
            </w:pPr>
          </w:p>
        </w:tc>
      </w:tr>
    </w:tbl>
    <w:p w14:paraId="1432A146">
      <w:pPr>
        <w:pStyle w:val="4"/>
        <w:ind w:firstLine="0"/>
        <w:jc w:val="center"/>
        <w:rPr>
          <w:rFonts w:ascii="微软雅黑" w:hAnsi="微软雅黑" w:eastAsia="微软雅黑" w:cs="微软雅黑"/>
          <w:color w:val="auto"/>
          <w:sz w:val="28"/>
          <w:szCs w:val="28"/>
          <w:highlight w:val="none"/>
        </w:rPr>
        <w:sectPr>
          <w:footerReference r:id="rId7" w:type="default"/>
          <w:pgSz w:w="11905" w:h="16838"/>
          <w:pgMar w:top="1440" w:right="1080" w:bottom="1440" w:left="1080" w:header="851" w:footer="992" w:gutter="0"/>
          <w:pgNumType w:fmt="decimal"/>
          <w:cols w:space="0" w:num="1"/>
          <w:rtlGutter w:val="0"/>
          <w:docGrid w:linePitch="312" w:charSpace="0"/>
        </w:sectPr>
      </w:pPr>
    </w:p>
    <w:p w14:paraId="49070566">
      <w:pPr>
        <w:numPr>
          <w:ilvl w:val="0"/>
          <w:numId w:val="10"/>
        </w:numPr>
        <w:jc w:val="center"/>
        <w:outlineLvl w:val="0"/>
        <w:rPr>
          <w:rFonts w:ascii="微软雅黑" w:hAnsi="微软雅黑" w:eastAsia="微软雅黑" w:cs="微软雅黑"/>
          <w:b/>
          <w:bCs/>
          <w:color w:val="auto"/>
          <w:kern w:val="44"/>
          <w:sz w:val="28"/>
          <w:szCs w:val="28"/>
          <w:highlight w:val="none"/>
        </w:rPr>
      </w:pPr>
      <w:bookmarkStart w:id="700" w:name="_Toc30834"/>
      <w:r>
        <w:rPr>
          <w:rFonts w:hint="eastAsia" w:ascii="微软雅黑" w:hAnsi="微软雅黑" w:eastAsia="微软雅黑" w:cs="微软雅黑"/>
          <w:b/>
          <w:bCs/>
          <w:color w:val="auto"/>
          <w:kern w:val="44"/>
          <w:sz w:val="28"/>
          <w:szCs w:val="28"/>
          <w:highlight w:val="none"/>
        </w:rPr>
        <w:t>货物需求一览表及技术规格</w:t>
      </w:r>
      <w:bookmarkEnd w:id="700"/>
    </w:p>
    <w:p w14:paraId="5808037A">
      <w:pPr>
        <w:pStyle w:val="21"/>
        <w:rPr>
          <w:rFonts w:ascii="微软雅黑" w:hAnsi="微软雅黑" w:eastAsia="微软雅黑" w:cs="微软雅黑"/>
          <w:color w:val="auto"/>
          <w:sz w:val="24"/>
          <w:szCs w:val="24"/>
          <w:highlight w:val="none"/>
        </w:rPr>
      </w:pPr>
      <w:bookmarkStart w:id="701" w:name="_Toc507399907"/>
      <w:bookmarkStart w:id="702" w:name="_Toc32647"/>
      <w:bookmarkStart w:id="703" w:name="_Toc7971"/>
      <w:bookmarkStart w:id="704" w:name="_Toc216582826"/>
      <w:bookmarkStart w:id="705" w:name="_Toc218935355"/>
      <w:bookmarkStart w:id="706" w:name="_Toc219175639"/>
      <w:bookmarkStart w:id="707" w:name="_Toc515647832"/>
      <w:bookmarkStart w:id="708" w:name="_Toc11259"/>
    </w:p>
    <w:p w14:paraId="66D4ABE6">
      <w:pPr>
        <w:numPr>
          <w:ilvl w:val="0"/>
          <w:numId w:val="12"/>
        </w:numPr>
        <w:spacing w:line="240" w:lineRule="atLeast"/>
        <w:jc w:val="both"/>
        <w:outlineLvl w:val="1"/>
        <w:rPr>
          <w:rFonts w:hint="eastAsia" w:ascii="微软雅黑" w:hAnsi="微软雅黑" w:eastAsia="微软雅黑" w:cs="微软雅黑"/>
          <w:b/>
          <w:bCs/>
          <w:color w:val="auto"/>
          <w:sz w:val="24"/>
          <w:szCs w:val="24"/>
          <w:highlight w:val="none"/>
        </w:rPr>
      </w:pPr>
      <w:bookmarkStart w:id="709" w:name="_Toc31204"/>
      <w:bookmarkStart w:id="710" w:name="_Toc15202"/>
      <w:r>
        <w:rPr>
          <w:rFonts w:hint="eastAsia" w:ascii="微软雅黑" w:hAnsi="微软雅黑" w:eastAsia="微软雅黑" w:cs="微软雅黑"/>
          <w:b/>
          <w:bCs/>
          <w:color w:val="auto"/>
          <w:sz w:val="28"/>
          <w:szCs w:val="28"/>
          <w:highlight w:val="none"/>
          <w:lang w:val="en-US" w:eastAsia="zh-CN"/>
        </w:rPr>
        <w:t>货物需求</w:t>
      </w:r>
      <w:bookmarkEnd w:id="709"/>
      <w:bookmarkEnd w:id="710"/>
    </w:p>
    <w:p w14:paraId="0A22F1B0">
      <w:pPr>
        <w:pStyle w:val="21"/>
        <w:rPr>
          <w:color w:val="auto"/>
          <w:highlight w:val="none"/>
        </w:rPr>
      </w:pPr>
    </w:p>
    <w:tbl>
      <w:tblPr>
        <w:tblStyle w:val="30"/>
        <w:tblW w:w="1485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907"/>
        <w:gridCol w:w="1376"/>
        <w:gridCol w:w="5583"/>
        <w:gridCol w:w="1606"/>
        <w:gridCol w:w="963"/>
        <w:gridCol w:w="1285"/>
        <w:gridCol w:w="1651"/>
        <w:gridCol w:w="742"/>
      </w:tblGrid>
      <w:tr w14:paraId="60B4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1A6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序号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EE2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片区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11F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食材名称</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E70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i w:val="0"/>
                <w:iCs w:val="0"/>
                <w:color w:val="auto"/>
                <w:kern w:val="0"/>
                <w:sz w:val="24"/>
                <w:szCs w:val="24"/>
                <w:u w:val="none"/>
                <w:lang w:val="en-US" w:eastAsia="zh-CN" w:bidi="ar"/>
              </w:rPr>
              <w:t>质量标准、规格参数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31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采购数量</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EC9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计量单位</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812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预算单价(元)</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1DC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配送地点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2D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备注</w:t>
            </w:r>
          </w:p>
        </w:tc>
      </w:tr>
      <w:tr w14:paraId="53B8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4B9B">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3E2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河东片区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858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大米</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98C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1.符合国家标准《大米》GB/T1354-2018</w:t>
            </w:r>
            <w:r>
              <w:rPr>
                <w:rFonts w:hint="eastAsia" w:ascii="微软雅黑" w:hAnsi="微软雅黑" w:eastAsia="微软雅黑" w:cs="微软雅黑"/>
                <w:b w:val="0"/>
                <w:bCs w:val="0"/>
                <w:color w:val="auto"/>
                <w:kern w:val="0"/>
                <w:sz w:val="24"/>
                <w:szCs w:val="24"/>
                <w:lang w:val="en-US" w:eastAsia="zh-CN"/>
              </w:rPr>
              <w:t>中</w:t>
            </w:r>
            <w:r>
              <w:rPr>
                <w:rFonts w:hint="eastAsia" w:ascii="微软雅黑" w:hAnsi="微软雅黑" w:eastAsia="微软雅黑" w:cs="微软雅黑"/>
                <w:b/>
                <w:bCs/>
                <w:color w:val="auto"/>
                <w:kern w:val="0"/>
                <w:sz w:val="24"/>
                <w:szCs w:val="24"/>
                <w:lang w:val="en-US" w:eastAsia="zh-CN"/>
              </w:rPr>
              <w:t>一级籼米、粳米</w:t>
            </w:r>
            <w:r>
              <w:rPr>
                <w:rFonts w:hint="eastAsia" w:ascii="微软雅黑" w:hAnsi="微软雅黑" w:eastAsia="微软雅黑" w:cs="微软雅黑"/>
                <w:color w:val="auto"/>
                <w:kern w:val="0"/>
                <w:sz w:val="24"/>
                <w:szCs w:val="24"/>
                <w:lang w:val="en-US" w:eastAsia="zh-CN"/>
              </w:rPr>
              <w:t>质量等级要求，</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颗粒饱满、完整、有清香味、无麸皮等杂质、大小均匀、无掺杂碎米和旧米，无腐败变质、霉变生虫和感官性状异常等情况。2.产品包装，每袋10公斤、25公斤装，包装要完好无损、包装袋表面无任何污物和污渍；3.大米产品标签应符合《中华人民共和国食品安全法》和《食品安全国家标准 预包装食品标签通则》GB7718-2011的规定；4.保质期大于或等于6个月，配送至学校、幼儿园的时间须在生产日期3个月内。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D8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1107150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DD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0A7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5.2</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742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第一教学园区《阿拉买提镇中学、阿扎特巴格镇中学、巴格阿瓦提乡中学、白什坎特镇中学、喀拉苏乡中学、依盖尔其镇中学》、阿热勒乡、恰尔巴格乡、依盖尔其镇、喀拉苏乡、白什坎特镇、阿瓦提镇、阿拉买提镇、巴格阿瓦提乡、阿扎特巴格镇、学校、幼儿园（包含村级幼儿园、学校、教学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8FA6">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7EFD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DA4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DF57">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F7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面粉（小麦粉）</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B4D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1.符合国家标准《小麦粉》GB/T1355-2021中</w:t>
            </w:r>
            <w:r>
              <w:rPr>
                <w:rFonts w:hint="eastAsia" w:ascii="微软雅黑" w:hAnsi="微软雅黑" w:eastAsia="微软雅黑" w:cs="微软雅黑"/>
                <w:b/>
                <w:bCs/>
                <w:color w:val="auto"/>
                <w:kern w:val="0"/>
                <w:sz w:val="24"/>
                <w:szCs w:val="24"/>
                <w:lang w:val="en-US" w:eastAsia="zh-CN"/>
              </w:rPr>
              <w:t>精制粉</w:t>
            </w:r>
            <w:r>
              <w:rPr>
                <w:rFonts w:hint="eastAsia" w:ascii="微软雅黑" w:hAnsi="微软雅黑" w:eastAsia="微软雅黑" w:cs="微软雅黑"/>
                <w:b w:val="0"/>
                <w:bCs w:val="0"/>
                <w:color w:val="auto"/>
                <w:kern w:val="0"/>
                <w:sz w:val="24"/>
                <w:szCs w:val="24"/>
                <w:lang w:val="en-US" w:eastAsia="zh-CN"/>
              </w:rPr>
              <w:t>质量等级要求，并可溯源</w:t>
            </w:r>
            <w:r>
              <w:rPr>
                <w:rFonts w:hint="eastAsia" w:ascii="微软雅黑" w:hAnsi="微软雅黑" w:eastAsia="微软雅黑" w:cs="微软雅黑"/>
                <w:color w:val="auto"/>
                <w:kern w:val="0"/>
                <w:sz w:val="24"/>
                <w:szCs w:val="24"/>
                <w:lang w:val="en-US" w:eastAsia="zh-CN"/>
              </w:rPr>
              <w:t>，无异味、异物、结块、杂质或霉点，无腐败变质、霉变生虫和感官性状异常等情况；2.产品包装，每袋10公斤、25公斤装，包装应符合GB/T17109的规定和食品安全要求，包装要完好无损、包装袋表面无任何污物和污渍；3.小麦粉产品标签应符合《中华人民共和国食品安全法》和《食品安全国家标准 预包装食品标签通则》GB7718-2011的规定；4.保质期大于或等于6个月，配送至学校、幼儿园的时间须在生产日期2个月内，</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3D9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672500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D9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08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3.3</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5E23">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67AE">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0394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B84C">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F345">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2C7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食用油（清油）</w:t>
            </w:r>
          </w:p>
        </w:tc>
        <w:tc>
          <w:tcPr>
            <w:tcW w:w="5583" w:type="dxa"/>
            <w:tcBorders>
              <w:top w:val="single" w:color="000000" w:sz="4" w:space="0"/>
              <w:left w:val="single" w:color="000000" w:sz="4" w:space="0"/>
              <w:bottom w:val="nil"/>
              <w:right w:val="single" w:color="000000" w:sz="4" w:space="0"/>
            </w:tcBorders>
            <w:shd w:val="clear" w:color="auto" w:fill="auto"/>
            <w:noWrap/>
            <w:vAlign w:val="center"/>
          </w:tcPr>
          <w:p w14:paraId="78F6771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1.符合国家标准《菜籽油》GB/T1536-2021中</w:t>
            </w:r>
            <w:r>
              <w:rPr>
                <w:rFonts w:hint="eastAsia" w:ascii="微软雅黑" w:hAnsi="微软雅黑" w:eastAsia="微软雅黑" w:cs="微软雅黑"/>
                <w:b/>
                <w:bCs/>
                <w:color w:val="auto"/>
                <w:kern w:val="0"/>
                <w:sz w:val="24"/>
                <w:szCs w:val="24"/>
                <w:lang w:val="en-US" w:eastAsia="zh-CN"/>
              </w:rPr>
              <w:t>非转基因压榨一级菜籽油</w:t>
            </w:r>
            <w:r>
              <w:rPr>
                <w:rFonts w:hint="eastAsia" w:ascii="微软雅黑" w:hAnsi="微软雅黑" w:eastAsia="微软雅黑" w:cs="微软雅黑"/>
                <w:color w:val="auto"/>
                <w:kern w:val="0"/>
                <w:sz w:val="24"/>
                <w:szCs w:val="24"/>
                <w:lang w:val="en-US" w:eastAsia="zh-CN"/>
              </w:rPr>
              <w:t>质量等级要求，</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菜籽油具有菜籽原油的古有气味和滋味，无异味、腐败变质、油脂酸败和感官性状异常等情况，塑化剂不能超标。2.产品包装为桶装，每桶5L，包装要完好无损、表面无任何污物和污渍，产品为非转基因压榨一级菜籽油，外包装有明显的非转基因标识或原料上明显标注由非转基因原料加工；3.菜籽油产品标签应符合《中华人民共和国食品安全法》和《食品安全国家标准 预包装食品标签通则》GB7718-2011的规定；4.保质期大于或等于12个月，配送至学校、幼儿园的时间须在生产日期6个月内。</w:t>
            </w:r>
          </w:p>
        </w:tc>
        <w:tc>
          <w:tcPr>
            <w:tcW w:w="1606" w:type="dxa"/>
            <w:tcBorders>
              <w:top w:val="single" w:color="000000" w:sz="4" w:space="0"/>
              <w:left w:val="single" w:color="000000" w:sz="4" w:space="0"/>
              <w:bottom w:val="nil"/>
              <w:right w:val="single" w:color="000000" w:sz="4" w:space="0"/>
            </w:tcBorders>
            <w:shd w:val="clear" w:color="auto" w:fill="auto"/>
            <w:noWrap/>
            <w:vAlign w:val="center"/>
          </w:tcPr>
          <w:p w14:paraId="0E58A7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208750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FE7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升</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0E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12.5</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71EF">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C3AA">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7A666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0E6A">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F37C">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AAC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鲜鸡蛋</w:t>
            </w:r>
          </w:p>
        </w:tc>
        <w:tc>
          <w:tcPr>
            <w:tcW w:w="5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AF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1.符合或高于《农产品基本信息描述 禽蛋类》GB/T 37108-2018质量等级要求及《中华人民共和国农产品质量安全法》，</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计量单位公斤（净重、不含托盘重量），药物残留不超标，并可溯源；有产地证明、外壳完好、新鲜，大小均匀，蛋白应浓厚，蛋黄应完整，无破裂、无变质，无异味、无过期、无霉变、无病斑、表面清洁，无以次充好的情况，2.每批次供货时需提供承诺达标合格证，按季度提供符合《中华人民共和国食品安全法》要求的食品检验机构出具的包含鸡蛋全部检验项目的检验报告及兽药残留检测报告，并提供相关法律法规要求的其他证明等材料。</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B9B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331970</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DB7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C4A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12.5</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DD7B">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F297">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r w14:paraId="6CC3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CDB4">
            <w:pPr>
              <w:keepNext w:val="0"/>
              <w:keepLines w:val="0"/>
              <w:pageBreakBefore w:val="0"/>
              <w:widowControl/>
              <w:suppressLineNumbers w:val="0"/>
              <w:kinsoku/>
              <w:wordWrap/>
              <w:overflowPunct/>
              <w:topLinePunct w:val="0"/>
              <w:autoSpaceDE/>
              <w:autoSpaceDN/>
              <w:bidi w:val="0"/>
              <w:adjustRightInd/>
              <w:snapToGrid/>
              <w:spacing w:line="420" w:lineRule="exact"/>
              <w:jc w:val="right"/>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5</w:t>
            </w: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08D4">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1C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玉米粉</w:t>
            </w:r>
          </w:p>
        </w:tc>
        <w:tc>
          <w:tcPr>
            <w:tcW w:w="5583" w:type="dxa"/>
            <w:tcBorders>
              <w:top w:val="nil"/>
              <w:left w:val="single" w:color="000000" w:sz="4" w:space="0"/>
              <w:bottom w:val="single" w:color="000000" w:sz="4" w:space="0"/>
              <w:right w:val="single" w:color="000000" w:sz="4" w:space="0"/>
            </w:tcBorders>
            <w:shd w:val="clear" w:color="auto" w:fill="auto"/>
            <w:noWrap/>
            <w:vAlign w:val="center"/>
          </w:tcPr>
          <w:p w14:paraId="12E68E3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i w:val="0"/>
                <w:iCs w:val="0"/>
                <w:color w:val="auto"/>
                <w:kern w:val="0"/>
                <w:sz w:val="24"/>
                <w:szCs w:val="24"/>
                <w:u w:val="none"/>
                <w:lang w:val="en-US" w:eastAsia="zh-CN" w:bidi="ar"/>
              </w:rPr>
            </w:pPr>
            <w:r>
              <w:rPr>
                <w:rFonts w:hint="eastAsia" w:ascii="微软雅黑" w:hAnsi="微软雅黑" w:eastAsia="微软雅黑" w:cs="微软雅黑"/>
                <w:color w:val="auto"/>
                <w:kern w:val="0"/>
                <w:sz w:val="24"/>
                <w:szCs w:val="24"/>
                <w:lang w:val="en-US" w:eastAsia="zh-CN"/>
              </w:rPr>
              <w:t>1.符合国家标准《玉米面》GB/T10463-2008中</w:t>
            </w:r>
            <w:r>
              <w:rPr>
                <w:rFonts w:hint="eastAsia" w:ascii="微软雅黑" w:hAnsi="微软雅黑" w:eastAsia="微软雅黑" w:cs="微软雅黑"/>
                <w:b/>
                <w:bCs/>
                <w:color w:val="auto"/>
                <w:kern w:val="0"/>
                <w:sz w:val="24"/>
                <w:szCs w:val="24"/>
                <w:lang w:val="en-US" w:eastAsia="zh-CN"/>
              </w:rPr>
              <w:t>玉米粉</w:t>
            </w:r>
            <w:r>
              <w:rPr>
                <w:rFonts w:hint="eastAsia" w:ascii="微软雅黑" w:hAnsi="微软雅黑" w:eastAsia="微软雅黑" w:cs="微软雅黑"/>
                <w:color w:val="auto"/>
                <w:kern w:val="0"/>
                <w:sz w:val="24"/>
                <w:szCs w:val="24"/>
                <w:lang w:val="en-US" w:eastAsia="zh-CN"/>
              </w:rPr>
              <w:t>质量等级要求（如有新的国家标准发布，按最新标准执行），</w:t>
            </w:r>
            <w:r>
              <w:rPr>
                <w:rFonts w:hint="eastAsia" w:ascii="微软雅黑" w:hAnsi="微软雅黑" w:eastAsia="微软雅黑" w:cs="微软雅黑"/>
                <w:b w:val="0"/>
                <w:bCs w:val="0"/>
                <w:color w:val="auto"/>
                <w:kern w:val="0"/>
                <w:sz w:val="24"/>
                <w:szCs w:val="24"/>
                <w:lang w:val="en-US" w:eastAsia="zh-CN"/>
              </w:rPr>
              <w:t>并可溯源</w:t>
            </w:r>
            <w:r>
              <w:rPr>
                <w:rFonts w:hint="eastAsia" w:ascii="微软雅黑" w:hAnsi="微软雅黑" w:eastAsia="微软雅黑" w:cs="微软雅黑"/>
                <w:color w:val="auto"/>
                <w:kern w:val="0"/>
                <w:sz w:val="24"/>
                <w:szCs w:val="24"/>
                <w:lang w:val="en-US" w:eastAsia="zh-CN"/>
              </w:rPr>
              <w:t>，无异味、异物、结块、杂质或霉点，无腐败变质、霉变生虫和感官性状异常等情况；2.产品包装，每袋5公斤、10公斤装，包装要完好无损、包装表面无任何污物和污渍；3.玉米粉产品标签应符合《中华人民共和国食品安全法》和《食品安全国家标准 预包装食品标签通则》GB7718-2011的规定；3.保质期大于或等于6个月，配送至学校、幼儿园的时间须在生产日期2个月内。</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14:paraId="5D818FD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30270</w:t>
            </w:r>
          </w:p>
        </w:tc>
        <w:tc>
          <w:tcPr>
            <w:tcW w:w="963" w:type="dxa"/>
            <w:tcBorders>
              <w:top w:val="nil"/>
              <w:left w:val="single" w:color="000000" w:sz="4" w:space="0"/>
              <w:bottom w:val="single" w:color="000000" w:sz="4" w:space="0"/>
              <w:right w:val="single" w:color="000000" w:sz="4" w:space="0"/>
            </w:tcBorders>
            <w:shd w:val="clear" w:color="auto" w:fill="auto"/>
            <w:noWrap/>
            <w:vAlign w:val="center"/>
          </w:tcPr>
          <w:p w14:paraId="774549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公斤</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0FE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4</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922F6">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F483">
            <w:pPr>
              <w:keepNext w:val="0"/>
              <w:keepLines w:val="0"/>
              <w:pageBreakBefore w:val="0"/>
              <w:kinsoku/>
              <w:wordWrap/>
              <w:overflowPunct/>
              <w:topLinePunct w:val="0"/>
              <w:autoSpaceDE/>
              <w:autoSpaceDN/>
              <w:bidi w:val="0"/>
              <w:adjustRightInd/>
              <w:snapToGrid/>
              <w:spacing w:line="420" w:lineRule="exact"/>
              <w:jc w:val="center"/>
              <w:rPr>
                <w:rFonts w:hint="eastAsia" w:ascii="微软雅黑" w:hAnsi="微软雅黑" w:eastAsia="微软雅黑" w:cs="微软雅黑"/>
                <w:i w:val="0"/>
                <w:iCs w:val="0"/>
                <w:color w:val="auto"/>
                <w:sz w:val="24"/>
                <w:szCs w:val="24"/>
                <w:u w:val="none"/>
              </w:rPr>
            </w:pPr>
          </w:p>
        </w:tc>
      </w:tr>
    </w:tbl>
    <w:p w14:paraId="4DC9FCC2">
      <w:pPr>
        <w:pStyle w:val="21"/>
        <w:rPr>
          <w:rStyle w:val="40"/>
          <w:rFonts w:ascii="微软雅黑" w:hAnsi="微软雅黑" w:eastAsia="微软雅黑" w:cs="微软雅黑"/>
          <w:color w:val="auto"/>
          <w:sz w:val="32"/>
          <w:szCs w:val="32"/>
          <w:highlight w:val="none"/>
        </w:rPr>
        <w:sectPr>
          <w:headerReference r:id="rId8" w:type="default"/>
          <w:footerReference r:id="rId9" w:type="default"/>
          <w:pgSz w:w="16838" w:h="11905" w:orient="landscape"/>
          <w:pgMar w:top="1440" w:right="1083" w:bottom="1440" w:left="1083" w:header="851" w:footer="992" w:gutter="0"/>
          <w:pgNumType w:fmt="decimal"/>
          <w:cols w:space="0" w:num="1"/>
          <w:rtlGutter w:val="0"/>
          <w:docGrid w:linePitch="462" w:charSpace="0"/>
        </w:sectPr>
      </w:pPr>
    </w:p>
    <w:p w14:paraId="2CB4A57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p>
    <w:p w14:paraId="3B5504D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b/>
          <w:bCs/>
          <w:color w:val="auto"/>
          <w:kern w:val="0"/>
          <w:sz w:val="24"/>
          <w:szCs w:val="24"/>
          <w:lang w:val="en-US" w:eastAsia="zh-CN"/>
        </w:rPr>
      </w:pPr>
      <w:bookmarkStart w:id="711" w:name="_Toc32326"/>
      <w:r>
        <w:rPr>
          <w:rFonts w:hint="eastAsia" w:ascii="微软雅黑" w:hAnsi="微软雅黑" w:eastAsia="微软雅黑" w:cs="微软雅黑"/>
          <w:b/>
          <w:bCs/>
          <w:color w:val="auto"/>
          <w:kern w:val="0"/>
          <w:sz w:val="24"/>
          <w:szCs w:val="24"/>
          <w:lang w:val="en-US" w:eastAsia="zh-CN"/>
        </w:rPr>
        <w:t>二、产品质量及其他要求</w:t>
      </w:r>
    </w:p>
    <w:p w14:paraId="41FFEFA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w:t>
      </w:r>
      <w:r>
        <w:rPr>
          <w:rFonts w:hint="eastAsia" w:ascii="微软雅黑" w:hAnsi="微软雅黑" w:eastAsia="微软雅黑" w:cs="微软雅黑"/>
          <w:b/>
          <w:bCs/>
          <w:color w:val="auto"/>
          <w:kern w:val="0"/>
          <w:sz w:val="24"/>
          <w:szCs w:val="24"/>
          <w:lang w:val="en-US" w:eastAsia="zh-CN"/>
        </w:rPr>
        <w:t>大米、面粉、食用油、玉米粉</w:t>
      </w:r>
      <w:r>
        <w:rPr>
          <w:rFonts w:hint="eastAsia" w:ascii="微软雅黑" w:hAnsi="微软雅黑" w:eastAsia="微软雅黑" w:cs="微软雅黑"/>
          <w:color w:val="auto"/>
          <w:kern w:val="0"/>
          <w:sz w:val="24"/>
          <w:szCs w:val="24"/>
          <w:lang w:val="en-US" w:eastAsia="zh-CN"/>
        </w:rPr>
        <w:t>等预包装食品，第一次供货时，供应商随货向验收单位提供供货商和制造商资质，每批次供货时，随货提供所配送食品的出厂检验报告及符合《中华人民共和国食品安</w:t>
      </w:r>
      <w:r>
        <w:rPr>
          <w:rFonts w:hint="eastAsia" w:ascii="微软雅黑" w:hAnsi="微软雅黑" w:eastAsia="微软雅黑" w:cs="微软雅黑"/>
          <w:color w:val="auto"/>
          <w:kern w:val="0"/>
          <w:sz w:val="24"/>
          <w:szCs w:val="24"/>
          <w:lang w:val="en-US" w:eastAsia="zh-CN"/>
        </w:rPr>
        <w:t>全法》要求的由官方或官方授权的检测机构出具的食品检测报告，并提供检测机构出具的检测资质或具有检测能力的证明材料复印件并加盖公章，提供的报告无缺页漏页，质量检测结果必须是合格的，并且检测报告结果符合参数要求，不得提供虚假检验检测报告。</w:t>
      </w:r>
      <w:r>
        <w:rPr>
          <w:rFonts w:hint="eastAsia" w:ascii="微软雅黑" w:hAnsi="微软雅黑" w:eastAsia="微软雅黑" w:cs="微软雅黑"/>
          <w:color w:val="auto"/>
          <w:kern w:val="0"/>
          <w:sz w:val="24"/>
          <w:szCs w:val="24"/>
          <w:lang w:val="en-US" w:eastAsia="zh-CN"/>
        </w:rPr>
        <w:t>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p w14:paraId="174AE9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鲜鸡蛋</w:t>
      </w:r>
      <w:r>
        <w:rPr>
          <w:rFonts w:hint="eastAsia" w:ascii="微软雅黑" w:hAnsi="微软雅黑" w:eastAsia="微软雅黑" w:cs="微软雅黑"/>
          <w:color w:val="auto"/>
          <w:kern w:val="0"/>
          <w:sz w:val="24"/>
          <w:szCs w:val="24"/>
          <w:lang w:val="en-US" w:eastAsia="zh-CN"/>
        </w:rPr>
        <w:t>，第一次供货时，供应商随货向验收单位提供供货商资质，每批次供货时，随货提供所配送农产品承诺达标合格证，并提供相关法律法规要求的其他证明等材料。供货商应按季度对所配送的农产品进行第三方送检。按季度向采购单位提供，符合《中华人民共和国食品安全法》要求的官方或官方授权的食品检验机构出具的所配送相应的食品全部检验项目的第三方检验报告（鸡蛋含兽药残留报告）。</w:t>
      </w:r>
    </w:p>
    <w:p w14:paraId="00905D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w:t>
      </w:r>
    </w:p>
    <w:p w14:paraId="21D912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3.保证供应产品、食品符合国家法定的质量标准，如无国家标准的应符合行业标准或地方标准，不得有参假、变质、变味、过期等现象出现，需有生产日期及有效期。严谨伪劣、假冒、无证不合格产品进入学校。</w:t>
      </w:r>
    </w:p>
    <w:p w14:paraId="2711AC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14:paraId="1A65A7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5.投标企业需使用符合相关食品安全规定的厢式货车运输</w:t>
      </w:r>
      <w:r>
        <w:rPr>
          <w:rFonts w:hint="eastAsia" w:ascii="微软雅黑" w:hAnsi="微软雅黑" w:eastAsia="微软雅黑" w:cs="微软雅黑"/>
          <w:color w:val="auto"/>
          <w:kern w:val="0"/>
          <w:sz w:val="24"/>
          <w:szCs w:val="24"/>
          <w:lang w:val="en-US" w:eastAsia="zh-CN"/>
        </w:rPr>
        <w:t>，</w:t>
      </w:r>
      <w:r>
        <w:rPr>
          <w:rFonts w:hint="eastAsia" w:ascii="微软雅黑" w:hAnsi="微软雅黑" w:eastAsia="微软雅黑" w:cs="微软雅黑"/>
          <w:color w:val="auto"/>
          <w:kern w:val="0"/>
          <w:sz w:val="24"/>
          <w:szCs w:val="24"/>
          <w:lang w:val="en-US" w:eastAsia="zh-CN"/>
        </w:rPr>
        <w:t>确保配送食材保质、安全可靠。送货车辆专人专车，送货人员固定提供免费运输服务。按招标人需求时间内确保配送，送达招标人指定地点；每次供货时间为提出需求后48小时内供货,按要求送达指定位置。</w:t>
      </w:r>
    </w:p>
    <w:p w14:paraId="4DDE53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6.食品运输时不得与有毒、有害、有异味的混装运输。具有本项目相适应的配送能力，必须配备专用的配送车辆和专业的配送队伍配送过程符合食品卫生安全要求。</w:t>
      </w:r>
    </w:p>
    <w:p w14:paraId="4CD10B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食材供应商的加工包装经营场所内需配备车辆装卸场地、物资分发区仓储区、筐箱清洗消毒区等，各区应在同一经营场所为保障食材配送过程的安全性与品质。运输车辆须安装符合国家相关标准及学校要求的车辆行驶轨迹监控装卸视频监控（实时连接互联网且具备存储及回放功能）、温控系统与定位系统等，容器内部材质和结构便于清洗和消毒。设备需确保运行稳定、数据准确，能够完整记录并实时传输配送过程中的相关信息。供货商需在合同签订后首次供货前，向甲方提供监控及定位系统的监督账号，包括但不限于登录名、密码等必要信息，确保甲方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14:paraId="3B08A7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8.投标企业从业人员需具备有效期内的预防性健康检查证明，配送人员配送时随身携带健康检查证明备查。</w:t>
      </w:r>
    </w:p>
    <w:p w14:paraId="6C3932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9.配送</w:t>
      </w:r>
      <w:r>
        <w:rPr>
          <w:rFonts w:hint="eastAsia" w:ascii="微软雅黑" w:hAnsi="微软雅黑" w:eastAsia="微软雅黑" w:cs="微软雅黑"/>
          <w:color w:val="auto"/>
          <w:kern w:val="0"/>
          <w:sz w:val="24"/>
          <w:szCs w:val="24"/>
          <w:lang w:val="en-US" w:eastAsia="zh-CN"/>
        </w:rPr>
        <w:t>周期：中标企业须按甲方的要求，于通知后48小时内将所订购的货物送至指定地点。必须按所规定的时间将商品配送到位。鸡蛋保质期较短的食材，按各学校、幼儿园实际需求数量，每周配送1-3次。大米、面</w:t>
      </w:r>
      <w:r>
        <w:rPr>
          <w:rFonts w:hint="eastAsia" w:ascii="微软雅黑" w:hAnsi="微软雅黑" w:eastAsia="微软雅黑" w:cs="微软雅黑"/>
          <w:color w:val="auto"/>
          <w:kern w:val="0"/>
          <w:sz w:val="24"/>
          <w:szCs w:val="24"/>
          <w:lang w:val="en-US" w:eastAsia="zh-CN"/>
        </w:rPr>
        <w:t>粉、清油等食材，每月配送1-3次至全县各学校、幼儿园（必须配送至村级学校、村级幼儿园）。</w:t>
      </w:r>
    </w:p>
    <w:p w14:paraId="5B1BA0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10.中标企业按照甲方学校、幼儿园提供的食材配送计划必须提前按校（园）及教学点为单位进行分类、分割、称重、装袋、装箱、标识等前期准备工作，严格按照食材配送周期和交货地点及运输方式进行配送。</w:t>
      </w:r>
    </w:p>
    <w:p w14:paraId="1B9445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若供货商未按上述要求履行相关要求，甲方有权要求其限期整改，若在规定期限内仍未整改完成，按照合同约定违约责任处理或单方面解除合同。</w:t>
      </w:r>
    </w:p>
    <w:p w14:paraId="370A7B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三、对投标供应商的商务要求</w:t>
      </w:r>
    </w:p>
    <w:p w14:paraId="168399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第1条 所有参与投标供应商必须讲诚信、讲信誉，恪守职业道德和行业规则。以质量求生存，认真做到同质同价、货真价实、保质保量。</w:t>
      </w:r>
    </w:p>
    <w:p w14:paraId="1BFB4E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第2条 所有参与投标的供应商需做到质量合格、价格稳定，坚决杜绝以次充好，所报价格应低于同类产品的一级市场批发价，所报价格均为到货价（此价格包括物品储藏、运输、搬运装卸、税费等一切相关费用）。</w:t>
      </w:r>
    </w:p>
    <w:p w14:paraId="3CD4ED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第3条 供应商对所提供的物资需送货并搬运入库。并装卸码放整齐；在验收品种、数量、质量之后，由甲方指定人员和乙方人员在送货单上确认签字后则完成交货。</w:t>
      </w:r>
    </w:p>
    <w:p w14:paraId="479A602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第4条 中标供应商保证在供货时遵从甲方关于本项目的采购程序，保证不会将合同及（或）其中的权利、义务转让，不得转标项、分标项。</w:t>
      </w:r>
    </w:p>
    <w:p w14:paraId="7077FB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第5条 中标单位在签订合同的同时，需签订质量保证书及廉政协议。</w:t>
      </w:r>
    </w:p>
    <w:p w14:paraId="35CB46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第6条 供货期间若采购人对所供货物质量产生异议，送政府质量检测部门检验，如检验不合格，检验费用由中标人负责，并接受采购人按照合同约定的处罚，若发生类似上述情况两次及以上，甲方有权单方面解除合同。</w:t>
      </w:r>
    </w:p>
    <w:p w14:paraId="0D216A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第7条 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承担违约责任。合同解除后，甲方有权与第三方供货商另行签订合同，进行供货。</w:t>
      </w:r>
    </w:p>
    <w:p w14:paraId="7FE5DA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第8条 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14:paraId="5726147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第9条 投标企业需具备卫生合格的库房。投标单位在投标文件中需提供中标后在项目所在地成立仓库完成该项目履约承诺书。</w:t>
      </w:r>
    </w:p>
    <w:p w14:paraId="2E7E5AA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b/>
          <w:bCs/>
          <w:color w:val="auto"/>
          <w:kern w:val="0"/>
          <w:sz w:val="24"/>
          <w:szCs w:val="24"/>
          <w:lang w:val="en-US" w:eastAsia="zh-CN"/>
        </w:rPr>
      </w:pPr>
      <w:r>
        <w:rPr>
          <w:rFonts w:hint="eastAsia" w:ascii="微软雅黑" w:hAnsi="微软雅黑" w:eastAsia="微软雅黑" w:cs="微软雅黑"/>
          <w:b/>
          <w:bCs/>
          <w:color w:val="auto"/>
          <w:kern w:val="0"/>
          <w:sz w:val="24"/>
          <w:szCs w:val="24"/>
          <w:lang w:val="en-US" w:eastAsia="zh-CN"/>
        </w:rPr>
        <w:t>第10条 投标单位需提供近三年内无因食品安全问题行政处罚的承诺书。</w:t>
      </w:r>
    </w:p>
    <w:p w14:paraId="20921B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第11条 根据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14:paraId="377FA6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（1）违反相关法律法规，被市场监管部门吊销食品经营许</w:t>
      </w:r>
    </w:p>
    <w:p w14:paraId="4B8BFB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可证、营业执照；</w:t>
      </w:r>
    </w:p>
    <w:p w14:paraId="6200AE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（2）发生食品安全事故或在合同期内被行政处罚的；</w:t>
      </w:r>
    </w:p>
    <w:p w14:paraId="6E155F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（3）未持续保持食品经营许可条件，经整改仍不符合食品</w:t>
      </w:r>
    </w:p>
    <w:p w14:paraId="498E32B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经营许可条件的；</w:t>
      </w:r>
    </w:p>
    <w:p w14:paraId="74C20E6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（4）存在采购加工法律法规禁止生产经营的食品、使用非</w:t>
      </w:r>
    </w:p>
    <w:p w14:paraId="0A804A5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食用物质、滥用食品添加剂、降低食品安全保障条件等食品安全</w:t>
      </w:r>
    </w:p>
    <w:p w14:paraId="5A07622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问题的；</w:t>
      </w:r>
    </w:p>
    <w:p w14:paraId="1E7D9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（5）出现降低供餐质量和餐量标准，随意变更供餐食谱等</w:t>
      </w:r>
    </w:p>
    <w:p w14:paraId="013526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情况，或在供餐质量评议中学生满意度较低，经约谈警告后，仍不改正的；</w:t>
      </w:r>
    </w:p>
    <w:p w14:paraId="4DC840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（6）擅自转包、分包供餐业务或存在擅自变更配餐生产地</w:t>
      </w:r>
    </w:p>
    <w:p w14:paraId="576A117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址、擅自更换履约人等违约行为；</w:t>
      </w:r>
    </w:p>
    <w:p w14:paraId="338ABE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（7）出现其他违反法律法规及有关规定的行为。具体管理办法按上级有关食品安全相关文件执行。</w:t>
      </w:r>
    </w:p>
    <w:p w14:paraId="7E78D5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如若供应商在履约合同期限内违反上述11条中的任何条款规定，甲方有权终止合同并顺延至第二或第三名中标成交单位继续完成履约，或重新组织招标。</w:t>
      </w:r>
    </w:p>
    <w:p w14:paraId="07735A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四、其他商务要求</w:t>
      </w:r>
    </w:p>
    <w:p w14:paraId="29E3ED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1.适用范围：全县农村义务教育学生营养改善计划项目、家庭经济困难学生生活费伙食补助项目、学前幼儿伙食补助项目。</w:t>
      </w:r>
    </w:p>
    <w:p w14:paraId="7EDB0D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2.合同期限（供货期）：本次招标食材使用时间2025年2月15日至2026年1月31日，具体以签订合同时间为准，以实际供货量进行结算。</w:t>
      </w:r>
    </w:p>
    <w:p w14:paraId="59E0032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w:t>
      </w:r>
      <w:r>
        <w:rPr>
          <w:rFonts w:hint="eastAsia" w:ascii="微软雅黑" w:hAnsi="微软雅黑" w:eastAsia="微软雅黑" w:cs="微软雅黑"/>
          <w:color w:val="auto"/>
          <w:kern w:val="0"/>
          <w:sz w:val="24"/>
          <w:szCs w:val="24"/>
          <w:lang w:val="en-US" w:eastAsia="zh-CN"/>
        </w:rPr>
        <w:t>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p>
    <w:p w14:paraId="32B905F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4.投标企业中标后依法向采购单位缴纳中标总价7%的履约保证金或提供银行开具的保函。</w:t>
      </w:r>
    </w:p>
    <w:p w14:paraId="6E25D4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w:t>
      </w:r>
      <w:r>
        <w:rPr>
          <w:rFonts w:hint="eastAsia" w:ascii="微软雅黑" w:hAnsi="微软雅黑" w:eastAsia="微软雅黑" w:cs="微软雅黑"/>
          <w:color w:val="auto"/>
          <w:kern w:val="0"/>
          <w:sz w:val="24"/>
          <w:szCs w:val="24"/>
        </w:rPr>
        <w:t>投标企业中标后</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lang w:val="en-US" w:eastAsia="zh-CN"/>
        </w:rPr>
        <w:t>首次供货之前向采购单位提供本地保险公司签订的《食品安全责任保险》保单，保额不少于中标金额。</w:t>
      </w:r>
    </w:p>
    <w:p w14:paraId="3459C2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6.投标企业需具备卫生合格的库房。</w:t>
      </w:r>
    </w:p>
    <w:p w14:paraId="5BC2274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7.企业需配合教育局开展资金对账、食材质量验收及抽检工作，如遇项目专项审计、检查、案件调查，企业需无条件配合。</w:t>
      </w:r>
    </w:p>
    <w:p w14:paraId="4BDA032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8.结算：</w:t>
      </w:r>
      <w:r>
        <w:rPr>
          <w:rFonts w:hint="eastAsia" w:ascii="微软雅黑" w:hAnsi="微软雅黑" w:eastAsia="微软雅黑" w:cs="微软雅黑"/>
          <w:color w:val="auto"/>
          <w:kern w:val="0"/>
          <w:sz w:val="24"/>
          <w:szCs w:val="24"/>
          <w:lang w:val="en-US" w:eastAsia="zh-CN"/>
        </w:rPr>
        <w:t>每月最终以学校实际验收量为准进行支付（企业必须次月月初按时开具支付发票，未及时开具税务发票的由企业承担责任），合同金额以最终实际配送验收金额为准。</w:t>
      </w:r>
    </w:p>
    <w:p w14:paraId="037761F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9.该项目最终结算以实际发生量给与结算。</w:t>
      </w:r>
    </w:p>
    <w:p w14:paraId="061DA01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10.投标报价包含:货物本身价格、保险费用、包装费、运输费用、搬运费、损耗、税金费用、检疫费、管理费、自检费及验收合格前和质保期内发生的一切费用、应当提供的伴随服务/售后服务费用。</w:t>
      </w:r>
    </w:p>
    <w:p w14:paraId="03D4719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11.为确保资金精准核算，投标企业的投标单价，核准后只保留小数点后2位（小数点后两位以外的数据均不计算，同时不进行四舍五入）。</w:t>
      </w:r>
    </w:p>
    <w:p w14:paraId="50AE6C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12.食材配送及验收：</w:t>
      </w:r>
      <w:r>
        <w:rPr>
          <w:rFonts w:hint="eastAsia" w:ascii="微软雅黑" w:hAnsi="微软雅黑" w:eastAsia="微软雅黑" w:cs="微软雅黑"/>
          <w:b/>
          <w:bCs/>
          <w:color w:val="auto"/>
          <w:kern w:val="0"/>
          <w:sz w:val="24"/>
          <w:szCs w:val="24"/>
          <w:lang w:val="en-US" w:eastAsia="zh-CN"/>
        </w:rPr>
        <w:t>一是</w:t>
      </w:r>
      <w:r>
        <w:rPr>
          <w:rFonts w:hint="eastAsia" w:ascii="微软雅黑" w:hAnsi="微软雅黑" w:eastAsia="微软雅黑" w:cs="微软雅黑"/>
          <w:b/>
          <w:bCs/>
          <w:color w:val="auto"/>
          <w:kern w:val="0"/>
          <w:sz w:val="24"/>
          <w:szCs w:val="24"/>
        </w:rPr>
        <w:t>送货</w:t>
      </w:r>
      <w:r>
        <w:rPr>
          <w:rFonts w:hint="eastAsia" w:ascii="微软雅黑" w:hAnsi="微软雅黑" w:eastAsia="微软雅黑" w:cs="微软雅黑"/>
          <w:b/>
          <w:bCs/>
          <w:color w:val="auto"/>
          <w:kern w:val="0"/>
          <w:sz w:val="24"/>
          <w:szCs w:val="24"/>
          <w:lang w:eastAsia="zh-CN"/>
        </w:rPr>
        <w:t>，</w:t>
      </w:r>
      <w:r>
        <w:rPr>
          <w:rFonts w:hint="eastAsia" w:ascii="微软雅黑" w:hAnsi="微软雅黑" w:eastAsia="微软雅黑" w:cs="微软雅黑"/>
          <w:color w:val="auto"/>
          <w:kern w:val="0"/>
          <w:sz w:val="24"/>
          <w:szCs w:val="24"/>
          <w:lang w:val="en-US" w:eastAsia="zh-CN"/>
        </w:rPr>
        <w:t>中标企业</w:t>
      </w:r>
      <w:r>
        <w:rPr>
          <w:rFonts w:hint="eastAsia" w:ascii="微软雅黑" w:hAnsi="微软雅黑" w:eastAsia="微软雅黑" w:cs="微软雅黑"/>
          <w:color w:val="auto"/>
          <w:kern w:val="0"/>
          <w:sz w:val="24"/>
          <w:szCs w:val="24"/>
        </w:rPr>
        <w:t>须按甲方学校的要求，于通知后48小时</w:t>
      </w:r>
      <w:r>
        <w:rPr>
          <w:rFonts w:hint="eastAsia" w:ascii="微软雅黑" w:hAnsi="微软雅黑" w:eastAsia="微软雅黑" w:cs="微软雅黑"/>
          <w:color w:val="auto"/>
          <w:kern w:val="0"/>
          <w:sz w:val="24"/>
          <w:szCs w:val="24"/>
          <w:lang w:val="en-US" w:eastAsia="zh-CN"/>
        </w:rPr>
        <w:t>内</w:t>
      </w:r>
      <w:r>
        <w:rPr>
          <w:rFonts w:hint="eastAsia" w:ascii="微软雅黑" w:hAnsi="微软雅黑" w:eastAsia="微软雅黑" w:cs="微软雅黑"/>
          <w:color w:val="auto"/>
          <w:kern w:val="0"/>
          <w:sz w:val="24"/>
          <w:szCs w:val="24"/>
        </w:rPr>
        <w:t>将所订购的货物送至指定地点。必须按所规定的时间</w:t>
      </w:r>
      <w:r>
        <w:rPr>
          <w:rFonts w:hint="eastAsia" w:ascii="微软雅黑" w:hAnsi="微软雅黑" w:eastAsia="微软雅黑" w:cs="微软雅黑"/>
          <w:color w:val="auto"/>
          <w:kern w:val="0"/>
          <w:sz w:val="24"/>
          <w:szCs w:val="24"/>
          <w:lang w:val="en-US" w:eastAsia="zh-CN"/>
        </w:rPr>
        <w:t>将商品配送到位</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val="en-US" w:eastAsia="zh-CN"/>
        </w:rPr>
        <w:t>中标企业</w:t>
      </w:r>
      <w:r>
        <w:rPr>
          <w:rFonts w:hint="eastAsia" w:ascii="微软雅黑" w:hAnsi="微软雅黑" w:eastAsia="微软雅黑" w:cs="微软雅黑"/>
          <w:color w:val="auto"/>
          <w:kern w:val="0"/>
          <w:sz w:val="24"/>
          <w:szCs w:val="24"/>
          <w:lang w:eastAsia="zh-CN"/>
        </w:rPr>
        <w:t>应当保持联系方式24小时畅通，配送过程中产生的损耗由乙方自行承担</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b/>
          <w:bCs/>
          <w:color w:val="auto"/>
          <w:kern w:val="0"/>
          <w:sz w:val="24"/>
          <w:szCs w:val="24"/>
          <w:lang w:val="en-US" w:eastAsia="zh-CN"/>
        </w:rPr>
        <w:t>二是</w:t>
      </w:r>
      <w:r>
        <w:rPr>
          <w:rFonts w:hint="eastAsia" w:ascii="微软雅黑" w:hAnsi="微软雅黑" w:eastAsia="微软雅黑" w:cs="微软雅黑"/>
          <w:b/>
          <w:bCs/>
          <w:color w:val="auto"/>
          <w:kern w:val="0"/>
          <w:sz w:val="24"/>
          <w:szCs w:val="24"/>
        </w:rPr>
        <w:t>验收</w:t>
      </w:r>
      <w:r>
        <w:rPr>
          <w:rFonts w:hint="eastAsia" w:ascii="微软雅黑" w:hAnsi="微软雅黑" w:eastAsia="微软雅黑" w:cs="微软雅黑"/>
          <w:b/>
          <w:bCs/>
          <w:color w:val="auto"/>
          <w:kern w:val="0"/>
          <w:sz w:val="24"/>
          <w:szCs w:val="24"/>
          <w:lang w:eastAsia="zh-CN"/>
        </w:rPr>
        <w:t>，</w:t>
      </w:r>
      <w:r>
        <w:rPr>
          <w:rFonts w:hint="eastAsia" w:ascii="微软雅黑" w:hAnsi="微软雅黑" w:eastAsia="微软雅黑" w:cs="微软雅黑"/>
          <w:color w:val="auto"/>
          <w:kern w:val="0"/>
          <w:sz w:val="24"/>
          <w:szCs w:val="24"/>
        </w:rPr>
        <w:t>每次随货送上一式三份的送货清单（一份甲方留存、一份乙方留存、一份甲方与乙方结算时使用），</w:t>
      </w:r>
      <w:r>
        <w:rPr>
          <w:rFonts w:hint="eastAsia" w:ascii="微软雅黑" w:hAnsi="微软雅黑" w:eastAsia="微软雅黑" w:cs="微软雅黑"/>
          <w:color w:val="auto"/>
          <w:kern w:val="0"/>
          <w:sz w:val="24"/>
          <w:szCs w:val="24"/>
          <w:lang w:val="en-US" w:eastAsia="zh-CN"/>
        </w:rPr>
        <w:t>学校、幼儿园</w:t>
      </w:r>
      <w:r>
        <w:rPr>
          <w:rFonts w:hint="eastAsia" w:ascii="微软雅黑" w:hAnsi="微软雅黑" w:eastAsia="微软雅黑" w:cs="微软雅黑"/>
          <w:color w:val="auto"/>
          <w:kern w:val="0"/>
          <w:sz w:val="24"/>
          <w:szCs w:val="24"/>
        </w:rPr>
        <w:t>验收后由甲乙双方签字核认，作为送货凭证，验收过程乙方应有</w:t>
      </w:r>
      <w:r>
        <w:rPr>
          <w:rFonts w:hint="eastAsia" w:ascii="微软雅黑" w:hAnsi="微软雅黑" w:eastAsia="微软雅黑" w:cs="微软雅黑"/>
          <w:color w:val="auto"/>
          <w:kern w:val="0"/>
          <w:sz w:val="24"/>
          <w:szCs w:val="24"/>
          <w:lang w:val="en-US" w:eastAsia="zh-CN"/>
        </w:rPr>
        <w:t>人在现场参与验收。对不符合质量的商品，甲方所管理的学校、幼儿园有权退货和要求乙方换货，甲方所管理的学校、幼儿园应出具书</w:t>
      </w:r>
      <w:r>
        <w:rPr>
          <w:rFonts w:hint="eastAsia" w:ascii="微软雅黑" w:hAnsi="微软雅黑" w:eastAsia="微软雅黑" w:cs="微软雅黑"/>
          <w:color w:val="auto"/>
          <w:kern w:val="0"/>
          <w:sz w:val="24"/>
          <w:szCs w:val="24"/>
        </w:rPr>
        <w:t>面凭证并备注原因，退换货物的风险和所产生的费用由</w:t>
      </w:r>
      <w:r>
        <w:rPr>
          <w:rFonts w:hint="eastAsia" w:ascii="微软雅黑" w:hAnsi="微软雅黑" w:eastAsia="微软雅黑" w:cs="微软雅黑"/>
          <w:color w:val="auto"/>
          <w:kern w:val="0"/>
          <w:sz w:val="24"/>
          <w:szCs w:val="24"/>
          <w:lang w:val="en-US" w:eastAsia="zh-CN"/>
        </w:rPr>
        <w:t>配送企业</w:t>
      </w:r>
      <w:r>
        <w:rPr>
          <w:rFonts w:hint="eastAsia" w:ascii="微软雅黑" w:hAnsi="微软雅黑" w:eastAsia="微软雅黑" w:cs="微软雅黑"/>
          <w:color w:val="auto"/>
          <w:kern w:val="0"/>
          <w:sz w:val="24"/>
          <w:szCs w:val="24"/>
        </w:rPr>
        <w:t>自行承担。 </w:t>
      </w:r>
    </w:p>
    <w:p w14:paraId="27847D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五、确定中标候选人</w:t>
      </w:r>
    </w:p>
    <w:p w14:paraId="7703FF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 1.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068760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30E310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六、相关材料核查</w:t>
      </w:r>
    </w:p>
    <w:p w14:paraId="558D05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1.招标人将在</w:t>
      </w:r>
      <w:r>
        <w:rPr>
          <w:rFonts w:hint="eastAsia" w:ascii="微软雅黑" w:hAnsi="微软雅黑" w:eastAsia="微软雅黑" w:cs="微软雅黑"/>
          <w:color w:val="auto"/>
          <w:kern w:val="0"/>
          <w:sz w:val="24"/>
          <w:szCs w:val="24"/>
          <w:lang w:eastAsia="zh-CN"/>
        </w:rPr>
        <w:t>履约验收过程中</w:t>
      </w:r>
      <w:r>
        <w:rPr>
          <w:rFonts w:hint="eastAsia" w:ascii="微软雅黑" w:hAnsi="微软雅黑" w:eastAsia="微软雅黑" w:cs="微软雅黑"/>
          <w:color w:val="auto"/>
          <w:kern w:val="0"/>
          <w:sz w:val="24"/>
          <w:szCs w:val="24"/>
        </w:rPr>
        <w:t>对中标候选人是否能圆满地履行合同进行审查。</w:t>
      </w:r>
      <w:r>
        <w:rPr>
          <w:rFonts w:hint="eastAsia" w:ascii="微软雅黑" w:hAnsi="微软雅黑" w:eastAsia="微软雅黑" w:cs="微软雅黑"/>
          <w:color w:val="auto"/>
          <w:kern w:val="0"/>
          <w:sz w:val="24"/>
          <w:szCs w:val="24"/>
          <w:lang w:eastAsia="zh-CN"/>
        </w:rPr>
        <w:t>核查</w:t>
      </w:r>
      <w:r>
        <w:rPr>
          <w:rFonts w:hint="eastAsia" w:ascii="微软雅黑" w:hAnsi="微软雅黑" w:eastAsia="微软雅黑" w:cs="微软雅黑"/>
          <w:color w:val="auto"/>
          <w:kern w:val="0"/>
          <w:sz w:val="24"/>
          <w:szCs w:val="24"/>
        </w:rPr>
        <w:t>包括中标候选人投标文件中提供的所有资格证明材料原件，中标候选人投标文件及补充承诺中涉及的其他相关资料原件，以及对本项目实施可能存在风险的其他因素。</w:t>
      </w:r>
    </w:p>
    <w:p w14:paraId="5E1B4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2.招标人若发现中标候选人在投标过程中提供虚假证明文件，故意隐瞒公司不良信誉和财务状况，以及存在可能对合同圆满履行造成风险的其他因素等，则按规定取消其中标资格，监管部门依法进行处理。</w:t>
      </w:r>
    </w:p>
    <w:p w14:paraId="1ECA76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p>
    <w:p w14:paraId="05B006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3.如果中标候选人被确认不具备执行合同能力，招标人</w:t>
      </w:r>
      <w:r>
        <w:rPr>
          <w:rFonts w:hint="eastAsia" w:ascii="微软雅黑" w:hAnsi="微软雅黑" w:eastAsia="微软雅黑" w:cs="微软雅黑"/>
          <w:color w:val="auto"/>
          <w:kern w:val="0"/>
          <w:sz w:val="24"/>
          <w:szCs w:val="24"/>
          <w:lang w:val="en-US" w:eastAsia="zh-CN"/>
        </w:rPr>
        <w:t>有权取消其中标资格，并</w:t>
      </w:r>
      <w:r>
        <w:rPr>
          <w:rFonts w:hint="eastAsia" w:ascii="微软雅黑" w:hAnsi="微软雅黑" w:eastAsia="微软雅黑" w:cs="微软雅黑"/>
          <w:color w:val="auto"/>
          <w:kern w:val="0"/>
          <w:sz w:val="24"/>
          <w:szCs w:val="24"/>
        </w:rPr>
        <w:t>按同样的程序</w:t>
      </w:r>
      <w:r>
        <w:rPr>
          <w:rFonts w:hint="eastAsia" w:ascii="微软雅黑" w:hAnsi="微软雅黑" w:eastAsia="微软雅黑" w:cs="微软雅黑"/>
          <w:color w:val="auto"/>
          <w:kern w:val="0"/>
          <w:sz w:val="24"/>
          <w:szCs w:val="24"/>
          <w:lang w:eastAsia="zh-CN"/>
        </w:rPr>
        <w:t>核</w:t>
      </w:r>
      <w:r>
        <w:rPr>
          <w:rFonts w:hint="eastAsia" w:ascii="微软雅黑" w:hAnsi="微软雅黑" w:eastAsia="微软雅黑" w:cs="微软雅黑"/>
          <w:color w:val="auto"/>
          <w:kern w:val="0"/>
          <w:sz w:val="24"/>
          <w:szCs w:val="24"/>
        </w:rPr>
        <w:t>查下一个中标候选人</w:t>
      </w:r>
      <w:r>
        <w:rPr>
          <w:rFonts w:hint="eastAsia" w:ascii="微软雅黑" w:hAnsi="微软雅黑" w:eastAsia="微软雅黑" w:cs="微软雅黑"/>
          <w:color w:val="auto"/>
          <w:kern w:val="0"/>
          <w:sz w:val="24"/>
          <w:szCs w:val="24"/>
          <w:lang w:eastAsia="zh-CN"/>
        </w:rPr>
        <w:t>，</w:t>
      </w:r>
      <w:r>
        <w:rPr>
          <w:rFonts w:hint="eastAsia" w:ascii="微软雅黑" w:hAnsi="微软雅黑" w:eastAsia="微软雅黑" w:cs="微软雅黑"/>
          <w:color w:val="auto"/>
          <w:kern w:val="0"/>
          <w:sz w:val="24"/>
          <w:szCs w:val="24"/>
          <w:lang w:val="en-US" w:eastAsia="zh-CN"/>
        </w:rPr>
        <w:t>直至确认具有</w:t>
      </w:r>
      <w:r>
        <w:rPr>
          <w:rFonts w:hint="eastAsia" w:ascii="微软雅黑" w:hAnsi="微软雅黑" w:eastAsia="微软雅黑" w:cs="微软雅黑"/>
          <w:color w:val="auto"/>
          <w:kern w:val="0"/>
          <w:sz w:val="24"/>
          <w:szCs w:val="24"/>
        </w:rPr>
        <w:t>执行合同能力</w:t>
      </w:r>
      <w:r>
        <w:rPr>
          <w:rFonts w:hint="eastAsia" w:ascii="微软雅黑" w:hAnsi="微软雅黑" w:eastAsia="微软雅黑" w:cs="微软雅黑"/>
          <w:color w:val="auto"/>
          <w:kern w:val="0"/>
          <w:sz w:val="24"/>
          <w:szCs w:val="24"/>
          <w:lang w:val="en-US" w:eastAsia="zh-CN"/>
        </w:rPr>
        <w:t>的企业为止</w:t>
      </w:r>
      <w:r>
        <w:rPr>
          <w:rFonts w:hint="eastAsia" w:ascii="微软雅黑" w:hAnsi="微软雅黑" w:eastAsia="微软雅黑" w:cs="微软雅黑"/>
          <w:color w:val="auto"/>
          <w:kern w:val="0"/>
          <w:sz w:val="24"/>
          <w:szCs w:val="24"/>
        </w:rPr>
        <w:t>。</w:t>
      </w:r>
    </w:p>
    <w:p w14:paraId="13ECB6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七、签订合同</w:t>
      </w:r>
    </w:p>
    <w:p w14:paraId="3ADDA4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14:paraId="369346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2.招标人和中标人应当自中标通知书发出之日起</w:t>
      </w:r>
      <w:r>
        <w:rPr>
          <w:rFonts w:hint="eastAsia" w:ascii="微软雅黑" w:hAnsi="微软雅黑" w:eastAsia="微软雅黑" w:cs="微软雅黑"/>
          <w:color w:val="auto"/>
          <w:kern w:val="0"/>
          <w:sz w:val="24"/>
          <w:szCs w:val="24"/>
          <w:lang w:val="en-US" w:eastAsia="zh-CN"/>
        </w:rPr>
        <w:t>20</w:t>
      </w:r>
      <w:r>
        <w:rPr>
          <w:rFonts w:hint="eastAsia" w:ascii="微软雅黑" w:hAnsi="微软雅黑" w:eastAsia="微软雅黑" w:cs="微软雅黑"/>
          <w:color w:val="auto"/>
          <w:kern w:val="0"/>
          <w:sz w:val="24"/>
          <w:szCs w:val="24"/>
        </w:rPr>
        <w:t>天内，</w:t>
      </w:r>
      <w:r>
        <w:rPr>
          <w:rFonts w:hint="eastAsia" w:ascii="微软雅黑" w:hAnsi="微软雅黑" w:eastAsia="微软雅黑" w:cs="微软雅黑"/>
          <w:color w:val="auto"/>
          <w:kern w:val="0"/>
          <w:sz w:val="24"/>
          <w:szCs w:val="24"/>
          <w:lang w:eastAsia="zh-CN"/>
        </w:rPr>
        <w:t>最长不超过</w:t>
      </w:r>
      <w:r>
        <w:rPr>
          <w:rFonts w:hint="eastAsia" w:ascii="微软雅黑" w:hAnsi="微软雅黑" w:eastAsia="微软雅黑" w:cs="微软雅黑"/>
          <w:color w:val="auto"/>
          <w:kern w:val="0"/>
          <w:sz w:val="24"/>
          <w:szCs w:val="24"/>
          <w:lang w:val="en-US" w:eastAsia="zh-CN"/>
        </w:rPr>
        <w:t>30日，</w:t>
      </w:r>
      <w:r>
        <w:rPr>
          <w:rFonts w:hint="eastAsia" w:ascii="微软雅黑" w:hAnsi="微软雅黑" w:eastAsia="微软雅黑" w:cs="微软雅黑"/>
          <w:color w:val="auto"/>
          <w:kern w:val="0"/>
          <w:sz w:val="24"/>
          <w:szCs w:val="24"/>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C79DA1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3.中标人无正当理由未在规定时间内与招标人签订合同的，招标人有权建议取消其中标资格，监管部门将对其依法处理。</w:t>
      </w:r>
    </w:p>
    <w:p w14:paraId="59F204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4.招标人不得向中标人提出任何不合理的要求，作为签订合同的条件；不得与中标人私下订立背离合同实质性内容的协议。</w:t>
      </w:r>
    </w:p>
    <w:p w14:paraId="713851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 中标人因不可抗力或自身原因不能签订采购合同或者不能履行合同的，招标人可以按中标候选顺序确定新的中标人并签订合同，以此类推，或重新进行采购。</w:t>
      </w:r>
    </w:p>
    <w:p w14:paraId="220678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6. 招标人在授予合同时有权对本文件规定的货物和服务予以适当的增加或减少，但不得改变单价或其他条款和条件。合同履行中，追加采购与合同标的相同的货物或服务的，按规定报批后，签订补充合同。</w:t>
      </w:r>
    </w:p>
    <w:p w14:paraId="30520E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7.中标人应当按照合同约定履行义务，完成中标项目，不得将中标项目转让给他人。除本文件另有规定外，也不得将中标项目进行分标项给他人。</w:t>
      </w:r>
    </w:p>
    <w:p w14:paraId="623745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八、违约责任</w:t>
      </w:r>
    </w:p>
    <w:p w14:paraId="31F7B3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1.乙方未按合同约定时间供货的，乙方除不可抗力外（如洪水、地震）每延迟一次按延迟供货金额</w:t>
      </w:r>
      <w:r>
        <w:rPr>
          <w:rFonts w:hint="eastAsia" w:ascii="微软雅黑" w:hAnsi="微软雅黑" w:eastAsia="微软雅黑" w:cs="微软雅黑"/>
          <w:color w:val="auto"/>
          <w:kern w:val="0"/>
          <w:sz w:val="24"/>
          <w:szCs w:val="24"/>
          <w:u w:val="single"/>
          <w:lang w:val="en-US" w:eastAsia="zh-CN"/>
        </w:rPr>
        <w:t>100%</w:t>
      </w:r>
      <w:r>
        <w:rPr>
          <w:rFonts w:hint="eastAsia" w:ascii="微软雅黑" w:hAnsi="微软雅黑" w:eastAsia="微软雅黑" w:cs="微软雅黑"/>
          <w:color w:val="auto"/>
          <w:kern w:val="0"/>
          <w:sz w:val="24"/>
          <w:szCs w:val="24"/>
          <w:lang w:val="en-US" w:eastAsia="zh-CN"/>
        </w:rPr>
        <w:t>支付违约金，中标企业根据甲方的通知书，将违约金交到甲方指定账户，未按要求缴纳违约金的，甲方有权从履约保证金中扣除。如发生</w:t>
      </w:r>
      <w:r>
        <w:rPr>
          <w:rFonts w:hint="eastAsia" w:ascii="微软雅黑" w:hAnsi="微软雅黑" w:eastAsia="微软雅黑" w:cs="微软雅黑"/>
          <w:color w:val="auto"/>
          <w:kern w:val="0"/>
          <w:sz w:val="24"/>
          <w:szCs w:val="24"/>
          <w:u w:val="single"/>
          <w:lang w:val="en-US" w:eastAsia="zh-CN"/>
        </w:rPr>
        <w:t xml:space="preserve"> 3 </w:t>
      </w:r>
      <w:r>
        <w:rPr>
          <w:rFonts w:hint="eastAsia" w:ascii="微软雅黑" w:hAnsi="微软雅黑" w:eastAsia="微软雅黑" w:cs="微软雅黑"/>
          <w:color w:val="auto"/>
          <w:kern w:val="0"/>
          <w:sz w:val="24"/>
          <w:szCs w:val="24"/>
          <w:lang w:val="en-US" w:eastAsia="zh-CN"/>
        </w:rPr>
        <w:t>次延迟供货，甲方有权解除合同。</w:t>
      </w:r>
    </w:p>
    <w:p w14:paraId="0B86F2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2.如乙方所提供的食材经甲方进行抽检不合格的，该批次产品一律无条件退回。如果两次发现抽查不合格的，甲方有权终止合同，乙方应承担违约责任，向甲方支付已经履约总价款</w:t>
      </w:r>
      <w:r>
        <w:rPr>
          <w:rFonts w:hint="eastAsia" w:ascii="微软雅黑" w:hAnsi="微软雅黑" w:eastAsia="微软雅黑" w:cs="微软雅黑"/>
          <w:color w:val="auto"/>
          <w:kern w:val="0"/>
          <w:sz w:val="24"/>
          <w:szCs w:val="24"/>
          <w:u w:val="single"/>
          <w:lang w:val="en-US" w:eastAsia="zh-CN"/>
        </w:rPr>
        <w:t>20%</w:t>
      </w:r>
      <w:r>
        <w:rPr>
          <w:rFonts w:hint="eastAsia" w:ascii="微软雅黑" w:hAnsi="微软雅黑" w:eastAsia="微软雅黑" w:cs="微软雅黑"/>
          <w:color w:val="auto"/>
          <w:kern w:val="0"/>
          <w:sz w:val="24"/>
          <w:szCs w:val="24"/>
          <w:lang w:val="en-US" w:eastAsia="zh-CN"/>
        </w:rPr>
        <w:t>的违约金。</w:t>
      </w:r>
    </w:p>
    <w:p w14:paraId="48E5A8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3.食品供应造成师生食物中毒（一般食品安全事故及以上等级的）或其他食源性疾病等重大安全事故的，经检测是乙方配送食品原材料原因的，甲方有权单方解除本合同，乙方应当向甲方支付已供货总金额</w:t>
      </w:r>
      <w:r>
        <w:rPr>
          <w:rFonts w:hint="eastAsia" w:ascii="微软雅黑" w:hAnsi="微软雅黑" w:eastAsia="微软雅黑" w:cs="微软雅黑"/>
          <w:color w:val="auto"/>
          <w:kern w:val="0"/>
          <w:sz w:val="24"/>
          <w:szCs w:val="24"/>
          <w:u w:val="single"/>
          <w:lang w:val="en-US" w:eastAsia="zh-CN"/>
        </w:rPr>
        <w:t xml:space="preserve"> 100 %</w:t>
      </w:r>
      <w:r>
        <w:rPr>
          <w:rFonts w:hint="eastAsia" w:ascii="微软雅黑" w:hAnsi="微软雅黑" w:eastAsia="微软雅黑" w:cs="微软雅黑"/>
          <w:color w:val="auto"/>
          <w:kern w:val="0"/>
          <w:sz w:val="24"/>
          <w:szCs w:val="24"/>
          <w:lang w:val="en-US" w:eastAsia="zh-CN"/>
        </w:rPr>
        <w:t>的违约金，并追究其法律责任。</w:t>
      </w:r>
    </w:p>
    <w:p w14:paraId="35D086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4.乙方工作没有达到甲方或学校、幼儿园要求的，甲方有权向乙方提出</w:t>
      </w:r>
      <w:r>
        <w:rPr>
          <w:rFonts w:hint="eastAsia" w:ascii="微软雅黑" w:hAnsi="微软雅黑" w:eastAsia="微软雅黑" w:cs="微软雅黑"/>
          <w:color w:val="auto"/>
          <w:kern w:val="0"/>
          <w:sz w:val="24"/>
          <w:szCs w:val="24"/>
          <w:lang w:val="en-US" w:eastAsia="zh-CN"/>
        </w:rPr>
        <w:t>工作整改要求</w:t>
      </w:r>
      <w:r>
        <w:rPr>
          <w:rFonts w:hint="eastAsia" w:ascii="微软雅黑" w:hAnsi="微软雅黑" w:eastAsia="微软雅黑" w:cs="微软雅黑"/>
          <w:color w:val="auto"/>
          <w:kern w:val="0"/>
          <w:sz w:val="24"/>
          <w:szCs w:val="24"/>
          <w:lang w:val="en-US" w:eastAsia="zh-CN"/>
        </w:rPr>
        <w:t>，提高服务水平。甲方三次催告后乙方仍不予整改的，甲方有权单方解除合同，乙方应承担给甲方造成的一切损失（包括但不限于鉴定费、差旅费、诉讼费、律师费等）。</w:t>
      </w:r>
    </w:p>
    <w:p w14:paraId="6872A5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5.若乙方已做到供货及时，保质保量，诚信经营，甲方无正当理由不能在合同期内随意取消乙方的供货权。</w:t>
      </w:r>
    </w:p>
    <w:p w14:paraId="62B7D3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乙方需承担相应的经济损失和责任。</w:t>
      </w:r>
    </w:p>
    <w:p w14:paraId="20E020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7.甲方抽查验收中，现场发现存在问题食材或数量不足或品种短缺等情况，甲方有权针对现场存在的问题食材或数量不足或品种短缺等情况，要求企业缴纳500-2000元违约金，中标企业根据甲方的通知书，将违约金交到甲方指定账户，未按要求缴纳违约金的，甲方有权从履约保证金中扣除。</w:t>
      </w:r>
    </w:p>
    <w:p w14:paraId="08C669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8.在甲方</w:t>
      </w:r>
      <w:r>
        <w:rPr>
          <w:rFonts w:hint="eastAsia" w:ascii="微软雅黑" w:hAnsi="微软雅黑" w:eastAsia="微软雅黑" w:cs="微软雅黑"/>
          <w:color w:val="auto"/>
          <w:kern w:val="0"/>
          <w:sz w:val="24"/>
          <w:szCs w:val="24"/>
          <w:lang w:val="en-US" w:eastAsia="zh-CN"/>
        </w:rPr>
        <w:t>管理的</w:t>
      </w:r>
      <w:r>
        <w:rPr>
          <w:rFonts w:hint="eastAsia" w:ascii="微软雅黑" w:hAnsi="微软雅黑" w:eastAsia="微软雅黑" w:cs="微软雅黑"/>
          <w:color w:val="auto"/>
          <w:kern w:val="0"/>
          <w:sz w:val="24"/>
          <w:szCs w:val="24"/>
          <w:lang w:val="en-US" w:eastAsia="zh-CN"/>
        </w:rPr>
        <w:t>学校、幼儿园验收中，若存在问题食材或数量不足或品种短缺等问题，</w:t>
      </w:r>
      <w:r>
        <w:rPr>
          <w:rFonts w:hint="eastAsia" w:ascii="微软雅黑" w:hAnsi="微软雅黑" w:eastAsia="微软雅黑" w:cs="微软雅黑"/>
          <w:color w:val="auto"/>
          <w:kern w:val="0"/>
          <w:sz w:val="24"/>
          <w:szCs w:val="24"/>
          <w:lang w:val="en-US" w:eastAsia="zh-CN"/>
        </w:rPr>
        <w:t>甲方管理的学校、幼儿园</w:t>
      </w:r>
      <w:r>
        <w:rPr>
          <w:rFonts w:hint="eastAsia" w:ascii="微软雅黑" w:hAnsi="微软雅黑" w:eastAsia="微软雅黑" w:cs="微软雅黑"/>
          <w:color w:val="auto"/>
          <w:kern w:val="0"/>
          <w:sz w:val="24"/>
          <w:szCs w:val="24"/>
          <w:lang w:val="en-US" w:eastAsia="zh-CN"/>
        </w:rPr>
        <w:t>有权拒绝接受和签字，中标企业须2小时之内无条件补充退换和整改，对拒不补充、退换或整改的，</w:t>
      </w:r>
      <w:r>
        <w:rPr>
          <w:rFonts w:hint="eastAsia" w:ascii="微软雅黑" w:hAnsi="微软雅黑" w:eastAsia="微软雅黑" w:cs="微软雅黑"/>
          <w:color w:val="auto"/>
          <w:kern w:val="0"/>
          <w:sz w:val="24"/>
          <w:szCs w:val="24"/>
          <w:lang w:val="en-US" w:eastAsia="zh-CN"/>
        </w:rPr>
        <w:t>甲方管理的学校、幼儿园须</w:t>
      </w:r>
      <w:r>
        <w:rPr>
          <w:rFonts w:hint="eastAsia" w:ascii="微软雅黑" w:hAnsi="微软雅黑" w:eastAsia="微软雅黑" w:cs="微软雅黑"/>
          <w:color w:val="auto"/>
          <w:kern w:val="0"/>
          <w:sz w:val="24"/>
          <w:szCs w:val="24"/>
          <w:lang w:val="en-US" w:eastAsia="zh-CN"/>
        </w:rPr>
        <w:t>出具的详细书面情况说明，有权要求按应退换货款金额</w:t>
      </w:r>
      <w:r>
        <w:rPr>
          <w:rFonts w:hint="eastAsia" w:ascii="微软雅黑" w:hAnsi="微软雅黑" w:eastAsia="微软雅黑" w:cs="微软雅黑"/>
          <w:color w:val="auto"/>
          <w:kern w:val="0"/>
          <w:sz w:val="24"/>
          <w:szCs w:val="24"/>
          <w:u w:val="single"/>
          <w:lang w:val="en-US" w:eastAsia="zh-CN"/>
        </w:rPr>
        <w:t xml:space="preserve"> 100%</w:t>
      </w:r>
      <w:r>
        <w:rPr>
          <w:rFonts w:hint="eastAsia" w:ascii="微软雅黑" w:hAnsi="微软雅黑" w:eastAsia="微软雅黑" w:cs="微软雅黑"/>
          <w:color w:val="auto"/>
          <w:kern w:val="0"/>
          <w:sz w:val="24"/>
          <w:szCs w:val="24"/>
          <w:lang w:val="en-US" w:eastAsia="zh-CN"/>
        </w:rPr>
        <w:t>支付违约金，中标企业根据甲方的通知书，将违约金交到甲方指定账户，未按要求缴纳违约金的甲方有权从履约保证金中扣除。</w:t>
      </w:r>
    </w:p>
    <w:bookmarkEnd w:id="711"/>
    <w:p w14:paraId="78FA5E79">
      <w:pPr>
        <w:pStyle w:val="21"/>
        <w:rPr>
          <w:rStyle w:val="40"/>
          <w:rFonts w:ascii="微软雅黑" w:hAnsi="微软雅黑" w:eastAsia="微软雅黑" w:cs="微软雅黑"/>
          <w:color w:val="auto"/>
          <w:sz w:val="32"/>
          <w:szCs w:val="32"/>
          <w:highlight w:val="none"/>
        </w:rPr>
      </w:pPr>
    </w:p>
    <w:p w14:paraId="2214B6C8">
      <w:pPr>
        <w:pStyle w:val="21"/>
        <w:rPr>
          <w:rStyle w:val="40"/>
          <w:rFonts w:ascii="微软雅黑" w:hAnsi="微软雅黑" w:eastAsia="微软雅黑" w:cs="微软雅黑"/>
          <w:color w:val="auto"/>
          <w:sz w:val="32"/>
          <w:szCs w:val="32"/>
          <w:highlight w:val="none"/>
        </w:rPr>
      </w:pPr>
    </w:p>
    <w:p w14:paraId="50D2D3D7">
      <w:pPr>
        <w:pStyle w:val="21"/>
        <w:rPr>
          <w:rStyle w:val="40"/>
          <w:rFonts w:ascii="微软雅黑" w:hAnsi="微软雅黑" w:eastAsia="微软雅黑" w:cs="微软雅黑"/>
          <w:color w:val="auto"/>
          <w:sz w:val="32"/>
          <w:szCs w:val="32"/>
          <w:highlight w:val="none"/>
        </w:rPr>
      </w:pPr>
    </w:p>
    <w:p w14:paraId="35321777">
      <w:pPr>
        <w:pStyle w:val="21"/>
        <w:rPr>
          <w:rStyle w:val="40"/>
          <w:rFonts w:ascii="微软雅黑" w:hAnsi="微软雅黑" w:eastAsia="微软雅黑" w:cs="微软雅黑"/>
          <w:color w:val="auto"/>
          <w:sz w:val="32"/>
          <w:szCs w:val="32"/>
          <w:highlight w:val="none"/>
        </w:rPr>
      </w:pPr>
    </w:p>
    <w:p w14:paraId="7DA222B8">
      <w:pPr>
        <w:pStyle w:val="21"/>
        <w:rPr>
          <w:rStyle w:val="40"/>
          <w:rFonts w:ascii="微软雅黑" w:hAnsi="微软雅黑" w:eastAsia="微软雅黑" w:cs="微软雅黑"/>
          <w:color w:val="auto"/>
          <w:sz w:val="32"/>
          <w:szCs w:val="32"/>
          <w:highlight w:val="none"/>
        </w:rPr>
      </w:pPr>
    </w:p>
    <w:p w14:paraId="1AD7C34F">
      <w:pPr>
        <w:pStyle w:val="21"/>
        <w:rPr>
          <w:rStyle w:val="40"/>
          <w:rFonts w:ascii="微软雅黑" w:hAnsi="微软雅黑" w:eastAsia="微软雅黑" w:cs="微软雅黑"/>
          <w:color w:val="auto"/>
          <w:sz w:val="32"/>
          <w:szCs w:val="32"/>
          <w:highlight w:val="none"/>
        </w:rPr>
      </w:pPr>
    </w:p>
    <w:p w14:paraId="098A44F8">
      <w:pPr>
        <w:jc w:val="center"/>
        <w:outlineLvl w:val="0"/>
        <w:rPr>
          <w:rFonts w:ascii="微软雅黑" w:hAnsi="微软雅黑" w:eastAsia="微软雅黑" w:cs="微软雅黑"/>
          <w:color w:val="auto"/>
          <w:sz w:val="32"/>
          <w:szCs w:val="32"/>
          <w:highlight w:val="none"/>
        </w:rPr>
      </w:pPr>
      <w:bookmarkStart w:id="712" w:name="_Toc386"/>
      <w:r>
        <w:rPr>
          <w:rStyle w:val="40"/>
          <w:rFonts w:hint="eastAsia" w:ascii="微软雅黑" w:hAnsi="微软雅黑" w:eastAsia="微软雅黑" w:cs="微软雅黑"/>
          <w:color w:val="auto"/>
          <w:sz w:val="32"/>
          <w:szCs w:val="32"/>
          <w:highlight w:val="none"/>
        </w:rPr>
        <w:t>第6章  评标方法和标准</w:t>
      </w:r>
      <w:bookmarkEnd w:id="701"/>
      <w:bookmarkEnd w:id="702"/>
      <w:bookmarkEnd w:id="703"/>
      <w:bookmarkEnd w:id="704"/>
      <w:bookmarkEnd w:id="705"/>
      <w:bookmarkEnd w:id="706"/>
      <w:bookmarkEnd w:id="707"/>
      <w:bookmarkEnd w:id="708"/>
      <w:bookmarkEnd w:id="712"/>
    </w:p>
    <w:p w14:paraId="0AF5E4A5">
      <w:pPr>
        <w:pStyle w:val="11"/>
        <w:tabs>
          <w:tab w:val="clear" w:pos="567"/>
        </w:tabs>
        <w:spacing w:before="0" w:line="480" w:lineRule="exact"/>
        <w:ind w:firstLine="540" w:firstLineChars="225"/>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本项目将按照招标文件第一章供应商须知中“五 开标及评标”、“六 确定中标”及本章的规定评标。</w:t>
      </w:r>
    </w:p>
    <w:p w14:paraId="19BB78B1">
      <w:pPr>
        <w:spacing w:line="48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1、落实政府采购政策</w:t>
      </w:r>
    </w:p>
    <w:p w14:paraId="59B739DD">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b/>
          <w:bCs/>
          <w:color w:val="auto"/>
          <w:sz w:val="24"/>
          <w:szCs w:val="24"/>
          <w:highlight w:val="none"/>
        </w:rPr>
        <w:t>%后参与评审。对于同时属于小型、微型及小微企业、监狱企业或残疾人福利性单位的，不重复进行报价扣除（</w:t>
      </w:r>
      <w:r>
        <w:rPr>
          <w:rFonts w:hint="eastAsia" w:ascii="微软雅黑" w:hAnsi="微软雅黑" w:eastAsia="微软雅黑" w:cs="微软雅黑"/>
          <w:b/>
          <w:bCs/>
          <w:color w:val="auto"/>
          <w:sz w:val="24"/>
          <w:szCs w:val="24"/>
          <w:highlight w:val="none"/>
          <w:lang w:val="en-US" w:eastAsia="zh-CN"/>
        </w:rPr>
        <w:t>注：本项目为专门面向中小企业采购项目，供应商的报价不做扣除后参与评审</w:t>
      </w:r>
      <w:r>
        <w:rPr>
          <w:rFonts w:hint="eastAsia" w:ascii="微软雅黑" w:hAnsi="微软雅黑" w:eastAsia="微软雅黑" w:cs="微软雅黑"/>
          <w:b/>
          <w:bCs/>
          <w:color w:val="auto"/>
          <w:sz w:val="24"/>
          <w:szCs w:val="24"/>
          <w:highlight w:val="none"/>
        </w:rPr>
        <w:t>）。</w:t>
      </w:r>
    </w:p>
    <w:p w14:paraId="4A6B37E1">
      <w:pPr>
        <w:pStyle w:val="4"/>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②联合协议中约定，小型、微型企业和监狱企业的协议合同金额占到联合体协议合同总金额40%以上的，可给予联合体4%～6%的价格扣除。（本项目不适用）</w:t>
      </w:r>
    </w:p>
    <w:p w14:paraId="349FF07C">
      <w:pPr>
        <w:pStyle w:val="4"/>
        <w:snapToGrid w:val="0"/>
        <w:spacing w:line="480" w:lineRule="exact"/>
        <w:ind w:firstLine="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联合体各方均为小型、微型企业和监狱企业的，联合体视同为小型、微型企业和监狱企业。</w:t>
      </w:r>
    </w:p>
    <w:p w14:paraId="4FCB1520">
      <w:pPr>
        <w:pStyle w:val="4"/>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③供应商所投产品如被列入财政部与国家主管部门颁发的节能产品目录或环境标志产品目录或无线局域网产品目录，应提供相关证明，在评标时予以优先采购，具体优惠措施为：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672BA4C5">
      <w:pPr>
        <w:pStyle w:val="4"/>
        <w:snapToGrid w:val="0"/>
        <w:spacing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④如采购人所采购产品为政府强制采购的节能产品，供应商所投产品的品牌及型号必须为清单中有效期内产品并提供证明文件，否则其投标将被认定为投标无效。</w:t>
      </w:r>
    </w:p>
    <w:p w14:paraId="53962FB7">
      <w:pPr>
        <w:ind w:firstLine="480" w:firstLineChars="200"/>
        <w:rPr>
          <w:color w:val="auto"/>
          <w:highlight w:val="none"/>
        </w:rPr>
      </w:pPr>
      <w:r>
        <w:rPr>
          <w:rFonts w:hint="eastAsia" w:ascii="微软雅黑" w:hAnsi="微软雅黑" w:eastAsia="微软雅黑" w:cs="微软雅黑"/>
          <w:b/>
          <w:bCs/>
          <w:color w:val="auto"/>
          <w:sz w:val="24"/>
          <w:szCs w:val="24"/>
          <w:highlight w:val="none"/>
        </w:rPr>
        <w:t>⑤对创新产品或创新型企业的优惠措施为：</w:t>
      </w:r>
      <w:r>
        <w:rPr>
          <w:rFonts w:hint="eastAsia" w:ascii="微软雅黑" w:hAnsi="微软雅黑" w:eastAsia="微软雅黑" w:cs="微软雅黑"/>
          <w:b/>
          <w:bCs/>
          <w:color w:val="auto"/>
          <w:sz w:val="24"/>
          <w:szCs w:val="24"/>
          <w:highlight w:val="none"/>
          <w:u w:val="single"/>
        </w:rPr>
        <w:t xml:space="preserve">    / </w:t>
      </w:r>
      <w:r>
        <w:rPr>
          <w:rFonts w:hint="eastAsia" w:ascii="微软雅黑" w:hAnsi="微软雅黑" w:eastAsia="微软雅黑" w:cs="微软雅黑"/>
          <w:color w:val="auto"/>
          <w:sz w:val="24"/>
          <w:szCs w:val="24"/>
          <w:highlight w:val="none"/>
          <w:u w:val="single"/>
        </w:rPr>
        <w:t xml:space="preserve">    </w:t>
      </w:r>
    </w:p>
    <w:p w14:paraId="5D44B5EA">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 开标</w:t>
      </w:r>
    </w:p>
    <w:p w14:paraId="37A08279">
      <w:pPr>
        <w:snapToGrid w:val="0"/>
        <w:spacing w:line="480" w:lineRule="exact"/>
        <w:ind w:firstLine="480" w:firstLineChars="200"/>
        <w:rPr>
          <w:rFonts w:ascii="微软雅黑" w:hAnsi="微软雅黑" w:eastAsia="微软雅黑" w:cs="微软雅黑"/>
          <w:b/>
          <w:bCs/>
          <w:color w:val="auto"/>
          <w:sz w:val="24"/>
          <w:szCs w:val="24"/>
          <w:highlight w:val="none"/>
        </w:rPr>
      </w:pPr>
      <w:bookmarkStart w:id="713" w:name="_Toc73975822"/>
      <w:r>
        <w:rPr>
          <w:rFonts w:hint="eastAsia" w:ascii="微软雅黑" w:hAnsi="微软雅黑" w:eastAsia="微软雅黑" w:cs="微软雅黑"/>
          <w:b/>
          <w:bCs/>
          <w:color w:val="auto"/>
          <w:sz w:val="24"/>
          <w:szCs w:val="24"/>
          <w:highlight w:val="none"/>
        </w:rPr>
        <w:t>2.1开标邀请</w:t>
      </w:r>
      <w:bookmarkEnd w:id="713"/>
    </w:p>
    <w:p w14:paraId="1796F51F">
      <w:pPr>
        <w:pStyle w:val="15"/>
        <w:snapToGrid w:val="0"/>
        <w:spacing w:line="4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（1）开标准备：本项目开标的准备工作由采购组织机构负责落实，开标过程由采购组织机构负责记录；</w:t>
      </w:r>
    </w:p>
    <w:p w14:paraId="5E57FF97">
      <w:pPr>
        <w:pStyle w:val="15"/>
        <w:snapToGrid w:val="0"/>
        <w:spacing w:line="480" w:lineRule="exact"/>
        <w:ind w:firstLine="480" w:firstLineChars="200"/>
        <w:rPr>
          <w:rFonts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（2）开标主持：本项目开标由采购人或者采购代理机构主持；</w:t>
      </w:r>
    </w:p>
    <w:p w14:paraId="0E5B4B2A">
      <w:pPr>
        <w:pStyle w:val="15"/>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（3）开标邀请：本项目采用电子交易，采购组织机构将按照招标文件规定的时间通过“新疆政府采购云平台，网址：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5"/>
          <w:rFonts w:hint="eastAsia" w:ascii="微软雅黑" w:hAnsi="微软雅黑" w:eastAsia="微软雅黑" w:cs="微软雅黑"/>
          <w:color w:val="auto"/>
          <w:sz w:val="24"/>
          <w:szCs w:val="24"/>
          <w:highlight w:val="none"/>
          <w:u w:val="none"/>
        </w:rPr>
        <w:t>www.zcygov.cn</w:t>
      </w:r>
      <w:r>
        <w:rPr>
          <w:rStyle w:val="35"/>
          <w:rFonts w:hint="eastAsia" w:ascii="微软雅黑" w:hAnsi="微软雅黑" w:eastAsia="微软雅黑" w:cs="微软雅黑"/>
          <w:color w:val="auto"/>
          <w:sz w:val="24"/>
          <w:szCs w:val="24"/>
          <w:highlight w:val="none"/>
          <w:u w:val="none"/>
        </w:rPr>
        <w:fldChar w:fldCharType="end"/>
      </w:r>
      <w:r>
        <w:rPr>
          <w:rFonts w:hint="eastAsia" w:ascii="微软雅黑" w:hAnsi="微软雅黑" w:eastAsia="微软雅黑" w:cs="微软雅黑"/>
          <w:color w:val="auto"/>
          <w:sz w:val="24"/>
          <w:szCs w:val="24"/>
          <w:highlight w:val="none"/>
        </w:rPr>
        <w:t>”组织开标、开启投标文件，所有供应商均应当准时在线参加。</w:t>
      </w:r>
    </w:p>
    <w:p w14:paraId="0B68EC6B">
      <w:pPr>
        <w:pStyle w:val="15"/>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5D721E2E">
      <w:pPr>
        <w:snapToGrid w:val="0"/>
        <w:spacing w:line="480" w:lineRule="exact"/>
        <w:ind w:firstLine="480" w:firstLineChars="200"/>
        <w:rPr>
          <w:rFonts w:ascii="微软雅黑" w:hAnsi="微软雅黑" w:eastAsia="微软雅黑" w:cs="微软雅黑"/>
          <w:b/>
          <w:color w:val="auto"/>
          <w:sz w:val="24"/>
          <w:szCs w:val="24"/>
          <w:highlight w:val="none"/>
        </w:rPr>
      </w:pPr>
      <w:bookmarkStart w:id="714" w:name="_Toc73975823"/>
      <w:bookmarkStart w:id="715" w:name="_Toc27602"/>
      <w:bookmarkStart w:id="716" w:name="_Toc21384"/>
      <w:bookmarkStart w:id="717" w:name="_Toc22653"/>
      <w:bookmarkStart w:id="718" w:name="_Toc32193"/>
      <w:bookmarkStart w:id="719" w:name="_Toc19065"/>
      <w:bookmarkStart w:id="720" w:name="_Toc32017"/>
      <w:r>
        <w:rPr>
          <w:rFonts w:hint="eastAsia" w:ascii="微软雅黑" w:hAnsi="微软雅黑" w:eastAsia="微软雅黑" w:cs="微软雅黑"/>
          <w:b/>
          <w:color w:val="auto"/>
          <w:sz w:val="24"/>
          <w:szCs w:val="24"/>
          <w:highlight w:val="none"/>
        </w:rPr>
        <w:t>2.2</w:t>
      </w:r>
      <w:r>
        <w:rPr>
          <w:rFonts w:hint="eastAsia" w:ascii="微软雅黑" w:hAnsi="微软雅黑" w:eastAsia="微软雅黑" w:cs="微软雅黑"/>
          <w:b/>
          <w:bCs/>
          <w:color w:val="auto"/>
          <w:sz w:val="24"/>
          <w:szCs w:val="24"/>
          <w:highlight w:val="none"/>
        </w:rPr>
        <w:t>开标程序（先资格性、后符合性、最终报价、再商务技术）</w:t>
      </w:r>
      <w:bookmarkEnd w:id="714"/>
      <w:bookmarkEnd w:id="715"/>
      <w:bookmarkEnd w:id="716"/>
      <w:bookmarkEnd w:id="717"/>
      <w:bookmarkEnd w:id="718"/>
      <w:bookmarkEnd w:id="719"/>
      <w:bookmarkEnd w:id="720"/>
    </w:p>
    <w:p w14:paraId="7F319599">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（1）开标时间到后，主持人宣布开标会议开始。</w:t>
      </w:r>
    </w:p>
    <w:p w14:paraId="58A23C67">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kern w:val="0"/>
          <w:sz w:val="24"/>
          <w:szCs w:val="24"/>
          <w:highlight w:val="none"/>
        </w:rPr>
        <w:t>投标文件解密（</w:t>
      </w:r>
      <w:r>
        <w:rPr>
          <w:rFonts w:hint="eastAsia" w:ascii="微软雅黑" w:hAnsi="微软雅黑" w:eastAsia="微软雅黑" w:cs="微软雅黑"/>
          <w:b/>
          <w:color w:val="auto"/>
          <w:kern w:val="0"/>
          <w:sz w:val="24"/>
          <w:szCs w:val="24"/>
          <w:highlight w:val="none"/>
        </w:rPr>
        <w:t>解密规定见《供应商须知前附表》</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2DCC7F1E">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kern w:val="0"/>
          <w:sz w:val="24"/>
          <w:szCs w:val="24"/>
          <w:highlight w:val="none"/>
        </w:rPr>
        <w:t>投标文件解密异常情况处理（</w:t>
      </w:r>
      <w:r>
        <w:rPr>
          <w:rFonts w:hint="eastAsia" w:ascii="微软雅黑" w:hAnsi="微软雅黑" w:eastAsia="微软雅黑" w:cs="微软雅黑"/>
          <w:b/>
          <w:color w:val="auto"/>
          <w:kern w:val="0"/>
          <w:sz w:val="24"/>
          <w:szCs w:val="24"/>
          <w:highlight w:val="none"/>
        </w:rPr>
        <w:t>处理办法见《13、</w:t>
      </w:r>
      <w:r>
        <w:rPr>
          <w:rFonts w:hint="eastAsia" w:ascii="微软雅黑" w:hAnsi="微软雅黑" w:eastAsia="微软雅黑" w:cs="微软雅黑"/>
          <w:b/>
          <w:bCs/>
          <w:color w:val="auto"/>
          <w:sz w:val="24"/>
          <w:szCs w:val="24"/>
          <w:highlight w:val="none"/>
        </w:rPr>
        <w:t>突发情况处理</w:t>
      </w: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rPr>
        <w:t>。</w:t>
      </w:r>
    </w:p>
    <w:p w14:paraId="4D76751E">
      <w:pPr>
        <w:snapToGrid w:val="0"/>
        <w:spacing w:line="480" w:lineRule="exact"/>
        <w:ind w:firstLine="480" w:firstLineChars="2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（4）公布投标文件解密情况（投标文件成功解密的供应商名单等信息）。</w:t>
      </w:r>
    </w:p>
    <w:p w14:paraId="278642A6">
      <w:pPr>
        <w:snapToGrid w:val="0"/>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（5）开启标书信息（资格证明文件、商务技术文件）。标书信息开启后，首先由采购人或采购代理机构或评标小组成员依法对供应商的资格证明文件进行审查， 审查结束公布供应商的资格符合情况。资格审查未通过的供应商，其符合性不再进入评审。</w:t>
      </w:r>
    </w:p>
    <w:p w14:paraId="33FE5B58">
      <w:pPr>
        <w:snapToGrid w:val="0"/>
        <w:spacing w:line="480" w:lineRule="exact"/>
        <w:ind w:firstLine="480" w:firstLineChars="200"/>
        <w:jc w:val="left"/>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（6）通过资格性审查的供应商，评标小组成员依法对供应商的符合性证明文件进行审查， 审查结束公布供应商的符合性审查情况。符合性审查未获通过的供应商，其不再进入商务技术评分环节。</w:t>
      </w:r>
    </w:p>
    <w:p w14:paraId="330F59E8">
      <w:pPr>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（7）评标小组成员依法对供应商通过符合性审查投标文件进行商务技术评分。</w:t>
      </w:r>
    </w:p>
    <w:p w14:paraId="6C5A438E">
      <w:pPr>
        <w:snapToGrid w:val="0"/>
        <w:spacing w:line="480" w:lineRule="exact"/>
        <w:ind w:firstLine="480" w:firstLineChars="200"/>
        <w:jc w:val="left"/>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（8）商务技术评分结束，评标小组成员根据中小企业政策对供应商进行价格评审；</w:t>
      </w:r>
    </w:p>
    <w:p w14:paraId="4CBE814E">
      <w:pPr>
        <w:snapToGrid w:val="0"/>
        <w:spacing w:line="480" w:lineRule="exact"/>
        <w:ind w:firstLine="480" w:firstLineChars="200"/>
        <w:jc w:val="left"/>
        <w:rPr>
          <w:color w:val="auto"/>
          <w:highlight w:val="none"/>
        </w:rPr>
      </w:pPr>
      <w:r>
        <w:rPr>
          <w:rFonts w:hint="eastAsia" w:ascii="微软雅黑" w:hAnsi="微软雅黑" w:eastAsia="微软雅黑" w:cs="微软雅黑"/>
          <w:color w:val="auto"/>
          <w:kern w:val="0"/>
          <w:sz w:val="24"/>
          <w:szCs w:val="24"/>
          <w:highlight w:val="none"/>
        </w:rPr>
        <w:t>（9）评标小组成员提交推荐供应商。</w:t>
      </w:r>
    </w:p>
    <w:p w14:paraId="3DB7404C">
      <w:pPr>
        <w:snapToGrid w:val="0"/>
        <w:spacing w:line="480" w:lineRule="exact"/>
        <w:ind w:left="480"/>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特别情况说明：</w:t>
      </w:r>
    </w:p>
    <w:p w14:paraId="5B081139">
      <w:pPr>
        <w:snapToGrid w:val="0"/>
        <w:spacing w:line="48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（1）本项目采用电子交易，如遇“新疆政府采购云平台”电子化开标或评标程序调整的，按调整后程序执行。</w:t>
      </w:r>
    </w:p>
    <w:p w14:paraId="266CBB24">
      <w:pPr>
        <w:snapToGrid w:val="0"/>
        <w:spacing w:line="480" w:lineRule="exact"/>
        <w:ind w:firstLine="425" w:firstLineChars="177"/>
        <w:jc w:val="left"/>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微软雅黑" w:hAnsi="微软雅黑" w:eastAsia="微软雅黑" w:cs="微软雅黑"/>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微软雅黑" w:hAnsi="微软雅黑" w:eastAsia="微软雅黑" w:cs="微软雅黑"/>
          <w:b/>
          <w:color w:val="auto"/>
          <w:kern w:val="0"/>
          <w:sz w:val="24"/>
          <w:szCs w:val="24"/>
          <w:highlight w:val="none"/>
        </w:rPr>
        <w:t>。</w:t>
      </w:r>
    </w:p>
    <w:p w14:paraId="0F6DE97D">
      <w:pPr>
        <w:snapToGrid w:val="0"/>
        <w:spacing w:line="480" w:lineRule="exact"/>
        <w:ind w:firstLine="480" w:firstLineChars="200"/>
        <w:rPr>
          <w:rFonts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2.3 供应商资格审查：</w:t>
      </w:r>
    </w:p>
    <w:p w14:paraId="0FDDA9E2">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bCs/>
          <w:color w:val="auto"/>
          <w:kern w:val="0"/>
          <w:sz w:val="24"/>
          <w:szCs w:val="24"/>
          <w:highlight w:val="none"/>
        </w:rPr>
        <w:t>开标（标书信息开启）后，采购人或采购代理机构或</w:t>
      </w:r>
      <w:r>
        <w:rPr>
          <w:rFonts w:hint="eastAsia" w:ascii="微软雅黑" w:hAnsi="微软雅黑" w:eastAsia="微软雅黑" w:cs="微软雅黑"/>
          <w:color w:val="auto"/>
          <w:kern w:val="0"/>
          <w:sz w:val="24"/>
          <w:szCs w:val="24"/>
          <w:highlight w:val="none"/>
        </w:rPr>
        <w:t>评标小组成员</w:t>
      </w:r>
      <w:r>
        <w:rPr>
          <w:rFonts w:hint="eastAsia" w:ascii="微软雅黑" w:hAnsi="微软雅黑" w:eastAsia="微软雅黑" w:cs="微软雅黑"/>
          <w:bCs/>
          <w:color w:val="auto"/>
          <w:kern w:val="0"/>
          <w:sz w:val="24"/>
          <w:szCs w:val="24"/>
          <w:highlight w:val="none"/>
        </w:rPr>
        <w:t>首先依法对供应商的资格文件进行审查，审查各供应商的资格符合情况。</w:t>
      </w:r>
      <w:r>
        <w:rPr>
          <w:rFonts w:hint="eastAsia" w:ascii="微软雅黑" w:hAnsi="微软雅黑" w:eastAsia="微软雅黑" w:cs="微软雅黑"/>
          <w:color w:val="auto"/>
          <w:sz w:val="24"/>
          <w:szCs w:val="24"/>
          <w:highlight w:val="none"/>
        </w:rPr>
        <w:t>采购人或采购代理机构</w:t>
      </w:r>
      <w:r>
        <w:rPr>
          <w:rFonts w:hint="eastAsia" w:ascii="微软雅黑" w:hAnsi="微软雅黑" w:eastAsia="微软雅黑" w:cs="微软雅黑"/>
          <w:bCs/>
          <w:color w:val="auto"/>
          <w:kern w:val="0"/>
          <w:sz w:val="24"/>
          <w:szCs w:val="24"/>
          <w:highlight w:val="none"/>
        </w:rPr>
        <w:t>或</w:t>
      </w:r>
      <w:r>
        <w:rPr>
          <w:rFonts w:hint="eastAsia" w:ascii="微软雅黑" w:hAnsi="微软雅黑" w:eastAsia="微软雅黑" w:cs="微软雅黑"/>
          <w:color w:val="auto"/>
          <w:kern w:val="0"/>
          <w:sz w:val="24"/>
          <w:szCs w:val="24"/>
          <w:highlight w:val="none"/>
        </w:rPr>
        <w:t>评标小组成员</w:t>
      </w:r>
      <w:r>
        <w:rPr>
          <w:rFonts w:hint="eastAsia" w:ascii="微软雅黑" w:hAnsi="微软雅黑" w:eastAsia="微软雅黑" w:cs="微软雅黑"/>
          <w:color w:val="auto"/>
          <w:sz w:val="24"/>
          <w:szCs w:val="24"/>
          <w:highlight w:val="none"/>
        </w:rPr>
        <w:t>对供应商所提交的资格证明材料仅负责审核的责任。如发现供应商所提交的资格证明材料不合法或与事实不符，采购人可取消其中标（成交）资格并追究供应商的法律责任。</w:t>
      </w:r>
    </w:p>
    <w:p w14:paraId="40CA4F83">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color w:val="auto"/>
          <w:sz w:val="24"/>
          <w:szCs w:val="24"/>
          <w:highlight w:val="none"/>
        </w:rPr>
        <w:t>）供应商提交的资格证明材料无法证明其符合招标文件规定的“供应商资格要求”的，采购人或采购代理机构将对其作“资格审查不合格”处理（无效投标），并不再将其投标提交评标委员会进行后续评审。</w:t>
      </w:r>
    </w:p>
    <w:p w14:paraId="3AE5565E">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（3）供应商信用记录查询与使用：见《供应商须知前附表》。</w:t>
      </w:r>
    </w:p>
    <w:p w14:paraId="7D1CF4C7">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3、评审工作的组织</w:t>
      </w:r>
    </w:p>
    <w:p w14:paraId="1679F630">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采购人或采购代理机构负责组织本项目的评审工作，并依据《政府采购货物和服务招标投标管理办法（财政部第87号令）》第四十五条的相关规定履行职责。</w:t>
      </w:r>
    </w:p>
    <w:p w14:paraId="7AFE3190">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4、评标委员会的组建</w:t>
      </w:r>
    </w:p>
    <w:p w14:paraId="30E107CB">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4.1评标委员会由采购人或采购代理机构依法组建，成员由采购人代表和评标专家组成，成员人数为</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人或以上单数，其中评标专家不少于成员总数的三分之二。</w:t>
      </w:r>
    </w:p>
    <w:p w14:paraId="744C0D41">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w:t>
      </w:r>
      <w:r>
        <w:rPr>
          <w:rFonts w:hint="eastAsia" w:ascii="微软雅黑" w:hAnsi="微软雅黑" w:eastAsia="微软雅黑" w:cs="微软雅黑"/>
          <w:b/>
          <w:bCs/>
          <w:color w:val="auto"/>
          <w:sz w:val="24"/>
          <w:highlight w:val="none"/>
        </w:rPr>
        <w:t>按照《中华人民共和国政府采购法》《中华人民共和国政府采购法实施条例》及</w:t>
      </w:r>
      <w:r>
        <w:rPr>
          <w:rFonts w:hint="eastAsia" w:ascii="微软雅黑" w:hAnsi="微软雅黑" w:eastAsia="微软雅黑" w:cs="微软雅黑"/>
          <w:b/>
          <w:bCs/>
          <w:color w:val="auto"/>
          <w:sz w:val="22"/>
          <w:szCs w:val="22"/>
          <w:highlight w:val="none"/>
        </w:rPr>
        <w:t>本项目本级和上级财政部门的有关规定依法在政采云平台随机抽取</w:t>
      </w:r>
      <w:r>
        <w:rPr>
          <w:rFonts w:hint="eastAsia" w:ascii="微软雅黑" w:hAnsi="微软雅黑" w:eastAsia="微软雅黑" w:cs="微软雅黑"/>
          <w:b/>
          <w:bCs/>
          <w:color w:val="auto"/>
          <w:sz w:val="22"/>
          <w:szCs w:val="22"/>
          <w:highlight w:val="none"/>
          <w:lang w:val="en-US" w:eastAsia="zh-CN"/>
        </w:rPr>
        <w:t>6</w:t>
      </w:r>
      <w:r>
        <w:rPr>
          <w:rFonts w:hint="eastAsia" w:ascii="微软雅黑" w:hAnsi="微软雅黑" w:eastAsia="微软雅黑" w:cs="微软雅黑"/>
          <w:b/>
          <w:bCs/>
          <w:color w:val="auto"/>
          <w:sz w:val="24"/>
          <w:highlight w:val="none"/>
        </w:rPr>
        <w:t>人</w:t>
      </w:r>
      <w:r>
        <w:rPr>
          <w:rFonts w:hint="eastAsia" w:ascii="微软雅黑" w:hAnsi="微软雅黑" w:eastAsia="微软雅黑" w:cs="微软雅黑"/>
          <w:b/>
          <w:bCs/>
          <w:color w:val="auto"/>
          <w:sz w:val="24"/>
          <w:highlight w:val="none"/>
          <w:lang w:eastAsia="zh-CN"/>
        </w:rPr>
        <w:t>，采购人代表</w:t>
      </w:r>
      <w:r>
        <w:rPr>
          <w:rFonts w:hint="eastAsia" w:ascii="微软雅黑" w:hAnsi="微软雅黑" w:eastAsia="微软雅黑" w:cs="微软雅黑"/>
          <w:b/>
          <w:bCs/>
          <w:color w:val="auto"/>
          <w:sz w:val="24"/>
          <w:highlight w:val="none"/>
          <w:lang w:val="en-US" w:eastAsia="zh-CN"/>
        </w:rPr>
        <w:t>1人，共计7人</w:t>
      </w:r>
      <w:r>
        <w:rPr>
          <w:rFonts w:hint="eastAsia" w:ascii="微软雅黑" w:hAnsi="微软雅黑" w:eastAsia="微软雅黑" w:cs="微软雅黑"/>
          <w:b/>
          <w:bCs/>
          <w:color w:val="auto"/>
          <w:sz w:val="22"/>
          <w:szCs w:val="22"/>
          <w:highlight w:val="none"/>
        </w:rPr>
        <w:t>组成评标小组</w:t>
      </w:r>
      <w:r>
        <w:rPr>
          <w:rFonts w:hint="eastAsia" w:ascii="微软雅黑" w:hAnsi="微软雅黑" w:eastAsia="微软雅黑" w:cs="微软雅黑"/>
          <w:b/>
          <w:bCs/>
          <w:color w:val="auto"/>
          <w:sz w:val="24"/>
          <w:highlight w:val="none"/>
        </w:rPr>
        <w:t>，负责本项目的评标工作</w:t>
      </w:r>
      <w:r>
        <w:rPr>
          <w:rFonts w:hint="eastAsia" w:ascii="微软雅黑" w:hAnsi="微软雅黑" w:eastAsia="微软雅黑" w:cs="微软雅黑"/>
          <w:color w:val="auto"/>
          <w:sz w:val="24"/>
          <w:szCs w:val="24"/>
          <w:highlight w:val="none"/>
        </w:rPr>
        <w:t>。</w:t>
      </w:r>
    </w:p>
    <w:p w14:paraId="354D83C2">
      <w:pPr>
        <w:snapToGrid w:val="0"/>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5、评标委员会的职责</w:t>
      </w:r>
    </w:p>
    <w:p w14:paraId="0FD941A5">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5.1审查、评价投标文件是否符合招标文件的商务、技术等实质性要求。</w:t>
      </w:r>
    </w:p>
    <w:p w14:paraId="24F5FD4B">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5.2要求供应商对投标文件有关事项作出澄清或者说明。</w:t>
      </w:r>
    </w:p>
    <w:p w14:paraId="18D18867">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5.3对投标文件进行比较和评价。</w:t>
      </w:r>
    </w:p>
    <w:p w14:paraId="776A2EB8">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5.4确定中标候选人名单，以及根据采购人委托直接确定中标人。</w:t>
      </w:r>
    </w:p>
    <w:p w14:paraId="5556521C">
      <w:pPr>
        <w:snapToGrid w:val="0"/>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5.5向采购人、采购代理机构或者有关部门报告评标中发现的违法行为。</w:t>
      </w:r>
    </w:p>
    <w:p w14:paraId="2C8D496B">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6、评标原则</w:t>
      </w:r>
    </w:p>
    <w:p w14:paraId="08CB2BFE">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6.1评标委员会将遵循公平、公正、科学的原则，对供应商提交的投标文件进行综合评审，评标委员会按照招标文件规定的评标细则进行评分。</w:t>
      </w:r>
    </w:p>
    <w:p w14:paraId="234194F6">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6.2客观公正对待所有供应商，对所有投标评价均采用相同的程序和标准。 </w:t>
      </w:r>
    </w:p>
    <w:p w14:paraId="1311AB65">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6.3评标委员会成员对需要共同认定的事项存在争议的，按照少数服从多数的原则作出结论。持不同意见的评标委员会成员应当在评标报告上签署不同意见及理由，否则视为同意评标报告。</w:t>
      </w:r>
    </w:p>
    <w:p w14:paraId="1A8D47CA">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6F9F7FCB">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非单一产品采购项目，采购人应当根据采购项目技术构成、产品价格比重等合理确定核心产品，并在招标文件中载明。多家供应商提供的核心产品品牌相同的，按前款规定处理。</w:t>
      </w:r>
    </w:p>
    <w:p w14:paraId="5D510F3A">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7、评委纪律</w:t>
      </w:r>
    </w:p>
    <w:p w14:paraId="34EDAFD9">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1FA95635">
      <w:pPr>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7.2评标专家</w:t>
      </w:r>
      <w:r>
        <w:rPr>
          <w:rFonts w:hint="eastAsia" w:ascii="微软雅黑" w:hAnsi="微软雅黑" w:eastAsia="微软雅黑" w:cs="微软雅黑"/>
          <w:b/>
          <w:bCs/>
          <w:color w:val="auto"/>
          <w:kern w:val="0"/>
          <w:sz w:val="24"/>
          <w:szCs w:val="24"/>
          <w:highlight w:val="none"/>
        </w:rPr>
        <w:t>与供应商有下列利害关系之一的人员，应当回避</w:t>
      </w:r>
    </w:p>
    <w:p w14:paraId="14B05AA8">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1）参加采购活动前3年内与供应商存在劳动关系；</w:t>
      </w:r>
    </w:p>
    <w:p w14:paraId="7626BB05">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2）参加采购活动前3年内担任供应商的董事、监事；</w:t>
      </w:r>
    </w:p>
    <w:p w14:paraId="0ADDBFAC">
      <w:pPr>
        <w:pStyle w:val="85"/>
        <w:spacing w:line="480" w:lineRule="exact"/>
        <w:ind w:firstLine="48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　 3）参加采购活动前3年内是供应商的控股股东或者实际控制人；</w:t>
      </w:r>
    </w:p>
    <w:p w14:paraId="350036C5">
      <w:pPr>
        <w:pStyle w:val="85"/>
        <w:spacing w:line="480" w:lineRule="exact"/>
        <w:ind w:firstLine="480"/>
        <w:rPr>
          <w:color w:val="auto"/>
          <w:highlight w:val="none"/>
        </w:rPr>
      </w:pPr>
      <w:r>
        <w:rPr>
          <w:rFonts w:hint="eastAsia" w:ascii="微软雅黑" w:hAnsi="微软雅黑" w:eastAsia="微软雅黑" w:cs="微软雅黑"/>
          <w:color w:val="auto"/>
          <w:sz w:val="24"/>
          <w:szCs w:val="24"/>
          <w:highlight w:val="none"/>
        </w:rPr>
        <w:t>　 4）与供应商的法定代表人或者负责人有夫妻、直系血亲、三代以内旁系血亲或者近姻亲关系。</w:t>
      </w:r>
    </w:p>
    <w:p w14:paraId="3EF8FDCF">
      <w:pPr>
        <w:widowControl/>
        <w:spacing w:line="480" w:lineRule="exact"/>
        <w:ind w:firstLine="480" w:firstLineChars="200"/>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8、评标程序</w:t>
      </w:r>
    </w:p>
    <w:p w14:paraId="7E80E6C2">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 在评标专家中推选评标委员会组长，采购人代表不得担任评标委员会组长。</w:t>
      </w:r>
    </w:p>
    <w:p w14:paraId="19B6A74D">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6F16840">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评标专家对符合资格的供应商的投标文件的有效性、符合性、完整性和响应程度进行审查，确定是否对招标文件作出实质性响应。</w:t>
      </w:r>
    </w:p>
    <w:p w14:paraId="10B3A0D2">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8.4评标专家按招标文件规定的评审方法和评审标准，依法独立对供应商投标文件进行评估、比较，并给予评价或打分，不受任何单位和个人的干预。</w:t>
      </w:r>
    </w:p>
    <w:p w14:paraId="0EEA7416">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b/>
          <w:bCs/>
          <w:color w:val="auto"/>
          <w:kern w:val="0"/>
          <w:sz w:val="24"/>
          <w:szCs w:val="24"/>
          <w:highlight w:val="none"/>
        </w:rPr>
        <w:t>本项目采用：综合评分法，</w:t>
      </w:r>
      <w:r>
        <w:rPr>
          <w:rFonts w:hint="eastAsia" w:ascii="微软雅黑" w:hAnsi="微软雅黑" w:eastAsia="微软雅黑" w:cs="微软雅黑"/>
          <w:color w:val="auto"/>
          <w:kern w:val="0"/>
          <w:sz w:val="24"/>
          <w:szCs w:val="24"/>
          <w:highlight w:val="none"/>
        </w:rPr>
        <w:t>是指投标文件满足招标文件全部实质性要求且按评审因素的量化指标评审得分最高的供应商为成交候选供应商的评审方法。</w:t>
      </w:r>
    </w:p>
    <w:p w14:paraId="2764B7C7">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综合评分法中的价格分统一采用低价优先法计算，即满足招标文件要求且最后报价最低的供应商的价格为招标基准价，其价格分为满分。其他供应商的价格分统一按照下列公式计算：</w:t>
      </w:r>
    </w:p>
    <w:p w14:paraId="24A9AA38">
      <w:pPr>
        <w:widowControl/>
        <w:spacing w:line="480" w:lineRule="exact"/>
        <w:ind w:firstLine="48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投标报价得分=（基准价/投标报价）×</w:t>
      </w:r>
      <w:r>
        <w:rPr>
          <w:rFonts w:hint="eastAsia" w:ascii="微软雅黑" w:hAnsi="微软雅黑" w:eastAsia="微软雅黑" w:cs="微软雅黑"/>
          <w:color w:val="auto"/>
          <w:kern w:val="0"/>
          <w:sz w:val="24"/>
          <w:szCs w:val="24"/>
          <w:highlight w:val="none"/>
          <w:lang w:val="en-US" w:eastAsia="zh-CN"/>
        </w:rPr>
        <w:t>45</w:t>
      </w:r>
      <w:r>
        <w:rPr>
          <w:rFonts w:hint="eastAsia" w:ascii="微软雅黑" w:hAnsi="微软雅黑" w:eastAsia="微软雅黑" w:cs="微软雅黑"/>
          <w:color w:val="auto"/>
          <w:kern w:val="0"/>
          <w:sz w:val="24"/>
          <w:szCs w:val="24"/>
          <w:highlight w:val="none"/>
        </w:rPr>
        <w:t>%</w:t>
      </w:r>
    </w:p>
    <w:p w14:paraId="6FCC0C7C">
      <w:pPr>
        <w:widowControl/>
        <w:spacing w:line="480" w:lineRule="exact"/>
        <w:ind w:firstLine="48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项目评审过程中，不得去掉报价中的最高报价和最低报价。</w:t>
      </w:r>
    </w:p>
    <w:p w14:paraId="1CAC95DB">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B6EC1A3">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16DA3F51">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8.8 评标委员会根据评审汇总情况和招标文件规定推荐中标（成交）候选供应商排序名单。</w:t>
      </w:r>
    </w:p>
    <w:p w14:paraId="7D17B359">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8.9 起草评标报告，所有评标专家须在评标报告上签字确认，对自己的评审意见承担法律责任。 </w:t>
      </w:r>
    </w:p>
    <w:p w14:paraId="749E7A7D">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8.10 采购组织机构对评标委员会评标专家进行评价。</w:t>
      </w:r>
    </w:p>
    <w:p w14:paraId="6ACEC3A4">
      <w:pPr>
        <w:widowControl/>
        <w:spacing w:line="48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8.11修改评审结果</w:t>
      </w:r>
    </w:p>
    <w:p w14:paraId="556AAD9D">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评标结果汇总完成后，除下列情形外，任何人不得修改评标结果：</w:t>
      </w:r>
    </w:p>
    <w:p w14:paraId="63F3BD59">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（1）分值汇总计算错误的；</w:t>
      </w:r>
    </w:p>
    <w:p w14:paraId="27FA746E">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（2）分项评分超出评分标准范围的；</w:t>
      </w:r>
    </w:p>
    <w:p w14:paraId="69152CE3">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（3）评标委员会成员对客观评审因素评分不一致的；</w:t>
      </w:r>
    </w:p>
    <w:p w14:paraId="0BC3E939">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（4）经评标委员会认定评分畸高、畸低的。</w:t>
      </w:r>
    </w:p>
    <w:p w14:paraId="58A42803">
      <w:pPr>
        <w:widowControl/>
        <w:spacing w:line="480" w:lineRule="exact"/>
        <w:ind w:firstLine="240" w:firstLineChars="1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64F147">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9、澄清、说明或补正的形式</w:t>
      </w:r>
    </w:p>
    <w:p w14:paraId="1073A48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微软雅黑" w:hAnsi="微软雅黑" w:eastAsia="微软雅黑" w:cs="微软雅黑"/>
          <w:b/>
          <w:bCs/>
          <w:color w:val="auto"/>
          <w:sz w:val="24"/>
          <w:szCs w:val="24"/>
          <w:highlight w:val="none"/>
        </w:rPr>
        <w:t>供应商澄清、说明或补正时间为20分钟</w:t>
      </w:r>
      <w:r>
        <w:rPr>
          <w:rFonts w:hint="eastAsia" w:ascii="微软雅黑" w:hAnsi="微软雅黑" w:eastAsia="微软雅黑" w:cs="微软雅黑"/>
          <w:color w:val="auto"/>
          <w:sz w:val="24"/>
          <w:szCs w:val="24"/>
          <w:highlight w:val="none"/>
        </w:rPr>
        <w:t>。</w:t>
      </w:r>
    </w:p>
    <w:p w14:paraId="7B692D4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0327826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96DA546">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10、错误修正的原则</w:t>
      </w:r>
    </w:p>
    <w:p w14:paraId="1145FBF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10.1投标文件报价出现前后不一致的，除招标文件另有规定外，按照下列规定修正：</w:t>
      </w:r>
    </w:p>
    <w:p w14:paraId="1BEC664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10.2电子交易平台客户端里开标一览表录入的投标报价或优惠率与扫描上传的报价文件信息不一致的，以扫描上传的报价文件信息为准进行修正：</w:t>
      </w:r>
    </w:p>
    <w:p w14:paraId="12938296">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 投标函中表述的内容与报价表中不一致的，以报价表为准；报价表中的内容与报价明细表不一致的，以报价表为准；</w:t>
      </w:r>
    </w:p>
    <w:p w14:paraId="7B33C03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10.4投标文件中的大写金额和小写金额不一致的，以大写金额为准；</w:t>
      </w:r>
    </w:p>
    <w:p w14:paraId="7468298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10.5 单价金额小数点或者百分比有明显错位的，以开标一览表的总价为准，并修改单价；</w:t>
      </w:r>
    </w:p>
    <w:p w14:paraId="41A7417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10.6 总价金额与按单价汇总金额不一致的，以单价金额计算结果为准；</w:t>
      </w:r>
    </w:p>
    <w:p w14:paraId="58F2EB2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10.7若用文字表示的数值与用数字表示的数值不一致，以文字表示的数值为准；</w:t>
      </w:r>
    </w:p>
    <w:p w14:paraId="40FA8F3E">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10.8 如有多报（指数量超出招标文件需求）、重报（指同一货物重复报价），其投标总价在评标过程中不予调整，如其中标，其合同价按其投标单价予以调整；</w:t>
      </w:r>
    </w:p>
    <w:p w14:paraId="0035B5C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10.9对不同文字文本投标文件的解释发生异议的，以中文文本为准；</w:t>
      </w:r>
    </w:p>
    <w:p w14:paraId="45EF8A94">
      <w:pPr>
        <w:spacing w:line="480" w:lineRule="exact"/>
        <w:ind w:firstLine="240" w:firstLineChars="1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微软雅黑" w:hAnsi="微软雅黑" w:eastAsia="微软雅黑" w:cs="微软雅黑"/>
          <w:b/>
          <w:bCs/>
          <w:color w:val="auto"/>
          <w:sz w:val="24"/>
          <w:szCs w:val="24"/>
          <w:highlight w:val="none"/>
        </w:rPr>
        <w:t>修正应当采用电子标的形式，并加盖公章（电子印章）。</w:t>
      </w:r>
    </w:p>
    <w:p w14:paraId="5F1E02E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11、有下列情形之一的，投标文件按无效标处理：</w:t>
      </w:r>
    </w:p>
    <w:p w14:paraId="09325539">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 报名的供应商与参加投标的供应商发生实质性变更的且未提供有效证明的；</w:t>
      </w:r>
    </w:p>
    <w:p w14:paraId="30AF379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11.2供应商提交两份或两份以上内容不同的投标文件，未声明哪一份有效的；</w:t>
      </w:r>
    </w:p>
    <w:p w14:paraId="77DD437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 投标文件非供应商法定代表人签署的，未提供或提供无效的法定代表人授权书的；</w:t>
      </w:r>
    </w:p>
    <w:p w14:paraId="6D2DC85D">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11.4投标文件内容未按招标文件规定签字或盖章的；</w:t>
      </w:r>
    </w:p>
    <w:p w14:paraId="7AFBB54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 投标文件组成漏项或未按规定的格式编制或上传的投标文件内容不全或内容字迹模糊辨认不清的而导致评标活动无法正常进行；</w:t>
      </w:r>
    </w:p>
    <w:p w14:paraId="7162A081">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11.6供应商未按招标文件变更通知更改投标文件的；</w:t>
      </w:r>
    </w:p>
    <w:p w14:paraId="285A9ED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11.7《开标一览表》和《投标分项报价表》内容不完整且不接受修正意见或字迹不能辨认的或未提供的；</w:t>
      </w:r>
    </w:p>
    <w:p w14:paraId="6451C94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11.8标项投标报价超过招标文件规定的预算金额或最高限价；</w:t>
      </w:r>
    </w:p>
    <w:p w14:paraId="36B370C0">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11.9 因供应商原因编制错误造成经评标委员会修正后的报价达到或超过投标报价的0.5%；</w:t>
      </w:r>
    </w:p>
    <w:p w14:paraId="2561D730">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11.10供应商的报价明显低于其他通过符合性审查供应商的报价，有可能影响产品质量或者不能诚信履约的，且在规定时间内不能合理说明原因并提供证明材料的；</w:t>
      </w:r>
    </w:p>
    <w:p w14:paraId="1D30D65A">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11.11 未实质性响应招标文件中条款要求的投标文件；</w:t>
      </w:r>
    </w:p>
    <w:p w14:paraId="1F7EEC7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11.12 不符合招标范围、技术规格、技术标准的要求无法满足采购人使用要求；</w:t>
      </w:r>
    </w:p>
    <w:p w14:paraId="138AB63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11.13 投标文件附有采购人不能接受的条款；</w:t>
      </w:r>
    </w:p>
    <w:p w14:paraId="0A389A9C">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11.14 投标文件中提供了赠品或者与本项目采购无关的其他商品、服务；</w:t>
      </w:r>
    </w:p>
    <w:p w14:paraId="3225F3BD">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11.15投标文件中承诺的投标有效期少于招标文件中载明的投标有效期；</w:t>
      </w:r>
    </w:p>
    <w:p w14:paraId="0E891E3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11.16供应商串通投标，妨碍其他供应商的竞争行为，损害采购人或者其他供应商的合法权益；</w:t>
      </w:r>
    </w:p>
    <w:p w14:paraId="467CE448">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11.17违反国家及政府部门相关法律、法规、文件规定或经评标委员会认定的其他属于重大偏离；</w:t>
      </w:r>
    </w:p>
    <w:p w14:paraId="59078157">
      <w:pPr>
        <w:pStyle w:val="21"/>
        <w:ind w:firstLine="480" w:firstLineChars="200"/>
        <w:rPr>
          <w:rFonts w:eastAsia="微软雅黑"/>
          <w:color w:val="auto"/>
          <w:highlight w:val="none"/>
        </w:rPr>
      </w:pPr>
      <w:r>
        <w:rPr>
          <w:rFonts w:hint="eastAsia" w:ascii="微软雅黑" w:hAnsi="微软雅黑" w:eastAsia="微软雅黑" w:cs="微软雅黑"/>
          <w:color w:val="auto"/>
          <w:sz w:val="24"/>
          <w:szCs w:val="24"/>
          <w:highlight w:val="none"/>
        </w:rPr>
        <w:t>11.18未按招标文件要求递交投标保证金的。</w:t>
      </w:r>
    </w:p>
    <w:p w14:paraId="4821F4F0">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12、废标</w:t>
      </w:r>
    </w:p>
    <w:p w14:paraId="629BCA53">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 符合招标文件规定废标情形的；</w:t>
      </w:r>
    </w:p>
    <w:p w14:paraId="4382C9A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12.2出现影响采购公正的违法、违规行为的；</w:t>
      </w:r>
    </w:p>
    <w:p w14:paraId="5899CF7F">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12.3供应商的报价均超过了采购预算（或最高限价），采购人不能支付的；</w:t>
      </w:r>
    </w:p>
    <w:p w14:paraId="3311FD92">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12.4因重大变故，采购任务取消的。</w:t>
      </w:r>
    </w:p>
    <w:p w14:paraId="30B838AD">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13、突发情况处理</w:t>
      </w:r>
    </w:p>
    <w:p w14:paraId="57B08537">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采购过程中出现以下情形，导致电子交易平台无法正常运行，或者无法保证电子交易的公平、公正和安全时，采购组织机构可中止电子交易活动：</w:t>
      </w:r>
    </w:p>
    <w:p w14:paraId="4313B73F">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（1）电子交易平台发生故障而无法登录访问的； </w:t>
      </w:r>
    </w:p>
    <w:p w14:paraId="0AA1AE31">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（2）电子交易平台应用或数据库出现错误，不能进行正常操作的；</w:t>
      </w:r>
    </w:p>
    <w:p w14:paraId="04FB5103">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（3）电子交易平台发现严重安全漏洞，有潜在泄密危险的；</w:t>
      </w:r>
    </w:p>
    <w:p w14:paraId="002E9FE0">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（4）病毒发作导致不能进行正常操作的； </w:t>
      </w:r>
    </w:p>
    <w:p w14:paraId="080A2374">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（5）其他无法保证电子交易的公平、公正和安全的情况。</w:t>
      </w:r>
    </w:p>
    <w:p w14:paraId="4BE5FDAD">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19EDE6BE">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采购代理机构或评标小组成员因不可抗力（不可抗力包括但不限于自然灾害、断电、传播疫病等）原因造成电子交易活动无法正常运行的，将采取以下措施：</w:t>
      </w:r>
    </w:p>
    <w:p w14:paraId="35C18102">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（1）短时间内能消除不可抗力因素的，采购代理机构或评标小组成员在消除不可抗力因素后继续组织电子交易活动； </w:t>
      </w:r>
    </w:p>
    <w:p w14:paraId="7B5B37FB">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（2）长时间内无法消除不可抗力因素的，采购代理机构或评标小组成员将中止电子交易活动。中止电子交易活动的，采购人应当重新组织政府采购活动。</w:t>
      </w:r>
    </w:p>
    <w:p w14:paraId="13884001">
      <w:pPr>
        <w:pStyle w:val="11"/>
        <w:snapToGrid w:val="0"/>
        <w:spacing w:before="0" w:line="480" w:lineRule="exact"/>
        <w:ind w:firstLine="480" w:firstLineChars="200"/>
        <w:textAlignment w:val="baseline"/>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14.保密要求：</w:t>
      </w:r>
    </w:p>
    <w:p w14:paraId="3FDD002F">
      <w:pPr>
        <w:widowControl/>
        <w:spacing w:line="480" w:lineRule="exact"/>
        <w:ind w:firstLine="240" w:firstLineChars="100"/>
        <w:rPr>
          <w:rFonts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采购人、采购代理机构确保评标活动在严格保密的情况下进行。在采购结果确定前，采购人、采购代理机构对评标专家名单保密。</w:t>
      </w:r>
      <w:r>
        <w:rPr>
          <w:rFonts w:hint="eastAsia" w:ascii="微软雅黑" w:hAnsi="微软雅黑" w:eastAsia="微软雅黑" w:cs="微软雅黑"/>
          <w:color w:val="auto"/>
          <w:sz w:val="24"/>
          <w:szCs w:val="24"/>
          <w:highlight w:val="none"/>
        </w:rPr>
        <w:t>与评审工作无关的人员不得进入现场</w:t>
      </w:r>
      <w:r>
        <w:rPr>
          <w:rFonts w:hint="eastAsia" w:ascii="微软雅黑" w:hAnsi="微软雅黑" w:eastAsia="微软雅黑" w:cs="微软雅黑"/>
          <w:color w:val="auto"/>
          <w:kern w:val="0"/>
          <w:sz w:val="24"/>
          <w:szCs w:val="24"/>
          <w:highlight w:val="none"/>
        </w:rPr>
        <w:t>。有关人员须对评审情况以及在评审过程中获悉的国家秘密、商业秘密负有保密责任。</w:t>
      </w:r>
    </w:p>
    <w:p w14:paraId="01E88BF2">
      <w:pPr>
        <w:snapToGrid w:val="0"/>
        <w:spacing w:line="480" w:lineRule="exact"/>
        <w:ind w:firstLine="421"/>
        <w:rPr>
          <w:rFonts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15、 定标</w:t>
      </w:r>
    </w:p>
    <w:p w14:paraId="42BB71B6">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15.1采购结果确认（确定中标（成交）供应商）</w:t>
      </w:r>
    </w:p>
    <w:p w14:paraId="143F9A65">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采购结果确认（确定中标（成交）供应商）：本项目由采购人根据评标专家提交的《评标报告》，通过“政府采购云平台”依法确认采购结果、确定中标（成交）供应商。具体流程如下：</w:t>
      </w:r>
    </w:p>
    <w:p w14:paraId="382EF00C">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（1）采购代理机构将在评审结束后2个工作日内将评标报告送采购人，同时在政采云平台提交采购结果至采购人确认。</w:t>
      </w:r>
    </w:p>
    <w:p w14:paraId="182D8B72">
      <w:pPr>
        <w:spacing w:line="480" w:lineRule="exact"/>
        <w:ind w:firstLine="240" w:firstLineChars="1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646B4FFD">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15.2采购结果经采购人确认后2个工作日内，采购代理机构将在</w:t>
      </w:r>
      <w:r>
        <w:rPr>
          <w:rFonts w:hint="eastAsia" w:ascii="微软雅黑" w:hAnsi="微软雅黑" w:eastAsia="微软雅黑" w:cs="微软雅黑"/>
          <w:b/>
          <w:bCs/>
          <w:color w:val="auto"/>
          <w:sz w:val="24"/>
          <w:szCs w:val="24"/>
          <w:highlight w:val="none"/>
        </w:rPr>
        <w:t>新疆政府采购网（www.zjzfcg.gov.cn）上公示采购结果，中标（成交）公示期限为1个工作日。</w:t>
      </w:r>
    </w:p>
    <w:p w14:paraId="49F7C0A3">
      <w:pPr>
        <w:spacing w:line="480" w:lineRule="exact"/>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16、 中标（成交）通知书</w:t>
      </w:r>
    </w:p>
    <w:p w14:paraId="267A78D4">
      <w:pPr>
        <w:spacing w:line="480" w:lineRule="exact"/>
        <w:ind w:firstLine="480" w:firstLineChars="200"/>
        <w:jc w:val="left"/>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16.1在中标（成交）通知书发出前，采购人将中标（成交）供应商的情况在新疆政府采购网予以公示，</w:t>
      </w:r>
      <w:r>
        <w:rPr>
          <w:rFonts w:hint="eastAsia" w:ascii="微软雅黑" w:hAnsi="微软雅黑" w:eastAsia="微软雅黑" w:cs="微软雅黑"/>
          <w:b/>
          <w:bCs/>
          <w:color w:val="auto"/>
          <w:sz w:val="24"/>
          <w:szCs w:val="24"/>
          <w:highlight w:val="none"/>
        </w:rPr>
        <w:t>公示期为一个工作日。待公示期结束后，</w:t>
      </w:r>
      <w:r>
        <w:rPr>
          <w:rFonts w:hint="eastAsia" w:ascii="微软雅黑" w:hAnsi="微软雅黑" w:eastAsia="微软雅黑" w:cs="微软雅黑"/>
          <w:color w:val="auto"/>
          <w:sz w:val="24"/>
          <w:szCs w:val="24"/>
          <w:highlight w:val="none"/>
        </w:rPr>
        <w:t>采购组织机构向中标（成交）供应商发出中标（成交）通知书。</w:t>
      </w:r>
    </w:p>
    <w:p w14:paraId="42230457">
      <w:pPr>
        <w:pStyle w:val="4"/>
        <w:snapToGrid w:val="0"/>
        <w:spacing w:line="480" w:lineRule="exact"/>
        <w:ind w:firstLine="480" w:firstLineChars="200"/>
        <w:textAlignment w:val="baseline"/>
        <w:rPr>
          <w:rFonts w:ascii="微软雅黑" w:hAnsi="微软雅黑" w:eastAsia="微软雅黑" w:cs="微软雅黑"/>
          <w:color w:val="auto"/>
          <w:kern w:val="2"/>
          <w:highlight w:val="none"/>
        </w:rPr>
      </w:pPr>
      <w:r>
        <w:rPr>
          <w:rFonts w:hint="eastAsia" w:ascii="微软雅黑" w:hAnsi="微软雅黑" w:eastAsia="微软雅黑" w:cs="微软雅黑"/>
          <w:color w:val="auto"/>
          <w:kern w:val="2"/>
          <w:highlight w:val="none"/>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2DDB48DC">
      <w:pPr>
        <w:pStyle w:val="28"/>
        <w:spacing w:line="480" w:lineRule="exact"/>
        <w:rPr>
          <w:rFonts w:ascii="微软雅黑" w:hAnsi="微软雅黑" w:eastAsia="微软雅黑" w:cs="微软雅黑"/>
          <w:b/>
          <w:bCs/>
          <w:color w:val="auto"/>
          <w:kern w:val="2"/>
          <w:highlight w:val="none"/>
        </w:rPr>
      </w:pPr>
      <w:r>
        <w:rPr>
          <w:rFonts w:hint="eastAsia" w:ascii="微软雅黑" w:hAnsi="微软雅黑" w:eastAsia="微软雅黑" w:cs="微软雅黑"/>
          <w:b/>
          <w:bCs/>
          <w:color w:val="auto"/>
          <w:kern w:val="2"/>
          <w:highlight w:val="none"/>
        </w:rPr>
        <w:t>17、评标专家推荐预中标供应商的数量</w:t>
      </w:r>
      <w:r>
        <w:rPr>
          <w:rFonts w:hint="eastAsia" w:ascii="微软雅黑" w:hAnsi="微软雅黑" w:eastAsia="微软雅黑" w:cs="微软雅黑"/>
          <w:b/>
          <w:bCs/>
          <w:color w:val="auto"/>
          <w:kern w:val="2"/>
          <w:highlight w:val="none"/>
          <w:u w:val="single"/>
        </w:rPr>
        <w:t>：3</w:t>
      </w:r>
      <w:r>
        <w:rPr>
          <w:rFonts w:hint="eastAsia" w:ascii="微软雅黑" w:hAnsi="微软雅黑" w:eastAsia="微软雅黑" w:cs="微软雅黑"/>
          <w:b/>
          <w:bCs/>
          <w:color w:val="auto"/>
          <w:kern w:val="2"/>
          <w:highlight w:val="none"/>
        </w:rPr>
        <w:t xml:space="preserve">。 </w:t>
      </w:r>
    </w:p>
    <w:p w14:paraId="6B4DD9AD">
      <w:pPr>
        <w:rPr>
          <w:rFonts w:ascii="微软雅黑" w:hAnsi="微软雅黑" w:eastAsia="微软雅黑" w:cs="微软雅黑"/>
          <w:color w:val="auto"/>
          <w:sz w:val="24"/>
          <w:szCs w:val="24"/>
          <w:highlight w:val="none"/>
        </w:rPr>
      </w:pPr>
    </w:p>
    <w:p w14:paraId="0008A3EB">
      <w:pPr>
        <w:rPr>
          <w:rFonts w:ascii="微软雅黑" w:hAnsi="微软雅黑" w:eastAsia="微软雅黑" w:cs="微软雅黑"/>
          <w:color w:val="auto"/>
          <w:sz w:val="24"/>
          <w:szCs w:val="24"/>
          <w:highlight w:val="none"/>
        </w:rPr>
      </w:pPr>
    </w:p>
    <w:p w14:paraId="1FF9CCB7">
      <w:pPr>
        <w:rPr>
          <w:rFonts w:ascii="微软雅黑" w:hAnsi="微软雅黑" w:eastAsia="微软雅黑" w:cs="微软雅黑"/>
          <w:color w:val="auto"/>
          <w:sz w:val="24"/>
          <w:szCs w:val="24"/>
          <w:highlight w:val="none"/>
        </w:rPr>
      </w:pPr>
    </w:p>
    <w:p w14:paraId="4F06F614">
      <w:pPr>
        <w:rPr>
          <w:rFonts w:ascii="微软雅黑" w:hAnsi="微软雅黑" w:eastAsia="微软雅黑" w:cs="微软雅黑"/>
          <w:color w:val="auto"/>
          <w:sz w:val="24"/>
          <w:szCs w:val="24"/>
          <w:highlight w:val="none"/>
        </w:rPr>
      </w:pPr>
    </w:p>
    <w:p w14:paraId="3BF20EFD">
      <w:pPr>
        <w:rPr>
          <w:rFonts w:ascii="微软雅黑" w:hAnsi="微软雅黑" w:eastAsia="微软雅黑" w:cs="微软雅黑"/>
          <w:color w:val="auto"/>
          <w:sz w:val="24"/>
          <w:szCs w:val="24"/>
          <w:highlight w:val="none"/>
        </w:rPr>
      </w:pPr>
    </w:p>
    <w:p w14:paraId="1BA8BEB5">
      <w:pPr>
        <w:rPr>
          <w:rFonts w:ascii="微软雅黑" w:hAnsi="微软雅黑" w:eastAsia="微软雅黑" w:cs="微软雅黑"/>
          <w:b/>
          <w:bCs/>
          <w:color w:val="auto"/>
          <w:sz w:val="22"/>
          <w:szCs w:val="22"/>
          <w:highlight w:val="none"/>
        </w:rPr>
      </w:pPr>
      <w:bookmarkStart w:id="721" w:name="_Toc1126"/>
      <w:bookmarkStart w:id="722" w:name="_Toc22779"/>
      <w:bookmarkStart w:id="723" w:name="_Toc26572"/>
      <w:bookmarkStart w:id="724" w:name="_Toc12438"/>
      <w:bookmarkStart w:id="725" w:name="_Toc7251"/>
      <w:bookmarkStart w:id="726" w:name="_Toc25776"/>
      <w:bookmarkStart w:id="727" w:name="_Toc1545"/>
      <w:bookmarkStart w:id="728" w:name="_Toc14552"/>
      <w:bookmarkStart w:id="729" w:name="_Toc27829"/>
      <w:bookmarkStart w:id="730" w:name="_Toc18194"/>
      <w:bookmarkStart w:id="731" w:name="_Toc32167"/>
      <w:bookmarkStart w:id="732" w:name="_Toc13647"/>
      <w:bookmarkStart w:id="733" w:name="_Toc21250"/>
      <w:bookmarkStart w:id="734" w:name="_Toc25224"/>
      <w:bookmarkStart w:id="735" w:name="_Toc19633"/>
      <w:bookmarkStart w:id="736" w:name="_Toc28942"/>
      <w:bookmarkStart w:id="737" w:name="_Toc13711"/>
      <w:bookmarkStart w:id="738" w:name="_Toc12716"/>
      <w:bookmarkStart w:id="739" w:name="_Toc15389"/>
      <w:bookmarkStart w:id="740" w:name="_Toc3470"/>
      <w:bookmarkStart w:id="741" w:name="_Toc18687"/>
    </w:p>
    <w:p w14:paraId="7DDB2F13">
      <w:pPr>
        <w:jc w:val="center"/>
        <w:outlineLvl w:val="1"/>
        <w:rPr>
          <w:rFonts w:ascii="微软雅黑" w:hAnsi="微软雅黑" w:eastAsia="微软雅黑" w:cs="微软雅黑"/>
          <w:b/>
          <w:bCs/>
          <w:color w:val="auto"/>
          <w:sz w:val="22"/>
          <w:szCs w:val="22"/>
          <w:highlight w:val="none"/>
        </w:rPr>
      </w:pPr>
      <w:bookmarkStart w:id="742" w:name="_Toc2492"/>
      <w:r>
        <w:rPr>
          <w:rFonts w:hint="eastAsia" w:ascii="微软雅黑" w:hAnsi="微软雅黑" w:eastAsia="微软雅黑" w:cs="微软雅黑"/>
          <w:b/>
          <w:bCs/>
          <w:color w:val="auto"/>
          <w:sz w:val="22"/>
          <w:szCs w:val="22"/>
          <w:highlight w:val="none"/>
        </w:rPr>
        <w:t>初步评审—资格性审查表</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tbl>
      <w:tblPr>
        <w:tblStyle w:val="30"/>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534"/>
        <w:gridCol w:w="883"/>
        <w:gridCol w:w="833"/>
        <w:gridCol w:w="817"/>
      </w:tblGrid>
      <w:tr w14:paraId="18FA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8" w:type="dxa"/>
            <w:vMerge w:val="restart"/>
            <w:vAlign w:val="center"/>
          </w:tcPr>
          <w:p w14:paraId="0DEA819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6534" w:type="dxa"/>
            <w:vMerge w:val="restart"/>
            <w:vAlign w:val="center"/>
          </w:tcPr>
          <w:p w14:paraId="670BAF7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评审内容</w:t>
            </w:r>
          </w:p>
        </w:tc>
        <w:tc>
          <w:tcPr>
            <w:tcW w:w="2533" w:type="dxa"/>
            <w:gridSpan w:val="3"/>
            <w:vAlign w:val="center"/>
          </w:tcPr>
          <w:p w14:paraId="7A0A9B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供应商</w:t>
            </w:r>
          </w:p>
        </w:tc>
      </w:tr>
      <w:tr w14:paraId="0441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628" w:type="dxa"/>
            <w:vMerge w:val="continue"/>
            <w:vAlign w:val="center"/>
          </w:tcPr>
          <w:p w14:paraId="30571BF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6534" w:type="dxa"/>
            <w:vMerge w:val="continue"/>
            <w:vAlign w:val="center"/>
          </w:tcPr>
          <w:p w14:paraId="3B4C5FE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b/>
                <w:bCs/>
                <w:color w:val="auto"/>
                <w:sz w:val="21"/>
                <w:szCs w:val="21"/>
                <w:highlight w:val="none"/>
              </w:rPr>
            </w:pPr>
          </w:p>
        </w:tc>
        <w:tc>
          <w:tcPr>
            <w:tcW w:w="883" w:type="dxa"/>
            <w:vAlign w:val="center"/>
          </w:tcPr>
          <w:p w14:paraId="3F6EE2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4B248D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33" w:type="dxa"/>
            <w:vAlign w:val="center"/>
          </w:tcPr>
          <w:p w14:paraId="270B29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51B404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c>
          <w:tcPr>
            <w:tcW w:w="817" w:type="dxa"/>
            <w:vAlign w:val="center"/>
          </w:tcPr>
          <w:p w14:paraId="4265ED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w:t>
            </w:r>
          </w:p>
          <w:p w14:paraId="15EA07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合格</w:t>
            </w:r>
          </w:p>
        </w:tc>
      </w:tr>
      <w:tr w14:paraId="5B9A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71213A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6534" w:type="dxa"/>
            <w:vAlign w:val="center"/>
          </w:tcPr>
          <w:p w14:paraId="3189C2C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883" w:type="dxa"/>
            <w:vAlign w:val="center"/>
          </w:tcPr>
          <w:p w14:paraId="0F6CFE7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75BDD34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19CEE72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4645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44CBEB6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6534" w:type="dxa"/>
            <w:vAlign w:val="center"/>
          </w:tcPr>
          <w:p w14:paraId="67D1505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供应商为生产商的需提供有效期的《食品生产许可证》；供应商为经销商的需提供有效期《食品经营许可证》或《仅销售预包装食品备案表》；</w:t>
            </w:r>
          </w:p>
        </w:tc>
        <w:tc>
          <w:tcPr>
            <w:tcW w:w="883" w:type="dxa"/>
            <w:vAlign w:val="center"/>
          </w:tcPr>
          <w:p w14:paraId="5562886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5EDC39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21E4105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DE5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8" w:type="dxa"/>
            <w:vAlign w:val="center"/>
          </w:tcPr>
          <w:p w14:paraId="5EB32F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6534" w:type="dxa"/>
            <w:vAlign w:val="center"/>
          </w:tcPr>
          <w:p w14:paraId="3404AB1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被授权委托人参与投标提供法定代表人授权书及被授权人身份证；法人本人参与投标提供法人身份证及法人资格证明；</w:t>
            </w:r>
          </w:p>
        </w:tc>
        <w:tc>
          <w:tcPr>
            <w:tcW w:w="883" w:type="dxa"/>
            <w:vAlign w:val="center"/>
          </w:tcPr>
          <w:p w14:paraId="2D7DE1F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4D61BD6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1E73746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1345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28" w:type="dxa"/>
            <w:vAlign w:val="center"/>
          </w:tcPr>
          <w:p w14:paraId="25918E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6534" w:type="dxa"/>
            <w:vAlign w:val="center"/>
          </w:tcPr>
          <w:p w14:paraId="3FBFA1C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tc>
        <w:tc>
          <w:tcPr>
            <w:tcW w:w="883" w:type="dxa"/>
            <w:vAlign w:val="center"/>
          </w:tcPr>
          <w:p w14:paraId="150027E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8E33AC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165C8F1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EC2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28" w:type="dxa"/>
            <w:vAlign w:val="center"/>
          </w:tcPr>
          <w:p w14:paraId="0A5574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6534" w:type="dxa"/>
            <w:vAlign w:val="center"/>
          </w:tcPr>
          <w:p w14:paraId="548B41A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提供近期（投标截止日期前六个月内任意一个月）依法缴纳税收的证明材料（税务部门出具的完税凭证或缴税证明，新成立公司提供相关证明文件）</w:t>
            </w:r>
          </w:p>
        </w:tc>
        <w:tc>
          <w:tcPr>
            <w:tcW w:w="883" w:type="dxa"/>
            <w:vAlign w:val="center"/>
          </w:tcPr>
          <w:p w14:paraId="7DAA3B3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011C46D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343344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B3C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8" w:type="dxa"/>
            <w:vAlign w:val="center"/>
          </w:tcPr>
          <w:p w14:paraId="6C8B63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6534" w:type="dxa"/>
            <w:vAlign w:val="center"/>
          </w:tcPr>
          <w:p w14:paraId="4FA37E4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提供2023 年或2024年的财务审计报告与财务会计制度（新成立的公司近三个月内的银行资信证明与财务会计制度）；</w:t>
            </w:r>
          </w:p>
        </w:tc>
        <w:tc>
          <w:tcPr>
            <w:tcW w:w="883" w:type="dxa"/>
            <w:vAlign w:val="center"/>
          </w:tcPr>
          <w:p w14:paraId="15975CE3">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326F97C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E32F09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E7C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28" w:type="dxa"/>
            <w:vAlign w:val="center"/>
          </w:tcPr>
          <w:p w14:paraId="6C2B44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6534" w:type="dxa"/>
            <w:vAlign w:val="center"/>
          </w:tcPr>
          <w:p w14:paraId="10E6B67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参与政府采购活动前3年内未被列入失信、重大税收违法案件、财政部门禁止参加政府采购活动的承诺书；</w:t>
            </w:r>
          </w:p>
        </w:tc>
        <w:tc>
          <w:tcPr>
            <w:tcW w:w="883" w:type="dxa"/>
            <w:vAlign w:val="center"/>
          </w:tcPr>
          <w:p w14:paraId="5D303FB9">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11B29A9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4EBA14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083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8" w:type="dxa"/>
            <w:vAlign w:val="center"/>
          </w:tcPr>
          <w:p w14:paraId="027664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6534" w:type="dxa"/>
            <w:vAlign w:val="center"/>
          </w:tcPr>
          <w:p w14:paraId="3ED0ADEE">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提供针对本次项目的反商业贿赂承诺书；</w:t>
            </w:r>
          </w:p>
        </w:tc>
        <w:tc>
          <w:tcPr>
            <w:tcW w:w="883" w:type="dxa"/>
            <w:vAlign w:val="center"/>
          </w:tcPr>
          <w:p w14:paraId="18B7E630">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661F61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7C600F01">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64C9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628" w:type="dxa"/>
            <w:vAlign w:val="center"/>
          </w:tcPr>
          <w:p w14:paraId="127908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6534" w:type="dxa"/>
            <w:vAlign w:val="center"/>
          </w:tcPr>
          <w:p w14:paraId="5522956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883" w:type="dxa"/>
            <w:vAlign w:val="center"/>
          </w:tcPr>
          <w:p w14:paraId="6961F36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BB6442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645EAE22">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33C4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53AF9A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10</w:t>
            </w:r>
          </w:p>
        </w:tc>
        <w:tc>
          <w:tcPr>
            <w:tcW w:w="6534" w:type="dxa"/>
            <w:vAlign w:val="center"/>
          </w:tcPr>
          <w:p w14:paraId="24653FF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必须具有履行合同所必需的设备和专业技术能力</w:t>
            </w:r>
            <w:r>
              <w:rPr>
                <w:rFonts w:hint="eastAsia" w:ascii="微软雅黑" w:hAnsi="微软雅黑" w:eastAsia="微软雅黑" w:cs="微软雅黑"/>
                <w:color w:val="auto"/>
                <w:sz w:val="21"/>
                <w:szCs w:val="21"/>
                <w:highlight w:val="none"/>
                <w:lang w:val="en-US" w:eastAsia="zh-CN"/>
              </w:rPr>
              <w:t>；</w:t>
            </w:r>
          </w:p>
        </w:tc>
        <w:tc>
          <w:tcPr>
            <w:tcW w:w="883" w:type="dxa"/>
            <w:vAlign w:val="center"/>
          </w:tcPr>
          <w:p w14:paraId="172E24D6">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15154D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7588312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01A7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8" w:type="dxa"/>
            <w:vAlign w:val="center"/>
          </w:tcPr>
          <w:p w14:paraId="2421E4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11</w:t>
            </w:r>
          </w:p>
        </w:tc>
        <w:tc>
          <w:tcPr>
            <w:tcW w:w="6534" w:type="dxa"/>
            <w:vAlign w:val="center"/>
          </w:tcPr>
          <w:p w14:paraId="3313DB7A">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投标保证金有效凭证。</w:t>
            </w:r>
          </w:p>
        </w:tc>
        <w:tc>
          <w:tcPr>
            <w:tcW w:w="883" w:type="dxa"/>
            <w:vAlign w:val="center"/>
          </w:tcPr>
          <w:p w14:paraId="4BA11C0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216BF0FF">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4B508317">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r w14:paraId="2EE2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28" w:type="dxa"/>
            <w:vAlign w:val="center"/>
          </w:tcPr>
          <w:p w14:paraId="665FD5A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6534" w:type="dxa"/>
            <w:vAlign w:val="center"/>
          </w:tcPr>
          <w:p w14:paraId="5315090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结论</w:t>
            </w:r>
          </w:p>
        </w:tc>
        <w:tc>
          <w:tcPr>
            <w:tcW w:w="883" w:type="dxa"/>
            <w:vAlign w:val="center"/>
          </w:tcPr>
          <w:p w14:paraId="0BBDBDC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33" w:type="dxa"/>
            <w:vAlign w:val="center"/>
          </w:tcPr>
          <w:p w14:paraId="653FC3FB">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c>
          <w:tcPr>
            <w:tcW w:w="817" w:type="dxa"/>
            <w:vAlign w:val="center"/>
          </w:tcPr>
          <w:p w14:paraId="0F2E10BC">
            <w:pPr>
              <w:keepNext w:val="0"/>
              <w:keepLines w:val="0"/>
              <w:pageBreakBefore w:val="0"/>
              <w:widowControl w:val="0"/>
              <w:kinsoku/>
              <w:wordWrap/>
              <w:overflowPunct/>
              <w:topLinePunct w:val="0"/>
              <w:autoSpaceDE/>
              <w:autoSpaceDN/>
              <w:bidi w:val="0"/>
              <w:adjustRightInd/>
              <w:snapToGrid/>
              <w:spacing w:line="320" w:lineRule="exact"/>
              <w:textAlignment w:val="auto"/>
              <w:rPr>
                <w:rFonts w:ascii="微软雅黑" w:hAnsi="微软雅黑" w:eastAsia="微软雅黑" w:cs="微软雅黑"/>
                <w:color w:val="auto"/>
                <w:sz w:val="21"/>
                <w:szCs w:val="21"/>
                <w:highlight w:val="none"/>
              </w:rPr>
            </w:pPr>
          </w:p>
        </w:tc>
      </w:tr>
    </w:tbl>
    <w:p w14:paraId="7268C296">
      <w:pPr>
        <w:rPr>
          <w:rFonts w:ascii="微软雅黑" w:hAnsi="微软雅黑" w:eastAsia="微软雅黑" w:cs="微软雅黑"/>
          <w:color w:val="auto"/>
          <w:highlight w:val="none"/>
        </w:rPr>
      </w:pPr>
    </w:p>
    <w:p w14:paraId="4E81502F">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说明：（1）上述各项中用“合格”表示通过，“不合格”表示不通过；</w:t>
      </w:r>
    </w:p>
    <w:p w14:paraId="20EAC613">
      <w:pPr>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1EF82013">
      <w:pPr>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（3）投标文件最终合格与否，以所有评委的评审意见中少数服从多数为原则定论。</w:t>
      </w:r>
    </w:p>
    <w:p w14:paraId="463604AA">
      <w:pP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未通过资格审查的供应商不进入评标；通过资格审查的供应商少于不足三家的，不得评标。</w:t>
      </w:r>
    </w:p>
    <w:p w14:paraId="6711CFF3">
      <w:pPr>
        <w:rPr>
          <w:color w:val="auto"/>
          <w:highlight w:val="none"/>
        </w:rPr>
      </w:pPr>
    </w:p>
    <w:p w14:paraId="5EAA1409">
      <w:pPr>
        <w:pStyle w:val="4"/>
        <w:ind w:left="0" w:leftChars="0" w:firstLine="0" w:firstLineChars="0"/>
        <w:rPr>
          <w:color w:val="auto"/>
          <w:highlight w:val="none"/>
        </w:rPr>
      </w:pPr>
      <w:bookmarkStart w:id="743" w:name="_Toc29061"/>
      <w:bookmarkStart w:id="744" w:name="_Toc11822"/>
      <w:bookmarkStart w:id="745" w:name="_Toc12096"/>
      <w:bookmarkStart w:id="746" w:name="_Toc946"/>
      <w:bookmarkStart w:id="747" w:name="_Toc7343"/>
      <w:bookmarkStart w:id="748" w:name="_Toc22718"/>
      <w:bookmarkStart w:id="749" w:name="_Toc8771"/>
      <w:bookmarkStart w:id="750" w:name="_Toc14391"/>
      <w:bookmarkStart w:id="751" w:name="_Toc21232"/>
      <w:bookmarkStart w:id="752" w:name="_Toc4255"/>
      <w:bookmarkStart w:id="753" w:name="_Toc11241"/>
      <w:bookmarkStart w:id="754" w:name="_Toc19523"/>
      <w:bookmarkStart w:id="755" w:name="_Toc70"/>
      <w:bookmarkStart w:id="756" w:name="_Toc24305"/>
      <w:bookmarkStart w:id="757" w:name="_Toc8628"/>
      <w:bookmarkStart w:id="758" w:name="_Toc28345"/>
      <w:bookmarkStart w:id="759" w:name="_Toc20635"/>
      <w:bookmarkStart w:id="760" w:name="_Toc8014"/>
      <w:bookmarkStart w:id="761" w:name="_Toc11487"/>
      <w:bookmarkStart w:id="762" w:name="_Toc1293"/>
      <w:bookmarkStart w:id="763" w:name="_Toc23770"/>
    </w:p>
    <w:p w14:paraId="04A0BB34">
      <w:pPr>
        <w:pStyle w:val="5"/>
        <w:rPr>
          <w:color w:val="auto"/>
          <w:highlight w:val="none"/>
        </w:rPr>
      </w:pPr>
    </w:p>
    <w:p w14:paraId="01D0AD80">
      <w:pPr>
        <w:rPr>
          <w:color w:val="auto"/>
          <w:highlight w:val="none"/>
        </w:rPr>
      </w:pPr>
    </w:p>
    <w:p w14:paraId="06A96068">
      <w:pPr>
        <w:rPr>
          <w:color w:val="auto"/>
          <w:highlight w:val="none"/>
        </w:rPr>
      </w:pPr>
    </w:p>
    <w:p w14:paraId="12C91F17">
      <w:pPr>
        <w:rPr>
          <w:color w:val="auto"/>
          <w:highlight w:val="none"/>
        </w:rPr>
      </w:pPr>
    </w:p>
    <w:p w14:paraId="1A6D4395">
      <w:pPr>
        <w:rPr>
          <w:color w:val="auto"/>
          <w:highlight w:val="none"/>
        </w:rPr>
      </w:pPr>
    </w:p>
    <w:p w14:paraId="3839DF86">
      <w:pPr>
        <w:rPr>
          <w:color w:val="auto"/>
          <w:highlight w:val="none"/>
        </w:rPr>
      </w:pPr>
    </w:p>
    <w:p w14:paraId="12DD47C5">
      <w:pPr>
        <w:rPr>
          <w:color w:val="auto"/>
          <w:highlight w:val="none"/>
        </w:rPr>
      </w:pPr>
    </w:p>
    <w:p w14:paraId="0C52EFFF">
      <w:pPr>
        <w:rPr>
          <w:color w:val="auto"/>
          <w:highlight w:val="none"/>
        </w:rPr>
      </w:pPr>
    </w:p>
    <w:p w14:paraId="329BCE08">
      <w:pPr>
        <w:rPr>
          <w:color w:val="auto"/>
          <w:highlight w:val="none"/>
        </w:rPr>
      </w:pPr>
    </w:p>
    <w:p w14:paraId="4E435B15">
      <w:pPr>
        <w:rPr>
          <w:color w:val="auto"/>
          <w:highlight w:val="none"/>
        </w:rPr>
      </w:pPr>
    </w:p>
    <w:p w14:paraId="100CB54C">
      <w:pPr>
        <w:rPr>
          <w:color w:val="auto"/>
          <w:highlight w:val="none"/>
        </w:rPr>
      </w:pPr>
    </w:p>
    <w:p w14:paraId="30375FC5">
      <w:pPr>
        <w:rPr>
          <w:color w:val="auto"/>
          <w:highlight w:val="none"/>
        </w:rPr>
      </w:pPr>
    </w:p>
    <w:p w14:paraId="198FBD64">
      <w:pPr>
        <w:rPr>
          <w:color w:val="auto"/>
          <w:highlight w:val="none"/>
        </w:rPr>
      </w:pPr>
    </w:p>
    <w:p w14:paraId="6FBCCF58">
      <w:pPr>
        <w:rPr>
          <w:color w:val="auto"/>
          <w:highlight w:val="none"/>
        </w:rPr>
      </w:pPr>
    </w:p>
    <w:p w14:paraId="0FDE91B9">
      <w:pPr>
        <w:rPr>
          <w:color w:val="auto"/>
          <w:highlight w:val="none"/>
        </w:rPr>
      </w:pPr>
    </w:p>
    <w:p w14:paraId="245444E1">
      <w:pPr>
        <w:rPr>
          <w:color w:val="auto"/>
          <w:highlight w:val="none"/>
        </w:rPr>
      </w:pPr>
    </w:p>
    <w:p w14:paraId="0413D23B">
      <w:pPr>
        <w:rPr>
          <w:color w:val="auto"/>
          <w:highlight w:val="none"/>
        </w:rPr>
      </w:pPr>
    </w:p>
    <w:p w14:paraId="78BE363D">
      <w:pPr>
        <w:rPr>
          <w:color w:val="auto"/>
          <w:highlight w:val="none"/>
        </w:rPr>
      </w:pPr>
    </w:p>
    <w:p w14:paraId="56213347">
      <w:pPr>
        <w:rPr>
          <w:color w:val="auto"/>
          <w:highlight w:val="none"/>
        </w:rPr>
      </w:pPr>
    </w:p>
    <w:p w14:paraId="53A766DA">
      <w:pPr>
        <w:rPr>
          <w:color w:val="auto"/>
          <w:highlight w:val="none"/>
        </w:rPr>
      </w:pPr>
    </w:p>
    <w:p w14:paraId="110E4069">
      <w:pPr>
        <w:rPr>
          <w:color w:val="auto"/>
          <w:highlight w:val="none"/>
        </w:rPr>
      </w:pPr>
    </w:p>
    <w:p w14:paraId="79CC2215">
      <w:pPr>
        <w:rPr>
          <w:color w:val="auto"/>
          <w:highlight w:val="none"/>
        </w:rPr>
      </w:pPr>
    </w:p>
    <w:p w14:paraId="0B208E35">
      <w:pPr>
        <w:rPr>
          <w:color w:val="auto"/>
          <w:highlight w:val="none"/>
        </w:rPr>
      </w:pPr>
    </w:p>
    <w:p w14:paraId="744FB144">
      <w:pPr>
        <w:rPr>
          <w:color w:val="auto"/>
          <w:highlight w:val="none"/>
        </w:rPr>
      </w:pPr>
    </w:p>
    <w:p w14:paraId="770A0389">
      <w:pPr>
        <w:rPr>
          <w:color w:val="auto"/>
          <w:highlight w:val="none"/>
        </w:rPr>
      </w:pPr>
    </w:p>
    <w:p w14:paraId="738B8037">
      <w:pPr>
        <w:rPr>
          <w:color w:val="auto"/>
          <w:highlight w:val="none"/>
        </w:rPr>
      </w:pPr>
    </w:p>
    <w:p w14:paraId="79C79563">
      <w:pPr>
        <w:rPr>
          <w:color w:val="auto"/>
          <w:highlight w:val="none"/>
        </w:rPr>
      </w:pPr>
    </w:p>
    <w:p w14:paraId="2C322A40">
      <w:pPr>
        <w:rPr>
          <w:color w:val="auto"/>
          <w:highlight w:val="none"/>
        </w:rPr>
      </w:pPr>
    </w:p>
    <w:p w14:paraId="4EAFFBB3">
      <w:pPr>
        <w:rPr>
          <w:color w:val="auto"/>
          <w:highlight w:val="none"/>
        </w:rPr>
      </w:pPr>
    </w:p>
    <w:p w14:paraId="61E9A96E">
      <w:pPr>
        <w:rPr>
          <w:color w:val="auto"/>
          <w:highlight w:val="none"/>
        </w:rPr>
      </w:pPr>
    </w:p>
    <w:p w14:paraId="6FF7D64F">
      <w:pPr>
        <w:rPr>
          <w:color w:val="auto"/>
          <w:highlight w:val="none"/>
        </w:rPr>
      </w:pPr>
    </w:p>
    <w:p w14:paraId="1C20A60E">
      <w:pPr>
        <w:rPr>
          <w:color w:val="auto"/>
          <w:highlight w:val="none"/>
        </w:rPr>
      </w:pPr>
    </w:p>
    <w:p w14:paraId="491F4C68">
      <w:pPr>
        <w:rPr>
          <w:color w:val="auto"/>
          <w:highlight w:val="none"/>
        </w:rPr>
      </w:pPr>
    </w:p>
    <w:p w14:paraId="71C95BDF">
      <w:pPr>
        <w:rPr>
          <w:color w:val="auto"/>
          <w:highlight w:val="none"/>
        </w:rPr>
      </w:pPr>
    </w:p>
    <w:p w14:paraId="7715A8C1">
      <w:pPr>
        <w:rPr>
          <w:color w:val="auto"/>
          <w:highlight w:val="none"/>
        </w:rPr>
      </w:pPr>
    </w:p>
    <w:p w14:paraId="752F5F4F">
      <w:pPr>
        <w:rPr>
          <w:color w:val="auto"/>
          <w:highlight w:val="none"/>
        </w:rPr>
      </w:pPr>
    </w:p>
    <w:p w14:paraId="548BF7B4">
      <w:pPr>
        <w:rPr>
          <w:color w:val="auto"/>
          <w:highlight w:val="none"/>
        </w:rPr>
      </w:pPr>
    </w:p>
    <w:p w14:paraId="10696E15">
      <w:pPr>
        <w:rPr>
          <w:color w:val="auto"/>
          <w:highlight w:val="none"/>
        </w:rPr>
      </w:pPr>
    </w:p>
    <w:p w14:paraId="59742F36">
      <w:pPr>
        <w:rPr>
          <w:color w:val="auto"/>
          <w:highlight w:val="none"/>
        </w:rPr>
      </w:pPr>
    </w:p>
    <w:p w14:paraId="7590C617">
      <w:pPr>
        <w:rPr>
          <w:color w:val="auto"/>
          <w:highlight w:val="none"/>
        </w:rPr>
      </w:pPr>
    </w:p>
    <w:p w14:paraId="270076F3">
      <w:pPr>
        <w:rPr>
          <w:color w:val="auto"/>
          <w:highlight w:val="none"/>
        </w:rPr>
      </w:pPr>
    </w:p>
    <w:p w14:paraId="1AAC986A">
      <w:pPr>
        <w:rPr>
          <w:color w:val="auto"/>
          <w:highlight w:val="none"/>
        </w:rPr>
      </w:pPr>
    </w:p>
    <w:p w14:paraId="2EC5F2E9">
      <w:pPr>
        <w:rPr>
          <w:color w:val="auto"/>
          <w:highlight w:val="none"/>
        </w:rPr>
      </w:pPr>
    </w:p>
    <w:p w14:paraId="15E34650">
      <w:pPr>
        <w:rPr>
          <w:color w:val="auto"/>
          <w:highlight w:val="none"/>
        </w:rPr>
      </w:pPr>
    </w:p>
    <w:p w14:paraId="06931C6F">
      <w:pPr>
        <w:rPr>
          <w:color w:val="auto"/>
          <w:highlight w:val="none"/>
        </w:rPr>
      </w:pPr>
    </w:p>
    <w:p w14:paraId="6E306E78">
      <w:pPr>
        <w:pStyle w:val="4"/>
        <w:spacing w:line="480" w:lineRule="exact"/>
        <w:ind w:firstLine="0"/>
        <w:jc w:val="center"/>
        <w:outlineLvl w:val="1"/>
        <w:rPr>
          <w:rFonts w:ascii="微软雅黑" w:hAnsi="微软雅黑" w:eastAsia="微软雅黑" w:cs="微软雅黑"/>
          <w:b/>
          <w:bCs/>
          <w:color w:val="auto"/>
          <w:sz w:val="21"/>
          <w:szCs w:val="21"/>
          <w:highlight w:val="none"/>
        </w:rPr>
      </w:pPr>
      <w:bookmarkStart w:id="764" w:name="_Toc2816"/>
      <w:r>
        <w:rPr>
          <w:rFonts w:hint="eastAsia" w:ascii="微软雅黑" w:hAnsi="微软雅黑" w:eastAsia="微软雅黑" w:cs="微软雅黑"/>
          <w:b/>
          <w:bCs/>
          <w:color w:val="auto"/>
          <w:sz w:val="21"/>
          <w:szCs w:val="21"/>
          <w:highlight w:val="none"/>
        </w:rPr>
        <w:t>初步评审—符合性审查表</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tbl>
      <w:tblPr>
        <w:tblStyle w:val="30"/>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07AE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38F59CB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评审内容</w:t>
            </w:r>
          </w:p>
        </w:tc>
        <w:tc>
          <w:tcPr>
            <w:tcW w:w="1637" w:type="dxa"/>
            <w:vAlign w:val="center"/>
          </w:tcPr>
          <w:p w14:paraId="08A413C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b/>
                <w:bCs/>
                <w:color w:val="auto"/>
                <w:sz w:val="22"/>
                <w:szCs w:val="22"/>
                <w:highlight w:val="none"/>
              </w:rPr>
              <w:t>评审意见</w:t>
            </w:r>
          </w:p>
        </w:tc>
      </w:tr>
      <w:tr w14:paraId="2F11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35E66CB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序号</w:t>
            </w:r>
          </w:p>
        </w:tc>
        <w:tc>
          <w:tcPr>
            <w:tcW w:w="6755" w:type="dxa"/>
            <w:vAlign w:val="center"/>
          </w:tcPr>
          <w:p w14:paraId="6471F880">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c>
          <w:tcPr>
            <w:tcW w:w="1637" w:type="dxa"/>
            <w:vAlign w:val="center"/>
          </w:tcPr>
          <w:p w14:paraId="16F248E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是否合格</w:t>
            </w:r>
          </w:p>
        </w:tc>
      </w:tr>
      <w:tr w14:paraId="2469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282291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p>
        </w:tc>
        <w:tc>
          <w:tcPr>
            <w:tcW w:w="6755" w:type="dxa"/>
            <w:vAlign w:val="center"/>
          </w:tcPr>
          <w:p w14:paraId="20A2C85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各供应商投标报价</w:t>
            </w:r>
            <w:r>
              <w:rPr>
                <w:rFonts w:hint="eastAsia" w:ascii="微软雅黑" w:hAnsi="微软雅黑" w:eastAsia="微软雅黑" w:cs="微软雅黑"/>
                <w:color w:val="auto"/>
                <w:spacing w:val="-2"/>
                <w:sz w:val="22"/>
                <w:szCs w:val="22"/>
                <w:highlight w:val="none"/>
                <w:lang w:val="en-US" w:eastAsia="zh-CN"/>
              </w:rPr>
              <w:t>满足采购文件要求</w:t>
            </w:r>
            <w:r>
              <w:rPr>
                <w:rFonts w:hint="eastAsia" w:ascii="微软雅黑" w:hAnsi="微软雅黑" w:eastAsia="微软雅黑" w:cs="微软雅黑"/>
                <w:color w:val="auto"/>
                <w:spacing w:val="-2"/>
                <w:sz w:val="22"/>
                <w:szCs w:val="22"/>
                <w:highlight w:val="none"/>
                <w:lang w:eastAsia="zh-CN"/>
              </w:rPr>
              <w:t>（</w:t>
            </w:r>
            <w:r>
              <w:rPr>
                <w:rFonts w:hint="eastAsia" w:ascii="微软雅黑" w:hAnsi="微软雅黑" w:eastAsia="微软雅黑" w:cs="微软雅黑"/>
                <w:color w:val="auto"/>
                <w:spacing w:val="-2"/>
                <w:sz w:val="22"/>
                <w:szCs w:val="22"/>
                <w:highlight w:val="none"/>
                <w:lang w:val="en-US" w:eastAsia="zh-CN"/>
              </w:rPr>
              <w:t>各项标的的单价和总价均未超过预算金额</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F964BB1">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F05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44F2AF4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p>
        </w:tc>
        <w:tc>
          <w:tcPr>
            <w:tcW w:w="6755" w:type="dxa"/>
            <w:vAlign w:val="center"/>
          </w:tcPr>
          <w:p w14:paraId="7507300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评标委员会认为供应商的报价无明显低于其他通过符合性审查供应商的报价的，供应商的报价不存在异常一致并成规律性的，其报价合理</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275D086">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2803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37AAE8D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w:t>
            </w:r>
          </w:p>
        </w:tc>
        <w:tc>
          <w:tcPr>
            <w:tcW w:w="6755" w:type="dxa"/>
            <w:vAlign w:val="center"/>
          </w:tcPr>
          <w:p w14:paraId="44EF704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sz w:val="22"/>
                <w:szCs w:val="22"/>
                <w:highlight w:val="none"/>
                <w:lang w:eastAsia="zh-CN"/>
              </w:rPr>
            </w:pPr>
            <w:r>
              <w:rPr>
                <w:rFonts w:hint="eastAsia" w:ascii="微软雅黑" w:hAnsi="微软雅黑" w:eastAsia="微软雅黑" w:cs="微软雅黑"/>
                <w:color w:val="auto"/>
                <w:spacing w:val="-2"/>
                <w:sz w:val="22"/>
                <w:szCs w:val="22"/>
                <w:highlight w:val="none"/>
              </w:rPr>
              <w:t>投标文件按照招标文件的规定编制、标记及签署盖章的，法定代表人或其授权代表签字（章）和加盖供应商公章的（所上传投标文件的印章和签字不能为复印件）</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1BE3857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E7F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5FD82E2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4</w:t>
            </w:r>
          </w:p>
        </w:tc>
        <w:tc>
          <w:tcPr>
            <w:tcW w:w="6755" w:type="dxa"/>
            <w:vAlign w:val="center"/>
          </w:tcPr>
          <w:p w14:paraId="3B992E0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投标文件的分项报价中货物品种、数量满足招标文件要求。</w:t>
            </w:r>
          </w:p>
        </w:tc>
        <w:tc>
          <w:tcPr>
            <w:tcW w:w="1637" w:type="dxa"/>
            <w:vAlign w:val="center"/>
          </w:tcPr>
          <w:p w14:paraId="409BF259">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6965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6E357E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rPr>
              <w:t>5</w:t>
            </w:r>
          </w:p>
        </w:tc>
        <w:tc>
          <w:tcPr>
            <w:tcW w:w="6755" w:type="dxa"/>
            <w:vAlign w:val="center"/>
          </w:tcPr>
          <w:p w14:paraId="726D737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按招标文件格式提供分表报价表，分项报价表内容无缺失。</w:t>
            </w:r>
          </w:p>
        </w:tc>
        <w:tc>
          <w:tcPr>
            <w:tcW w:w="1637" w:type="dxa"/>
            <w:vAlign w:val="center"/>
          </w:tcPr>
          <w:p w14:paraId="6827C1DF">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16DF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D15F17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w:t>
            </w:r>
          </w:p>
        </w:tc>
        <w:tc>
          <w:tcPr>
            <w:tcW w:w="6755" w:type="dxa"/>
            <w:vAlign w:val="center"/>
          </w:tcPr>
          <w:p w14:paraId="20ABCF3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按招标文件要求提供中标后在项目所在地成立仓库完成该项目履约承诺书。</w:t>
            </w:r>
          </w:p>
        </w:tc>
        <w:tc>
          <w:tcPr>
            <w:tcW w:w="1637" w:type="dxa"/>
            <w:vAlign w:val="center"/>
          </w:tcPr>
          <w:p w14:paraId="6120DAA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2949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067C4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7</w:t>
            </w:r>
          </w:p>
        </w:tc>
        <w:tc>
          <w:tcPr>
            <w:tcW w:w="6755" w:type="dxa"/>
            <w:vAlign w:val="center"/>
          </w:tcPr>
          <w:p w14:paraId="5A94D70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微软雅黑" w:hAnsi="微软雅黑" w:eastAsia="微软雅黑" w:cs="微软雅黑"/>
                <w:color w:val="auto"/>
                <w:spacing w:val="-2"/>
                <w:sz w:val="22"/>
                <w:szCs w:val="22"/>
                <w:highlight w:val="none"/>
                <w:lang w:val="en-US" w:eastAsia="zh-CN"/>
              </w:rPr>
            </w:pPr>
            <w:r>
              <w:rPr>
                <w:rFonts w:hint="eastAsia" w:ascii="微软雅黑" w:hAnsi="微软雅黑" w:eastAsia="微软雅黑" w:cs="微软雅黑"/>
                <w:color w:val="auto"/>
                <w:spacing w:val="-2"/>
                <w:sz w:val="22"/>
                <w:szCs w:val="22"/>
                <w:highlight w:val="none"/>
                <w:lang w:val="en-US" w:eastAsia="zh-CN"/>
              </w:rPr>
              <w:t>按招标文件要求提供近三年内无因食品安全问题行政处罚的承诺书。</w:t>
            </w:r>
          </w:p>
        </w:tc>
        <w:tc>
          <w:tcPr>
            <w:tcW w:w="1637" w:type="dxa"/>
            <w:vAlign w:val="center"/>
          </w:tcPr>
          <w:p w14:paraId="28E9D706">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5F8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0C2FE8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8</w:t>
            </w:r>
          </w:p>
        </w:tc>
        <w:tc>
          <w:tcPr>
            <w:tcW w:w="6755" w:type="dxa"/>
            <w:shd w:val="clear" w:color="auto" w:fill="auto"/>
            <w:vAlign w:val="center"/>
          </w:tcPr>
          <w:p w14:paraId="24F9D3E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按招标文件规定的格式填写，内容齐全</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55E06584">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007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7C716A0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auto"/>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9</w:t>
            </w:r>
          </w:p>
        </w:tc>
        <w:tc>
          <w:tcPr>
            <w:tcW w:w="6755" w:type="dxa"/>
            <w:shd w:val="clear" w:color="auto" w:fill="auto"/>
            <w:vAlign w:val="center"/>
          </w:tcPr>
          <w:p w14:paraId="6874F6A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lang w:val="en-US" w:eastAsia="zh-CN"/>
              </w:rPr>
              <w:t>投标文件中</w:t>
            </w:r>
            <w:r>
              <w:rPr>
                <w:rFonts w:hint="eastAsia" w:ascii="微软雅黑" w:hAnsi="微软雅黑" w:eastAsia="微软雅黑" w:cs="微软雅黑"/>
                <w:color w:val="auto"/>
                <w:spacing w:val="-2"/>
                <w:sz w:val="22"/>
                <w:szCs w:val="22"/>
                <w:highlight w:val="none"/>
              </w:rPr>
              <w:t>没有采购人不能接受的附加条件的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3BF154D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7375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467C2B8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z w:val="22"/>
                <w:szCs w:val="22"/>
                <w:highlight w:val="none"/>
                <w:lang w:val="en-US" w:eastAsia="zh-CN"/>
              </w:rPr>
              <w:t>10</w:t>
            </w:r>
          </w:p>
        </w:tc>
        <w:tc>
          <w:tcPr>
            <w:tcW w:w="6755" w:type="dxa"/>
            <w:shd w:val="clear" w:color="auto" w:fill="auto"/>
            <w:vAlign w:val="center"/>
          </w:tcPr>
          <w:p w14:paraId="365116FF">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符合招标文件中规定的其他实质性要求</w:t>
            </w:r>
            <w:r>
              <w:rPr>
                <w:rFonts w:hint="eastAsia" w:ascii="微软雅黑" w:hAnsi="微软雅黑" w:eastAsia="微软雅黑" w:cs="微软雅黑"/>
                <w:color w:val="auto"/>
                <w:spacing w:val="-2"/>
                <w:sz w:val="22"/>
                <w:szCs w:val="22"/>
                <w:highlight w:val="none"/>
                <w:lang w:eastAsia="zh-CN"/>
              </w:rPr>
              <w:t>（</w:t>
            </w:r>
            <w:r>
              <w:rPr>
                <w:rFonts w:hint="eastAsia" w:ascii="微软雅黑" w:hAnsi="微软雅黑" w:eastAsia="微软雅黑" w:cs="微软雅黑"/>
                <w:color w:val="auto"/>
                <w:spacing w:val="-2"/>
                <w:sz w:val="22"/>
                <w:szCs w:val="22"/>
                <w:highlight w:val="none"/>
                <w:lang w:val="en-US" w:eastAsia="zh-CN"/>
              </w:rPr>
              <w:t>供货期限及地点、车辆要求、人员要求、送货要求、履约保证金要求等</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68F4228A">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05B9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shd w:val="clear" w:color="auto" w:fill="auto"/>
            <w:vAlign w:val="center"/>
          </w:tcPr>
          <w:p w14:paraId="090B5C3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lang w:val="en-US" w:eastAsia="zh-CN"/>
              </w:rPr>
              <w:t>11</w:t>
            </w:r>
          </w:p>
        </w:tc>
        <w:tc>
          <w:tcPr>
            <w:tcW w:w="6755" w:type="dxa"/>
            <w:shd w:val="clear" w:color="auto" w:fill="auto"/>
            <w:vAlign w:val="center"/>
          </w:tcPr>
          <w:p w14:paraId="246CB114">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不同供应商的投标文件没有错漏一致的情况</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472DADD2">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4E9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04EEDAA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kern w:val="2"/>
                <w:sz w:val="22"/>
                <w:szCs w:val="22"/>
                <w:highlight w:val="none"/>
                <w:lang w:val="en-US" w:eastAsia="zh-CN" w:bidi="ar-SA"/>
              </w:rPr>
              <w:t>12</w:t>
            </w:r>
          </w:p>
        </w:tc>
        <w:tc>
          <w:tcPr>
            <w:tcW w:w="6755" w:type="dxa"/>
            <w:shd w:val="clear" w:color="auto" w:fill="auto"/>
            <w:vAlign w:val="center"/>
          </w:tcPr>
          <w:p w14:paraId="491AE577">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微软雅黑" w:hAnsi="微软雅黑" w:eastAsia="微软雅黑" w:cs="微软雅黑"/>
                <w:color w:val="auto"/>
                <w:spacing w:val="-2"/>
                <w:kern w:val="2"/>
                <w:sz w:val="22"/>
                <w:szCs w:val="22"/>
                <w:highlight w:val="none"/>
                <w:lang w:val="en-US" w:eastAsia="zh-CN" w:bidi="ar-SA"/>
              </w:rPr>
            </w:pPr>
            <w:r>
              <w:rPr>
                <w:rFonts w:hint="eastAsia" w:ascii="微软雅黑" w:hAnsi="微软雅黑" w:eastAsia="微软雅黑" w:cs="微软雅黑"/>
                <w:color w:val="auto"/>
                <w:spacing w:val="-2"/>
                <w:sz w:val="22"/>
                <w:szCs w:val="22"/>
                <w:highlight w:val="none"/>
              </w:rPr>
              <w:t>供应商附有详细地址、联系人、电话标明的</w:t>
            </w:r>
            <w:r>
              <w:rPr>
                <w:rFonts w:hint="eastAsia" w:ascii="微软雅黑" w:hAnsi="微软雅黑" w:eastAsia="微软雅黑" w:cs="微软雅黑"/>
                <w:color w:val="auto"/>
                <w:spacing w:val="-2"/>
                <w:sz w:val="22"/>
                <w:szCs w:val="22"/>
                <w:highlight w:val="none"/>
                <w:lang w:eastAsia="zh-CN"/>
              </w:rPr>
              <w:t>。</w:t>
            </w:r>
          </w:p>
        </w:tc>
        <w:tc>
          <w:tcPr>
            <w:tcW w:w="1637" w:type="dxa"/>
            <w:vAlign w:val="center"/>
          </w:tcPr>
          <w:p w14:paraId="785CE445">
            <w:pPr>
              <w:keepNext w:val="0"/>
              <w:keepLines w:val="0"/>
              <w:pageBreakBefore w:val="0"/>
              <w:widowControl w:val="0"/>
              <w:kinsoku/>
              <w:wordWrap/>
              <w:overflowPunct/>
              <w:topLinePunct w:val="0"/>
              <w:autoSpaceDE/>
              <w:autoSpaceDN/>
              <w:bidi w:val="0"/>
              <w:adjustRightInd/>
              <w:snapToGrid/>
              <w:spacing w:line="420" w:lineRule="exact"/>
              <w:textAlignment w:val="auto"/>
              <w:rPr>
                <w:rFonts w:ascii="微软雅黑" w:hAnsi="微软雅黑" w:eastAsia="微软雅黑" w:cs="微软雅黑"/>
                <w:color w:val="auto"/>
                <w:spacing w:val="-2"/>
                <w:sz w:val="22"/>
                <w:szCs w:val="22"/>
                <w:highlight w:val="none"/>
              </w:rPr>
            </w:pPr>
          </w:p>
        </w:tc>
      </w:tr>
      <w:tr w14:paraId="6558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4F474AB4">
            <w:pPr>
              <w:keepNext w:val="0"/>
              <w:keepLines w:val="0"/>
              <w:pageBreakBefore w:val="0"/>
              <w:widowControl w:val="0"/>
              <w:kinsoku/>
              <w:wordWrap/>
              <w:overflowPunct/>
              <w:topLinePunct w:val="0"/>
              <w:autoSpaceDE/>
              <w:autoSpaceDN/>
              <w:bidi w:val="0"/>
              <w:adjustRightInd/>
              <w:snapToGrid/>
              <w:spacing w:line="420" w:lineRule="exact"/>
              <w:ind w:firstLine="388" w:firstLineChars="180"/>
              <w:textAlignment w:val="auto"/>
              <w:rPr>
                <w:rFonts w:ascii="微软雅黑" w:hAnsi="微软雅黑" w:eastAsia="微软雅黑" w:cs="微软雅黑"/>
                <w:color w:val="auto"/>
                <w:spacing w:val="-2"/>
                <w:sz w:val="22"/>
                <w:szCs w:val="22"/>
                <w:highlight w:val="none"/>
              </w:rPr>
            </w:pPr>
            <w:r>
              <w:rPr>
                <w:rFonts w:hint="eastAsia" w:ascii="微软雅黑" w:hAnsi="微软雅黑" w:eastAsia="微软雅黑" w:cs="微软雅黑"/>
                <w:color w:val="auto"/>
                <w:spacing w:val="-2"/>
                <w:sz w:val="22"/>
                <w:szCs w:val="22"/>
                <w:highlight w:val="none"/>
              </w:rPr>
              <w:t>结论：</w:t>
            </w:r>
          </w:p>
        </w:tc>
        <w:tc>
          <w:tcPr>
            <w:tcW w:w="1637" w:type="dxa"/>
            <w:vAlign w:val="center"/>
          </w:tcPr>
          <w:p w14:paraId="275A72AD">
            <w:pPr>
              <w:keepNext w:val="0"/>
              <w:keepLines w:val="0"/>
              <w:pageBreakBefore w:val="0"/>
              <w:widowControl w:val="0"/>
              <w:kinsoku/>
              <w:wordWrap/>
              <w:overflowPunct/>
              <w:topLinePunct w:val="0"/>
              <w:autoSpaceDE/>
              <w:autoSpaceDN/>
              <w:bidi w:val="0"/>
              <w:adjustRightInd/>
              <w:snapToGrid/>
              <w:spacing w:line="420" w:lineRule="exact"/>
              <w:ind w:firstLine="388" w:firstLineChars="180"/>
              <w:textAlignment w:val="auto"/>
              <w:rPr>
                <w:rFonts w:ascii="微软雅黑" w:hAnsi="微软雅黑" w:eastAsia="微软雅黑" w:cs="微软雅黑"/>
                <w:color w:val="auto"/>
                <w:spacing w:val="-2"/>
                <w:sz w:val="22"/>
                <w:szCs w:val="22"/>
                <w:highlight w:val="none"/>
              </w:rPr>
            </w:pPr>
          </w:p>
        </w:tc>
      </w:tr>
    </w:tbl>
    <w:p w14:paraId="3F6DEDAF">
      <w:pPr>
        <w:spacing w:line="480" w:lineRule="exact"/>
        <w:rPr>
          <w:rFonts w:ascii="微软雅黑" w:hAnsi="微软雅黑" w:eastAsia="微软雅黑" w:cs="微软雅黑"/>
          <w:color w:val="auto"/>
          <w:highlight w:val="none"/>
        </w:rPr>
      </w:pPr>
    </w:p>
    <w:p w14:paraId="7C0833D6">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p>
    <w:p w14:paraId="56634695">
      <w:pPr>
        <w:spacing w:line="480" w:lineRule="exact"/>
        <w:ind w:left="6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（1）上述各项中用“合格”表示通过，“不合格”表示不通过；</w:t>
      </w:r>
    </w:p>
    <w:p w14:paraId="3CEB61FA">
      <w:pPr>
        <w:spacing w:line="480" w:lineRule="exact"/>
        <w:ind w:left="689" w:leftChars="28" w:hanging="630" w:hangingChars="300"/>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（2）上述各项中如有一项为“不合格”，则结论为“不通过”，表示该投标文件中存在重大偏差，不能通过初步评审；评委对某一分项评审认为不合格时，必须要写明原因。</w:t>
      </w:r>
    </w:p>
    <w:p w14:paraId="4A3650BB">
      <w:pPr>
        <w:pStyle w:val="4"/>
        <w:spacing w:line="480" w:lineRule="exact"/>
        <w:ind w:firstLine="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（3）投标文件最终合格与否，以所有评委的评审意见中少数服从多数为原则定论。</w:t>
      </w:r>
    </w:p>
    <w:p w14:paraId="64AEE22E">
      <w:pPr>
        <w:spacing w:line="480" w:lineRule="exact"/>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未通过符合性审查的供应商不进入评标；通过符合性审查的供应商少于不足三家的，不得评标。</w:t>
      </w:r>
    </w:p>
    <w:p w14:paraId="6DE0BAA7">
      <w:pPr>
        <w:pStyle w:val="21"/>
        <w:rPr>
          <w:color w:val="auto"/>
          <w:highlight w:val="none"/>
        </w:rPr>
      </w:pPr>
    </w:p>
    <w:tbl>
      <w:tblPr>
        <w:tblStyle w:val="30"/>
        <w:tblW w:w="8840" w:type="dxa"/>
        <w:jc w:val="center"/>
        <w:tblLayout w:type="fixed"/>
        <w:tblCellMar>
          <w:top w:w="0" w:type="dxa"/>
          <w:left w:w="108" w:type="dxa"/>
          <w:bottom w:w="0" w:type="dxa"/>
          <w:right w:w="108" w:type="dxa"/>
        </w:tblCellMar>
      </w:tblPr>
      <w:tblGrid>
        <w:gridCol w:w="2924"/>
        <w:gridCol w:w="4481"/>
        <w:gridCol w:w="478"/>
        <w:gridCol w:w="438"/>
        <w:gridCol w:w="519"/>
      </w:tblGrid>
      <w:tr w14:paraId="16904ED8">
        <w:tblPrEx>
          <w:tblCellMar>
            <w:top w:w="0" w:type="dxa"/>
            <w:left w:w="108" w:type="dxa"/>
            <w:bottom w:w="0" w:type="dxa"/>
            <w:right w:w="108" w:type="dxa"/>
          </w:tblCellMar>
        </w:tblPrEx>
        <w:trPr>
          <w:trHeight w:val="582" w:hRule="atLeast"/>
          <w:jc w:val="center"/>
        </w:trPr>
        <w:tc>
          <w:tcPr>
            <w:tcW w:w="8840" w:type="dxa"/>
            <w:gridSpan w:val="5"/>
            <w:tcBorders>
              <w:top w:val="nil"/>
              <w:left w:val="nil"/>
              <w:bottom w:val="single" w:color="auto" w:sz="4" w:space="0"/>
              <w:right w:val="nil"/>
            </w:tcBorders>
            <w:vAlign w:val="center"/>
          </w:tcPr>
          <w:p w14:paraId="0996F43D">
            <w:pPr>
              <w:widowControl/>
              <w:spacing w:line="300" w:lineRule="exact"/>
              <w:jc w:val="center"/>
              <w:rPr>
                <w:rFonts w:ascii="微软雅黑" w:hAnsi="微软雅黑" w:eastAsia="微软雅黑" w:cs="微软雅黑"/>
                <w:b/>
                <w:bCs/>
                <w:color w:val="auto"/>
                <w:kern w:val="0"/>
                <w:sz w:val="22"/>
                <w:szCs w:val="22"/>
                <w:highlight w:val="none"/>
              </w:rPr>
            </w:pPr>
            <w:r>
              <w:rPr>
                <w:rFonts w:hint="eastAsia" w:ascii="微软雅黑" w:hAnsi="微软雅黑" w:eastAsia="微软雅黑" w:cs="微软雅黑"/>
                <w:b/>
                <w:bCs/>
                <w:color w:val="auto"/>
                <w:kern w:val="0"/>
                <w:sz w:val="32"/>
                <w:szCs w:val="32"/>
                <w:highlight w:val="none"/>
              </w:rPr>
              <w:t>商务符合性审查表</w:t>
            </w:r>
          </w:p>
        </w:tc>
      </w:tr>
      <w:tr w14:paraId="0CA7D70F">
        <w:tblPrEx>
          <w:tblCellMar>
            <w:top w:w="0" w:type="dxa"/>
            <w:left w:w="108" w:type="dxa"/>
            <w:bottom w:w="0" w:type="dxa"/>
            <w:right w:w="108" w:type="dxa"/>
          </w:tblCellMar>
        </w:tblPrEx>
        <w:trPr>
          <w:trHeight w:val="759"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4A1FE46E">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审查事项</w:t>
            </w:r>
          </w:p>
        </w:tc>
        <w:tc>
          <w:tcPr>
            <w:tcW w:w="1435" w:type="dxa"/>
            <w:gridSpan w:val="3"/>
            <w:tcBorders>
              <w:top w:val="single" w:color="auto" w:sz="4" w:space="0"/>
              <w:left w:val="single" w:color="auto" w:sz="4" w:space="0"/>
              <w:bottom w:val="single" w:color="auto" w:sz="4" w:space="0"/>
              <w:right w:val="single" w:color="auto" w:sz="4" w:space="0"/>
            </w:tcBorders>
            <w:vAlign w:val="center"/>
          </w:tcPr>
          <w:p w14:paraId="697FFC15">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供应商名称及审查情况</w:t>
            </w:r>
          </w:p>
        </w:tc>
      </w:tr>
      <w:tr w14:paraId="6AE400FD">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B5C856E">
            <w:pPr>
              <w:widowControl/>
              <w:spacing w:line="300" w:lineRule="exact"/>
              <w:jc w:val="left"/>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招标文件条款（供应商须知、供应商须知资料表条款号）</w:t>
            </w:r>
          </w:p>
        </w:tc>
        <w:tc>
          <w:tcPr>
            <w:tcW w:w="4481" w:type="dxa"/>
            <w:tcBorders>
              <w:top w:val="single" w:color="auto" w:sz="4" w:space="0"/>
              <w:left w:val="single" w:color="auto" w:sz="4" w:space="0"/>
              <w:bottom w:val="single" w:color="auto" w:sz="4" w:space="0"/>
              <w:right w:val="single" w:color="auto" w:sz="4" w:space="0"/>
            </w:tcBorders>
            <w:vAlign w:val="center"/>
          </w:tcPr>
          <w:p w14:paraId="7B02CBF3">
            <w:pPr>
              <w:widowControl/>
              <w:spacing w:line="300" w:lineRule="exact"/>
              <w:jc w:val="center"/>
              <w:rPr>
                <w:rFonts w:ascii="微软雅黑" w:hAnsi="微软雅黑" w:eastAsia="微软雅黑" w:cs="微软雅黑"/>
                <w:b/>
                <w:color w:val="auto"/>
                <w:kern w:val="0"/>
                <w:sz w:val="22"/>
                <w:szCs w:val="22"/>
                <w:highlight w:val="none"/>
              </w:rPr>
            </w:pPr>
            <w:r>
              <w:rPr>
                <w:rFonts w:hint="eastAsia" w:ascii="微软雅黑" w:hAnsi="微软雅黑" w:eastAsia="微软雅黑" w:cs="微软雅黑"/>
                <w:b/>
                <w:color w:val="auto"/>
                <w:kern w:val="0"/>
                <w:sz w:val="22"/>
                <w:szCs w:val="22"/>
                <w:highlight w:val="none"/>
              </w:rPr>
              <w:t>本项目要求</w:t>
            </w:r>
          </w:p>
        </w:tc>
        <w:tc>
          <w:tcPr>
            <w:tcW w:w="478" w:type="dxa"/>
            <w:tcBorders>
              <w:top w:val="single" w:color="auto" w:sz="4" w:space="0"/>
              <w:left w:val="single" w:color="auto" w:sz="4" w:space="0"/>
              <w:bottom w:val="single" w:color="auto" w:sz="4" w:space="0"/>
              <w:right w:val="single" w:color="auto" w:sz="4" w:space="0"/>
            </w:tcBorders>
            <w:vAlign w:val="center"/>
          </w:tcPr>
          <w:p w14:paraId="71CD2492">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D76BDE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857934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7D1EFEAA">
        <w:tblPrEx>
          <w:tblCellMar>
            <w:top w:w="0" w:type="dxa"/>
            <w:left w:w="108" w:type="dxa"/>
            <w:bottom w:w="0" w:type="dxa"/>
            <w:right w:w="108" w:type="dxa"/>
          </w:tblCellMar>
        </w:tblPrEx>
        <w:trPr>
          <w:trHeight w:val="36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FF0E9D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中小企业投标要求（1.3.6）</w:t>
            </w:r>
          </w:p>
        </w:tc>
        <w:tc>
          <w:tcPr>
            <w:tcW w:w="4481" w:type="dxa"/>
            <w:tcBorders>
              <w:top w:val="single" w:color="auto" w:sz="4" w:space="0"/>
              <w:left w:val="nil"/>
              <w:bottom w:val="single" w:color="auto" w:sz="4" w:space="0"/>
              <w:right w:val="single" w:color="auto" w:sz="4" w:space="0"/>
            </w:tcBorders>
            <w:vAlign w:val="center"/>
          </w:tcPr>
          <w:p w14:paraId="76D5F39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478" w:type="dxa"/>
            <w:tcBorders>
              <w:top w:val="single" w:color="auto" w:sz="4" w:space="0"/>
              <w:left w:val="nil"/>
              <w:bottom w:val="single" w:color="auto" w:sz="4" w:space="0"/>
              <w:right w:val="single" w:color="auto" w:sz="4" w:space="0"/>
            </w:tcBorders>
            <w:vAlign w:val="center"/>
          </w:tcPr>
          <w:p w14:paraId="4152ABB2">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6ADB6BBD">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43455C65">
            <w:pPr>
              <w:widowControl/>
              <w:spacing w:line="300" w:lineRule="exact"/>
              <w:jc w:val="left"/>
              <w:rPr>
                <w:rFonts w:ascii="微软雅黑" w:hAnsi="微软雅黑" w:eastAsia="微软雅黑" w:cs="微软雅黑"/>
                <w:color w:val="auto"/>
                <w:kern w:val="0"/>
                <w:sz w:val="22"/>
                <w:szCs w:val="22"/>
                <w:highlight w:val="none"/>
              </w:rPr>
            </w:pPr>
          </w:p>
        </w:tc>
      </w:tr>
      <w:tr w14:paraId="038AE613">
        <w:tblPrEx>
          <w:tblCellMar>
            <w:top w:w="0" w:type="dxa"/>
            <w:left w:w="108" w:type="dxa"/>
            <w:bottom w:w="0" w:type="dxa"/>
            <w:right w:w="108" w:type="dxa"/>
          </w:tblCellMar>
        </w:tblPrEx>
        <w:trPr>
          <w:trHeight w:val="51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00CD3BB">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联合体投标规（1.4）</w:t>
            </w:r>
          </w:p>
        </w:tc>
        <w:tc>
          <w:tcPr>
            <w:tcW w:w="4481" w:type="dxa"/>
            <w:tcBorders>
              <w:top w:val="single" w:color="auto" w:sz="4" w:space="0"/>
              <w:left w:val="nil"/>
              <w:bottom w:val="single" w:color="auto" w:sz="4" w:space="0"/>
              <w:right w:val="single" w:color="auto" w:sz="4" w:space="0"/>
            </w:tcBorders>
            <w:vAlign w:val="center"/>
          </w:tcPr>
          <w:p w14:paraId="7A30E92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不接受</w:t>
            </w:r>
            <w:r>
              <w:rPr>
                <w:rFonts w:hint="eastAsia" w:ascii="微软雅黑" w:hAnsi="微软雅黑" w:eastAsia="微软雅黑" w:cs="微软雅黑"/>
                <w:color w:val="auto"/>
                <w:kern w:val="0"/>
                <w:sz w:val="22"/>
                <w:szCs w:val="22"/>
                <w:highlight w:val="none"/>
              </w:rPr>
              <w:t>联合体投标</w:t>
            </w:r>
          </w:p>
        </w:tc>
        <w:tc>
          <w:tcPr>
            <w:tcW w:w="478" w:type="dxa"/>
            <w:tcBorders>
              <w:top w:val="single" w:color="auto" w:sz="4" w:space="0"/>
              <w:left w:val="nil"/>
              <w:bottom w:val="single" w:color="auto" w:sz="4" w:space="0"/>
              <w:right w:val="single" w:color="auto" w:sz="4" w:space="0"/>
            </w:tcBorders>
            <w:vAlign w:val="center"/>
          </w:tcPr>
          <w:p w14:paraId="157DA7D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05897B2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58C5CD21">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4B00F00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5E7FD9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供应商的关联（1.5）</w:t>
            </w:r>
          </w:p>
        </w:tc>
        <w:tc>
          <w:tcPr>
            <w:tcW w:w="4481" w:type="dxa"/>
            <w:tcBorders>
              <w:top w:val="single" w:color="auto" w:sz="4" w:space="0"/>
              <w:left w:val="nil"/>
              <w:bottom w:val="single" w:color="auto" w:sz="4" w:space="0"/>
              <w:right w:val="single" w:color="auto" w:sz="4" w:space="0"/>
            </w:tcBorders>
            <w:vAlign w:val="center"/>
          </w:tcPr>
          <w:p w14:paraId="2EC68D5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在同一标包内，单位负责人为非同一人或者不存在直接控股、管理关系的不同供应商。</w:t>
            </w:r>
          </w:p>
        </w:tc>
        <w:tc>
          <w:tcPr>
            <w:tcW w:w="478" w:type="dxa"/>
            <w:tcBorders>
              <w:top w:val="single" w:color="auto" w:sz="4" w:space="0"/>
              <w:left w:val="nil"/>
              <w:bottom w:val="single" w:color="auto" w:sz="4" w:space="0"/>
              <w:right w:val="single" w:color="auto" w:sz="4" w:space="0"/>
            </w:tcBorders>
            <w:vAlign w:val="center"/>
          </w:tcPr>
          <w:p w14:paraId="546A5EA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634496C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395B30D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04F1FB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6B980D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未发现影响采购人决策行为（1.5）</w:t>
            </w:r>
          </w:p>
        </w:tc>
        <w:tc>
          <w:tcPr>
            <w:tcW w:w="4481" w:type="dxa"/>
            <w:tcBorders>
              <w:top w:val="single" w:color="auto" w:sz="4" w:space="0"/>
              <w:left w:val="nil"/>
              <w:bottom w:val="single" w:color="auto" w:sz="4" w:space="0"/>
              <w:right w:val="single" w:color="auto" w:sz="4" w:space="0"/>
            </w:tcBorders>
            <w:vAlign w:val="center"/>
          </w:tcPr>
          <w:p w14:paraId="6C01C3A3">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供应商在投标过程中未向采购人提供、给予任何有价值的物品，影响其正常决策行为。</w:t>
            </w:r>
          </w:p>
        </w:tc>
        <w:tc>
          <w:tcPr>
            <w:tcW w:w="478" w:type="dxa"/>
            <w:tcBorders>
              <w:top w:val="single" w:color="auto" w:sz="4" w:space="0"/>
              <w:left w:val="nil"/>
              <w:bottom w:val="single" w:color="auto" w:sz="4" w:space="0"/>
              <w:right w:val="single" w:color="auto" w:sz="4" w:space="0"/>
            </w:tcBorders>
            <w:vAlign w:val="center"/>
          </w:tcPr>
          <w:p w14:paraId="6ACF5DC5">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31CD3822">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3F546B14">
            <w:pPr>
              <w:widowControl/>
              <w:spacing w:line="300" w:lineRule="exact"/>
              <w:jc w:val="left"/>
              <w:rPr>
                <w:rFonts w:ascii="微软雅黑" w:hAnsi="微软雅黑" w:eastAsia="微软雅黑" w:cs="微软雅黑"/>
                <w:color w:val="auto"/>
                <w:kern w:val="0"/>
                <w:sz w:val="22"/>
                <w:szCs w:val="22"/>
                <w:highlight w:val="none"/>
              </w:rPr>
            </w:pPr>
          </w:p>
        </w:tc>
      </w:tr>
      <w:tr w14:paraId="3B2866F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791F03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满足投标范围的完整性要求（8.1）</w:t>
            </w:r>
          </w:p>
        </w:tc>
        <w:tc>
          <w:tcPr>
            <w:tcW w:w="4481" w:type="dxa"/>
            <w:tcBorders>
              <w:top w:val="single" w:color="auto" w:sz="4" w:space="0"/>
              <w:left w:val="nil"/>
              <w:bottom w:val="single" w:color="auto" w:sz="4" w:space="0"/>
              <w:right w:val="single" w:color="auto" w:sz="4" w:space="0"/>
            </w:tcBorders>
            <w:vAlign w:val="center"/>
          </w:tcPr>
          <w:p w14:paraId="2B3468C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供应商对所投分包招标文件中所列的所有内容进行投标。</w:t>
            </w:r>
          </w:p>
        </w:tc>
        <w:tc>
          <w:tcPr>
            <w:tcW w:w="478" w:type="dxa"/>
            <w:tcBorders>
              <w:top w:val="single" w:color="auto" w:sz="4" w:space="0"/>
              <w:left w:val="nil"/>
              <w:bottom w:val="single" w:color="auto" w:sz="4" w:space="0"/>
              <w:right w:val="single" w:color="auto" w:sz="4" w:space="0"/>
            </w:tcBorders>
            <w:vAlign w:val="center"/>
          </w:tcPr>
          <w:p w14:paraId="61264EDE">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6823ADC9">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56F3C080">
            <w:pPr>
              <w:widowControl/>
              <w:spacing w:line="300" w:lineRule="exact"/>
              <w:jc w:val="left"/>
              <w:rPr>
                <w:rFonts w:ascii="微软雅黑" w:hAnsi="微软雅黑" w:eastAsia="微软雅黑" w:cs="微软雅黑"/>
                <w:color w:val="auto"/>
                <w:kern w:val="0"/>
                <w:sz w:val="22"/>
                <w:szCs w:val="22"/>
                <w:highlight w:val="none"/>
              </w:rPr>
            </w:pPr>
          </w:p>
        </w:tc>
      </w:tr>
      <w:tr w14:paraId="56FC5B05">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EFF0C4C">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未包含价格调整要求（11.4）</w:t>
            </w:r>
          </w:p>
        </w:tc>
        <w:tc>
          <w:tcPr>
            <w:tcW w:w="4481" w:type="dxa"/>
            <w:tcBorders>
              <w:top w:val="single" w:color="auto" w:sz="4" w:space="0"/>
              <w:left w:val="nil"/>
              <w:bottom w:val="single" w:color="auto" w:sz="4" w:space="0"/>
              <w:right w:val="single" w:color="auto" w:sz="4" w:space="0"/>
            </w:tcBorders>
            <w:vAlign w:val="center"/>
          </w:tcPr>
          <w:p w14:paraId="437DB910">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供应商所报的各分项投标报价在合同履行过程中是固定不变的，不得以任何理由予以变更。</w:t>
            </w:r>
          </w:p>
        </w:tc>
        <w:tc>
          <w:tcPr>
            <w:tcW w:w="478" w:type="dxa"/>
            <w:tcBorders>
              <w:top w:val="single" w:color="auto" w:sz="4" w:space="0"/>
              <w:left w:val="nil"/>
              <w:bottom w:val="single" w:color="auto" w:sz="4" w:space="0"/>
              <w:right w:val="single" w:color="auto" w:sz="4" w:space="0"/>
            </w:tcBorders>
            <w:vAlign w:val="center"/>
          </w:tcPr>
          <w:p w14:paraId="31EAF7C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B7A35E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8C9055B">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B4028E5">
        <w:tblPrEx>
          <w:tblCellMar>
            <w:top w:w="0" w:type="dxa"/>
            <w:left w:w="108" w:type="dxa"/>
            <w:bottom w:w="0" w:type="dxa"/>
            <w:right w:w="108" w:type="dxa"/>
          </w:tblCellMar>
        </w:tblPrEx>
        <w:trPr>
          <w:trHeight w:val="46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FDE6A6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投标保证金（12.1）</w:t>
            </w:r>
          </w:p>
        </w:tc>
        <w:tc>
          <w:tcPr>
            <w:tcW w:w="4481" w:type="dxa"/>
            <w:tcBorders>
              <w:top w:val="single" w:color="auto" w:sz="4" w:space="0"/>
              <w:left w:val="nil"/>
              <w:bottom w:val="single" w:color="auto" w:sz="4" w:space="0"/>
              <w:right w:val="single" w:color="auto" w:sz="4" w:space="0"/>
            </w:tcBorders>
            <w:vAlign w:val="center"/>
          </w:tcPr>
          <w:p w14:paraId="2C135841">
            <w:pPr>
              <w:widowControl/>
              <w:spacing w:line="30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符合招标文件要求</w:t>
            </w:r>
          </w:p>
        </w:tc>
        <w:tc>
          <w:tcPr>
            <w:tcW w:w="478" w:type="dxa"/>
            <w:tcBorders>
              <w:top w:val="single" w:color="auto" w:sz="4" w:space="0"/>
              <w:left w:val="nil"/>
              <w:bottom w:val="single" w:color="auto" w:sz="4" w:space="0"/>
              <w:right w:val="single" w:color="auto" w:sz="4" w:space="0"/>
            </w:tcBorders>
            <w:vAlign w:val="center"/>
          </w:tcPr>
          <w:p w14:paraId="5B408BE8">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CDADD03">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1F48803F">
            <w:pPr>
              <w:widowControl/>
              <w:spacing w:line="300" w:lineRule="exact"/>
              <w:jc w:val="left"/>
              <w:rPr>
                <w:rFonts w:ascii="微软雅黑" w:hAnsi="微软雅黑" w:eastAsia="微软雅黑" w:cs="微软雅黑"/>
                <w:color w:val="auto"/>
                <w:kern w:val="0"/>
                <w:sz w:val="22"/>
                <w:szCs w:val="22"/>
                <w:highlight w:val="none"/>
              </w:rPr>
            </w:pPr>
          </w:p>
        </w:tc>
      </w:tr>
      <w:tr w14:paraId="5834A872">
        <w:tblPrEx>
          <w:tblCellMar>
            <w:top w:w="0" w:type="dxa"/>
            <w:left w:w="108" w:type="dxa"/>
            <w:bottom w:w="0" w:type="dxa"/>
            <w:right w:w="108" w:type="dxa"/>
          </w:tblCellMar>
        </w:tblPrEx>
        <w:trPr>
          <w:trHeight w:val="51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41D88EC4">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投标有效期满足要求（13.1）</w:t>
            </w:r>
          </w:p>
        </w:tc>
        <w:tc>
          <w:tcPr>
            <w:tcW w:w="4481" w:type="dxa"/>
            <w:tcBorders>
              <w:top w:val="single" w:color="auto" w:sz="4" w:space="0"/>
              <w:left w:val="nil"/>
              <w:bottom w:val="single" w:color="auto" w:sz="4" w:space="0"/>
              <w:right w:val="single" w:color="auto" w:sz="4" w:space="0"/>
            </w:tcBorders>
            <w:vAlign w:val="center"/>
          </w:tcPr>
          <w:p w14:paraId="12987CA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自提交投标文件截止之日起</w:t>
            </w:r>
            <w:r>
              <w:rPr>
                <w:rFonts w:hint="eastAsia" w:ascii="微软雅黑" w:hAnsi="微软雅黑" w:eastAsia="微软雅黑" w:cs="微软雅黑"/>
                <w:color w:val="auto"/>
                <w:sz w:val="22"/>
                <w:szCs w:val="22"/>
                <w:highlight w:val="none"/>
                <w:u w:val="single"/>
              </w:rPr>
              <w:t xml:space="preserve"> 90日</w:t>
            </w:r>
            <w:r>
              <w:rPr>
                <w:rFonts w:hint="eastAsia" w:ascii="微软雅黑" w:hAnsi="微软雅黑" w:eastAsia="微软雅黑" w:cs="微软雅黑"/>
                <w:color w:val="auto"/>
                <w:sz w:val="22"/>
                <w:szCs w:val="22"/>
                <w:highlight w:val="none"/>
              </w:rPr>
              <w:t>历日</w:t>
            </w:r>
          </w:p>
        </w:tc>
        <w:tc>
          <w:tcPr>
            <w:tcW w:w="478" w:type="dxa"/>
            <w:tcBorders>
              <w:top w:val="single" w:color="auto" w:sz="4" w:space="0"/>
              <w:left w:val="nil"/>
              <w:bottom w:val="single" w:color="auto" w:sz="4" w:space="0"/>
              <w:right w:val="single" w:color="auto" w:sz="4" w:space="0"/>
            </w:tcBorders>
            <w:vAlign w:val="center"/>
          </w:tcPr>
          <w:p w14:paraId="1E925CD0">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55A7250">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1B3E377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3025305B">
        <w:tblPrEx>
          <w:tblCellMar>
            <w:top w:w="0" w:type="dxa"/>
            <w:left w:w="108" w:type="dxa"/>
            <w:bottom w:w="0" w:type="dxa"/>
            <w:right w:w="108" w:type="dxa"/>
          </w:tblCellMar>
        </w:tblPrEx>
        <w:trPr>
          <w:trHeight w:val="57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71DEA0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投标文件的装订方式（14.3）</w:t>
            </w:r>
          </w:p>
        </w:tc>
        <w:tc>
          <w:tcPr>
            <w:tcW w:w="4481" w:type="dxa"/>
            <w:tcBorders>
              <w:top w:val="single" w:color="auto" w:sz="4" w:space="0"/>
              <w:left w:val="nil"/>
              <w:bottom w:val="single" w:color="auto" w:sz="4" w:space="0"/>
              <w:right w:val="single" w:color="auto" w:sz="4" w:space="0"/>
            </w:tcBorders>
            <w:vAlign w:val="center"/>
          </w:tcPr>
          <w:p w14:paraId="67D9176B">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所有投标文件采用不可拆装的胶订方式装订</w:t>
            </w:r>
          </w:p>
        </w:tc>
        <w:tc>
          <w:tcPr>
            <w:tcW w:w="478" w:type="dxa"/>
            <w:tcBorders>
              <w:top w:val="single" w:color="auto" w:sz="4" w:space="0"/>
              <w:left w:val="nil"/>
              <w:bottom w:val="single" w:color="auto" w:sz="4" w:space="0"/>
              <w:right w:val="single" w:color="auto" w:sz="4" w:space="0"/>
            </w:tcBorders>
            <w:vAlign w:val="center"/>
          </w:tcPr>
          <w:p w14:paraId="3C1CBD4D">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666704AA">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D08A534">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FF8AD54">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8E92DC8">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投标文件的签署和盖章符合要求</w:t>
            </w:r>
          </w:p>
          <w:p w14:paraId="3F117A41">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（14.2、14.4）</w:t>
            </w:r>
          </w:p>
        </w:tc>
        <w:tc>
          <w:tcPr>
            <w:tcW w:w="4481" w:type="dxa"/>
            <w:tcBorders>
              <w:top w:val="single" w:color="auto" w:sz="4" w:space="0"/>
              <w:left w:val="nil"/>
              <w:bottom w:val="single" w:color="auto" w:sz="4" w:space="0"/>
              <w:right w:val="single" w:color="auto" w:sz="4" w:space="0"/>
            </w:tcBorders>
            <w:vAlign w:val="center"/>
          </w:tcPr>
          <w:p w14:paraId="004EC161">
            <w:pPr>
              <w:widowControl/>
              <w:spacing w:line="300" w:lineRule="exact"/>
              <w:jc w:val="center"/>
              <w:rPr>
                <w:rFonts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按照招标文件规定要求签署、盖章。</w:t>
            </w:r>
          </w:p>
        </w:tc>
        <w:tc>
          <w:tcPr>
            <w:tcW w:w="478" w:type="dxa"/>
            <w:tcBorders>
              <w:top w:val="single" w:color="auto" w:sz="4" w:space="0"/>
              <w:left w:val="nil"/>
              <w:bottom w:val="single" w:color="auto" w:sz="4" w:space="0"/>
              <w:right w:val="single" w:color="auto" w:sz="4" w:space="0"/>
            </w:tcBorders>
            <w:vAlign w:val="center"/>
          </w:tcPr>
          <w:p w14:paraId="70A546B2">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DB905AE">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2B28960D">
            <w:pPr>
              <w:widowControl/>
              <w:spacing w:line="300" w:lineRule="exact"/>
              <w:jc w:val="left"/>
              <w:rPr>
                <w:rFonts w:ascii="微软雅黑" w:hAnsi="微软雅黑" w:eastAsia="微软雅黑" w:cs="微软雅黑"/>
                <w:color w:val="auto"/>
                <w:kern w:val="0"/>
                <w:sz w:val="22"/>
                <w:szCs w:val="22"/>
                <w:highlight w:val="none"/>
              </w:rPr>
            </w:pPr>
          </w:p>
        </w:tc>
      </w:tr>
      <w:tr w14:paraId="3F65AE85">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71A2009">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接受价格的算术修正（20.3）</w:t>
            </w:r>
          </w:p>
        </w:tc>
        <w:tc>
          <w:tcPr>
            <w:tcW w:w="4481" w:type="dxa"/>
            <w:tcBorders>
              <w:top w:val="single" w:color="auto" w:sz="4" w:space="0"/>
              <w:left w:val="nil"/>
              <w:bottom w:val="single" w:color="auto" w:sz="4" w:space="0"/>
              <w:right w:val="single" w:color="auto" w:sz="4" w:space="0"/>
            </w:tcBorders>
            <w:vAlign w:val="center"/>
          </w:tcPr>
          <w:p w14:paraId="2684EE4C">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投标文件报价出现前后不一致的，应按照招标文件规定的顺序修正。修正后的报价经供应商确认后产生约束力。</w:t>
            </w:r>
          </w:p>
        </w:tc>
        <w:tc>
          <w:tcPr>
            <w:tcW w:w="478" w:type="dxa"/>
            <w:tcBorders>
              <w:top w:val="single" w:color="auto" w:sz="4" w:space="0"/>
              <w:left w:val="nil"/>
              <w:bottom w:val="single" w:color="auto" w:sz="4" w:space="0"/>
              <w:right w:val="single" w:color="auto" w:sz="4" w:space="0"/>
            </w:tcBorders>
            <w:vAlign w:val="center"/>
          </w:tcPr>
          <w:p w14:paraId="6226851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FCF8D8A">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A64238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6152839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946048F">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符合强制采购节能产品要求（20.6）</w:t>
            </w:r>
          </w:p>
        </w:tc>
        <w:tc>
          <w:tcPr>
            <w:tcW w:w="4481" w:type="dxa"/>
            <w:tcBorders>
              <w:top w:val="single" w:color="auto" w:sz="4" w:space="0"/>
              <w:left w:val="nil"/>
              <w:bottom w:val="single" w:color="auto" w:sz="4" w:space="0"/>
              <w:right w:val="single" w:color="auto" w:sz="4" w:space="0"/>
            </w:tcBorders>
            <w:vAlign w:val="center"/>
          </w:tcPr>
          <w:p w14:paraId="44D08A7A">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本项目</w:t>
            </w:r>
            <w:r>
              <w:rPr>
                <w:rFonts w:hint="eastAsia" w:ascii="微软雅黑" w:hAnsi="微软雅黑" w:eastAsia="微软雅黑" w:cs="微软雅黑"/>
                <w:i/>
                <w:iCs/>
                <w:color w:val="auto"/>
                <w:kern w:val="0"/>
                <w:sz w:val="22"/>
                <w:szCs w:val="22"/>
                <w:highlight w:val="none"/>
                <w:u w:val="single"/>
              </w:rPr>
              <w:t>适用</w:t>
            </w:r>
          </w:p>
        </w:tc>
        <w:tc>
          <w:tcPr>
            <w:tcW w:w="478" w:type="dxa"/>
            <w:tcBorders>
              <w:top w:val="single" w:color="auto" w:sz="4" w:space="0"/>
              <w:left w:val="nil"/>
              <w:bottom w:val="single" w:color="auto" w:sz="4" w:space="0"/>
              <w:right w:val="single" w:color="auto" w:sz="4" w:space="0"/>
            </w:tcBorders>
            <w:vAlign w:val="center"/>
          </w:tcPr>
          <w:p w14:paraId="1A972F2B">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750EF355">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5191A3F">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55A34A5C">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F82EEC6">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未发现串通投标（22.2）</w:t>
            </w:r>
          </w:p>
        </w:tc>
        <w:tc>
          <w:tcPr>
            <w:tcW w:w="4481" w:type="dxa"/>
            <w:tcBorders>
              <w:top w:val="single" w:color="auto" w:sz="4" w:space="0"/>
              <w:left w:val="nil"/>
              <w:bottom w:val="single" w:color="auto" w:sz="4" w:space="0"/>
              <w:right w:val="single" w:color="auto" w:sz="4" w:space="0"/>
            </w:tcBorders>
            <w:vAlign w:val="center"/>
          </w:tcPr>
          <w:p w14:paraId="58BBA57E">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未与其他供应商串通投标，或者与招标人串通投标。</w:t>
            </w:r>
          </w:p>
        </w:tc>
        <w:tc>
          <w:tcPr>
            <w:tcW w:w="478" w:type="dxa"/>
            <w:tcBorders>
              <w:top w:val="single" w:color="auto" w:sz="4" w:space="0"/>
              <w:left w:val="nil"/>
              <w:bottom w:val="single" w:color="auto" w:sz="4" w:space="0"/>
              <w:right w:val="single" w:color="auto" w:sz="4" w:space="0"/>
            </w:tcBorders>
            <w:vAlign w:val="center"/>
          </w:tcPr>
          <w:p w14:paraId="140EAAA9">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1607F661">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4BD55853">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3C61F94">
        <w:tblPrEx>
          <w:tblCellMar>
            <w:top w:w="0" w:type="dxa"/>
            <w:left w:w="108" w:type="dxa"/>
            <w:bottom w:w="0" w:type="dxa"/>
            <w:right w:w="108" w:type="dxa"/>
          </w:tblCellMar>
        </w:tblPrEx>
        <w:trPr>
          <w:trHeight w:val="108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01D545E">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报价说明可以接受（22.2）</w:t>
            </w:r>
          </w:p>
        </w:tc>
        <w:tc>
          <w:tcPr>
            <w:tcW w:w="4481" w:type="dxa"/>
            <w:tcBorders>
              <w:top w:val="single" w:color="auto" w:sz="4" w:space="0"/>
              <w:left w:val="nil"/>
              <w:bottom w:val="single" w:color="auto" w:sz="4" w:space="0"/>
              <w:right w:val="single" w:color="auto" w:sz="4" w:space="0"/>
            </w:tcBorders>
            <w:vAlign w:val="center"/>
          </w:tcPr>
          <w:p w14:paraId="2AE1B558">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供应商的报价明显低于其他通过符合性检查供应商的报价，有可能影响履约的，供应商能按照规定证明其报价合理性。</w:t>
            </w:r>
          </w:p>
        </w:tc>
        <w:tc>
          <w:tcPr>
            <w:tcW w:w="478" w:type="dxa"/>
            <w:tcBorders>
              <w:top w:val="single" w:color="auto" w:sz="4" w:space="0"/>
              <w:left w:val="nil"/>
              <w:bottom w:val="single" w:color="auto" w:sz="4" w:space="0"/>
              <w:right w:val="single" w:color="auto" w:sz="4" w:space="0"/>
            </w:tcBorders>
            <w:vAlign w:val="center"/>
          </w:tcPr>
          <w:p w14:paraId="01D5BDCC">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438" w:type="dxa"/>
            <w:tcBorders>
              <w:top w:val="single" w:color="auto" w:sz="4" w:space="0"/>
              <w:left w:val="nil"/>
              <w:bottom w:val="single" w:color="auto" w:sz="4" w:space="0"/>
              <w:right w:val="single" w:color="auto" w:sz="4" w:space="0"/>
            </w:tcBorders>
            <w:vAlign w:val="center"/>
          </w:tcPr>
          <w:p w14:paraId="283CD9CE">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c>
          <w:tcPr>
            <w:tcW w:w="519" w:type="dxa"/>
            <w:tcBorders>
              <w:top w:val="single" w:color="auto" w:sz="4" w:space="0"/>
              <w:left w:val="nil"/>
              <w:bottom w:val="single" w:color="auto" w:sz="4" w:space="0"/>
              <w:right w:val="single" w:color="auto" w:sz="4" w:space="0"/>
            </w:tcBorders>
            <w:vAlign w:val="center"/>
          </w:tcPr>
          <w:p w14:paraId="604A0C78">
            <w:pPr>
              <w:widowControl/>
              <w:spacing w:line="300" w:lineRule="exact"/>
              <w:jc w:val="left"/>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　</w:t>
            </w:r>
          </w:p>
        </w:tc>
      </w:tr>
      <w:tr w14:paraId="0352DD8B">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31538FE2">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无采购人不能接受的附加条件（22.2）</w:t>
            </w:r>
          </w:p>
        </w:tc>
        <w:tc>
          <w:tcPr>
            <w:tcW w:w="4481" w:type="dxa"/>
            <w:tcBorders>
              <w:top w:val="single" w:color="auto" w:sz="4" w:space="0"/>
              <w:left w:val="nil"/>
              <w:bottom w:val="single" w:color="auto" w:sz="4" w:space="0"/>
              <w:right w:val="single" w:color="auto" w:sz="4" w:space="0"/>
            </w:tcBorders>
            <w:vAlign w:val="center"/>
          </w:tcPr>
          <w:p w14:paraId="1980B747">
            <w:pPr>
              <w:widowControl/>
              <w:spacing w:line="300" w:lineRule="exact"/>
              <w:jc w:val="center"/>
              <w:rPr>
                <w:rFonts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投标文件未含有采购人不能接受的附加条件。</w:t>
            </w:r>
          </w:p>
        </w:tc>
        <w:tc>
          <w:tcPr>
            <w:tcW w:w="478" w:type="dxa"/>
            <w:tcBorders>
              <w:top w:val="single" w:color="auto" w:sz="4" w:space="0"/>
              <w:left w:val="nil"/>
              <w:bottom w:val="single" w:color="auto" w:sz="4" w:space="0"/>
              <w:right w:val="single" w:color="auto" w:sz="4" w:space="0"/>
            </w:tcBorders>
            <w:vAlign w:val="center"/>
          </w:tcPr>
          <w:p w14:paraId="27A180B6">
            <w:pPr>
              <w:widowControl/>
              <w:spacing w:line="300" w:lineRule="exact"/>
              <w:jc w:val="left"/>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1077EB91">
            <w:pPr>
              <w:widowControl/>
              <w:spacing w:line="300" w:lineRule="exact"/>
              <w:jc w:val="left"/>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0FA5DDCA">
            <w:pPr>
              <w:widowControl/>
              <w:spacing w:line="300" w:lineRule="exact"/>
              <w:jc w:val="left"/>
              <w:rPr>
                <w:rFonts w:ascii="微软雅黑" w:hAnsi="微软雅黑" w:eastAsia="微软雅黑" w:cs="微软雅黑"/>
                <w:color w:val="auto"/>
                <w:kern w:val="0"/>
                <w:sz w:val="22"/>
                <w:szCs w:val="22"/>
                <w:highlight w:val="none"/>
              </w:rPr>
            </w:pPr>
          </w:p>
        </w:tc>
      </w:tr>
      <w:tr w14:paraId="7A32CFF4">
        <w:tblPrEx>
          <w:tblCellMar>
            <w:top w:w="0" w:type="dxa"/>
            <w:left w:w="108" w:type="dxa"/>
            <w:bottom w:w="0" w:type="dxa"/>
            <w:right w:w="108" w:type="dxa"/>
          </w:tblCellMar>
        </w:tblPrEx>
        <w:trPr>
          <w:trHeight w:val="378"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0FF343D0">
            <w:pPr>
              <w:widowControl/>
              <w:spacing w:line="300" w:lineRule="exact"/>
              <w:jc w:val="center"/>
              <w:rPr>
                <w:rFonts w:ascii="微软雅黑" w:hAnsi="微软雅黑" w:eastAsia="微软雅黑" w:cs="微软雅黑"/>
                <w:b/>
                <w:color w:val="auto"/>
                <w:sz w:val="22"/>
                <w:szCs w:val="22"/>
                <w:highlight w:val="none"/>
              </w:rPr>
            </w:pPr>
            <w:r>
              <w:rPr>
                <w:rFonts w:hint="eastAsia" w:ascii="微软雅黑" w:hAnsi="微软雅黑" w:eastAsia="微软雅黑" w:cs="微软雅黑"/>
                <w:b/>
                <w:color w:val="auto"/>
                <w:kern w:val="0"/>
                <w:sz w:val="22"/>
                <w:szCs w:val="22"/>
                <w:highlight w:val="none"/>
              </w:rPr>
              <w:t>结论</w:t>
            </w:r>
          </w:p>
        </w:tc>
        <w:tc>
          <w:tcPr>
            <w:tcW w:w="478" w:type="dxa"/>
            <w:tcBorders>
              <w:top w:val="single" w:color="auto" w:sz="4" w:space="0"/>
              <w:left w:val="nil"/>
              <w:bottom w:val="single" w:color="auto" w:sz="4" w:space="0"/>
              <w:right w:val="single" w:color="auto" w:sz="4" w:space="0"/>
            </w:tcBorders>
            <w:vAlign w:val="center"/>
          </w:tcPr>
          <w:p w14:paraId="7BD2B435">
            <w:pPr>
              <w:widowControl/>
              <w:spacing w:line="300" w:lineRule="exact"/>
              <w:jc w:val="center"/>
              <w:rPr>
                <w:rFonts w:ascii="微软雅黑" w:hAnsi="微软雅黑" w:eastAsia="微软雅黑" w:cs="微软雅黑"/>
                <w:color w:val="auto"/>
                <w:kern w:val="0"/>
                <w:sz w:val="22"/>
                <w:szCs w:val="22"/>
                <w:highlight w:val="none"/>
              </w:rPr>
            </w:pPr>
          </w:p>
        </w:tc>
        <w:tc>
          <w:tcPr>
            <w:tcW w:w="438" w:type="dxa"/>
            <w:tcBorders>
              <w:top w:val="single" w:color="auto" w:sz="4" w:space="0"/>
              <w:left w:val="nil"/>
              <w:bottom w:val="single" w:color="auto" w:sz="4" w:space="0"/>
              <w:right w:val="single" w:color="auto" w:sz="4" w:space="0"/>
            </w:tcBorders>
            <w:vAlign w:val="center"/>
          </w:tcPr>
          <w:p w14:paraId="0EEF803D">
            <w:pPr>
              <w:widowControl/>
              <w:spacing w:line="300" w:lineRule="exact"/>
              <w:jc w:val="center"/>
              <w:rPr>
                <w:rFonts w:ascii="微软雅黑" w:hAnsi="微软雅黑" w:eastAsia="微软雅黑" w:cs="微软雅黑"/>
                <w:color w:val="auto"/>
                <w:kern w:val="0"/>
                <w:sz w:val="22"/>
                <w:szCs w:val="22"/>
                <w:highlight w:val="none"/>
              </w:rPr>
            </w:pPr>
          </w:p>
        </w:tc>
        <w:tc>
          <w:tcPr>
            <w:tcW w:w="519" w:type="dxa"/>
            <w:tcBorders>
              <w:top w:val="single" w:color="auto" w:sz="4" w:space="0"/>
              <w:left w:val="nil"/>
              <w:bottom w:val="single" w:color="auto" w:sz="4" w:space="0"/>
              <w:right w:val="single" w:color="auto" w:sz="4" w:space="0"/>
            </w:tcBorders>
            <w:vAlign w:val="center"/>
          </w:tcPr>
          <w:p w14:paraId="2BD2D33D">
            <w:pPr>
              <w:widowControl/>
              <w:spacing w:line="300" w:lineRule="exact"/>
              <w:jc w:val="center"/>
              <w:rPr>
                <w:rFonts w:ascii="微软雅黑" w:hAnsi="微软雅黑" w:eastAsia="微软雅黑" w:cs="微软雅黑"/>
                <w:color w:val="auto"/>
                <w:kern w:val="0"/>
                <w:sz w:val="22"/>
                <w:szCs w:val="22"/>
                <w:highlight w:val="none"/>
              </w:rPr>
            </w:pPr>
          </w:p>
        </w:tc>
      </w:tr>
    </w:tbl>
    <w:p w14:paraId="1553911A">
      <w:pPr>
        <w:jc w:val="center"/>
        <w:outlineLvl w:val="9"/>
        <w:rPr>
          <w:rFonts w:hint="eastAsia" w:ascii="微软雅黑" w:hAnsi="微软雅黑" w:eastAsia="微软雅黑" w:cs="微软雅黑"/>
          <w:b/>
          <w:bCs/>
          <w:color w:val="auto"/>
          <w:kern w:val="0"/>
          <w:sz w:val="32"/>
          <w:szCs w:val="32"/>
          <w:highlight w:val="none"/>
        </w:rPr>
      </w:pPr>
      <w:bookmarkStart w:id="765" w:name="_Toc507399904"/>
    </w:p>
    <w:p w14:paraId="17D30BC1">
      <w:pPr>
        <w:jc w:val="center"/>
        <w:outlineLvl w:val="1"/>
        <w:rPr>
          <w:rFonts w:hint="eastAsia" w:ascii="微软雅黑" w:hAnsi="微软雅黑" w:eastAsia="微软雅黑" w:cs="微软雅黑"/>
          <w:b/>
          <w:bCs/>
          <w:color w:val="auto"/>
          <w:kern w:val="0"/>
          <w:sz w:val="32"/>
          <w:szCs w:val="32"/>
          <w:highlight w:val="none"/>
        </w:rPr>
      </w:pPr>
      <w:bookmarkStart w:id="766" w:name="_Toc5066"/>
      <w:r>
        <w:rPr>
          <w:rFonts w:hint="eastAsia" w:ascii="微软雅黑" w:hAnsi="微软雅黑" w:eastAsia="微软雅黑" w:cs="微软雅黑"/>
          <w:b/>
          <w:bCs/>
          <w:color w:val="auto"/>
          <w:kern w:val="0"/>
          <w:sz w:val="32"/>
          <w:szCs w:val="32"/>
          <w:highlight w:val="none"/>
        </w:rPr>
        <w:t>综合评分法评分标准</w:t>
      </w:r>
      <w:bookmarkEnd w:id="766"/>
      <w:bookmarkStart w:id="767" w:name="_Toc10296"/>
      <w:bookmarkStart w:id="768" w:name="_Toc30135"/>
      <w:bookmarkStart w:id="769" w:name="_Toc21588"/>
      <w:bookmarkStart w:id="770" w:name="_Toc25236"/>
      <w:bookmarkStart w:id="771" w:name="_Toc14344"/>
      <w:bookmarkStart w:id="772" w:name="_Toc2497"/>
      <w:bookmarkStart w:id="773" w:name="_Toc8709"/>
      <w:bookmarkStart w:id="774" w:name="_Toc11428"/>
      <w:bookmarkStart w:id="775" w:name="_Toc27374"/>
      <w:bookmarkStart w:id="776" w:name="_Toc18037"/>
      <w:bookmarkStart w:id="777" w:name="_Toc11667"/>
      <w:bookmarkStart w:id="778" w:name="_Toc997"/>
      <w:bookmarkStart w:id="779" w:name="_Toc14078"/>
      <w:bookmarkStart w:id="780" w:name="_Toc16427"/>
      <w:bookmarkStart w:id="781" w:name="_Toc21397"/>
      <w:bookmarkStart w:id="782" w:name="_Toc5580"/>
      <w:bookmarkStart w:id="783" w:name="_Toc20854"/>
      <w:bookmarkStart w:id="784" w:name="_Toc20321"/>
      <w:bookmarkStart w:id="785" w:name="_Toc29605"/>
    </w:p>
    <w:tbl>
      <w:tblPr>
        <w:tblStyle w:val="30"/>
        <w:tblpPr w:leftFromText="180" w:rightFromText="180" w:vertAnchor="text" w:horzAnchor="page" w:tblpX="993" w:tblpY="893"/>
        <w:tblOverlap w:val="never"/>
        <w:tblW w:w="10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00"/>
        <w:gridCol w:w="6472"/>
        <w:gridCol w:w="1220"/>
      </w:tblGrid>
      <w:tr w14:paraId="0C65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846" w:type="dxa"/>
            <w:vAlign w:val="center"/>
          </w:tcPr>
          <w:p w14:paraId="0352C2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1233" w:type="dxa"/>
            <w:vAlign w:val="center"/>
          </w:tcPr>
          <w:p w14:paraId="65BC2A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评分因素</w:t>
            </w:r>
          </w:p>
          <w:p w14:paraId="1AFC82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及权重</w:t>
            </w:r>
          </w:p>
        </w:tc>
        <w:tc>
          <w:tcPr>
            <w:tcW w:w="600" w:type="dxa"/>
            <w:vAlign w:val="center"/>
          </w:tcPr>
          <w:p w14:paraId="416D61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分值</w:t>
            </w:r>
          </w:p>
        </w:tc>
        <w:tc>
          <w:tcPr>
            <w:tcW w:w="6472" w:type="dxa"/>
            <w:vAlign w:val="center"/>
          </w:tcPr>
          <w:p w14:paraId="4E385E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评分标准</w:t>
            </w:r>
          </w:p>
          <w:p w14:paraId="624C1D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价   格：</w:t>
            </w:r>
            <w:r>
              <w:rPr>
                <w:rFonts w:hint="eastAsia" w:ascii="微软雅黑" w:hAnsi="微软雅黑" w:eastAsia="微软雅黑" w:cs="微软雅黑"/>
                <w:b/>
                <w:bCs/>
                <w:color w:val="auto"/>
                <w:kern w:val="0"/>
                <w:sz w:val="21"/>
                <w:szCs w:val="21"/>
                <w:highlight w:val="none"/>
                <w:lang w:val="en-US" w:eastAsia="zh-CN"/>
              </w:rPr>
              <w:t>45</w:t>
            </w:r>
            <w:r>
              <w:rPr>
                <w:rFonts w:hint="eastAsia" w:ascii="微软雅黑" w:hAnsi="微软雅黑" w:eastAsia="微软雅黑" w:cs="微软雅黑"/>
                <w:b/>
                <w:bCs/>
                <w:color w:val="auto"/>
                <w:kern w:val="0"/>
                <w:sz w:val="21"/>
                <w:szCs w:val="21"/>
                <w:highlight w:val="none"/>
              </w:rPr>
              <w:t xml:space="preserve">分  </w:t>
            </w:r>
            <w:r>
              <w:rPr>
                <w:rFonts w:hint="eastAsia" w:ascii="微软雅黑" w:hAnsi="微软雅黑" w:eastAsia="微软雅黑" w:cs="微软雅黑"/>
                <w:b/>
                <w:bCs/>
                <w:color w:val="auto"/>
                <w:kern w:val="0"/>
                <w:sz w:val="21"/>
                <w:szCs w:val="21"/>
                <w:highlight w:val="none"/>
                <w:lang w:val="en-US" w:eastAsia="zh-CN"/>
              </w:rPr>
              <w:t xml:space="preserve">  </w:t>
            </w:r>
            <w:r>
              <w:rPr>
                <w:rFonts w:hint="eastAsia" w:ascii="微软雅黑" w:hAnsi="微软雅黑" w:eastAsia="微软雅黑" w:cs="微软雅黑"/>
                <w:b/>
                <w:bCs/>
                <w:color w:val="auto"/>
                <w:kern w:val="0"/>
                <w:sz w:val="21"/>
                <w:szCs w:val="21"/>
                <w:highlight w:val="none"/>
                <w:lang w:eastAsia="zh-CN"/>
              </w:rPr>
              <w:t>商务及技术：</w:t>
            </w:r>
            <w:r>
              <w:rPr>
                <w:rFonts w:hint="eastAsia" w:ascii="微软雅黑" w:hAnsi="微软雅黑" w:eastAsia="微软雅黑" w:cs="微软雅黑"/>
                <w:b/>
                <w:bCs/>
                <w:color w:val="auto"/>
                <w:kern w:val="0"/>
                <w:sz w:val="21"/>
                <w:szCs w:val="21"/>
                <w:highlight w:val="none"/>
                <w:lang w:val="en-US" w:eastAsia="zh-CN"/>
              </w:rPr>
              <w:t>55分</w:t>
            </w:r>
            <w:r>
              <w:rPr>
                <w:rFonts w:hint="eastAsia" w:ascii="微软雅黑" w:hAnsi="微软雅黑" w:eastAsia="微软雅黑" w:cs="微软雅黑"/>
                <w:b/>
                <w:bCs/>
                <w:color w:val="auto"/>
                <w:kern w:val="0"/>
                <w:sz w:val="21"/>
                <w:szCs w:val="21"/>
                <w:highlight w:val="none"/>
              </w:rPr>
              <w:t xml:space="preserve">              </w:t>
            </w:r>
          </w:p>
        </w:tc>
        <w:tc>
          <w:tcPr>
            <w:tcW w:w="1220" w:type="dxa"/>
            <w:vAlign w:val="center"/>
          </w:tcPr>
          <w:p w14:paraId="7815A94B">
            <w:pPr>
              <w:pStyle w:val="61"/>
              <w:keepNext w:val="0"/>
              <w:keepLines w:val="0"/>
              <w:pageBreakBefore w:val="0"/>
              <w:kinsoku/>
              <w:wordWrap/>
              <w:overflowPunct/>
              <w:topLinePunct w:val="0"/>
              <w:autoSpaceDE/>
              <w:autoSpaceDN/>
              <w:bidi w:val="0"/>
              <w:adjustRightInd/>
              <w:snapToGrid/>
              <w:spacing w:before="0" w:after="0" w:line="30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说明</w:t>
            </w:r>
          </w:p>
        </w:tc>
      </w:tr>
      <w:tr w14:paraId="1846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846" w:type="dxa"/>
            <w:vAlign w:val="center"/>
          </w:tcPr>
          <w:p w14:paraId="00AB71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价格评分标准</w:t>
            </w:r>
          </w:p>
        </w:tc>
        <w:tc>
          <w:tcPr>
            <w:tcW w:w="1233" w:type="dxa"/>
            <w:vAlign w:val="center"/>
          </w:tcPr>
          <w:p w14:paraId="62EFCB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投标报价</w:t>
            </w:r>
          </w:p>
        </w:tc>
        <w:tc>
          <w:tcPr>
            <w:tcW w:w="600" w:type="dxa"/>
            <w:vAlign w:val="center"/>
          </w:tcPr>
          <w:p w14:paraId="2A224C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45</w:t>
            </w:r>
          </w:p>
        </w:tc>
        <w:tc>
          <w:tcPr>
            <w:tcW w:w="6472" w:type="dxa"/>
            <w:vAlign w:val="center"/>
          </w:tcPr>
          <w:p w14:paraId="29BEE63E">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满足招标文件要求且投标报价最低的为评标基准价，其价格分为满分。 其他供应商的价格分统一按照下列公式计算：投标报价得分＝（基准价/投标报价）×价格权重×100。</w:t>
            </w:r>
          </w:p>
          <w:p w14:paraId="7B83A9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b/>
                <w:bCs/>
                <w:color w:val="auto"/>
                <w:kern w:val="2"/>
                <w:sz w:val="21"/>
                <w:szCs w:val="21"/>
                <w:highlight w:val="none"/>
                <w:lang w:val="en-US" w:eastAsia="zh-CN" w:bidi="ar-SA"/>
              </w:rPr>
              <w:t>（注：本项目不属于专门面向中小企业项目，产品生产厂家为小型企业或微型企业的可享受价10%的价格扣除后参与评审。须根据招标文件中的法定格式提供中小企业声明函。）</w:t>
            </w:r>
          </w:p>
        </w:tc>
        <w:tc>
          <w:tcPr>
            <w:tcW w:w="1220" w:type="dxa"/>
            <w:vAlign w:val="center"/>
          </w:tcPr>
          <w:p w14:paraId="3372D820">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投标报价超过采购预算价的按废标处理</w:t>
            </w:r>
          </w:p>
        </w:tc>
      </w:tr>
      <w:tr w14:paraId="4E1B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restart"/>
            <w:vAlign w:val="center"/>
          </w:tcPr>
          <w:p w14:paraId="11C3E4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bCs/>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商务</w:t>
            </w:r>
            <w:r>
              <w:rPr>
                <w:rFonts w:hint="eastAsia" w:ascii="微软雅黑" w:hAnsi="微软雅黑" w:eastAsia="微软雅黑" w:cs="微软雅黑"/>
                <w:b/>
                <w:bCs/>
                <w:color w:val="auto"/>
                <w:kern w:val="0"/>
                <w:sz w:val="21"/>
                <w:szCs w:val="21"/>
                <w:highlight w:val="none"/>
              </w:rPr>
              <w:t>评分标准</w:t>
            </w:r>
          </w:p>
          <w:p w14:paraId="134E35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3F87BE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货源保障</w:t>
            </w:r>
          </w:p>
        </w:tc>
        <w:tc>
          <w:tcPr>
            <w:tcW w:w="600" w:type="dxa"/>
            <w:vAlign w:val="center"/>
          </w:tcPr>
          <w:p w14:paraId="2D0D1B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3</w:t>
            </w:r>
          </w:p>
        </w:tc>
        <w:tc>
          <w:tcPr>
            <w:tcW w:w="6472" w:type="dxa"/>
            <w:shd w:val="clear" w:color="auto" w:fill="auto"/>
            <w:vAlign w:val="center"/>
          </w:tcPr>
          <w:p w14:paraId="0EF68CEA">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投标人需提供所投商品的货源保障、进货渠道等证明材料得3分</w:t>
            </w:r>
            <w:r>
              <w:rPr>
                <w:rFonts w:hint="eastAsia" w:ascii="微软雅黑" w:hAnsi="微软雅黑" w:eastAsia="微软雅黑" w:cs="微软雅黑"/>
                <w:b/>
                <w:bCs/>
                <w:color w:val="auto"/>
                <w:kern w:val="0"/>
                <w:sz w:val="21"/>
                <w:szCs w:val="21"/>
                <w:highlight w:val="none"/>
                <w:lang w:val="en-US" w:eastAsia="zh-CN" w:bidi="ar"/>
              </w:rPr>
              <w:t>（此项需提供与投标商品一致的近1年内进货合同和发票为1套完整的资料，提供不全或不提供不得分）</w:t>
            </w:r>
            <w:r>
              <w:rPr>
                <w:rFonts w:hint="eastAsia" w:ascii="微软雅黑" w:hAnsi="微软雅黑" w:eastAsia="微软雅黑" w:cs="微软雅黑"/>
                <w:color w:val="auto"/>
                <w:kern w:val="0"/>
                <w:sz w:val="21"/>
                <w:szCs w:val="21"/>
                <w:highlight w:val="none"/>
                <w:lang w:val="en-US" w:eastAsia="zh-CN" w:bidi="ar"/>
              </w:rPr>
              <w:t>满分3分。</w:t>
            </w:r>
          </w:p>
        </w:tc>
        <w:tc>
          <w:tcPr>
            <w:tcW w:w="1220" w:type="dxa"/>
            <w:vAlign w:val="center"/>
          </w:tcPr>
          <w:p w14:paraId="6EC5F218">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070F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continue"/>
            <w:vAlign w:val="center"/>
          </w:tcPr>
          <w:p w14:paraId="11B6DF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61978BEE">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企业能力</w:t>
            </w:r>
          </w:p>
        </w:tc>
        <w:tc>
          <w:tcPr>
            <w:tcW w:w="600" w:type="dxa"/>
            <w:vAlign w:val="center"/>
          </w:tcPr>
          <w:p w14:paraId="454B76D0">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4</w:t>
            </w:r>
          </w:p>
        </w:tc>
        <w:tc>
          <w:tcPr>
            <w:tcW w:w="6472" w:type="dxa"/>
            <w:shd w:val="clear" w:color="auto" w:fill="auto"/>
            <w:vAlign w:val="center"/>
          </w:tcPr>
          <w:p w14:paraId="5DFD3E1B">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供应商具有质量管理体系认证书、职业健康安全管理体系认证书、环境管理体系认证书、食品安全管理体系认证书，提供一项得1分，不提供不得分，满分4分。</w:t>
            </w:r>
          </w:p>
          <w:p w14:paraId="6E040FE2">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 xml:space="preserve">备注：提供证书复印件并加盖投标人公章。 </w:t>
            </w:r>
          </w:p>
        </w:tc>
        <w:tc>
          <w:tcPr>
            <w:tcW w:w="1220" w:type="dxa"/>
            <w:vAlign w:val="center"/>
          </w:tcPr>
          <w:p w14:paraId="7F2EF2A9">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55C7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continue"/>
            <w:vAlign w:val="center"/>
          </w:tcPr>
          <w:p w14:paraId="6CB1F3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3A428246">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配送车辆配备</w:t>
            </w:r>
          </w:p>
        </w:tc>
        <w:tc>
          <w:tcPr>
            <w:tcW w:w="600" w:type="dxa"/>
            <w:vAlign w:val="center"/>
          </w:tcPr>
          <w:p w14:paraId="39AEB0B1">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rPr>
                <w:rFonts w:hint="default"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10</w:t>
            </w:r>
          </w:p>
        </w:tc>
        <w:tc>
          <w:tcPr>
            <w:tcW w:w="6472" w:type="dxa"/>
            <w:shd w:val="clear" w:color="auto" w:fill="auto"/>
            <w:vAlign w:val="center"/>
          </w:tcPr>
          <w:p w14:paraId="7A1FB044">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b w:val="0"/>
                <w:bCs w:val="0"/>
                <w:color w:val="auto"/>
                <w:kern w:val="0"/>
                <w:sz w:val="21"/>
                <w:szCs w:val="21"/>
                <w:highlight w:val="none"/>
                <w:lang w:val="en-US" w:eastAsia="zh-CN" w:bidi="ar"/>
              </w:rPr>
            </w:pPr>
            <w:r>
              <w:rPr>
                <w:rFonts w:hint="eastAsia" w:ascii="微软雅黑" w:hAnsi="微软雅黑" w:eastAsia="微软雅黑" w:cs="微软雅黑"/>
                <w:b w:val="0"/>
                <w:bCs w:val="0"/>
                <w:color w:val="auto"/>
                <w:kern w:val="0"/>
                <w:sz w:val="21"/>
                <w:szCs w:val="21"/>
                <w:highlight w:val="none"/>
                <w:lang w:val="en-US" w:eastAsia="zh-CN" w:bidi="ar"/>
              </w:rPr>
              <w:t>大米、面粉、清油、玉米粉、鸡蛋投标企业应符合相关食品安全规定和卫生合格的专用厢式货车运输及配送，自有厢式货车（每车配一个司机）：提供6台或以上得10分，提供3至5台得6分，提供2台或以下得3分 ，租赁厢式货车（每车配一个司机）：提供一台得1分；满分10分。</w:t>
            </w:r>
          </w:p>
          <w:p w14:paraId="7E476688">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both"/>
              <w:textAlignment w:val="auto"/>
              <w:rPr>
                <w:rFonts w:hint="eastAsia" w:ascii="微软雅黑" w:hAnsi="微软雅黑" w:eastAsia="微软雅黑" w:cs="微软雅黑"/>
                <w:b w:val="0"/>
                <w:bCs w:val="0"/>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明⑤有效期内的动物产品运输车辆备案表并加盖备案机构章子（肉类需提供，其他不用提供）。上述资料复印件加盖投标人公章并提供齐全，方可视为1辆有效车辆，提供不全或不提供不得分。</w:t>
            </w:r>
          </w:p>
        </w:tc>
        <w:tc>
          <w:tcPr>
            <w:tcW w:w="1220" w:type="dxa"/>
            <w:vAlign w:val="center"/>
          </w:tcPr>
          <w:p w14:paraId="2844213E">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575B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846" w:type="dxa"/>
            <w:vMerge w:val="continue"/>
            <w:vAlign w:val="center"/>
          </w:tcPr>
          <w:p w14:paraId="13A698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auto"/>
                <w:kern w:val="0"/>
                <w:sz w:val="21"/>
                <w:szCs w:val="21"/>
                <w:highlight w:val="none"/>
                <w:lang w:eastAsia="zh-CN"/>
              </w:rPr>
            </w:pPr>
          </w:p>
        </w:tc>
        <w:tc>
          <w:tcPr>
            <w:tcW w:w="1233" w:type="dxa"/>
            <w:vAlign w:val="center"/>
          </w:tcPr>
          <w:p w14:paraId="4D18EA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仓储能力</w:t>
            </w:r>
          </w:p>
        </w:tc>
        <w:tc>
          <w:tcPr>
            <w:tcW w:w="600" w:type="dxa"/>
            <w:vAlign w:val="center"/>
          </w:tcPr>
          <w:p w14:paraId="5E18FD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5</w:t>
            </w:r>
          </w:p>
        </w:tc>
        <w:tc>
          <w:tcPr>
            <w:tcW w:w="6472" w:type="dxa"/>
            <w:shd w:val="clear" w:color="auto" w:fill="auto"/>
            <w:vAlign w:val="center"/>
          </w:tcPr>
          <w:p w14:paraId="58370F1E">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大米、面粉、清油、玉米粉、鸡蛋投标人需具备符合要求的仓库条件；仓库面积800平方米以上（不含800平方米），得 5 分；仓库面积400-800平方米（不含 400平方米），得 3分；仓库面积400平方米以下（含400平方米），不得分。</w:t>
            </w:r>
          </w:p>
          <w:p w14:paraId="2DDABC6C">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备注：需提供资料，①库房照片；②提供中标后在项目所在地设置符合要求的仓库承诺书；③产权证明或租赁合同（租赁期限截止时间不得在本项目合同终止时间前）。上述3项资料全部提供视为一套有效证明材料，提供不全或未提供不得分。</w:t>
            </w:r>
          </w:p>
        </w:tc>
        <w:tc>
          <w:tcPr>
            <w:tcW w:w="1220" w:type="dxa"/>
            <w:vMerge w:val="restart"/>
            <w:vAlign w:val="center"/>
          </w:tcPr>
          <w:p w14:paraId="1EF46B16">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6440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46" w:type="dxa"/>
            <w:vMerge w:val="continue"/>
            <w:vAlign w:val="center"/>
          </w:tcPr>
          <w:p w14:paraId="03F0B5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2D77AF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SA"/>
              </w:rPr>
              <w:t>食品安全责任保险</w:t>
            </w:r>
          </w:p>
        </w:tc>
        <w:tc>
          <w:tcPr>
            <w:tcW w:w="600" w:type="dxa"/>
            <w:vAlign w:val="center"/>
          </w:tcPr>
          <w:p w14:paraId="7610A36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1</w:t>
            </w:r>
          </w:p>
        </w:tc>
        <w:tc>
          <w:tcPr>
            <w:tcW w:w="6472" w:type="dxa"/>
            <w:vAlign w:val="center"/>
          </w:tcPr>
          <w:p w14:paraId="2DC4170F">
            <w:pPr>
              <w:pStyle w:val="11"/>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投标人提供中标后购买保额不低于中标总金额的食品安全责任保险承诺书得1分；没有的不得分。</w:t>
            </w:r>
          </w:p>
        </w:tc>
        <w:tc>
          <w:tcPr>
            <w:tcW w:w="1220" w:type="dxa"/>
            <w:vMerge w:val="continue"/>
            <w:vAlign w:val="center"/>
          </w:tcPr>
          <w:p w14:paraId="5F95A8BD">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D8C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46" w:type="dxa"/>
            <w:vMerge w:val="continue"/>
            <w:vAlign w:val="center"/>
          </w:tcPr>
          <w:p w14:paraId="19B802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vAlign w:val="center"/>
          </w:tcPr>
          <w:p w14:paraId="4216BF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食品安全主体责任</w:t>
            </w:r>
          </w:p>
        </w:tc>
        <w:tc>
          <w:tcPr>
            <w:tcW w:w="600" w:type="dxa"/>
            <w:vAlign w:val="center"/>
          </w:tcPr>
          <w:p w14:paraId="7D3988E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3</w:t>
            </w:r>
          </w:p>
        </w:tc>
        <w:tc>
          <w:tcPr>
            <w:tcW w:w="6472" w:type="dxa"/>
            <w:vAlign w:val="center"/>
          </w:tcPr>
          <w:p w14:paraId="12136634">
            <w:pPr>
              <w:pStyle w:val="11"/>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投标企业提供开标前近一个月内的日管控清单，周排查报告，月调度会议纪要，得分3分。</w:t>
            </w:r>
          </w:p>
          <w:p w14:paraId="74FD31E6">
            <w:pPr>
              <w:pStyle w:val="11"/>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z w:val="21"/>
                <w:szCs w:val="21"/>
                <w:lang w:val="en-US" w:eastAsia="zh-CN"/>
              </w:rPr>
              <w:t>备注：针对每一项内容提供印证资料，提供不全或不提供不得分。</w:t>
            </w:r>
          </w:p>
        </w:tc>
        <w:tc>
          <w:tcPr>
            <w:tcW w:w="1220" w:type="dxa"/>
            <w:vMerge w:val="continue"/>
            <w:vAlign w:val="center"/>
          </w:tcPr>
          <w:p w14:paraId="61A0E4A8">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01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46" w:type="dxa"/>
            <w:vMerge w:val="continue"/>
            <w:vAlign w:val="center"/>
          </w:tcPr>
          <w:p w14:paraId="55C87E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7ECDA4F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产品质量</w:t>
            </w:r>
          </w:p>
        </w:tc>
        <w:tc>
          <w:tcPr>
            <w:tcW w:w="600" w:type="dxa"/>
            <w:shd w:val="clear" w:color="auto" w:fill="auto"/>
            <w:vAlign w:val="center"/>
          </w:tcPr>
          <w:p w14:paraId="494714CA">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center"/>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4</w:t>
            </w:r>
          </w:p>
        </w:tc>
        <w:tc>
          <w:tcPr>
            <w:tcW w:w="6472" w:type="dxa"/>
            <w:shd w:val="clear" w:color="auto" w:fill="auto"/>
            <w:vAlign w:val="center"/>
          </w:tcPr>
          <w:p w14:paraId="24F258B5">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color w:val="auto"/>
                <w:kern w:val="0"/>
                <w:sz w:val="21"/>
                <w:szCs w:val="21"/>
                <w:highlight w:val="none"/>
                <w:lang w:val="en-US" w:eastAsia="zh-CN" w:bidi="ar"/>
              </w:rPr>
              <w:t>投标人提供全部所投产品符合《中华人民共和国食品安全法》要求的官方或官方授权的食品检测机构出具的检测报告（鸡蛋含兽药残留报告），提供的报告无缺页漏页，质量检测结果必须是合格的，并且检测报告结果符合参数要求，不得提供虚假检验检测报告，全部提供得 4 分。未提供或提供不全的此项不得分。</w:t>
            </w:r>
          </w:p>
          <w:p w14:paraId="2BC3161F">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right="0"/>
              <w:jc w:val="both"/>
              <w:textAlignment w:val="auto"/>
              <w:rPr>
                <w:rFonts w:hint="eastAsia" w:ascii="微软雅黑" w:hAnsi="微软雅黑" w:eastAsia="微软雅黑" w:cs="微软雅黑"/>
                <w:color w:val="auto"/>
                <w:kern w:val="0"/>
                <w:sz w:val="21"/>
                <w:szCs w:val="21"/>
                <w:highlight w:val="none"/>
                <w:lang w:val="en-US" w:eastAsia="zh-CN" w:bidi="ar"/>
              </w:rPr>
            </w:pPr>
            <w:r>
              <w:rPr>
                <w:rFonts w:hint="eastAsia" w:ascii="微软雅黑" w:hAnsi="微软雅黑" w:eastAsia="微软雅黑" w:cs="微软雅黑"/>
                <w:b/>
                <w:bCs/>
                <w:color w:val="auto"/>
                <w:kern w:val="0"/>
                <w:sz w:val="21"/>
                <w:szCs w:val="21"/>
                <w:highlight w:val="none"/>
                <w:lang w:val="en-US" w:eastAsia="zh-CN" w:bidi="ar"/>
              </w:rPr>
              <w:t>备注：提供检测机构的检测资质复印件（检测机构盖章），提供产品保质期内的检测报告，鸡蛋需提供近6个月内的检测报告，投标文件里可放与原件相符的复印件，复印件加盖投标人公章。</w:t>
            </w:r>
          </w:p>
        </w:tc>
        <w:tc>
          <w:tcPr>
            <w:tcW w:w="1220" w:type="dxa"/>
            <w:vMerge w:val="continue"/>
            <w:vAlign w:val="center"/>
          </w:tcPr>
          <w:p w14:paraId="222256C3">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570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46" w:type="dxa"/>
            <w:vMerge w:val="restart"/>
            <w:vAlign w:val="center"/>
          </w:tcPr>
          <w:p w14:paraId="3C73B6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技术</w:t>
            </w:r>
            <w:r>
              <w:rPr>
                <w:rFonts w:hint="eastAsia" w:ascii="微软雅黑" w:hAnsi="微软雅黑" w:eastAsia="微软雅黑" w:cs="微软雅黑"/>
                <w:b/>
                <w:bCs/>
                <w:color w:val="auto"/>
                <w:kern w:val="0"/>
                <w:sz w:val="21"/>
                <w:szCs w:val="21"/>
                <w:highlight w:val="none"/>
              </w:rPr>
              <w:t>评分标准</w:t>
            </w:r>
          </w:p>
        </w:tc>
        <w:tc>
          <w:tcPr>
            <w:tcW w:w="1233" w:type="dxa"/>
            <w:shd w:val="clear" w:color="auto" w:fill="auto"/>
            <w:vAlign w:val="center"/>
          </w:tcPr>
          <w:p w14:paraId="03CB9D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技术参数响应情况</w:t>
            </w:r>
          </w:p>
        </w:tc>
        <w:tc>
          <w:tcPr>
            <w:tcW w:w="600" w:type="dxa"/>
            <w:shd w:val="clear" w:color="auto" w:fill="auto"/>
            <w:vAlign w:val="center"/>
          </w:tcPr>
          <w:p w14:paraId="13BAA0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5</w:t>
            </w:r>
          </w:p>
        </w:tc>
        <w:tc>
          <w:tcPr>
            <w:tcW w:w="6472" w:type="dxa"/>
            <w:shd w:val="clear" w:color="auto" w:fill="auto"/>
            <w:vAlign w:val="center"/>
          </w:tcPr>
          <w:p w14:paraId="43C5E0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根据所投产品的成分规格与技术指标的响应程度打分。完全满足招标要求的得 3分；每有一项优于招标文件要求的加2分，满分5分。本项目技术参数指标不允许负偏离，如出现负偏离的视为投标无效。</w:t>
            </w:r>
          </w:p>
          <w:p w14:paraId="5E9C105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注：优于招标要求的需提供证明文件。</w:t>
            </w:r>
          </w:p>
        </w:tc>
        <w:tc>
          <w:tcPr>
            <w:tcW w:w="1220" w:type="dxa"/>
            <w:vAlign w:val="center"/>
          </w:tcPr>
          <w:p w14:paraId="35AB9835">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7C7E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846" w:type="dxa"/>
            <w:vMerge w:val="continue"/>
            <w:vAlign w:val="center"/>
          </w:tcPr>
          <w:p w14:paraId="4D46F9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42C11D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工作人员配备</w:t>
            </w:r>
          </w:p>
        </w:tc>
        <w:tc>
          <w:tcPr>
            <w:tcW w:w="600" w:type="dxa"/>
            <w:shd w:val="clear" w:color="auto" w:fill="auto"/>
            <w:vAlign w:val="center"/>
          </w:tcPr>
          <w:p w14:paraId="5F8D8B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6</w:t>
            </w:r>
          </w:p>
        </w:tc>
        <w:tc>
          <w:tcPr>
            <w:tcW w:w="6472" w:type="dxa"/>
            <w:shd w:val="clear" w:color="auto" w:fill="auto"/>
            <w:vAlign w:val="center"/>
          </w:tcPr>
          <w:p w14:paraId="0C2CD07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①确保食品安全、及时处理食材订单、核对账目、食材配送等工作顺利开展，以保障学校（幼儿园）按时供餐，需配备专职的工作人员，并明确职责分工。专职人员4人得2分，不足4人不得分；每增加1人加0.5分，最多加2分。满分4分。</w:t>
            </w:r>
          </w:p>
          <w:p w14:paraId="19238B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②投标人配齐食品安全总监和食品安全员，专门负责食品安全工作，配备1名食品安全总监（1分）；配备一名食品安全员（1分），满分2分。</w:t>
            </w:r>
          </w:p>
          <w:p w14:paraId="7D280A7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bCs/>
                <w:color w:val="auto"/>
                <w:kern w:val="0"/>
                <w:sz w:val="21"/>
                <w:szCs w:val="21"/>
                <w:highlight w:val="none"/>
                <w:lang w:val="en-US" w:eastAsia="zh-CN"/>
              </w:rPr>
              <w:t>备注：需提供①专职工作人员开标前近3个月内任何1个月的社保缴纳证明和劳务合同；②有效期内健康证明；③身份证明等证明材料。以上3项材料每人需全部提供方可得分，按照提供完整资料的人数计算打分，提供资料不全的不得分。</w:t>
            </w:r>
          </w:p>
        </w:tc>
        <w:tc>
          <w:tcPr>
            <w:tcW w:w="1220" w:type="dxa"/>
            <w:vAlign w:val="center"/>
          </w:tcPr>
          <w:p w14:paraId="06BDB82C">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3760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4CE76C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4187F21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配送服务方案</w:t>
            </w:r>
          </w:p>
        </w:tc>
        <w:tc>
          <w:tcPr>
            <w:tcW w:w="600" w:type="dxa"/>
            <w:shd w:val="clear" w:color="auto" w:fill="auto"/>
            <w:vAlign w:val="center"/>
          </w:tcPr>
          <w:p w14:paraId="6BB8DD4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6472" w:type="dxa"/>
            <w:shd w:val="clear" w:color="auto" w:fill="auto"/>
            <w:vAlign w:val="center"/>
          </w:tcPr>
          <w:p w14:paraId="647C82A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配送服务方案是指投标人在从仓库或生产厂家出厂到采购人指定的配送地点实际配送的过程规划，满足采购人需求且保证时效性。配送服务方案需明确配备人员的分工、验货不合格产品的退换方案，配送途中食材安全保障措施，前后内容不一致、存在凭空编造、前后逻辑错误、涉及的规范及标准错误、项目名称或实施地点区域错误、内容简略或与本项目无关等任意一种情形不得分。满分2分。</w:t>
            </w:r>
          </w:p>
        </w:tc>
        <w:tc>
          <w:tcPr>
            <w:tcW w:w="1220" w:type="dxa"/>
            <w:vAlign w:val="center"/>
          </w:tcPr>
          <w:p w14:paraId="1030564A">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38EB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4E4D16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4CFB7B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过程控制</w:t>
            </w:r>
          </w:p>
        </w:tc>
        <w:tc>
          <w:tcPr>
            <w:tcW w:w="600" w:type="dxa"/>
            <w:shd w:val="clear" w:color="auto" w:fill="auto"/>
            <w:vAlign w:val="center"/>
          </w:tcPr>
          <w:p w14:paraId="17F41E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6472" w:type="dxa"/>
            <w:shd w:val="clear" w:color="auto" w:fill="auto"/>
            <w:vAlign w:val="center"/>
          </w:tcPr>
          <w:p w14:paraId="6131D4D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投标人提供食品生产经营企业食品安全管理制度、食品生产经营者的自查制度、食品生产者进货查验记录制度报告。满分2分，提供不全不得分。</w:t>
            </w:r>
          </w:p>
        </w:tc>
        <w:tc>
          <w:tcPr>
            <w:tcW w:w="1220" w:type="dxa"/>
            <w:vAlign w:val="center"/>
          </w:tcPr>
          <w:p w14:paraId="41113654">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0502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1E7A3B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6BFBC2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食品安全保障方案</w:t>
            </w:r>
          </w:p>
        </w:tc>
        <w:tc>
          <w:tcPr>
            <w:tcW w:w="600" w:type="dxa"/>
            <w:shd w:val="clear" w:color="auto" w:fill="auto"/>
            <w:vAlign w:val="center"/>
          </w:tcPr>
          <w:p w14:paraId="6312FA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2</w:t>
            </w:r>
          </w:p>
        </w:tc>
        <w:tc>
          <w:tcPr>
            <w:tcW w:w="6472" w:type="dxa"/>
            <w:shd w:val="clear" w:color="auto" w:fill="auto"/>
            <w:vAlign w:val="center"/>
          </w:tcPr>
          <w:p w14:paraId="43D251E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人需考虑可能发生的突发情况，制定详细、可行的食品安全保障方案，主要针对不同的情形提供不同的解决方案，①食品卫生安全管理应急预案；②学生食物中毒应急预案；③防止食材未能及时送达应急预案。具有可操作性，能及时解决问题，满分2分。</w:t>
            </w:r>
          </w:p>
        </w:tc>
        <w:tc>
          <w:tcPr>
            <w:tcW w:w="1220" w:type="dxa"/>
            <w:vAlign w:val="center"/>
          </w:tcPr>
          <w:p w14:paraId="5CACDAE1">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65E0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7AE36A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6DD6A9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投标商食品库管安全管理</w:t>
            </w:r>
          </w:p>
        </w:tc>
        <w:tc>
          <w:tcPr>
            <w:tcW w:w="600" w:type="dxa"/>
            <w:shd w:val="clear" w:color="auto" w:fill="auto"/>
            <w:vAlign w:val="center"/>
          </w:tcPr>
          <w:p w14:paraId="565678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p>
        </w:tc>
        <w:tc>
          <w:tcPr>
            <w:tcW w:w="6472" w:type="dxa"/>
            <w:shd w:val="clear" w:color="auto" w:fill="auto"/>
            <w:vAlign w:val="center"/>
          </w:tcPr>
          <w:p w14:paraId="36A13BF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①有温湿度监测设备得0.5分；②有通风换气设备得0.5分；③商品分区分架分类存放得0.5分；④货物离墙离地10厘米以上存放得0.5分；⑤有防尘、防鼠、防虫设施得0.5分；⑥货物在不同区域有明显标识得0.5分；⑦散装食品有单独的盛装容器得0.5分；⑧货物在贮存位置标明食品的名称、生产日期、保质期、供货商及联系方式内容得0.5分。满分4分</w:t>
            </w:r>
            <w:r>
              <w:rPr>
                <w:rFonts w:hint="eastAsia" w:ascii="微软雅黑" w:hAnsi="微软雅黑" w:eastAsia="微软雅黑" w:cs="微软雅黑"/>
                <w:b/>
                <w:bCs/>
                <w:color w:val="auto"/>
                <w:kern w:val="0"/>
                <w:sz w:val="21"/>
                <w:szCs w:val="21"/>
                <w:highlight w:val="none"/>
                <w:lang w:val="en-US" w:eastAsia="zh-CN"/>
              </w:rPr>
              <w:t>（备注：针对每一项内容提供印证资料，如不提供不得分。）</w:t>
            </w:r>
          </w:p>
          <w:p w14:paraId="46A1B69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p>
        </w:tc>
        <w:tc>
          <w:tcPr>
            <w:tcW w:w="1220" w:type="dxa"/>
            <w:vAlign w:val="center"/>
          </w:tcPr>
          <w:p w14:paraId="63D85318">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1A28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846" w:type="dxa"/>
            <w:vMerge w:val="continue"/>
            <w:vAlign w:val="center"/>
          </w:tcPr>
          <w:p w14:paraId="2BB74F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rPr>
            </w:pPr>
          </w:p>
        </w:tc>
        <w:tc>
          <w:tcPr>
            <w:tcW w:w="1233" w:type="dxa"/>
            <w:shd w:val="clear" w:color="auto" w:fill="auto"/>
            <w:vAlign w:val="center"/>
          </w:tcPr>
          <w:p w14:paraId="750D15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售后服务及方案</w:t>
            </w:r>
          </w:p>
        </w:tc>
        <w:tc>
          <w:tcPr>
            <w:tcW w:w="600" w:type="dxa"/>
            <w:shd w:val="clear" w:color="auto" w:fill="auto"/>
            <w:vAlign w:val="center"/>
          </w:tcPr>
          <w:p w14:paraId="28A8E7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4</w:t>
            </w:r>
          </w:p>
        </w:tc>
        <w:tc>
          <w:tcPr>
            <w:tcW w:w="6472" w:type="dxa"/>
            <w:shd w:val="clear" w:color="auto" w:fill="auto"/>
            <w:vAlign w:val="center"/>
          </w:tcPr>
          <w:p w14:paraId="592697EA">
            <w:pPr>
              <w:keepNext w:val="0"/>
              <w:keepLines w:val="0"/>
              <w:pageBreakBefore w:val="0"/>
              <w:widowControl/>
              <w:numPr>
                <w:ilvl w:val="0"/>
                <w:numId w:val="13"/>
              </w:numPr>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售后服务点：投标企业需提供售后服务点（包含：场地彩色照片、自有产权或租赁合同等证明文件（租赁合同签订日期 6个月内视为临时合同，不计入评分），提供资料齐全的得 2 分，提供不全或不提供的均不得分。</w:t>
            </w:r>
          </w:p>
          <w:p w14:paraId="73E1C305">
            <w:pPr>
              <w:keepNext w:val="0"/>
              <w:keepLines w:val="0"/>
              <w:pageBreakBefore w:val="0"/>
              <w:widowControl/>
              <w:numPr>
                <w:ilvl w:val="0"/>
                <w:numId w:val="13"/>
              </w:numPr>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售后服务方案：投标企业需提供具有可操作性，能及时解决问题的售后服务方案，①方案中提供 24 小时的售后响应服务时间，提供固定的售后服务电话②针对质保期内出现产品质量问题，承诺接到电话派售后人员前往现场进行处理，确保在 2 小时内解决问题，满分2分，提供不全不得分。</w:t>
            </w:r>
          </w:p>
        </w:tc>
        <w:tc>
          <w:tcPr>
            <w:tcW w:w="1220" w:type="dxa"/>
            <w:vAlign w:val="center"/>
          </w:tcPr>
          <w:p w14:paraId="4167F437">
            <w:pPr>
              <w:keepNext w:val="0"/>
              <w:keepLines w:val="0"/>
              <w:pageBreakBefore w:val="0"/>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color w:val="auto"/>
                <w:sz w:val="21"/>
                <w:szCs w:val="21"/>
                <w:highlight w:val="none"/>
              </w:rPr>
            </w:pPr>
          </w:p>
        </w:tc>
      </w:tr>
      <w:tr w14:paraId="67F8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71" w:type="dxa"/>
            <w:gridSpan w:val="5"/>
            <w:vAlign w:val="center"/>
          </w:tcPr>
          <w:p w14:paraId="552199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微软雅黑"/>
                <w:color w:val="auto"/>
                <w:kern w:val="0"/>
                <w:sz w:val="21"/>
                <w:szCs w:val="21"/>
                <w:highlight w:val="none"/>
                <w:lang w:val="en-US" w:eastAsia="zh-CN"/>
              </w:rPr>
            </w:pPr>
          </w:p>
        </w:tc>
      </w:tr>
    </w:tbl>
    <w:p w14:paraId="118BD28C">
      <w:pPr>
        <w:rPr>
          <w:color w:val="auto"/>
          <w:highlight w:val="none"/>
        </w:rPr>
      </w:pPr>
    </w:p>
    <w:bookmarkEnd w:id="765"/>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14:paraId="494BE10F">
      <w:pPr>
        <w:rPr>
          <w:rFonts w:hint="eastAsia" w:ascii="微软雅黑" w:hAnsi="微软雅黑" w:eastAsia="微软雅黑" w:cs="微软雅黑"/>
          <w:color w:val="auto"/>
          <w:highlight w:val="none"/>
        </w:rPr>
      </w:pPr>
      <w:bookmarkStart w:id="786" w:name="_Toc4796"/>
      <w:bookmarkStart w:id="787" w:name="_Toc515647833"/>
      <w:bookmarkStart w:id="788" w:name="_Toc12089"/>
      <w:bookmarkStart w:id="789" w:name="_Toc6865"/>
      <w:r>
        <w:rPr>
          <w:rFonts w:hint="eastAsia" w:ascii="微软雅黑" w:hAnsi="微软雅黑" w:eastAsia="微软雅黑" w:cs="微软雅黑"/>
          <w:color w:val="auto"/>
          <w:highlight w:val="none"/>
        </w:rPr>
        <w:br w:type="page"/>
      </w:r>
    </w:p>
    <w:p w14:paraId="0E17EA35">
      <w:pPr>
        <w:pStyle w:val="2"/>
        <w:spacing w:line="240" w:lineRule="auto"/>
        <w:rPr>
          <w:rFonts w:ascii="微软雅黑" w:hAnsi="微软雅黑" w:eastAsia="微软雅黑" w:cs="微软雅黑"/>
          <w:color w:val="auto"/>
          <w:highlight w:val="none"/>
        </w:rPr>
      </w:pPr>
      <w:bookmarkStart w:id="790" w:name="_Toc16314"/>
      <w:r>
        <w:rPr>
          <w:rFonts w:hint="eastAsia" w:ascii="微软雅黑" w:hAnsi="微软雅黑" w:eastAsia="微软雅黑" w:cs="微软雅黑"/>
          <w:color w:val="auto"/>
          <w:highlight w:val="none"/>
        </w:rPr>
        <w:t>第7章 政府采购合同</w:t>
      </w:r>
      <w:bookmarkEnd w:id="786"/>
      <w:bookmarkEnd w:id="787"/>
      <w:bookmarkEnd w:id="788"/>
      <w:bookmarkEnd w:id="789"/>
      <w:bookmarkEnd w:id="790"/>
      <w:bookmarkStart w:id="791" w:name="_Hlt487972895"/>
      <w:bookmarkEnd w:id="791"/>
      <w:bookmarkStart w:id="792" w:name="_Toc487900382"/>
      <w:bookmarkStart w:id="793" w:name="_Toc216513788"/>
    </w:p>
    <w:bookmarkEnd w:id="792"/>
    <w:bookmarkEnd w:id="793"/>
    <w:p w14:paraId="2F66DF5E">
      <w:pPr>
        <w:rPr>
          <w:rFonts w:ascii="微软雅黑" w:hAnsi="微软雅黑" w:eastAsia="微软雅黑" w:cs="微软雅黑"/>
          <w:color w:val="auto"/>
          <w:highlight w:val="none"/>
        </w:rPr>
      </w:pPr>
    </w:p>
    <w:p w14:paraId="23EB65BC">
      <w:pPr>
        <w:pStyle w:val="11"/>
        <w:spacing w:after="0"/>
        <w:jc w:val="both"/>
        <w:rPr>
          <w:rFonts w:ascii="宋体" w:hAnsi="宋体" w:cs="宋体"/>
          <w:b/>
          <w:bCs/>
          <w:color w:val="auto"/>
          <w:spacing w:val="-20"/>
          <w:kern w:val="44"/>
          <w:sz w:val="48"/>
          <w:szCs w:val="48"/>
          <w:highlight w:val="none"/>
        </w:rPr>
      </w:pPr>
    </w:p>
    <w:p w14:paraId="673194F7">
      <w:pPr>
        <w:pStyle w:val="11"/>
        <w:spacing w:after="0"/>
        <w:jc w:val="center"/>
        <w:rPr>
          <w:rFonts w:ascii="宋体" w:hAnsi="宋体" w:cs="宋体"/>
          <w:b/>
          <w:bCs/>
          <w:color w:val="auto"/>
          <w:spacing w:val="-20"/>
          <w:kern w:val="44"/>
          <w:sz w:val="48"/>
          <w:szCs w:val="48"/>
          <w:highlight w:val="none"/>
        </w:rPr>
      </w:pPr>
    </w:p>
    <w:p w14:paraId="244A2CA4">
      <w:pPr>
        <w:pStyle w:val="2"/>
        <w:bidi w:val="0"/>
        <w:spacing w:line="240"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新疆维吾尔自治区学校食堂食材</w:t>
      </w:r>
    </w:p>
    <w:p w14:paraId="6294C4AA">
      <w:pPr>
        <w:pStyle w:val="2"/>
        <w:bidi w:val="0"/>
        <w:spacing w:line="240" w:lineRule="auto"/>
        <w:jc w:val="center"/>
        <w:rPr>
          <w:rFonts w:hint="eastAsia" w:ascii="微软雅黑" w:hAnsi="微软雅黑" w:eastAsia="微软雅黑" w:cs="微软雅黑"/>
          <w:color w:val="auto"/>
        </w:rPr>
      </w:pPr>
      <w:r>
        <w:rPr>
          <w:rFonts w:hint="eastAsia" w:ascii="微软雅黑" w:hAnsi="微软雅黑" w:eastAsia="微软雅黑" w:cs="微软雅黑"/>
          <w:color w:val="auto"/>
        </w:rPr>
        <w:t>采购合同</w:t>
      </w:r>
    </w:p>
    <w:p w14:paraId="24D2B5C2">
      <w:pPr>
        <w:pStyle w:val="2"/>
        <w:bidi w:val="0"/>
        <w:spacing w:line="240" w:lineRule="auto"/>
        <w:jc w:val="center"/>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8"/>
          <w:sz w:val="28"/>
          <w:szCs w:val="28"/>
        </w:rPr>
        <w:t>（示范文本）</w:t>
      </w:r>
    </w:p>
    <w:p w14:paraId="15E4B151">
      <w:pPr>
        <w:spacing w:before="2"/>
        <w:rPr>
          <w:rFonts w:hint="eastAsia" w:ascii="微软雅黑" w:hAnsi="微软雅黑" w:eastAsia="微软雅黑" w:cs="微软雅黑"/>
          <w:color w:val="auto"/>
          <w:sz w:val="28"/>
          <w:szCs w:val="28"/>
        </w:rPr>
      </w:pPr>
    </w:p>
    <w:p w14:paraId="4496824D">
      <w:pPr>
        <w:spacing w:before="2"/>
        <w:rPr>
          <w:rFonts w:hint="eastAsia" w:ascii="微软雅黑" w:hAnsi="微软雅黑" w:eastAsia="微软雅黑" w:cs="微软雅黑"/>
          <w:color w:val="auto"/>
          <w:sz w:val="28"/>
          <w:szCs w:val="28"/>
        </w:rPr>
      </w:pPr>
    </w:p>
    <w:p w14:paraId="723D21E5">
      <w:pPr>
        <w:spacing w:before="2"/>
        <w:rPr>
          <w:rFonts w:hint="eastAsia" w:ascii="微软雅黑" w:hAnsi="微软雅黑" w:eastAsia="微软雅黑" w:cs="微软雅黑"/>
          <w:color w:val="auto"/>
          <w:sz w:val="28"/>
          <w:szCs w:val="28"/>
        </w:rPr>
      </w:pPr>
    </w:p>
    <w:p w14:paraId="3124E5B7">
      <w:pPr>
        <w:spacing w:before="2"/>
        <w:rPr>
          <w:rFonts w:hint="eastAsia" w:ascii="微软雅黑" w:hAnsi="微软雅黑" w:eastAsia="微软雅黑" w:cs="微软雅黑"/>
          <w:color w:val="auto"/>
          <w:sz w:val="28"/>
          <w:szCs w:val="28"/>
        </w:rPr>
      </w:pPr>
    </w:p>
    <w:p w14:paraId="54E40A65">
      <w:pPr>
        <w:spacing w:before="2"/>
        <w:rPr>
          <w:rFonts w:hint="eastAsia" w:ascii="微软雅黑" w:hAnsi="微软雅黑" w:eastAsia="微软雅黑" w:cs="微软雅黑"/>
          <w:color w:val="auto"/>
          <w:sz w:val="28"/>
          <w:szCs w:val="28"/>
        </w:rPr>
      </w:pPr>
    </w:p>
    <w:p w14:paraId="406B52BC">
      <w:pPr>
        <w:spacing w:before="2"/>
        <w:rPr>
          <w:rFonts w:hint="eastAsia" w:ascii="微软雅黑" w:hAnsi="微软雅黑" w:eastAsia="微软雅黑" w:cs="微软雅黑"/>
          <w:color w:val="auto"/>
          <w:sz w:val="28"/>
          <w:szCs w:val="28"/>
        </w:rPr>
      </w:pPr>
    </w:p>
    <w:p w14:paraId="73C2E550">
      <w:pPr>
        <w:spacing w:before="2"/>
        <w:rPr>
          <w:rFonts w:hint="eastAsia" w:ascii="微软雅黑" w:hAnsi="微软雅黑" w:eastAsia="微软雅黑" w:cs="微软雅黑"/>
          <w:color w:val="auto"/>
          <w:sz w:val="28"/>
          <w:szCs w:val="28"/>
        </w:rPr>
      </w:pPr>
    </w:p>
    <w:p w14:paraId="57B4C030">
      <w:pPr>
        <w:spacing w:before="1"/>
        <w:rPr>
          <w:rFonts w:hint="eastAsia" w:ascii="微软雅黑" w:hAnsi="微软雅黑" w:eastAsia="微软雅黑" w:cs="微软雅黑"/>
          <w:color w:val="auto"/>
          <w:sz w:val="28"/>
          <w:szCs w:val="28"/>
        </w:rPr>
      </w:pPr>
    </w:p>
    <w:p w14:paraId="784DDADB">
      <w:pPr>
        <w:spacing w:before="1"/>
        <w:rPr>
          <w:rFonts w:hint="eastAsia" w:ascii="微软雅黑" w:hAnsi="微软雅黑" w:eastAsia="微软雅黑" w:cs="微软雅黑"/>
          <w:color w:val="auto"/>
          <w:sz w:val="28"/>
          <w:szCs w:val="28"/>
        </w:rPr>
      </w:pPr>
    </w:p>
    <w:p w14:paraId="6A0F301F">
      <w:pPr>
        <w:spacing w:before="1"/>
        <w:rPr>
          <w:rFonts w:hint="eastAsia" w:ascii="微软雅黑" w:hAnsi="微软雅黑" w:eastAsia="微软雅黑" w:cs="微软雅黑"/>
          <w:color w:val="auto"/>
          <w:sz w:val="28"/>
          <w:szCs w:val="28"/>
        </w:rPr>
      </w:pPr>
    </w:p>
    <w:p w14:paraId="471ACBF6">
      <w:pPr>
        <w:rPr>
          <w:rFonts w:hint="eastAsia" w:ascii="微软雅黑" w:hAnsi="微软雅黑" w:eastAsia="微软雅黑" w:cs="微软雅黑"/>
          <w:color w:val="auto"/>
          <w:sz w:val="28"/>
          <w:szCs w:val="28"/>
        </w:rPr>
        <w:sectPr>
          <w:footerReference r:id="rId10" w:type="default"/>
          <w:pgSz w:w="11906" w:h="16840"/>
          <w:pgMar w:top="1440" w:right="1080" w:bottom="1440" w:left="1080" w:header="0" w:footer="1340" w:gutter="0"/>
          <w:pgNumType w:fmt="decimal"/>
          <w:cols w:equalWidth="0" w:num="1">
            <w:col w:w="8504"/>
          </w:cols>
        </w:sectPr>
      </w:pPr>
    </w:p>
    <w:p w14:paraId="48A58FEB">
      <w:pPr>
        <w:spacing w:before="65" w:line="237" w:lineRule="auto"/>
        <w:ind w:left="2587" w:right="197" w:hanging="85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9"/>
          <w:sz w:val="28"/>
          <w:szCs w:val="28"/>
        </w:rPr>
        <w:t>新疆维吾尔</w:t>
      </w:r>
      <w:r>
        <w:rPr>
          <w:rFonts w:hint="eastAsia" w:ascii="微软雅黑" w:hAnsi="微软雅黑" w:eastAsia="微软雅黑" w:cs="微软雅黑"/>
          <w:color w:val="auto"/>
          <w:spacing w:val="-30"/>
          <w:sz w:val="28"/>
          <w:szCs w:val="28"/>
        </w:rPr>
        <w:t xml:space="preserve"> </w:t>
      </w:r>
      <w:r>
        <w:rPr>
          <w:rFonts w:hint="eastAsia" w:ascii="微软雅黑" w:hAnsi="微软雅黑" w:eastAsia="微软雅黑" w:cs="微软雅黑"/>
          <w:color w:val="auto"/>
          <w:spacing w:val="29"/>
          <w:sz w:val="28"/>
          <w:szCs w:val="28"/>
        </w:rPr>
        <w:t>自治</w:t>
      </w:r>
      <w:r>
        <w:rPr>
          <w:rFonts w:hint="eastAsia" w:ascii="微软雅黑" w:hAnsi="微软雅黑" w:eastAsia="微软雅黑" w:cs="微软雅黑"/>
          <w:color w:val="auto"/>
          <w:spacing w:val="-69"/>
          <w:sz w:val="28"/>
          <w:szCs w:val="28"/>
        </w:rPr>
        <w:t xml:space="preserve"> </w:t>
      </w:r>
      <w:r>
        <w:rPr>
          <w:rFonts w:hint="eastAsia" w:ascii="微软雅黑" w:hAnsi="微软雅黑" w:eastAsia="微软雅黑" w:cs="微软雅黑"/>
          <w:color w:val="auto"/>
          <w:spacing w:val="29"/>
          <w:sz w:val="28"/>
          <w:szCs w:val="28"/>
        </w:rPr>
        <w:t>区市场监督管理局</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9"/>
          <w:sz w:val="28"/>
          <w:szCs w:val="28"/>
        </w:rPr>
        <w:t>新疆维吾尔自治区教育厅</w:t>
      </w:r>
    </w:p>
    <w:p w14:paraId="1E275CE1">
      <w:pPr>
        <w:spacing w:line="14"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br w:type="column"/>
      </w:r>
    </w:p>
    <w:p w14:paraId="30595755">
      <w:pPr>
        <w:spacing w:before="214" w:line="226" w:lineRule="auto"/>
        <w:rPr>
          <w:rFonts w:hint="eastAsia" w:ascii="微软雅黑" w:hAnsi="微软雅黑" w:eastAsia="微软雅黑" w:cs="微软雅黑"/>
          <w:color w:val="auto"/>
          <w:sz w:val="28"/>
          <w:szCs w:val="28"/>
        </w:rPr>
        <w:sectPr>
          <w:type w:val="continuous"/>
          <w:pgSz w:w="11906" w:h="16840"/>
          <w:pgMar w:top="1431" w:right="1785" w:bottom="1603" w:left="1616" w:header="0" w:footer="1340" w:gutter="0"/>
          <w:pgNumType w:fmt="decimal"/>
          <w:cols w:equalWidth="0" w:num="2">
            <w:col w:w="7224" w:space="100"/>
            <w:col w:w="1181"/>
          </w:cols>
        </w:sectPr>
      </w:pPr>
      <w:r>
        <w:rPr>
          <w:rFonts w:hint="eastAsia" w:ascii="微软雅黑" w:hAnsi="微软雅黑" w:eastAsia="微软雅黑" w:cs="微软雅黑"/>
          <w:color w:val="auto"/>
          <w:sz w:val="28"/>
          <w:szCs w:val="28"/>
        </w:rPr>
        <w:t>制定</w:t>
      </w:r>
    </w:p>
    <w:p w14:paraId="5358C06C">
      <w:pPr>
        <w:spacing w:before="101" w:line="226" w:lineRule="auto"/>
        <w:jc w:val="center"/>
        <w:outlineLvl w:val="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使用说明</w:t>
      </w:r>
    </w:p>
    <w:p w14:paraId="230FFFA5">
      <w:pPr>
        <w:pStyle w:val="11"/>
        <w:spacing w:before="333" w:line="265" w:lineRule="auto"/>
        <w:ind w:left="17" w:right="88" w:firstLine="438"/>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一、为规范学校与企业的权利义务</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pacing w:val="-1"/>
          <w:sz w:val="28"/>
          <w:szCs w:val="28"/>
        </w:rPr>
        <w:t>，维护双方合法权益</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pacing w:val="-1"/>
          <w:sz w:val="28"/>
          <w:szCs w:val="28"/>
        </w:rPr>
        <w:t>，确保学校食堂大宗食</w:t>
      </w:r>
      <w:r>
        <w:rPr>
          <w:rFonts w:hint="eastAsia" w:ascii="微软雅黑" w:hAnsi="微软雅黑" w:eastAsia="微软雅黑" w:cs="微软雅黑"/>
          <w:color w:val="auto"/>
          <w:spacing w:val="-2"/>
          <w:sz w:val="28"/>
          <w:szCs w:val="28"/>
        </w:rPr>
        <w:t>材的安全</w:t>
      </w:r>
      <w:r>
        <w:rPr>
          <w:rFonts w:hint="eastAsia" w:ascii="微软雅黑" w:hAnsi="微软雅黑" w:eastAsia="微软雅黑" w:cs="微软雅黑"/>
          <w:color w:val="auto"/>
          <w:sz w:val="28"/>
          <w:szCs w:val="28"/>
        </w:rPr>
        <w:t>和质量</w:t>
      </w:r>
      <w:r>
        <w:rPr>
          <w:rFonts w:hint="eastAsia" w:ascii="微软雅黑" w:hAnsi="微软雅黑" w:eastAsia="微软雅黑" w:cs="微软雅黑"/>
          <w:color w:val="auto"/>
          <w:spacing w:val="-27"/>
          <w:sz w:val="28"/>
          <w:szCs w:val="28"/>
        </w:rPr>
        <w:t xml:space="preserve"> </w:t>
      </w:r>
      <w:r>
        <w:rPr>
          <w:rFonts w:hint="eastAsia" w:ascii="微软雅黑" w:hAnsi="微软雅黑" w:eastAsia="微软雅黑" w:cs="微软雅黑"/>
          <w:color w:val="auto"/>
          <w:sz w:val="28"/>
          <w:szCs w:val="28"/>
        </w:rPr>
        <w:t>，根据《中华人民共和国民法典》及相关法律法规、规章制度要求，制定本《合</w:t>
      </w:r>
      <w:r>
        <w:rPr>
          <w:rFonts w:hint="eastAsia" w:ascii="微软雅黑" w:hAnsi="微软雅黑" w:eastAsia="微软雅黑" w:cs="微软雅黑"/>
          <w:color w:val="auto"/>
          <w:spacing w:val="-1"/>
          <w:sz w:val="28"/>
          <w:szCs w:val="28"/>
        </w:rPr>
        <w:t>同示</w:t>
      </w:r>
      <w:r>
        <w:rPr>
          <w:rFonts w:hint="eastAsia" w:ascii="微软雅黑" w:hAnsi="微软雅黑" w:eastAsia="微软雅黑" w:cs="微软雅黑"/>
          <w:color w:val="auto"/>
          <w:spacing w:val="-2"/>
          <w:sz w:val="28"/>
          <w:szCs w:val="28"/>
        </w:rPr>
        <w:t>范文本》。</w:t>
      </w:r>
    </w:p>
    <w:p w14:paraId="666C3256">
      <w:pPr>
        <w:pStyle w:val="11"/>
        <w:spacing w:before="9" w:line="234" w:lineRule="auto"/>
        <w:ind w:left="18" w:right="88" w:firstLine="43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二、本《合同示范文本》供新疆维吾尔自治区行政区域内的学校与企业之间签订学校食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堂大宗食材采购合同时参照使用。</w:t>
      </w:r>
    </w:p>
    <w:p w14:paraId="090F036D">
      <w:pPr>
        <w:pStyle w:val="11"/>
        <w:spacing w:before="104" w:line="234" w:lineRule="auto"/>
        <w:ind w:left="11" w:right="88" w:firstLine="447"/>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三、本《合同示范文本》</w:t>
      </w:r>
      <w:r>
        <w:rPr>
          <w:rFonts w:hint="eastAsia" w:ascii="微软雅黑" w:hAnsi="微软雅黑" w:eastAsia="微软雅黑" w:cs="微软雅黑"/>
          <w:color w:val="auto"/>
          <w:spacing w:val="-30"/>
          <w:sz w:val="28"/>
          <w:szCs w:val="28"/>
        </w:rPr>
        <w:t xml:space="preserve"> </w:t>
      </w:r>
      <w:r>
        <w:rPr>
          <w:rFonts w:hint="eastAsia" w:ascii="微软雅黑" w:hAnsi="微软雅黑" w:eastAsia="微软雅黑" w:cs="微软雅黑"/>
          <w:color w:val="auto"/>
          <w:sz w:val="28"/>
          <w:szCs w:val="28"/>
        </w:rPr>
        <w:t xml:space="preserve">由新疆维吾尔自治区市场监督管理局和新疆维吾尔自治区教育 </w:t>
      </w:r>
      <w:r>
        <w:rPr>
          <w:rFonts w:hint="eastAsia" w:ascii="微软雅黑" w:hAnsi="微软雅黑" w:eastAsia="微软雅黑" w:cs="微软雅黑"/>
          <w:color w:val="auto"/>
          <w:spacing w:val="-1"/>
          <w:sz w:val="28"/>
          <w:szCs w:val="28"/>
        </w:rPr>
        <w:t>厅共同制定发布并负责解释。</w:t>
      </w:r>
    </w:p>
    <w:p w14:paraId="0ED38C70">
      <w:pPr>
        <w:pStyle w:val="11"/>
        <w:spacing w:before="103" w:line="234" w:lineRule="auto"/>
        <w:ind w:left="12" w:right="88" w:firstLine="465"/>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四、当事人参照本《合同示范文本》订立合同的，应充分理解合同中条款的内容，并自</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z w:val="28"/>
          <w:szCs w:val="28"/>
        </w:rPr>
        <w:t>行承担合同订立履行所发生的法律后果</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z w:val="28"/>
          <w:szCs w:val="28"/>
        </w:rPr>
        <w:t>。当事人对合同条款理解发生争议时，应按照有关法</w:t>
      </w:r>
      <w:r>
        <w:rPr>
          <w:rFonts w:hint="eastAsia" w:ascii="微软雅黑" w:hAnsi="微软雅黑" w:eastAsia="微软雅黑" w:cs="微软雅黑"/>
          <w:color w:val="auto"/>
          <w:spacing w:val="-1"/>
          <w:sz w:val="28"/>
          <w:szCs w:val="28"/>
        </w:rPr>
        <w:t>律法规规定对条款进行解释。</w:t>
      </w:r>
    </w:p>
    <w:p w14:paraId="3AFB6D13">
      <w:pPr>
        <w:pStyle w:val="11"/>
        <w:spacing w:before="102" w:line="265" w:lineRule="auto"/>
        <w:ind w:left="12" w:right="88" w:firstLine="447"/>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五、合同当事人参照本《合同示范文本》订立合同时</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z w:val="28"/>
          <w:szCs w:val="28"/>
        </w:rPr>
        <w:t>，可以根据实际情况修</w:t>
      </w:r>
      <w:r>
        <w:rPr>
          <w:rFonts w:hint="eastAsia" w:ascii="微软雅黑" w:hAnsi="微软雅黑" w:eastAsia="微软雅黑" w:cs="微软雅黑"/>
          <w:color w:val="auto"/>
          <w:spacing w:val="-1"/>
          <w:sz w:val="28"/>
          <w:szCs w:val="28"/>
        </w:rPr>
        <w:t>改、增补合</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同内容。但是对文本中的格式条款如果进行了修</w:t>
      </w:r>
      <w:r>
        <w:rPr>
          <w:rFonts w:hint="eastAsia" w:ascii="微软雅黑" w:hAnsi="微软雅黑" w:eastAsia="微软雅黑" w:cs="微软雅黑"/>
          <w:color w:val="auto"/>
          <w:sz w:val="28"/>
          <w:szCs w:val="28"/>
        </w:rPr>
        <w:t>改、增补的，不得以“合同示范文本</w:t>
      </w:r>
      <w:r>
        <w:rPr>
          <w:rFonts w:hint="eastAsia" w:ascii="微软雅黑" w:hAnsi="微软雅黑" w:eastAsia="微软雅黑" w:cs="微软雅黑"/>
          <w:color w:val="auto"/>
          <w:spacing w:val="-47"/>
          <w:sz w:val="28"/>
          <w:szCs w:val="28"/>
        </w:rPr>
        <w:t xml:space="preserve"> </w:t>
      </w:r>
      <w:r>
        <w:rPr>
          <w:rFonts w:hint="eastAsia" w:ascii="微软雅黑" w:hAnsi="微软雅黑" w:eastAsia="微软雅黑" w:cs="微软雅黑"/>
          <w:color w:val="auto"/>
          <w:sz w:val="28"/>
          <w:szCs w:val="28"/>
        </w:rPr>
        <w:t xml:space="preserve">”名义 </w:t>
      </w:r>
      <w:r>
        <w:rPr>
          <w:rFonts w:hint="eastAsia" w:ascii="微软雅黑" w:hAnsi="微软雅黑" w:eastAsia="微软雅黑" w:cs="微软雅黑"/>
          <w:color w:val="auto"/>
          <w:spacing w:val="-1"/>
          <w:sz w:val="28"/>
          <w:szCs w:val="28"/>
        </w:rPr>
        <w:t>使用。</w:t>
      </w:r>
    </w:p>
    <w:p w14:paraId="751DC556">
      <w:pPr>
        <w:pStyle w:val="11"/>
        <w:spacing w:before="9" w:line="265" w:lineRule="auto"/>
        <w:ind w:left="13" w:firstLine="44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六、本《合同示范文本》中所称的学校食堂食材采购是</w:t>
      </w:r>
      <w:r>
        <w:rPr>
          <w:rFonts w:hint="eastAsia" w:ascii="微软雅黑" w:hAnsi="微软雅黑" w:eastAsia="微软雅黑" w:cs="微软雅黑"/>
          <w:color w:val="auto"/>
          <w:spacing w:val="-3"/>
          <w:sz w:val="28"/>
          <w:szCs w:val="28"/>
        </w:rPr>
        <w:t>指：学校对具有相关资质、规模、</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技术、服务质量等方面优势的供应商为学校自办食堂或委托管理服务性质</w:t>
      </w:r>
      <w:r>
        <w:rPr>
          <w:rFonts w:hint="eastAsia" w:ascii="微软雅黑" w:hAnsi="微软雅黑" w:eastAsia="微软雅黑" w:cs="微软雅黑"/>
          <w:color w:val="auto"/>
          <w:spacing w:val="-3"/>
          <w:sz w:val="28"/>
          <w:szCs w:val="28"/>
        </w:rPr>
        <w:t>的食堂提供米、面、</w:t>
      </w:r>
      <w:r>
        <w:rPr>
          <w:rFonts w:hint="eastAsia" w:ascii="微软雅黑" w:hAnsi="微软雅黑" w:eastAsia="微软雅黑" w:cs="微软雅黑"/>
          <w:color w:val="auto"/>
          <w:sz w:val="28"/>
          <w:szCs w:val="28"/>
        </w:rPr>
        <w:t xml:space="preserve"> 油、肉、蛋、奶等大宗原材料进行统一配送服务的购</w:t>
      </w:r>
      <w:r>
        <w:rPr>
          <w:rFonts w:hint="eastAsia" w:ascii="微软雅黑" w:hAnsi="微软雅黑" w:eastAsia="微软雅黑" w:cs="微软雅黑"/>
          <w:color w:val="auto"/>
          <w:spacing w:val="-1"/>
          <w:sz w:val="28"/>
          <w:szCs w:val="28"/>
        </w:rPr>
        <w:t>买行为。</w:t>
      </w:r>
    </w:p>
    <w:p w14:paraId="01157E02">
      <w:pPr>
        <w:pStyle w:val="11"/>
        <w:spacing w:before="13" w:line="263" w:lineRule="auto"/>
        <w:ind w:left="15" w:right="88" w:firstLine="43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七、本《合同示范文本》</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中所称的学校是指：普通中小</w:t>
      </w:r>
      <w:r>
        <w:rPr>
          <w:rFonts w:hint="eastAsia" w:ascii="微软雅黑" w:hAnsi="微软雅黑" w:eastAsia="微软雅黑" w:cs="微软雅黑"/>
          <w:color w:val="auto"/>
          <w:spacing w:val="-1"/>
          <w:sz w:val="28"/>
          <w:szCs w:val="28"/>
        </w:rPr>
        <w:t>学校</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1"/>
          <w:sz w:val="28"/>
          <w:szCs w:val="28"/>
        </w:rPr>
        <w:t>、中等职业学校、高等教育</w:t>
      </w:r>
      <w:r>
        <w:rPr>
          <w:rFonts w:hint="eastAsia" w:ascii="微软雅黑" w:hAnsi="微软雅黑" w:eastAsia="微软雅黑" w:cs="微软雅黑"/>
          <w:color w:val="auto"/>
          <w:sz w:val="28"/>
          <w:szCs w:val="28"/>
        </w:rPr>
        <w:t xml:space="preserve"> 学校、特殊教育学校、专门学校等，包括幼儿园、小学、初</w:t>
      </w:r>
      <w:r>
        <w:rPr>
          <w:rFonts w:hint="eastAsia" w:ascii="微软雅黑" w:hAnsi="微软雅黑" w:eastAsia="微软雅黑" w:cs="微软雅黑"/>
          <w:color w:val="auto"/>
          <w:spacing w:val="-1"/>
          <w:sz w:val="28"/>
          <w:szCs w:val="28"/>
        </w:rPr>
        <w:t>中、高中和大学。</w:t>
      </w:r>
    </w:p>
    <w:p w14:paraId="783E6A54">
      <w:pPr>
        <w:pStyle w:val="11"/>
        <w:spacing w:before="14" w:line="265" w:lineRule="auto"/>
        <w:ind w:right="88" w:firstLine="452"/>
        <w:rPr>
          <w:rFonts w:hint="eastAsia" w:ascii="微软雅黑" w:hAnsi="微软雅黑" w:eastAsia="微软雅黑" w:cs="微软雅黑"/>
          <w:b/>
          <w:bCs/>
          <w:color w:val="auto"/>
          <w:spacing w:val="12"/>
          <w:sz w:val="36"/>
          <w:szCs w:val="36"/>
        </w:rPr>
      </w:pPr>
      <w:r>
        <w:rPr>
          <w:rFonts w:hint="eastAsia" w:ascii="微软雅黑" w:hAnsi="微软雅黑" w:eastAsia="微软雅黑" w:cs="微软雅黑"/>
          <w:color w:val="auto"/>
          <w:spacing w:val="1"/>
          <w:sz w:val="28"/>
          <w:szCs w:val="28"/>
        </w:rPr>
        <w:t>八、为保证合同条款的全面、准确，请在“新疆</w:t>
      </w:r>
      <w:r>
        <w:rPr>
          <w:rFonts w:hint="eastAsia" w:ascii="微软雅黑" w:hAnsi="微软雅黑" w:eastAsia="微软雅黑" w:cs="微软雅黑"/>
          <w:color w:val="auto"/>
          <w:sz w:val="28"/>
          <w:szCs w:val="28"/>
        </w:rPr>
        <w:t>维吾尔自治区市场监督管理局</w:t>
      </w:r>
      <w:r>
        <w:rPr>
          <w:rFonts w:hint="eastAsia" w:ascii="微软雅黑" w:hAnsi="微软雅黑" w:eastAsia="微软雅黑" w:cs="微软雅黑"/>
          <w:color w:val="auto"/>
          <w:spacing w:val="-47"/>
          <w:sz w:val="28"/>
          <w:szCs w:val="28"/>
        </w:rPr>
        <w:t xml:space="preserve"> </w:t>
      </w:r>
      <w:r>
        <w:rPr>
          <w:rFonts w:hint="eastAsia" w:ascii="微软雅黑" w:hAnsi="微软雅黑" w:eastAsia="微软雅黑" w:cs="微软雅黑"/>
          <w:color w:val="auto"/>
          <w:sz w:val="28"/>
          <w:szCs w:val="28"/>
        </w:rPr>
        <w:t xml:space="preserve">”门户网 </w:t>
      </w:r>
      <w:r>
        <w:rPr>
          <w:rFonts w:hint="eastAsia" w:ascii="微软雅黑" w:hAnsi="微软雅黑" w:eastAsia="微软雅黑" w:cs="微软雅黑"/>
          <w:color w:val="auto"/>
          <w:spacing w:val="-1"/>
          <w:sz w:val="28"/>
          <w:szCs w:val="28"/>
        </w:rPr>
        <w:t>站（ www.xjaic.gov.cn ）“</w:t>
      </w:r>
      <w:r>
        <w:rPr>
          <w:rFonts w:hint="eastAsia" w:ascii="微软雅黑" w:hAnsi="微软雅黑" w:eastAsia="微软雅黑" w:cs="微软雅黑"/>
          <w:color w:val="auto"/>
          <w:spacing w:val="-45"/>
          <w:sz w:val="28"/>
          <w:szCs w:val="28"/>
        </w:rPr>
        <w:t xml:space="preserve"> </w:t>
      </w:r>
      <w:r>
        <w:rPr>
          <w:rFonts w:hint="eastAsia" w:ascii="微软雅黑" w:hAnsi="微软雅黑" w:eastAsia="微软雅黑" w:cs="微软雅黑"/>
          <w:color w:val="auto"/>
          <w:spacing w:val="-1"/>
          <w:sz w:val="28"/>
          <w:szCs w:val="28"/>
        </w:rPr>
        <w:t>合同示范文本</w:t>
      </w:r>
      <w:r>
        <w:rPr>
          <w:rFonts w:hint="eastAsia" w:ascii="微软雅黑" w:hAnsi="微软雅黑" w:eastAsia="微软雅黑" w:cs="微软雅黑"/>
          <w:color w:val="auto"/>
          <w:spacing w:val="-30"/>
          <w:sz w:val="28"/>
          <w:szCs w:val="28"/>
        </w:rPr>
        <w:t xml:space="preserve"> </w:t>
      </w:r>
      <w:r>
        <w:rPr>
          <w:rFonts w:hint="eastAsia" w:ascii="微软雅黑" w:hAnsi="微软雅黑" w:eastAsia="微软雅黑" w:cs="微软雅黑"/>
          <w:color w:val="auto"/>
          <w:spacing w:val="-1"/>
          <w:sz w:val="28"/>
          <w:szCs w:val="28"/>
        </w:rPr>
        <w:t>”模块</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45"/>
          <w:sz w:val="28"/>
          <w:szCs w:val="28"/>
        </w:rPr>
        <w:t xml:space="preserve"> </w:t>
      </w:r>
      <w:r>
        <w:rPr>
          <w:rFonts w:hint="eastAsia" w:ascii="微软雅黑" w:hAnsi="微软雅黑" w:eastAsia="微软雅黑" w:cs="微软雅黑"/>
          <w:color w:val="auto"/>
          <w:spacing w:val="-1"/>
          <w:sz w:val="28"/>
          <w:szCs w:val="28"/>
        </w:rPr>
        <w:t>新疆维吾尔自治区教育厅</w:t>
      </w:r>
      <w:r>
        <w:rPr>
          <w:rFonts w:hint="eastAsia" w:ascii="微软雅黑" w:hAnsi="微软雅黑" w:eastAsia="微软雅黑" w:cs="微软雅黑"/>
          <w:color w:val="auto"/>
          <w:spacing w:val="-31"/>
          <w:sz w:val="28"/>
          <w:szCs w:val="28"/>
        </w:rPr>
        <w:t xml:space="preserve"> </w:t>
      </w: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2"/>
          <w:sz w:val="28"/>
          <w:szCs w:val="28"/>
        </w:rPr>
        <w:t>门户网站</w:t>
      </w:r>
      <w:r>
        <w:rPr>
          <w:rFonts w:hint="eastAsia" w:ascii="微软雅黑" w:hAnsi="微软雅黑" w:eastAsia="微软雅黑" w:cs="微软雅黑"/>
          <w:color w:val="auto"/>
          <w:spacing w:val="-5"/>
          <w:sz w:val="28"/>
          <w:szCs w:val="28"/>
        </w:rPr>
        <w:t>（jyt.xinjiang.gov.cn）相关栏目等渠</w:t>
      </w:r>
      <w:r>
        <w:rPr>
          <w:rFonts w:hint="eastAsia" w:ascii="微软雅黑" w:hAnsi="微软雅黑" w:eastAsia="微软雅黑" w:cs="微软雅黑"/>
          <w:color w:val="auto"/>
          <w:spacing w:val="-6"/>
          <w:sz w:val="28"/>
          <w:szCs w:val="28"/>
        </w:rPr>
        <w:t>道下载本《合同示范文本》，任何单位和个人不得出于商</w:t>
      </w:r>
      <w:r>
        <w:rPr>
          <w:rFonts w:hint="eastAsia" w:ascii="微软雅黑" w:hAnsi="微软雅黑" w:eastAsia="微软雅黑" w:cs="微软雅黑"/>
          <w:color w:val="auto"/>
          <w:sz w:val="28"/>
          <w:szCs w:val="28"/>
        </w:rPr>
        <w:t xml:space="preserve"> 业目的擅自翻印和出售《合同示范文本》。</w:t>
      </w:r>
    </w:p>
    <w:p w14:paraId="4E6157C6">
      <w:pPr>
        <w:spacing w:before="140" w:line="232" w:lineRule="auto"/>
        <w:ind w:left="3534" w:right="1344" w:hanging="2245"/>
        <w:jc w:val="center"/>
        <w:rPr>
          <w:rFonts w:hint="eastAsia" w:ascii="微软雅黑" w:hAnsi="微软雅黑" w:eastAsia="微软雅黑" w:cs="微软雅黑"/>
          <w:color w:val="auto"/>
          <w:spacing w:val="3"/>
          <w:sz w:val="36"/>
          <w:szCs w:val="36"/>
        </w:rPr>
      </w:pPr>
      <w:r>
        <w:rPr>
          <w:rFonts w:hint="eastAsia" w:ascii="微软雅黑" w:hAnsi="微软雅黑" w:eastAsia="微软雅黑" w:cs="微软雅黑"/>
          <w:b/>
          <w:bCs/>
          <w:color w:val="auto"/>
          <w:spacing w:val="12"/>
          <w:sz w:val="36"/>
          <w:szCs w:val="36"/>
        </w:rPr>
        <w:t>新疆维吾尔自治区学校食堂食材</w:t>
      </w:r>
    </w:p>
    <w:p w14:paraId="4ECED8EB">
      <w:pPr>
        <w:spacing w:before="140" w:line="232" w:lineRule="auto"/>
        <w:ind w:left="3534" w:right="1344" w:hanging="2245"/>
        <w:jc w:val="center"/>
        <w:rPr>
          <w:rFonts w:hint="eastAsia" w:ascii="微软雅黑" w:hAnsi="微软雅黑" w:eastAsia="微软雅黑" w:cs="微软雅黑"/>
          <w:color w:val="auto"/>
          <w:sz w:val="36"/>
          <w:szCs w:val="36"/>
        </w:rPr>
      </w:pPr>
      <w:r>
        <w:rPr>
          <w:rFonts w:hint="eastAsia" w:ascii="微软雅黑" w:hAnsi="微软雅黑" w:eastAsia="微软雅黑" w:cs="微软雅黑"/>
          <w:b/>
          <w:bCs/>
          <w:color w:val="auto"/>
          <w:spacing w:val="8"/>
          <w:sz w:val="36"/>
          <w:szCs w:val="36"/>
        </w:rPr>
        <w:t>采购合同</w:t>
      </w:r>
    </w:p>
    <w:p w14:paraId="326583B1">
      <w:pPr>
        <w:spacing w:line="303" w:lineRule="auto"/>
        <w:rPr>
          <w:rFonts w:hint="eastAsia" w:ascii="微软雅黑" w:hAnsi="微软雅黑" w:eastAsia="微软雅黑" w:cs="微软雅黑"/>
          <w:color w:val="auto"/>
          <w:sz w:val="28"/>
          <w:szCs w:val="28"/>
        </w:rPr>
      </w:pPr>
    </w:p>
    <w:p w14:paraId="13CFBB3E">
      <w:pPr>
        <w:pStyle w:val="11"/>
        <w:spacing w:before="103" w:line="196" w:lineRule="auto"/>
        <w:ind w:firstLine="282"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甲方（学校方</w:t>
      </w:r>
      <w:r>
        <w:rPr>
          <w:rFonts w:hint="eastAsia" w:ascii="微软雅黑" w:hAnsi="微软雅黑" w:eastAsia="微软雅黑" w:cs="微软雅黑"/>
          <w:color w:val="auto"/>
          <w:sz w:val="28"/>
          <w:szCs w:val="28"/>
        </w:rPr>
        <w:t>）：</w:t>
      </w:r>
    </w:p>
    <w:p w14:paraId="538465B5">
      <w:pPr>
        <w:pStyle w:val="11"/>
        <w:spacing w:before="103" w:line="196" w:lineRule="auto"/>
        <w:ind w:firstLine="282" w:firstLineChars="100"/>
        <w:rPr>
          <w:rFonts w:hint="eastAsia" w:ascii="微软雅黑" w:hAnsi="微软雅黑" w:eastAsia="微软雅黑" w:cs="微软雅黑"/>
          <w:color w:val="auto"/>
          <w:spacing w:val="1"/>
          <w:sz w:val="28"/>
          <w:szCs w:val="28"/>
        </w:rPr>
      </w:pPr>
      <w:r>
        <w:rPr>
          <w:rFonts w:hint="eastAsia" w:ascii="微软雅黑" w:hAnsi="微软雅黑" w:eastAsia="微软雅黑" w:cs="微软雅黑"/>
          <w:color w:val="auto"/>
          <w:spacing w:val="1"/>
          <w:sz w:val="28"/>
          <w:szCs w:val="28"/>
        </w:rPr>
        <w:t>统一社会信用代码：</w:t>
      </w:r>
    </w:p>
    <w:p w14:paraId="54665F91">
      <w:pPr>
        <w:pStyle w:val="11"/>
        <w:spacing w:line="240" w:lineRule="auto"/>
        <w:ind w:right="0" w:firstLine="286"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乙方（</w:t>
      </w:r>
      <w:r>
        <w:rPr>
          <w:rFonts w:hint="eastAsia" w:ascii="微软雅黑" w:hAnsi="微软雅黑" w:eastAsia="微软雅黑" w:cs="微软雅黑"/>
          <w:color w:val="auto"/>
          <w:spacing w:val="3"/>
          <w:sz w:val="28"/>
          <w:szCs w:val="28"/>
          <w:lang w:val="en-US" w:eastAsia="zh-CN"/>
        </w:rPr>
        <w:t>供货方</w:t>
      </w:r>
      <w:r>
        <w:rPr>
          <w:rFonts w:hint="eastAsia" w:ascii="微软雅黑" w:hAnsi="微软雅黑" w:eastAsia="微软雅黑" w:cs="微软雅黑"/>
          <w:color w:val="auto"/>
          <w:spacing w:val="1"/>
          <w:sz w:val="28"/>
          <w:szCs w:val="28"/>
        </w:rPr>
        <w:t>）：</w:t>
      </w:r>
    </w:p>
    <w:p w14:paraId="5521034F">
      <w:pPr>
        <w:pStyle w:val="11"/>
        <w:spacing w:before="20" w:line="200" w:lineRule="auto"/>
        <w:ind w:firstLine="290"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统一社会信用代码：</w:t>
      </w:r>
    </w:p>
    <w:p w14:paraId="3ED09440">
      <w:pPr>
        <w:spacing w:line="273" w:lineRule="auto"/>
        <w:rPr>
          <w:rFonts w:hint="eastAsia" w:ascii="微软雅黑" w:hAnsi="微软雅黑" w:eastAsia="微软雅黑" w:cs="微软雅黑"/>
          <w:color w:val="auto"/>
          <w:sz w:val="28"/>
          <w:szCs w:val="28"/>
        </w:rPr>
      </w:pPr>
    </w:p>
    <w:p w14:paraId="7CB7C3D9">
      <w:pPr>
        <w:pStyle w:val="11"/>
        <w:spacing w:before="103" w:line="289" w:lineRule="auto"/>
        <w:ind w:left="3" w:firstLine="495"/>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依据《中华人民共和国民法典》《招投标文件》《中标通知</w:t>
      </w:r>
      <w:r>
        <w:rPr>
          <w:rFonts w:hint="eastAsia" w:ascii="微软雅黑" w:hAnsi="微软雅黑" w:eastAsia="微软雅黑" w:cs="微软雅黑"/>
          <w:color w:val="auto"/>
          <w:spacing w:val="6"/>
          <w:sz w:val="28"/>
          <w:szCs w:val="28"/>
        </w:rPr>
        <w:t>书》及其他法律、</w:t>
      </w:r>
      <w:r>
        <w:rPr>
          <w:rFonts w:hint="eastAsia" w:ascii="微软雅黑" w:hAnsi="微软雅黑" w:eastAsia="微软雅黑" w:cs="微软雅黑"/>
          <w:color w:val="auto"/>
          <w:sz w:val="28"/>
          <w:szCs w:val="28"/>
        </w:rPr>
        <w:t xml:space="preserve"> 法规</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z w:val="28"/>
          <w:szCs w:val="28"/>
        </w:rPr>
        <w:t>、规章规定</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z w:val="28"/>
          <w:szCs w:val="28"/>
        </w:rPr>
        <w:t>，遵循平等</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自愿</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、公平和诚实信用原则</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z w:val="28"/>
          <w:szCs w:val="28"/>
        </w:rPr>
        <w:t xml:space="preserve">，经甲乙双方协商一致， </w:t>
      </w:r>
      <w:r>
        <w:rPr>
          <w:rFonts w:hint="eastAsia" w:ascii="微软雅黑" w:hAnsi="微软雅黑" w:eastAsia="微软雅黑" w:cs="微软雅黑"/>
          <w:color w:val="auto"/>
          <w:spacing w:val="5"/>
          <w:sz w:val="28"/>
          <w:szCs w:val="28"/>
        </w:rPr>
        <w:t>就学校食堂采购食材事宜，签订本合同，食材具体质量要求详见附件《学校大宗食</w:t>
      </w:r>
      <w:r>
        <w:rPr>
          <w:rFonts w:hint="eastAsia" w:ascii="微软雅黑" w:hAnsi="微软雅黑" w:eastAsia="微软雅黑" w:cs="微软雅黑"/>
          <w:color w:val="auto"/>
          <w:spacing w:val="6"/>
          <w:sz w:val="28"/>
          <w:szCs w:val="28"/>
        </w:rPr>
        <w:t>材原（辅）料技术及质量要求表》</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pacing w:val="6"/>
          <w:sz w:val="28"/>
          <w:szCs w:val="28"/>
        </w:rPr>
        <w:t>。</w:t>
      </w:r>
    </w:p>
    <w:p w14:paraId="0A00229B">
      <w:pPr>
        <w:pStyle w:val="11"/>
        <w:spacing w:before="18" w:line="201" w:lineRule="auto"/>
        <w:ind w:left="500"/>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一</w:t>
      </w:r>
      <w:r>
        <w:rPr>
          <w:rFonts w:hint="eastAsia" w:ascii="微软雅黑" w:hAnsi="微软雅黑" w:eastAsia="微软雅黑" w:cs="微软雅黑"/>
          <w:b/>
          <w:bCs/>
          <w:color w:val="auto"/>
          <w:spacing w:val="-35"/>
          <w:sz w:val="28"/>
          <w:szCs w:val="28"/>
        </w:rPr>
        <w:t xml:space="preserve"> </w:t>
      </w:r>
      <w:r>
        <w:rPr>
          <w:rFonts w:hint="eastAsia" w:ascii="微软雅黑" w:hAnsi="微软雅黑" w:eastAsia="微软雅黑" w:cs="微软雅黑"/>
          <w:b/>
          <w:bCs/>
          <w:color w:val="auto"/>
          <w:sz w:val="28"/>
          <w:szCs w:val="28"/>
        </w:rPr>
        <w:t>、合同期限</w:t>
      </w:r>
    </w:p>
    <w:p w14:paraId="02B676B6">
      <w:pPr>
        <w:pStyle w:val="11"/>
        <w:spacing w:before="155" w:line="289" w:lineRule="auto"/>
        <w:ind w:left="1" w:right="38" w:firstLine="49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供货服务期</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8"/>
          <w:sz w:val="28"/>
          <w:szCs w:val="28"/>
        </w:rPr>
        <w:t xml:space="preserve"> </w:t>
      </w:r>
      <w:r>
        <w:rPr>
          <w:rFonts w:hint="eastAsia" w:ascii="微软雅黑" w:hAnsi="微软雅黑" w:eastAsia="微软雅黑" w:cs="微软雅黑"/>
          <w:color w:val="auto"/>
          <w:spacing w:val="-6"/>
          <w:sz w:val="28"/>
          <w:szCs w:val="28"/>
        </w:rPr>
        <w:t>年，</w:t>
      </w:r>
      <w:r>
        <w:rPr>
          <w:rFonts w:hint="eastAsia" w:ascii="微软雅黑" w:hAnsi="微软雅黑" w:eastAsia="微软雅黑" w:cs="微软雅黑"/>
          <w:color w:val="auto"/>
          <w:spacing w:val="-46"/>
          <w:sz w:val="28"/>
          <w:szCs w:val="28"/>
        </w:rPr>
        <w:t xml:space="preserve"> </w:t>
      </w:r>
      <w:r>
        <w:rPr>
          <w:rFonts w:hint="eastAsia" w:ascii="微软雅黑" w:hAnsi="微软雅黑" w:eastAsia="微软雅黑" w:cs="微软雅黑"/>
          <w:color w:val="auto"/>
          <w:spacing w:val="-6"/>
          <w:sz w:val="28"/>
          <w:szCs w:val="28"/>
        </w:rPr>
        <w:t>即</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6"/>
          <w:sz w:val="28"/>
          <w:szCs w:val="28"/>
        </w:rPr>
        <w:t>：</w:t>
      </w:r>
      <w:r>
        <w:rPr>
          <w:rFonts w:hint="eastAsia" w:ascii="微软雅黑" w:hAnsi="微软雅黑" w:eastAsia="微软雅黑" w:cs="微软雅黑"/>
          <w:color w:val="auto"/>
          <w:spacing w:val="-6"/>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6"/>
          <w:sz w:val="28"/>
          <w:szCs w:val="28"/>
        </w:rPr>
        <w:t>年</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56"/>
          <w:sz w:val="28"/>
          <w:szCs w:val="28"/>
        </w:rPr>
        <w:t xml:space="preserve"> </w:t>
      </w:r>
      <w:r>
        <w:rPr>
          <w:rFonts w:hint="eastAsia" w:ascii="微软雅黑" w:hAnsi="微软雅黑" w:eastAsia="微软雅黑" w:cs="微软雅黑"/>
          <w:color w:val="auto"/>
          <w:spacing w:val="-6"/>
          <w:sz w:val="28"/>
          <w:szCs w:val="28"/>
        </w:rPr>
        <w:t>月</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6"/>
          <w:sz w:val="28"/>
          <w:szCs w:val="28"/>
        </w:rPr>
        <w:t>日至</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60"/>
          <w:sz w:val="28"/>
          <w:szCs w:val="28"/>
        </w:rPr>
        <w:t xml:space="preserve"> </w:t>
      </w:r>
      <w:r>
        <w:rPr>
          <w:rFonts w:hint="eastAsia" w:ascii="微软雅黑" w:hAnsi="微软雅黑" w:eastAsia="微软雅黑" w:cs="微软雅黑"/>
          <w:color w:val="auto"/>
          <w:spacing w:val="-6"/>
          <w:sz w:val="28"/>
          <w:szCs w:val="28"/>
        </w:rPr>
        <w:t>年</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7"/>
          <w:sz w:val="28"/>
          <w:szCs w:val="28"/>
        </w:rPr>
        <w:t xml:space="preserve"> </w:t>
      </w:r>
      <w:r>
        <w:rPr>
          <w:rFonts w:hint="eastAsia" w:ascii="微软雅黑" w:hAnsi="微软雅黑" w:eastAsia="微软雅黑" w:cs="微软雅黑"/>
          <w:color w:val="auto"/>
          <w:spacing w:val="-6"/>
          <w:sz w:val="28"/>
          <w:szCs w:val="28"/>
        </w:rPr>
        <w:t>月</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6"/>
          <w:sz w:val="28"/>
          <w:szCs w:val="28"/>
        </w:rPr>
        <w:t>日止</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6"/>
          <w:sz w:val="28"/>
          <w:szCs w:val="28"/>
        </w:rPr>
        <w:t>；</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合同一年一签，即：</w:t>
      </w:r>
      <w:r>
        <w:rPr>
          <w:rFonts w:hint="eastAsia" w:ascii="微软雅黑" w:hAnsi="微软雅黑" w:eastAsia="微软雅黑" w:cs="微软雅黑"/>
          <w:color w:val="auto"/>
          <w:spacing w:val="-5"/>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5"/>
          <w:sz w:val="28"/>
          <w:szCs w:val="28"/>
        </w:rPr>
        <w:t>年</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0"/>
          <w:sz w:val="28"/>
          <w:szCs w:val="28"/>
        </w:rPr>
        <w:t xml:space="preserve"> </w:t>
      </w:r>
      <w:r>
        <w:rPr>
          <w:rFonts w:hint="eastAsia" w:ascii="微软雅黑" w:hAnsi="微软雅黑" w:eastAsia="微软雅黑" w:cs="微软雅黑"/>
          <w:color w:val="auto"/>
          <w:spacing w:val="-5"/>
          <w:sz w:val="28"/>
          <w:szCs w:val="28"/>
        </w:rPr>
        <w:t>月</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5"/>
          <w:sz w:val="28"/>
          <w:szCs w:val="28"/>
        </w:rPr>
        <w:t>日至</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pacing w:val="-5"/>
          <w:sz w:val="28"/>
          <w:szCs w:val="28"/>
        </w:rPr>
        <w:t>年</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5"/>
          <w:sz w:val="28"/>
          <w:szCs w:val="28"/>
        </w:rPr>
        <w:t>月</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5"/>
          <w:sz w:val="28"/>
          <w:szCs w:val="28"/>
        </w:rPr>
        <w:t>日止。如采用招投标</w:t>
      </w:r>
      <w:r>
        <w:rPr>
          <w:rFonts w:hint="eastAsia" w:ascii="微软雅黑" w:hAnsi="微软雅黑" w:eastAsia="微软雅黑" w:cs="微软雅黑"/>
          <w:color w:val="auto"/>
          <w:spacing w:val="-6"/>
          <w:sz w:val="28"/>
          <w:szCs w:val="28"/>
        </w:rPr>
        <w:t>方式确定管理服务对象的，则本合同期限与招投标文件保持一致。</w:t>
      </w:r>
    </w:p>
    <w:p w14:paraId="5C325BEF">
      <w:pPr>
        <w:pStyle w:val="11"/>
        <w:spacing w:before="15" w:line="200" w:lineRule="auto"/>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val="en-US" w:eastAsia="zh-CN"/>
        </w:rPr>
        <w:t xml:space="preserve">   </w:t>
      </w:r>
      <w:r>
        <w:rPr>
          <w:rFonts w:hint="eastAsia" w:ascii="微软雅黑" w:hAnsi="微软雅黑" w:eastAsia="微软雅黑" w:cs="微软雅黑"/>
          <w:color w:val="auto"/>
          <w:sz w:val="28"/>
          <w:szCs w:val="28"/>
        </w:rPr>
        <w:t>服务期内，</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z w:val="28"/>
          <w:szCs w:val="28"/>
        </w:rPr>
        <w:t>国家</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z w:val="28"/>
          <w:szCs w:val="28"/>
        </w:rPr>
        <w:t>自治区如发布新的规定</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z w:val="28"/>
          <w:szCs w:val="28"/>
        </w:rPr>
        <w:t>，按照国家</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自治区新的规定执行。</w:t>
      </w:r>
    </w:p>
    <w:p w14:paraId="78B17B1E">
      <w:pPr>
        <w:pStyle w:val="11"/>
        <w:spacing w:before="155" w:line="200" w:lineRule="auto"/>
        <w:ind w:left="500"/>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4"/>
          <w:sz w:val="28"/>
          <w:szCs w:val="28"/>
        </w:rPr>
        <w:t>二</w:t>
      </w:r>
      <w:r>
        <w:rPr>
          <w:rFonts w:hint="eastAsia" w:ascii="微软雅黑" w:hAnsi="微软雅黑" w:eastAsia="微软雅黑" w:cs="微软雅黑"/>
          <w:b/>
          <w:bCs/>
          <w:color w:val="auto"/>
          <w:spacing w:val="-36"/>
          <w:sz w:val="28"/>
          <w:szCs w:val="28"/>
        </w:rPr>
        <w:t xml:space="preserve"> </w:t>
      </w:r>
      <w:r>
        <w:rPr>
          <w:rFonts w:hint="eastAsia" w:ascii="微软雅黑" w:hAnsi="微软雅黑" w:eastAsia="微软雅黑" w:cs="微软雅黑"/>
          <w:b/>
          <w:bCs/>
          <w:color w:val="auto"/>
          <w:spacing w:val="4"/>
          <w:sz w:val="28"/>
          <w:szCs w:val="28"/>
        </w:rPr>
        <w:t>、合同金额</w:t>
      </w:r>
      <w:r>
        <w:rPr>
          <w:rFonts w:hint="eastAsia" w:ascii="微软雅黑" w:hAnsi="微软雅黑" w:eastAsia="微软雅黑" w:cs="微软雅黑"/>
          <w:b/>
          <w:bCs/>
          <w:color w:val="auto"/>
          <w:spacing w:val="-38"/>
          <w:sz w:val="28"/>
          <w:szCs w:val="28"/>
        </w:rPr>
        <w:t xml:space="preserve"> </w:t>
      </w:r>
      <w:r>
        <w:rPr>
          <w:rFonts w:hint="eastAsia" w:ascii="微软雅黑" w:hAnsi="微软雅黑" w:eastAsia="微软雅黑" w:cs="微软雅黑"/>
          <w:b/>
          <w:bCs/>
          <w:color w:val="auto"/>
          <w:spacing w:val="4"/>
          <w:sz w:val="28"/>
          <w:szCs w:val="28"/>
        </w:rPr>
        <w:t>、食材供应的品种及单价</w:t>
      </w:r>
    </w:p>
    <w:p w14:paraId="4E28822D">
      <w:pPr>
        <w:pStyle w:val="11"/>
        <w:spacing w:before="155" w:line="260" w:lineRule="auto"/>
        <w:ind w:left="2" w:right="45"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（一）预计年采购金额为</w:t>
      </w:r>
      <w:r>
        <w:rPr>
          <w:rFonts w:hint="eastAsia" w:ascii="微软雅黑" w:hAnsi="微软雅黑" w:eastAsia="微软雅黑" w:cs="微软雅黑"/>
          <w:color w:val="auto"/>
          <w:spacing w:val="-5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pacing w:val="4"/>
          <w:sz w:val="28"/>
          <w:szCs w:val="28"/>
        </w:rPr>
        <w:t>万元（本合同具体金额：学校按照国家和自治区有关规定采购贫困地区农副产品之外的实际发生采购金额</w:t>
      </w:r>
      <w:r>
        <w:rPr>
          <w:rFonts w:hint="eastAsia" w:ascii="微软雅黑" w:hAnsi="微软雅黑" w:eastAsia="微软雅黑" w:cs="微软雅黑"/>
          <w:color w:val="auto"/>
          <w:spacing w:val="-15"/>
          <w:sz w:val="28"/>
          <w:szCs w:val="28"/>
        </w:rPr>
        <w:t xml:space="preserve"> </w:t>
      </w:r>
      <w:r>
        <w:rPr>
          <w:rFonts w:hint="eastAsia" w:ascii="微软雅黑" w:hAnsi="微软雅黑" w:eastAsia="微软雅黑" w:cs="微软雅黑"/>
          <w:color w:val="auto"/>
          <w:spacing w:val="4"/>
          <w:sz w:val="28"/>
          <w:szCs w:val="28"/>
        </w:rPr>
        <w:t>，最终以实际配送数量和</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范围进行结算）。</w:t>
      </w:r>
    </w:p>
    <w:p w14:paraId="78BAD81E">
      <w:pPr>
        <w:pStyle w:val="11"/>
        <w:spacing w:before="164" w:line="246" w:lineRule="auto"/>
        <w:ind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1"/>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1"/>
          <w:sz w:val="28"/>
          <w:szCs w:val="28"/>
        </w:rPr>
        <w:t>）本次招标实行定点采购的食堂原（辅）材料为以下项目</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1"/>
          <w:sz w:val="28"/>
          <w:szCs w:val="28"/>
        </w:rPr>
        <w:t>：大米</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1"/>
          <w:sz w:val="28"/>
          <w:szCs w:val="28"/>
        </w:rPr>
        <w:t>、面粉、</w:t>
      </w:r>
      <w:r>
        <w:rPr>
          <w:rFonts w:hint="eastAsia" w:ascii="微软雅黑" w:hAnsi="微软雅黑" w:eastAsia="微软雅黑" w:cs="微软雅黑"/>
          <w:color w:val="auto"/>
          <w:sz w:val="28"/>
          <w:szCs w:val="28"/>
        </w:rPr>
        <w:t xml:space="preserve"> 食用油</w:t>
      </w:r>
      <w:r>
        <w:rPr>
          <w:rFonts w:hint="eastAsia" w:ascii="微软雅黑" w:hAnsi="微软雅黑" w:eastAsia="微软雅黑" w:cs="微软雅黑"/>
          <w:color w:val="auto"/>
          <w:spacing w:val="-27"/>
          <w:sz w:val="28"/>
          <w:szCs w:val="28"/>
        </w:rPr>
        <w:t xml:space="preserve"> </w:t>
      </w:r>
      <w:r>
        <w:rPr>
          <w:rFonts w:hint="eastAsia" w:ascii="微软雅黑" w:hAnsi="微软雅黑" w:eastAsia="微软雅黑" w:cs="微软雅黑"/>
          <w:color w:val="auto"/>
          <w:sz w:val="28"/>
          <w:szCs w:val="28"/>
        </w:rPr>
        <w:t>、调味品</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、肉</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、禽蛋</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、蔬菜</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、豆制品</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z w:val="28"/>
          <w:szCs w:val="28"/>
        </w:rPr>
        <w:t>、水果等食品。</w:t>
      </w:r>
    </w:p>
    <w:p w14:paraId="7D98FD9D">
      <w:pPr>
        <w:pStyle w:val="11"/>
        <w:tabs>
          <w:tab w:val="right" w:pos="8387"/>
          <w:tab w:val="clear" w:pos="567"/>
        </w:tabs>
        <w:spacing w:before="155" w:line="200" w:lineRule="auto"/>
        <w:ind w:left="504"/>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三</w:t>
      </w:r>
      <w:r>
        <w:rPr>
          <w:rFonts w:hint="eastAsia" w:ascii="微软雅黑" w:hAnsi="微软雅黑" w:eastAsia="微软雅黑" w:cs="微软雅黑"/>
          <w:b/>
          <w:bCs/>
          <w:color w:val="auto"/>
          <w:spacing w:val="-27"/>
          <w:sz w:val="28"/>
          <w:szCs w:val="28"/>
        </w:rPr>
        <w:t xml:space="preserve"> </w:t>
      </w:r>
      <w:r>
        <w:rPr>
          <w:rFonts w:hint="eastAsia" w:ascii="微软雅黑" w:hAnsi="微软雅黑" w:eastAsia="微软雅黑" w:cs="微软雅黑"/>
          <w:b/>
          <w:bCs/>
          <w:color w:val="auto"/>
          <w:sz w:val="28"/>
          <w:szCs w:val="28"/>
        </w:rPr>
        <w:t>、交货地点</w:t>
      </w:r>
      <w:r>
        <w:rPr>
          <w:rFonts w:hint="eastAsia" w:ascii="微软雅黑" w:hAnsi="微软雅黑" w:eastAsia="微软雅黑" w:cs="微软雅黑"/>
          <w:b/>
          <w:bCs/>
          <w:color w:val="auto"/>
          <w:spacing w:val="-38"/>
          <w:sz w:val="28"/>
          <w:szCs w:val="28"/>
        </w:rPr>
        <w:t xml:space="preserve"> </w:t>
      </w:r>
      <w:r>
        <w:rPr>
          <w:rFonts w:hint="eastAsia" w:ascii="微软雅黑" w:hAnsi="微软雅黑" w:eastAsia="微软雅黑" w:cs="微软雅黑"/>
          <w:b/>
          <w:bCs/>
          <w:color w:val="auto"/>
          <w:sz w:val="28"/>
          <w:szCs w:val="28"/>
        </w:rPr>
        <w:t>、时间</w:t>
      </w:r>
      <w:r>
        <w:rPr>
          <w:rFonts w:hint="eastAsia" w:ascii="微软雅黑" w:hAnsi="微软雅黑" w:eastAsia="微软雅黑" w:cs="微软雅黑"/>
          <w:b/>
          <w:bCs/>
          <w:color w:val="auto"/>
          <w:spacing w:val="-36"/>
          <w:sz w:val="28"/>
          <w:szCs w:val="28"/>
        </w:rPr>
        <w:t xml:space="preserve"> </w:t>
      </w:r>
      <w:r>
        <w:rPr>
          <w:rFonts w:hint="eastAsia" w:ascii="微软雅黑" w:hAnsi="微软雅黑" w:eastAsia="微软雅黑" w:cs="微软雅黑"/>
          <w:b/>
          <w:bCs/>
          <w:color w:val="auto"/>
          <w:sz w:val="28"/>
          <w:szCs w:val="28"/>
        </w:rPr>
        <w:t>、数量及验</w:t>
      </w:r>
    </w:p>
    <w:p w14:paraId="68529C04">
      <w:pPr>
        <w:pStyle w:val="11"/>
        <w:spacing w:before="103" w:line="246" w:lineRule="auto"/>
        <w:ind w:right="90"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（一）交货地点：乙方根据配送范围内学校具体要求将产品送至指定地方即配</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送目标学校内</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5"/>
          <w:sz w:val="28"/>
          <w:szCs w:val="28"/>
        </w:rPr>
        <w:t>，原则上送至学校食堂。</w:t>
      </w:r>
    </w:p>
    <w:p w14:paraId="5F8493E8">
      <w:pPr>
        <w:pStyle w:val="11"/>
        <w:spacing w:before="155"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）数量：</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2"/>
          <w:sz w:val="28"/>
          <w:szCs w:val="28"/>
        </w:rPr>
        <w:t>以甲乙双方签字确认后的配送验收单</w:t>
      </w:r>
      <w:r>
        <w:rPr>
          <w:rFonts w:hint="eastAsia" w:ascii="微软雅黑" w:hAnsi="微软雅黑" w:eastAsia="微软雅黑" w:cs="微软雅黑"/>
          <w:color w:val="auto"/>
          <w:spacing w:val="1"/>
          <w:sz w:val="28"/>
          <w:szCs w:val="28"/>
        </w:rPr>
        <w:t>为准。</w:t>
      </w:r>
    </w:p>
    <w:p w14:paraId="26C257E2">
      <w:pPr>
        <w:pStyle w:val="11"/>
        <w:spacing w:before="162"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（三）验收：</w:t>
      </w:r>
    </w:p>
    <w:p w14:paraId="5B239A98">
      <w:pPr>
        <w:pStyle w:val="11"/>
        <w:spacing w:before="166" w:line="200" w:lineRule="auto"/>
        <w:ind w:left="51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1.在收到配送货物的现场，</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5"/>
          <w:sz w:val="28"/>
          <w:szCs w:val="28"/>
        </w:rPr>
        <w:t>由甲方指定负责人按照确定的订货清单验收。</w:t>
      </w:r>
    </w:p>
    <w:p w14:paraId="2C442A67">
      <w:pPr>
        <w:pStyle w:val="11"/>
        <w:spacing w:before="156" w:line="287" w:lineRule="auto"/>
        <w:ind w:left="500"/>
        <w:rPr>
          <w:rFonts w:hint="eastAsia" w:ascii="微软雅黑" w:hAnsi="微软雅黑" w:eastAsia="微软雅黑" w:cs="微软雅黑"/>
          <w:color w:val="auto"/>
          <w:spacing w:val="1"/>
          <w:sz w:val="28"/>
          <w:szCs w:val="28"/>
        </w:rPr>
      </w:pPr>
      <w:r>
        <w:rPr>
          <w:rFonts w:hint="eastAsia" w:ascii="微软雅黑" w:hAnsi="微软雅黑" w:eastAsia="微软雅黑" w:cs="微软雅黑"/>
          <w:color w:val="auto"/>
          <w:spacing w:val="2"/>
          <w:sz w:val="28"/>
          <w:szCs w:val="28"/>
        </w:rPr>
        <w:t>2.如甲方对产品的质量、数量、等级、包装有异议的，应在验</w:t>
      </w:r>
      <w:r>
        <w:rPr>
          <w:rFonts w:hint="eastAsia" w:ascii="微软雅黑" w:hAnsi="微软雅黑" w:eastAsia="微软雅黑" w:cs="微软雅黑"/>
          <w:color w:val="auto"/>
          <w:spacing w:val="1"/>
          <w:sz w:val="28"/>
          <w:szCs w:val="28"/>
        </w:rPr>
        <w:t>收时向乙方提出。</w:t>
      </w:r>
    </w:p>
    <w:p w14:paraId="6E200787">
      <w:pPr>
        <w:pStyle w:val="11"/>
        <w:spacing w:before="156" w:line="287" w:lineRule="auto"/>
        <w:ind w:firstLine="280"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3.</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3"/>
          <w:sz w:val="28"/>
          <w:szCs w:val="28"/>
        </w:rPr>
        <w:t>甲乙双方验收合格后</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，应在配送验收清单上签字确认。</w:t>
      </w:r>
    </w:p>
    <w:p w14:paraId="6E89B74B">
      <w:pPr>
        <w:pStyle w:val="11"/>
        <w:spacing w:before="16" w:line="287" w:lineRule="auto"/>
        <w:ind w:right="92" w:firstLine="49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4.对不符合质量的品种，</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3"/>
          <w:sz w:val="28"/>
          <w:szCs w:val="28"/>
        </w:rPr>
        <w:t>甲方有权退货和要求乙方换货</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3"/>
          <w:sz w:val="28"/>
          <w:szCs w:val="28"/>
        </w:rPr>
        <w:t>，乙方应及时处</w:t>
      </w:r>
      <w:r>
        <w:rPr>
          <w:rFonts w:hint="eastAsia" w:ascii="微软雅黑" w:hAnsi="微软雅黑" w:eastAsia="微软雅黑" w:cs="微软雅黑"/>
          <w:color w:val="auto"/>
          <w:spacing w:val="2"/>
          <w:sz w:val="28"/>
          <w:szCs w:val="28"/>
        </w:rPr>
        <w:t>理</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、解</w:t>
      </w:r>
      <w:r>
        <w:rPr>
          <w:rFonts w:hint="eastAsia" w:ascii="微软雅黑" w:hAnsi="微软雅黑" w:eastAsia="微软雅黑" w:cs="微软雅黑"/>
          <w:color w:val="auto"/>
          <w:spacing w:val="3"/>
          <w:sz w:val="28"/>
          <w:szCs w:val="28"/>
        </w:rPr>
        <w:t>决</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，不得影响学校为学生供餐。</w:t>
      </w:r>
    </w:p>
    <w:p w14:paraId="7139DDD9">
      <w:pPr>
        <w:pStyle w:val="11"/>
        <w:spacing w:before="12" w:line="200" w:lineRule="auto"/>
        <w:ind w:left="522"/>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四</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z w:val="28"/>
          <w:szCs w:val="28"/>
        </w:rPr>
        <w:t>、结算及付款方式</w:t>
      </w:r>
    </w:p>
    <w:p w14:paraId="55BF0A56">
      <w:pPr>
        <w:pStyle w:val="11"/>
        <w:spacing w:before="159" w:line="196"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pacing w:val="5"/>
          <w:sz w:val="28"/>
          <w:szCs w:val="28"/>
        </w:rPr>
        <w:t>甲乙双方应在月底完成当月供货有关情况核对工作。</w:t>
      </w:r>
    </w:p>
    <w:p w14:paraId="30D6B0F8">
      <w:pPr>
        <w:pStyle w:val="11"/>
        <w:spacing w:before="161" w:line="246" w:lineRule="auto"/>
        <w:ind w:right="9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1"/>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1"/>
          <w:sz w:val="28"/>
          <w:szCs w:val="28"/>
        </w:rPr>
        <w:t>）乙方应于次月第一周</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1"/>
          <w:sz w:val="28"/>
          <w:szCs w:val="28"/>
        </w:rPr>
        <w:t>，向甲方提供上月货款的正规发票</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1"/>
          <w:sz w:val="28"/>
          <w:szCs w:val="28"/>
        </w:rPr>
        <w:t>，甲方经核实无</w:t>
      </w:r>
      <w:r>
        <w:rPr>
          <w:rFonts w:hint="eastAsia" w:ascii="微软雅黑" w:hAnsi="微软雅黑" w:eastAsia="微软雅黑" w:cs="微软雅黑"/>
          <w:color w:val="auto"/>
          <w:spacing w:val="5"/>
          <w:sz w:val="28"/>
          <w:szCs w:val="28"/>
        </w:rPr>
        <w:t>异议后</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5"/>
          <w:sz w:val="28"/>
          <w:szCs w:val="28"/>
        </w:rPr>
        <w:t>，在收到发票</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6"/>
          <w:sz w:val="28"/>
          <w:szCs w:val="28"/>
        </w:rPr>
        <w:t xml:space="preserve"> </w:t>
      </w:r>
      <w:r>
        <w:rPr>
          <w:rFonts w:hint="eastAsia" w:ascii="微软雅黑" w:hAnsi="微软雅黑" w:eastAsia="微软雅黑" w:cs="微软雅黑"/>
          <w:color w:val="auto"/>
          <w:spacing w:val="5"/>
          <w:sz w:val="28"/>
          <w:szCs w:val="28"/>
        </w:rPr>
        <w:t>个工作日内将上月采购款</w:t>
      </w:r>
      <w:r>
        <w:rPr>
          <w:rFonts w:hint="eastAsia" w:ascii="微软雅黑" w:hAnsi="微软雅黑" w:eastAsia="微软雅黑" w:cs="微软雅黑"/>
          <w:color w:val="auto"/>
          <w:spacing w:val="4"/>
          <w:sz w:val="28"/>
          <w:szCs w:val="28"/>
        </w:rPr>
        <w:t>支付给乙方。</w:t>
      </w:r>
    </w:p>
    <w:p w14:paraId="1AAAE69B">
      <w:pPr>
        <w:pStyle w:val="11"/>
        <w:spacing w:before="158" w:line="196"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（三）付款方式</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6"/>
          <w:sz w:val="28"/>
          <w:szCs w:val="28"/>
        </w:rPr>
        <w:t>：公对公银行转账或公对个人（农户</w:t>
      </w:r>
      <w:r>
        <w:rPr>
          <w:rFonts w:hint="eastAsia" w:ascii="微软雅黑" w:hAnsi="微软雅黑" w:eastAsia="微软雅黑" w:cs="微软雅黑"/>
          <w:color w:val="auto"/>
          <w:spacing w:val="5"/>
          <w:sz w:val="28"/>
          <w:szCs w:val="28"/>
        </w:rPr>
        <w:t>）银行转账。</w:t>
      </w:r>
    </w:p>
    <w:p w14:paraId="438F7BA1">
      <w:pPr>
        <w:pStyle w:val="11"/>
        <w:spacing w:before="163" w:line="196"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 四</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3"/>
          <w:sz w:val="28"/>
          <w:szCs w:val="28"/>
        </w:rPr>
        <w:t>）其他结算方式：</w:t>
      </w:r>
      <w:r>
        <w:rPr>
          <w:rFonts w:hint="eastAsia" w:ascii="微软雅黑" w:hAnsi="微软雅黑" w:eastAsia="微软雅黑" w:cs="微软雅黑"/>
          <w:color w:val="auto"/>
          <w:spacing w:val="-3"/>
          <w:sz w:val="28"/>
          <w:szCs w:val="28"/>
          <w:u w:val="single" w:color="auto"/>
        </w:rPr>
        <w:t xml:space="preserve">                                       </w:t>
      </w:r>
    </w:p>
    <w:p w14:paraId="730FB1CB">
      <w:pPr>
        <w:pStyle w:val="11"/>
        <w:spacing w:before="163" w:line="246" w:lineRule="auto"/>
        <w:ind w:right="1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（五）合同期满或中途解除合同，双方应当按照</w:t>
      </w:r>
      <w:r>
        <w:rPr>
          <w:rFonts w:hint="eastAsia" w:ascii="微软雅黑" w:hAnsi="微软雅黑" w:eastAsia="微软雅黑" w:cs="微软雅黑"/>
          <w:color w:val="auto"/>
          <w:sz w:val="28"/>
          <w:szCs w:val="28"/>
        </w:rPr>
        <w:t xml:space="preserve">本合同的约定进行对账和结算， </w:t>
      </w:r>
      <w:r>
        <w:rPr>
          <w:rFonts w:hint="eastAsia" w:ascii="微软雅黑" w:hAnsi="微软雅黑" w:eastAsia="微软雅黑" w:cs="微软雅黑"/>
          <w:color w:val="auto"/>
          <w:spacing w:val="4"/>
          <w:sz w:val="28"/>
          <w:szCs w:val="28"/>
        </w:rPr>
        <w:t>确定未结算的价款，</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4"/>
          <w:sz w:val="28"/>
          <w:szCs w:val="28"/>
        </w:rPr>
        <w:t>甲方在确定价款后</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4"/>
          <w:sz w:val="28"/>
          <w:szCs w:val="28"/>
        </w:rPr>
        <w:t>内</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4"/>
          <w:sz w:val="28"/>
          <w:szCs w:val="28"/>
        </w:rPr>
        <w:t>，一次性结算乙方的所有款项。</w:t>
      </w:r>
    </w:p>
    <w:p w14:paraId="45D77C7A">
      <w:pPr>
        <w:pStyle w:val="11"/>
        <w:spacing w:before="157" w:line="200" w:lineRule="auto"/>
        <w:ind w:left="503"/>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五</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z w:val="28"/>
          <w:szCs w:val="28"/>
        </w:rPr>
        <w:t>、履约保证金</w:t>
      </w:r>
    </w:p>
    <w:p w14:paraId="1FF7EB3A">
      <w:pPr>
        <w:pStyle w:val="11"/>
        <w:spacing w:before="157" w:line="261" w:lineRule="auto"/>
        <w:ind w:right="71"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（一）乙方在签订合同后</w:t>
      </w:r>
      <w:r>
        <w:rPr>
          <w:rFonts w:hint="eastAsia" w:ascii="微软雅黑" w:hAnsi="微软雅黑" w:eastAsia="微软雅黑" w:cs="微软雅黑"/>
          <w:color w:val="auto"/>
          <w:spacing w:val="-6"/>
          <w:sz w:val="28"/>
          <w:szCs w:val="28"/>
          <w:u w:val="single" w:color="auto"/>
        </w:rPr>
        <w:t xml:space="preserve">          </w:t>
      </w:r>
      <w:r>
        <w:rPr>
          <w:rFonts w:hint="eastAsia" w:ascii="微软雅黑" w:hAnsi="微软雅黑" w:eastAsia="微软雅黑" w:cs="微软雅黑"/>
          <w:color w:val="auto"/>
          <w:spacing w:val="-68"/>
          <w:sz w:val="28"/>
          <w:szCs w:val="28"/>
        </w:rPr>
        <w:t xml:space="preserve"> </w:t>
      </w:r>
      <w:r>
        <w:rPr>
          <w:rFonts w:hint="eastAsia" w:ascii="微软雅黑" w:hAnsi="微软雅黑" w:eastAsia="微软雅黑" w:cs="微软雅黑"/>
          <w:color w:val="auto"/>
          <w:spacing w:val="-6"/>
          <w:sz w:val="28"/>
          <w:szCs w:val="28"/>
        </w:rPr>
        <w:t>个工作日内，向</w:t>
      </w:r>
      <w:r>
        <w:rPr>
          <w:rFonts w:hint="eastAsia" w:ascii="微软雅黑" w:hAnsi="微软雅黑" w:eastAsia="微软雅黑" w:cs="微软雅黑"/>
          <w:color w:val="auto"/>
          <w:spacing w:val="-7"/>
          <w:sz w:val="28"/>
          <w:szCs w:val="28"/>
        </w:rPr>
        <w:t>甲方提供履约保证金或银行开具的</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履约保函。其中履约保证金、保函金额</w:t>
      </w:r>
      <w:r>
        <w:rPr>
          <w:rFonts w:hint="eastAsia" w:ascii="微软雅黑" w:hAnsi="微软雅黑" w:eastAsia="微软雅黑" w:cs="微软雅黑"/>
          <w:color w:val="auto"/>
          <w:spacing w:val="-4"/>
          <w:sz w:val="28"/>
          <w:szCs w:val="28"/>
          <w:u w:val="single" w:color="auto"/>
        </w:rPr>
        <w:t xml:space="preserve">          </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pacing w:val="-4"/>
          <w:sz w:val="28"/>
          <w:szCs w:val="28"/>
        </w:rPr>
        <w:t>万元，期限</w:t>
      </w:r>
      <w:r>
        <w:rPr>
          <w:rFonts w:hint="eastAsia" w:ascii="微软雅黑" w:hAnsi="微软雅黑" w:eastAsia="微软雅黑" w:cs="微软雅黑"/>
          <w:color w:val="auto"/>
          <w:spacing w:val="-4"/>
          <w:sz w:val="28"/>
          <w:szCs w:val="28"/>
          <w:u w:val="single" w:color="auto"/>
        </w:rPr>
        <w:t xml:space="preserve">    </w:t>
      </w:r>
      <w:r>
        <w:rPr>
          <w:rFonts w:hint="eastAsia" w:ascii="微软雅黑" w:hAnsi="微软雅黑" w:eastAsia="微软雅黑" w:cs="微软雅黑"/>
          <w:color w:val="auto"/>
          <w:spacing w:val="-5"/>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5"/>
          <w:sz w:val="28"/>
          <w:szCs w:val="28"/>
        </w:rPr>
        <w:t>年。如超期未提供保</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0"/>
          <w:sz w:val="28"/>
          <w:szCs w:val="28"/>
        </w:rPr>
        <w:t>函原件，将视为乙方无故单方解除合同</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10"/>
          <w:sz w:val="28"/>
          <w:szCs w:val="28"/>
        </w:rPr>
        <w:t>，因此造成甲方损失的</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10"/>
          <w:sz w:val="28"/>
          <w:szCs w:val="28"/>
        </w:rPr>
        <w:t>，乙方应当予以赔偿。</w:t>
      </w:r>
    </w:p>
    <w:p w14:paraId="3B0CF041">
      <w:pPr>
        <w:pStyle w:val="11"/>
        <w:spacing w:before="155"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）保证金用于以下用途：</w:t>
      </w:r>
    </w:p>
    <w:p w14:paraId="0254B31C">
      <w:pPr>
        <w:pStyle w:val="11"/>
        <w:spacing w:before="167" w:line="287" w:lineRule="auto"/>
        <w:ind w:right="92" w:firstLine="51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1.</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pacing w:val="3"/>
          <w:sz w:val="28"/>
          <w:szCs w:val="28"/>
        </w:rPr>
        <w:t>因食材原因导致食品安全事故时，用于第一时间救治师生</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3"/>
          <w:sz w:val="28"/>
          <w:szCs w:val="28"/>
        </w:rPr>
        <w:t>，乙方需无条件配</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6"/>
          <w:sz w:val="28"/>
          <w:szCs w:val="28"/>
        </w:rPr>
        <w:t>合甲方启用履约保证金；</w:t>
      </w:r>
    </w:p>
    <w:p w14:paraId="759E1A38">
      <w:pPr>
        <w:pStyle w:val="11"/>
        <w:spacing w:before="103" w:line="289" w:lineRule="auto"/>
        <w:ind w:left="7" w:right="180" w:firstLine="493"/>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2.</w:t>
      </w:r>
      <w:r>
        <w:rPr>
          <w:rFonts w:hint="eastAsia" w:ascii="微软雅黑" w:hAnsi="微软雅黑" w:eastAsia="微软雅黑" w:cs="微软雅黑"/>
          <w:color w:val="auto"/>
          <w:spacing w:val="-40"/>
          <w:sz w:val="28"/>
          <w:szCs w:val="28"/>
        </w:rPr>
        <w:t xml:space="preserve"> </w:t>
      </w:r>
      <w:r>
        <w:rPr>
          <w:rFonts w:hint="eastAsia" w:ascii="微软雅黑" w:hAnsi="微软雅黑" w:eastAsia="微软雅黑" w:cs="微软雅黑"/>
          <w:color w:val="auto"/>
          <w:spacing w:val="2"/>
          <w:sz w:val="28"/>
          <w:szCs w:val="28"/>
        </w:rPr>
        <w:t>因乙方原因不能履约</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2"/>
          <w:sz w:val="28"/>
          <w:szCs w:val="28"/>
        </w:rPr>
        <w:t>，导致学校</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、师生经济损失的，</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2"/>
          <w:sz w:val="28"/>
          <w:szCs w:val="28"/>
        </w:rPr>
        <w:t>甲方有权单方面启</w:t>
      </w:r>
      <w:r>
        <w:rPr>
          <w:rFonts w:hint="eastAsia" w:ascii="微软雅黑" w:hAnsi="微软雅黑" w:eastAsia="微软雅黑" w:cs="微软雅黑"/>
          <w:color w:val="auto"/>
          <w:spacing w:val="1"/>
          <w:sz w:val="28"/>
          <w:szCs w:val="28"/>
        </w:rPr>
        <w:t>用履</w:t>
      </w:r>
      <w:r>
        <w:rPr>
          <w:rFonts w:hint="eastAsia" w:ascii="微软雅黑" w:hAnsi="微软雅黑" w:eastAsia="微软雅黑" w:cs="微软雅黑"/>
          <w:color w:val="auto"/>
          <w:spacing w:val="7"/>
          <w:sz w:val="28"/>
          <w:szCs w:val="28"/>
        </w:rPr>
        <w:t>约保证金予以赔付。</w:t>
      </w:r>
    </w:p>
    <w:p w14:paraId="48644E77">
      <w:pPr>
        <w:pStyle w:val="11"/>
        <w:spacing w:before="8"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（三）</w:t>
      </w:r>
      <w:r>
        <w:rPr>
          <w:rFonts w:hint="eastAsia" w:ascii="微软雅黑" w:hAnsi="微软雅黑" w:eastAsia="微软雅黑" w:cs="微软雅黑"/>
          <w:color w:val="auto"/>
          <w:spacing w:val="-31"/>
          <w:sz w:val="28"/>
          <w:szCs w:val="28"/>
        </w:rPr>
        <w:t xml:space="preserve"> </w:t>
      </w:r>
      <w:r>
        <w:rPr>
          <w:rFonts w:hint="eastAsia" w:ascii="微软雅黑" w:hAnsi="微软雅黑" w:eastAsia="微软雅黑" w:cs="微软雅黑"/>
          <w:color w:val="auto"/>
          <w:spacing w:val="5"/>
          <w:sz w:val="28"/>
          <w:szCs w:val="28"/>
        </w:rPr>
        <w:t>当保证金不足时，</w:t>
      </w:r>
      <w:r>
        <w:rPr>
          <w:rFonts w:hint="eastAsia" w:ascii="微软雅黑" w:hAnsi="微软雅黑" w:eastAsia="微软雅黑" w:cs="微软雅黑"/>
          <w:color w:val="auto"/>
          <w:spacing w:val="-48"/>
          <w:sz w:val="28"/>
          <w:szCs w:val="28"/>
        </w:rPr>
        <w:t xml:space="preserve"> </w:t>
      </w:r>
      <w:r>
        <w:rPr>
          <w:rFonts w:hint="eastAsia" w:ascii="微软雅黑" w:hAnsi="微软雅黑" w:eastAsia="微软雅黑" w:cs="微软雅黑"/>
          <w:color w:val="auto"/>
          <w:spacing w:val="5"/>
          <w:sz w:val="28"/>
          <w:szCs w:val="28"/>
        </w:rPr>
        <w:t>乙方应当在</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6"/>
          <w:sz w:val="28"/>
          <w:szCs w:val="28"/>
        </w:rPr>
        <w:t xml:space="preserve"> </w:t>
      </w:r>
      <w:r>
        <w:rPr>
          <w:rFonts w:hint="eastAsia" w:ascii="微软雅黑" w:hAnsi="微软雅黑" w:eastAsia="微软雅黑" w:cs="微软雅黑"/>
          <w:color w:val="auto"/>
          <w:spacing w:val="5"/>
          <w:sz w:val="28"/>
          <w:szCs w:val="28"/>
        </w:rPr>
        <w:t>个工作日内补</w:t>
      </w:r>
      <w:r>
        <w:rPr>
          <w:rFonts w:hint="eastAsia" w:ascii="微软雅黑" w:hAnsi="微软雅黑" w:eastAsia="微软雅黑" w:cs="微软雅黑"/>
          <w:color w:val="auto"/>
          <w:spacing w:val="4"/>
          <w:sz w:val="28"/>
          <w:szCs w:val="28"/>
        </w:rPr>
        <w:t>足保证金。</w:t>
      </w:r>
    </w:p>
    <w:p w14:paraId="53CCE2A4">
      <w:pPr>
        <w:pStyle w:val="11"/>
        <w:spacing w:before="162"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四 ）当合同履行期满，</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z w:val="28"/>
          <w:szCs w:val="28"/>
        </w:rPr>
        <w:t>甲方应当</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8"/>
          <w:sz w:val="28"/>
          <w:szCs w:val="28"/>
        </w:rPr>
        <w:t xml:space="preserve"> </w:t>
      </w:r>
      <w:r>
        <w:rPr>
          <w:rFonts w:hint="eastAsia" w:ascii="微软雅黑" w:hAnsi="微软雅黑" w:eastAsia="微软雅黑" w:cs="微软雅黑"/>
          <w:color w:val="auto"/>
          <w:sz w:val="28"/>
          <w:szCs w:val="28"/>
        </w:rPr>
        <w:t>个工作日内</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z w:val="28"/>
          <w:szCs w:val="28"/>
        </w:rPr>
        <w:t>，将保证金返还给乙方。</w:t>
      </w:r>
    </w:p>
    <w:p w14:paraId="7F68B84B">
      <w:pPr>
        <w:pStyle w:val="11"/>
        <w:spacing w:before="165" w:line="200" w:lineRule="auto"/>
        <w:ind w:left="497"/>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2"/>
          <w:sz w:val="28"/>
          <w:szCs w:val="28"/>
        </w:rPr>
        <w:t>六</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pacing w:val="2"/>
          <w:sz w:val="28"/>
          <w:szCs w:val="28"/>
        </w:rPr>
        <w:t>、食材质量要求</w:t>
      </w:r>
    </w:p>
    <w:p w14:paraId="0F982585">
      <w:pPr>
        <w:pStyle w:val="11"/>
        <w:spacing w:before="158" w:line="261" w:lineRule="auto"/>
        <w:ind w:right="180"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（一）食材标准：必须符合国家有关食品安全标准，乙方须提供所供食材的检</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5"/>
          <w:sz w:val="28"/>
          <w:szCs w:val="28"/>
        </w:rPr>
        <w:t>测合格报告。没有国家标准的，必须符合行业标准，既没有国家标准和行业标准的</w:t>
      </w:r>
      <w:r>
        <w:rPr>
          <w:rFonts w:hint="eastAsia" w:ascii="微软雅黑" w:hAnsi="微软雅黑" w:eastAsia="微软雅黑" w:cs="微软雅黑"/>
          <w:color w:val="auto"/>
          <w:spacing w:val="11"/>
          <w:sz w:val="28"/>
          <w:szCs w:val="28"/>
        </w:rPr>
        <w:t xml:space="preserve"> </w:t>
      </w:r>
      <w:r>
        <w:rPr>
          <w:rFonts w:hint="eastAsia" w:ascii="微软雅黑" w:hAnsi="微软雅黑" w:eastAsia="微软雅黑" w:cs="微软雅黑"/>
          <w:color w:val="auto"/>
          <w:spacing w:val="5"/>
          <w:sz w:val="28"/>
          <w:szCs w:val="28"/>
        </w:rPr>
        <w:t>应确保食材的新鲜</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5"/>
          <w:sz w:val="28"/>
          <w:szCs w:val="28"/>
        </w:rPr>
        <w:t>、健康。</w:t>
      </w:r>
    </w:p>
    <w:p w14:paraId="5E95C2E4">
      <w:pPr>
        <w:pStyle w:val="11"/>
        <w:spacing w:before="158" w:line="276" w:lineRule="auto"/>
        <w:ind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1"/>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1"/>
          <w:sz w:val="28"/>
          <w:szCs w:val="28"/>
        </w:rPr>
        <w:t>）食材质量：乙方在承包采购服务期间要严把质量</w:t>
      </w:r>
      <w:r>
        <w:rPr>
          <w:rFonts w:hint="eastAsia" w:ascii="微软雅黑" w:hAnsi="微软雅黑" w:eastAsia="微软雅黑" w:cs="微软雅黑"/>
          <w:color w:val="auto"/>
          <w:sz w:val="28"/>
          <w:szCs w:val="28"/>
        </w:rPr>
        <w:t>关</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z w:val="28"/>
          <w:szCs w:val="28"/>
        </w:rPr>
        <w:t>，明确进货渠道，建</w:t>
      </w:r>
      <w:r>
        <w:rPr>
          <w:rFonts w:hint="eastAsia" w:ascii="微软雅黑" w:hAnsi="微软雅黑" w:eastAsia="微软雅黑" w:cs="微软雅黑"/>
          <w:color w:val="auto"/>
          <w:spacing w:val="2"/>
          <w:sz w:val="28"/>
          <w:szCs w:val="28"/>
        </w:rPr>
        <w:t>立台账，杜绝“</w:t>
      </w:r>
      <w:r>
        <w:rPr>
          <w:rFonts w:hint="eastAsia" w:ascii="微软雅黑" w:hAnsi="微软雅黑" w:eastAsia="微软雅黑" w:cs="微软雅黑"/>
          <w:color w:val="auto"/>
          <w:spacing w:val="-46"/>
          <w:sz w:val="28"/>
          <w:szCs w:val="28"/>
        </w:rPr>
        <w:t xml:space="preserve"> </w:t>
      </w:r>
      <w:r>
        <w:rPr>
          <w:rFonts w:hint="eastAsia" w:ascii="微软雅黑" w:hAnsi="微软雅黑" w:eastAsia="微软雅黑" w:cs="微软雅黑"/>
          <w:color w:val="auto"/>
          <w:spacing w:val="2"/>
          <w:sz w:val="28"/>
          <w:szCs w:val="28"/>
        </w:rPr>
        <w:t>三无</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2"/>
          <w:sz w:val="28"/>
          <w:szCs w:val="28"/>
        </w:rPr>
        <w:t>”产品</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、劣质原料进校园</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。乙方提供甲方所需食材同时随货附</w:t>
      </w:r>
      <w:r>
        <w:rPr>
          <w:rFonts w:hint="eastAsia" w:ascii="微软雅黑" w:hAnsi="微软雅黑" w:eastAsia="微软雅黑" w:cs="微软雅黑"/>
          <w:color w:val="auto"/>
          <w:spacing w:val="4"/>
          <w:sz w:val="28"/>
          <w:szCs w:val="28"/>
        </w:rPr>
        <w:t>带加盖相应货物生产厂家资质（若乙方为经销</w:t>
      </w:r>
      <w:r>
        <w:rPr>
          <w:rFonts w:hint="eastAsia" w:ascii="微软雅黑" w:hAnsi="微软雅黑" w:eastAsia="微软雅黑" w:cs="微软雅黑"/>
          <w:color w:val="auto"/>
          <w:spacing w:val="3"/>
          <w:sz w:val="28"/>
          <w:szCs w:val="28"/>
        </w:rPr>
        <w:t>商则应提供厂家资质及经销商资质）、</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质量承诺保证书等说明材料及检验、检疫报告、台账记录及其他甲方要求提供的证</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3"/>
          <w:sz w:val="28"/>
          <w:szCs w:val="28"/>
        </w:rPr>
        <w:t>明文件</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3"/>
          <w:sz w:val="28"/>
          <w:szCs w:val="28"/>
        </w:rPr>
        <w:t>。供应的食材要适合实际操作，减少边角余料，合理节约</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，降低成本，</w:t>
      </w:r>
      <w:r>
        <w:rPr>
          <w:rFonts w:hint="eastAsia" w:ascii="微软雅黑" w:hAnsi="微软雅黑" w:eastAsia="微软雅黑" w:cs="微软雅黑"/>
          <w:color w:val="auto"/>
          <w:spacing w:val="2"/>
          <w:sz w:val="28"/>
          <w:szCs w:val="28"/>
        </w:rPr>
        <w:t>杜绝</w:t>
      </w:r>
      <w:r>
        <w:rPr>
          <w:rFonts w:hint="eastAsia" w:ascii="微软雅黑" w:hAnsi="微软雅黑" w:eastAsia="微软雅黑" w:cs="微软雅黑"/>
          <w:color w:val="auto"/>
          <w:spacing w:val="4"/>
          <w:sz w:val="28"/>
          <w:szCs w:val="28"/>
        </w:rPr>
        <w:t>浪费</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4"/>
          <w:sz w:val="28"/>
          <w:szCs w:val="28"/>
        </w:rPr>
        <w:t>。如出现质量问题，</w:t>
      </w:r>
      <w:r>
        <w:rPr>
          <w:rFonts w:hint="eastAsia" w:ascii="微软雅黑" w:hAnsi="微软雅黑" w:eastAsia="微软雅黑" w:cs="微软雅黑"/>
          <w:color w:val="auto"/>
          <w:spacing w:val="-48"/>
          <w:sz w:val="28"/>
          <w:szCs w:val="28"/>
        </w:rPr>
        <w:t xml:space="preserve"> </w:t>
      </w:r>
      <w:r>
        <w:rPr>
          <w:rFonts w:hint="eastAsia" w:ascii="微软雅黑" w:hAnsi="微软雅黑" w:eastAsia="微软雅黑" w:cs="微软雅黑"/>
          <w:color w:val="auto"/>
          <w:spacing w:val="4"/>
          <w:sz w:val="28"/>
          <w:szCs w:val="28"/>
        </w:rPr>
        <w:t>乙方应无条件退货或换货。</w:t>
      </w:r>
    </w:p>
    <w:p w14:paraId="1596D0CC">
      <w:pPr>
        <w:pStyle w:val="11"/>
        <w:spacing w:before="155" w:line="196" w:lineRule="auto"/>
        <w:ind w:left="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（三）外包装应符合食品安全规定。</w:t>
      </w:r>
    </w:p>
    <w:p w14:paraId="7554386F">
      <w:pPr>
        <w:pStyle w:val="11"/>
        <w:spacing w:before="163" w:line="201" w:lineRule="auto"/>
        <w:ind w:left="496"/>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七</w:t>
      </w:r>
      <w:r>
        <w:rPr>
          <w:rFonts w:hint="eastAsia" w:ascii="微软雅黑" w:hAnsi="微软雅黑" w:eastAsia="微软雅黑" w:cs="微软雅黑"/>
          <w:b/>
          <w:bCs/>
          <w:color w:val="auto"/>
          <w:spacing w:val="-31"/>
          <w:sz w:val="28"/>
          <w:szCs w:val="28"/>
        </w:rPr>
        <w:t xml:space="preserve"> </w:t>
      </w:r>
      <w:r>
        <w:rPr>
          <w:rFonts w:hint="eastAsia" w:ascii="微软雅黑" w:hAnsi="微软雅黑" w:eastAsia="微软雅黑" w:cs="微软雅黑"/>
          <w:b/>
          <w:bCs/>
          <w:color w:val="auto"/>
          <w:sz w:val="28"/>
          <w:szCs w:val="28"/>
        </w:rPr>
        <w:t>、供应方式</w:t>
      </w:r>
    </w:p>
    <w:p w14:paraId="1353FE3D">
      <w:pPr>
        <w:pStyle w:val="11"/>
        <w:spacing w:before="155" w:line="290" w:lineRule="auto"/>
        <w:ind w:left="1" w:right="177" w:firstLine="502"/>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为确保供餐质量，有效降低采购成本，学校（点）食堂实行食品原料采购“统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一采购</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4"/>
          <w:sz w:val="28"/>
          <w:szCs w:val="28"/>
        </w:rPr>
        <w:t>、统一配送</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4"/>
          <w:sz w:val="28"/>
          <w:szCs w:val="28"/>
        </w:rPr>
        <w:t>”。以乙方为主体全面负责学</w:t>
      </w:r>
      <w:r>
        <w:rPr>
          <w:rFonts w:hint="eastAsia" w:ascii="微软雅黑" w:hAnsi="微软雅黑" w:eastAsia="微软雅黑" w:cs="微软雅黑"/>
          <w:color w:val="auto"/>
          <w:spacing w:val="3"/>
          <w:sz w:val="28"/>
          <w:szCs w:val="28"/>
        </w:rPr>
        <w:t>生食品供应安全，负责学校食品原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材料与副食品的采购与配送及食材检验，做好相关自检记录，并按食品安全要求和</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6"/>
          <w:sz w:val="28"/>
          <w:szCs w:val="28"/>
        </w:rPr>
        <w:t>财务要求向学校提供相关票证。</w:t>
      </w:r>
    </w:p>
    <w:p w14:paraId="3FAAEAF5">
      <w:pPr>
        <w:pStyle w:val="11"/>
        <w:spacing w:before="11" w:line="201" w:lineRule="auto"/>
        <w:ind w:left="494"/>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
          <w:sz w:val="28"/>
          <w:szCs w:val="28"/>
        </w:rPr>
        <w:t>八</w:t>
      </w:r>
      <w:r>
        <w:rPr>
          <w:rFonts w:hint="eastAsia" w:ascii="微软雅黑" w:hAnsi="微软雅黑" w:eastAsia="微软雅黑" w:cs="微软雅黑"/>
          <w:b/>
          <w:bCs/>
          <w:color w:val="auto"/>
          <w:spacing w:val="-35"/>
          <w:sz w:val="28"/>
          <w:szCs w:val="28"/>
        </w:rPr>
        <w:t xml:space="preserve"> </w:t>
      </w:r>
      <w:r>
        <w:rPr>
          <w:rFonts w:hint="eastAsia" w:ascii="微软雅黑" w:hAnsi="微软雅黑" w:eastAsia="微软雅黑" w:cs="微软雅黑"/>
          <w:b/>
          <w:bCs/>
          <w:color w:val="auto"/>
          <w:spacing w:val="1"/>
          <w:sz w:val="28"/>
          <w:szCs w:val="28"/>
        </w:rPr>
        <w:t>、配送要求</w:t>
      </w:r>
    </w:p>
    <w:p w14:paraId="653FD049">
      <w:pPr>
        <w:pStyle w:val="11"/>
        <w:spacing w:before="154" w:line="196" w:lineRule="auto"/>
        <w:ind w:right="42" w:firstLine="568" w:firstLineChars="200"/>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（一）由各学校根据实际情况制定用餐食谱，乙方按学校提供的食谱进行配送。</w:t>
      </w:r>
    </w:p>
    <w:p w14:paraId="2C002ED6">
      <w:pPr>
        <w:pStyle w:val="11"/>
        <w:spacing w:before="165" w:line="246" w:lineRule="auto"/>
        <w:ind w:left="2" w:right="180"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w:t>
      </w:r>
      <w:r>
        <w:rPr>
          <w:rFonts w:hint="eastAsia" w:ascii="微软雅黑" w:hAnsi="微软雅黑" w:eastAsia="微软雅黑" w:cs="微软雅黑"/>
          <w:color w:val="auto"/>
          <w:spacing w:val="-8"/>
          <w:sz w:val="28"/>
          <w:szCs w:val="28"/>
        </w:rPr>
        <w:t xml:space="preserve"> </w:t>
      </w:r>
      <w:r>
        <w:rPr>
          <w:rFonts w:hint="eastAsia" w:ascii="微软雅黑" w:hAnsi="微软雅黑" w:eastAsia="微软雅黑" w:cs="微软雅黑"/>
          <w:color w:val="auto"/>
          <w:spacing w:val="3"/>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3"/>
          <w:sz w:val="28"/>
          <w:szCs w:val="28"/>
        </w:rPr>
        <w:t>）确定食谱后通知学校提前</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3"/>
          <w:sz w:val="28"/>
          <w:szCs w:val="28"/>
          <w:u w:val="single" w:color="auto"/>
        </w:rPr>
        <w:t xml:space="preserve">            </w:t>
      </w:r>
      <w:r>
        <w:rPr>
          <w:rFonts w:hint="eastAsia" w:ascii="微软雅黑" w:hAnsi="微软雅黑" w:eastAsia="微软雅黑" w:cs="微软雅黑"/>
          <w:color w:val="auto"/>
          <w:spacing w:val="-51"/>
          <w:sz w:val="28"/>
          <w:szCs w:val="28"/>
        </w:rPr>
        <w:t xml:space="preserve"> </w:t>
      </w:r>
      <w:r>
        <w:rPr>
          <w:rFonts w:hint="eastAsia" w:ascii="微软雅黑" w:hAnsi="微软雅黑" w:eastAsia="微软雅黑" w:cs="微软雅黑"/>
          <w:color w:val="auto"/>
          <w:spacing w:val="3"/>
          <w:sz w:val="28"/>
          <w:szCs w:val="28"/>
        </w:rPr>
        <w:t>天把周需求量提交给乙方，</w:t>
      </w:r>
      <w:r>
        <w:rPr>
          <w:rFonts w:hint="eastAsia" w:ascii="微软雅黑" w:hAnsi="微软雅黑" w:eastAsia="微软雅黑" w:cs="微软雅黑"/>
          <w:color w:val="auto"/>
          <w:spacing w:val="-50"/>
          <w:sz w:val="28"/>
          <w:szCs w:val="28"/>
        </w:rPr>
        <w:t xml:space="preserve"> </w:t>
      </w:r>
      <w:r>
        <w:rPr>
          <w:rFonts w:hint="eastAsia" w:ascii="微软雅黑" w:hAnsi="微软雅黑" w:eastAsia="微软雅黑" w:cs="微软雅黑"/>
          <w:color w:val="auto"/>
          <w:spacing w:val="3"/>
          <w:sz w:val="28"/>
          <w:szCs w:val="28"/>
        </w:rPr>
        <w:t>乙方按学</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校要求进行配送</w:t>
      </w:r>
    </w:p>
    <w:p w14:paraId="08705B8F">
      <w:pPr>
        <w:pStyle w:val="11"/>
        <w:spacing w:before="103" w:line="246" w:lineRule="auto"/>
        <w:ind w:left="3" w:right="96"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（三）乙方按照学校提供的购货申请单内容和要求进行配送，具体的配送时间</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6"/>
          <w:sz w:val="28"/>
          <w:szCs w:val="28"/>
        </w:rPr>
        <w:t>根据各个学校的实际情况确定</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6"/>
          <w:sz w:val="28"/>
          <w:szCs w:val="28"/>
        </w:rPr>
        <w:t>，并随货开据食品原料配送单。</w:t>
      </w:r>
    </w:p>
    <w:p w14:paraId="50814E97">
      <w:pPr>
        <w:pStyle w:val="11"/>
        <w:spacing w:before="153" w:line="246" w:lineRule="auto"/>
        <w:ind w:left="2" w:right="96"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 四</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）学校食品管理员查验食品原料，校领导审核无</w:t>
      </w:r>
      <w:r>
        <w:rPr>
          <w:rFonts w:hint="eastAsia" w:ascii="微软雅黑" w:hAnsi="微软雅黑" w:eastAsia="微软雅黑" w:cs="微软雅黑"/>
          <w:color w:val="auto"/>
          <w:spacing w:val="1"/>
          <w:sz w:val="28"/>
          <w:szCs w:val="28"/>
        </w:rPr>
        <w:t>误后，分别在食品配送单</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上签名确认</w:t>
      </w:r>
      <w:r>
        <w:rPr>
          <w:rFonts w:hint="eastAsia" w:ascii="微软雅黑" w:hAnsi="微软雅黑" w:eastAsia="微软雅黑" w:cs="微软雅黑"/>
          <w:color w:val="auto"/>
          <w:spacing w:val="-2"/>
          <w:sz w:val="28"/>
          <w:szCs w:val="28"/>
        </w:rPr>
        <w:t xml:space="preserve"> </w:t>
      </w:r>
      <w:r>
        <w:rPr>
          <w:rFonts w:hint="eastAsia" w:ascii="微软雅黑" w:hAnsi="微软雅黑" w:eastAsia="微软雅黑" w:cs="微软雅黑"/>
          <w:color w:val="auto"/>
          <w:spacing w:val="4"/>
          <w:sz w:val="28"/>
          <w:szCs w:val="28"/>
        </w:rPr>
        <w:t>，学校根据配送单做好台账及公示工作。</w:t>
      </w:r>
    </w:p>
    <w:p w14:paraId="74F01503">
      <w:pPr>
        <w:pStyle w:val="11"/>
        <w:spacing w:before="157" w:line="196" w:lineRule="auto"/>
        <w:ind w:left="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（五）每月底乙方据实开具税务发票直接与学校结算。</w:t>
      </w:r>
    </w:p>
    <w:p w14:paraId="7B1D0555">
      <w:pPr>
        <w:pStyle w:val="11"/>
        <w:spacing w:before="161" w:line="269" w:lineRule="auto"/>
        <w:ind w:left="2" w:right="94"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（六）原料的接收查验</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4"/>
          <w:sz w:val="28"/>
          <w:szCs w:val="28"/>
        </w:rPr>
        <w:t>。乙方必须按照学校选定的中标品牌供应食品原料，必</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须确保食品原料的质量。乙方配送食品原料时，必须向采购学校提供产品检验检测</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5"/>
          <w:sz w:val="28"/>
          <w:szCs w:val="28"/>
        </w:rPr>
        <w:t>相关报告、生产厂家的出厂抽检报告及产品检验合格证或每批次动物检疫合格证明</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7"/>
          <w:sz w:val="28"/>
          <w:szCs w:val="28"/>
        </w:rPr>
        <w:t>等国家规定的其它有效证明材料。</w:t>
      </w:r>
    </w:p>
    <w:p w14:paraId="49076B54">
      <w:pPr>
        <w:pStyle w:val="11"/>
        <w:spacing w:before="159" w:line="273" w:lineRule="auto"/>
        <w:ind w:firstLine="488"/>
        <w:rPr>
          <w:rFonts w:hint="eastAsia" w:ascii="微软雅黑" w:hAnsi="微软雅黑" w:eastAsia="微软雅黑" w:cs="微软雅黑"/>
          <w:color w:val="auto"/>
          <w:spacing w:val="1"/>
          <w:sz w:val="28"/>
          <w:szCs w:val="28"/>
        </w:rPr>
      </w:pPr>
    </w:p>
    <w:p w14:paraId="42243305">
      <w:pPr>
        <w:pStyle w:val="11"/>
        <w:spacing w:before="159" w:line="273" w:lineRule="auto"/>
        <w:ind w:firstLine="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（七）食品储存。配备必要的食品原料储藏保鲜设施，配备良好的通风、防潮、</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pacing w:val="2"/>
          <w:sz w:val="28"/>
          <w:szCs w:val="28"/>
        </w:rPr>
        <w:t>防鼠</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、防虫</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、防蝇</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2"/>
          <w:sz w:val="28"/>
          <w:szCs w:val="28"/>
        </w:rPr>
        <w:t>、防霉变等设施并能正常使用</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2"/>
          <w:sz w:val="28"/>
          <w:szCs w:val="28"/>
        </w:rPr>
        <w:t>；食品原</w:t>
      </w:r>
      <w:r>
        <w:rPr>
          <w:rFonts w:hint="eastAsia" w:ascii="微软雅黑" w:hAnsi="微软雅黑" w:eastAsia="微软雅黑" w:cs="微软雅黑"/>
          <w:color w:val="auto"/>
          <w:spacing w:val="1"/>
          <w:sz w:val="28"/>
          <w:szCs w:val="28"/>
        </w:rPr>
        <w:t>料储藏应当分类</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、分架</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离地安全管理，遵循先进先出的原则摆放，不同区域应有明显标识，建立健全进出</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5"/>
          <w:sz w:val="28"/>
          <w:szCs w:val="28"/>
        </w:rPr>
        <w:t>库管理制度，并落实双人管理；乙方须免费指导学校建立符合食品安全标准的储藏</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8"/>
          <w:sz w:val="28"/>
          <w:szCs w:val="28"/>
        </w:rPr>
        <w:t>仓库。</w:t>
      </w:r>
    </w:p>
    <w:p w14:paraId="3434BB8F">
      <w:pPr>
        <w:pStyle w:val="11"/>
        <w:spacing w:before="155" w:line="269" w:lineRule="auto"/>
        <w:ind w:right="93" w:firstLine="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（八）应急保障</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3"/>
          <w:sz w:val="28"/>
          <w:szCs w:val="28"/>
        </w:rPr>
        <w:t>。乙方须自备应急车辆一台或多台</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3"/>
          <w:sz w:val="28"/>
          <w:szCs w:val="28"/>
        </w:rPr>
        <w:t>。当运输车辆在配送途中出</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现故障时，可迅速补上；乙方须随时关注天气预报，特殊天气情况下，应提前准备</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1"/>
          <w:sz w:val="28"/>
          <w:szCs w:val="28"/>
        </w:rPr>
        <w:t>雨衣</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1"/>
          <w:sz w:val="28"/>
          <w:szCs w:val="28"/>
        </w:rPr>
        <w:t>、电筒</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、发电机等</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1"/>
          <w:sz w:val="28"/>
          <w:szCs w:val="28"/>
        </w:rPr>
        <w:t>。提前检查车辆等设备是否正常运转</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1"/>
          <w:sz w:val="28"/>
          <w:szCs w:val="28"/>
        </w:rPr>
        <w:t>。应加派人手，积极做</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8"/>
          <w:sz w:val="28"/>
          <w:szCs w:val="28"/>
        </w:rPr>
        <w:t>好配送准备。</w:t>
      </w:r>
    </w:p>
    <w:p w14:paraId="6A918B4B">
      <w:pPr>
        <w:pStyle w:val="11"/>
        <w:spacing w:before="153" w:line="201" w:lineRule="auto"/>
        <w:ind w:left="501"/>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
          <w:sz w:val="28"/>
          <w:szCs w:val="28"/>
        </w:rPr>
        <w:t>九</w:t>
      </w:r>
      <w:r>
        <w:rPr>
          <w:rFonts w:hint="eastAsia" w:ascii="微软雅黑" w:hAnsi="微软雅黑" w:eastAsia="微软雅黑" w:cs="微软雅黑"/>
          <w:b/>
          <w:bCs/>
          <w:color w:val="auto"/>
          <w:spacing w:val="-35"/>
          <w:sz w:val="28"/>
          <w:szCs w:val="28"/>
        </w:rPr>
        <w:t xml:space="preserve"> </w:t>
      </w:r>
      <w:r>
        <w:rPr>
          <w:rFonts w:hint="eastAsia" w:ascii="微软雅黑" w:hAnsi="微软雅黑" w:eastAsia="微软雅黑" w:cs="微软雅黑"/>
          <w:b/>
          <w:bCs/>
          <w:color w:val="auto"/>
          <w:spacing w:val="1"/>
          <w:sz w:val="28"/>
          <w:szCs w:val="28"/>
        </w:rPr>
        <w:t>、包装和运输</w:t>
      </w:r>
    </w:p>
    <w:p w14:paraId="2ABB8980">
      <w:pPr>
        <w:pStyle w:val="11"/>
        <w:spacing w:before="157" w:line="290" w:lineRule="auto"/>
        <w:ind w:right="93" w:firstLine="487"/>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（一）包装与保护：乙方所提供的食品在装卸、运输和仓储过程中应有足够的</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2"/>
          <w:sz w:val="28"/>
          <w:szCs w:val="28"/>
        </w:rPr>
        <w:t>包装保护</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，防止食品受潮</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、被腐蚀以及其他不可预见的损坏。贮存</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、运输和装卸食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品的容器</w:t>
      </w:r>
      <w:r>
        <w:rPr>
          <w:rFonts w:hint="eastAsia" w:ascii="微软雅黑" w:hAnsi="微软雅黑" w:eastAsia="微软雅黑" w:cs="微软雅黑"/>
          <w:color w:val="auto"/>
          <w:spacing w:val="-32"/>
          <w:sz w:val="28"/>
          <w:szCs w:val="28"/>
        </w:rPr>
        <w:t xml:space="preserve"> </w:t>
      </w:r>
      <w:r>
        <w:rPr>
          <w:rFonts w:hint="eastAsia" w:ascii="微软雅黑" w:hAnsi="微软雅黑" w:eastAsia="微软雅黑" w:cs="微软雅黑"/>
          <w:color w:val="auto"/>
          <w:spacing w:val="2"/>
          <w:sz w:val="28"/>
          <w:szCs w:val="28"/>
        </w:rPr>
        <w:t>、工具和设备应当安全</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、无害，保持清洁</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2"/>
          <w:sz w:val="28"/>
          <w:szCs w:val="28"/>
        </w:rPr>
        <w:t>，防止食品污染，并符合保证食</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品安全所需的温度</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2"/>
          <w:sz w:val="28"/>
          <w:szCs w:val="28"/>
        </w:rPr>
        <w:t>、湿度等特殊要求，不得将食品与有毒</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、有害物品一同贮存</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2"/>
          <w:sz w:val="28"/>
          <w:szCs w:val="28"/>
        </w:rPr>
        <w:t>、运</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2"/>
          <w:sz w:val="28"/>
          <w:szCs w:val="28"/>
        </w:rPr>
        <w:t>输。</w:t>
      </w:r>
    </w:p>
    <w:p w14:paraId="109D6E41">
      <w:pPr>
        <w:pStyle w:val="11"/>
        <w:spacing w:before="103" w:line="289" w:lineRule="auto"/>
        <w:ind w:left="4" w:right="55"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）由乙方负责完成食品运输过程中的全部工作内容，并安全送达到甲方或</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6"/>
          <w:sz w:val="28"/>
          <w:szCs w:val="28"/>
        </w:rPr>
        <w:t>者各学校指定交货地点。</w:t>
      </w:r>
    </w:p>
    <w:p w14:paraId="523DE51B">
      <w:pPr>
        <w:pStyle w:val="11"/>
        <w:spacing w:before="9" w:line="200"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1"/>
          <w:sz w:val="28"/>
          <w:szCs w:val="28"/>
        </w:rPr>
        <w:t>十</w:t>
      </w:r>
      <w:r>
        <w:rPr>
          <w:rFonts w:hint="eastAsia" w:ascii="微软雅黑" w:hAnsi="微软雅黑" w:eastAsia="微软雅黑" w:cs="微软雅黑"/>
          <w:b/>
          <w:bCs/>
          <w:color w:val="auto"/>
          <w:spacing w:val="-36"/>
          <w:sz w:val="28"/>
          <w:szCs w:val="28"/>
        </w:rPr>
        <w:t xml:space="preserve"> </w:t>
      </w:r>
      <w:r>
        <w:rPr>
          <w:rFonts w:hint="eastAsia" w:ascii="微软雅黑" w:hAnsi="微软雅黑" w:eastAsia="微软雅黑" w:cs="微软雅黑"/>
          <w:b/>
          <w:bCs/>
          <w:color w:val="auto"/>
          <w:spacing w:val="-1"/>
          <w:sz w:val="28"/>
          <w:szCs w:val="28"/>
        </w:rPr>
        <w:t>、食材验收</w:t>
      </w:r>
    </w:p>
    <w:p w14:paraId="3E228281">
      <w:pPr>
        <w:pStyle w:val="11"/>
        <w:spacing w:before="157" w:line="246" w:lineRule="auto"/>
        <w:ind w:right="53" w:firstLine="48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（一）学校指定专人按国家相关标准进行验收，不符合相关标准的食材乙方应</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及时调换</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5"/>
          <w:sz w:val="28"/>
          <w:szCs w:val="28"/>
        </w:rPr>
        <w:t>，并不得影响甲方及学校的正常工作。</w:t>
      </w:r>
    </w:p>
    <w:p w14:paraId="1A843B7A">
      <w:pPr>
        <w:pStyle w:val="11"/>
        <w:spacing w:before="153" w:line="260" w:lineRule="auto"/>
        <w:ind w:left="2" w:right="53"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8"/>
          <w:sz w:val="28"/>
          <w:szCs w:val="28"/>
        </w:rPr>
        <w:t xml:space="preserve"> </w:t>
      </w:r>
      <w:r>
        <w:rPr>
          <w:rFonts w:hint="eastAsia" w:ascii="微软雅黑" w:hAnsi="微软雅黑" w:eastAsia="微软雅黑" w:cs="微软雅黑"/>
          <w:color w:val="auto"/>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z w:val="28"/>
          <w:szCs w:val="28"/>
        </w:rPr>
        <w:t>）送货单一式四联，经学校食堂管理员</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z w:val="28"/>
          <w:szCs w:val="28"/>
        </w:rPr>
        <w:t>、主管及乙方库房</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、送货人签字后 各自留存（ 白联</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z w:val="28"/>
          <w:szCs w:val="28"/>
        </w:rPr>
        <w:t>：乙方财务，红联</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z w:val="28"/>
          <w:szCs w:val="28"/>
        </w:rPr>
        <w:t xml:space="preserve">：乙方与学校对账，蓝联和黄联给学校食堂和学 </w:t>
      </w:r>
      <w:r>
        <w:rPr>
          <w:rFonts w:hint="eastAsia" w:ascii="微软雅黑" w:hAnsi="微软雅黑" w:eastAsia="微软雅黑" w:cs="微软雅黑"/>
          <w:color w:val="auto"/>
          <w:spacing w:val="6"/>
          <w:sz w:val="28"/>
          <w:szCs w:val="28"/>
        </w:rPr>
        <w:t>校财务各一份）作为结算依据。</w:t>
      </w:r>
    </w:p>
    <w:p w14:paraId="0000EA34">
      <w:pPr>
        <w:pStyle w:val="11"/>
        <w:spacing w:before="162" w:line="201"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十一</w:t>
      </w:r>
      <w:r>
        <w:rPr>
          <w:rFonts w:hint="eastAsia" w:ascii="微软雅黑" w:hAnsi="微软雅黑" w:eastAsia="微软雅黑" w:cs="微软雅黑"/>
          <w:b/>
          <w:bCs/>
          <w:color w:val="auto"/>
          <w:spacing w:val="-39"/>
          <w:sz w:val="28"/>
          <w:szCs w:val="28"/>
        </w:rPr>
        <w:t xml:space="preserve"> </w:t>
      </w:r>
      <w:r>
        <w:rPr>
          <w:rFonts w:hint="eastAsia" w:ascii="微软雅黑" w:hAnsi="微软雅黑" w:eastAsia="微软雅黑" w:cs="微软雅黑"/>
          <w:b/>
          <w:bCs/>
          <w:color w:val="auto"/>
          <w:sz w:val="28"/>
          <w:szCs w:val="28"/>
        </w:rPr>
        <w:t>、</w:t>
      </w:r>
      <w:r>
        <w:rPr>
          <w:rFonts w:hint="eastAsia" w:ascii="微软雅黑" w:hAnsi="微软雅黑" w:eastAsia="微软雅黑" w:cs="微软雅黑"/>
          <w:b/>
          <w:bCs/>
          <w:color w:val="auto"/>
          <w:spacing w:val="-47"/>
          <w:sz w:val="28"/>
          <w:szCs w:val="28"/>
        </w:rPr>
        <w:t xml:space="preserve"> </w:t>
      </w:r>
      <w:r>
        <w:rPr>
          <w:rFonts w:hint="eastAsia" w:ascii="微软雅黑" w:hAnsi="微软雅黑" w:eastAsia="微软雅黑" w:cs="微软雅黑"/>
          <w:b/>
          <w:bCs/>
          <w:color w:val="auto"/>
          <w:sz w:val="28"/>
          <w:szCs w:val="28"/>
        </w:rPr>
        <w:t>甲方权利义务</w:t>
      </w:r>
    </w:p>
    <w:p w14:paraId="051D6589">
      <w:pPr>
        <w:pStyle w:val="11"/>
        <w:spacing w:before="15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（一）按时向乙方下达次日或次周订单，</w:t>
      </w:r>
      <w:r>
        <w:rPr>
          <w:rFonts w:hint="eastAsia" w:ascii="微软雅黑" w:hAnsi="微软雅黑" w:eastAsia="微软雅黑" w:cs="微软雅黑"/>
          <w:color w:val="auto"/>
          <w:spacing w:val="-44"/>
          <w:sz w:val="28"/>
          <w:szCs w:val="28"/>
        </w:rPr>
        <w:t xml:space="preserve"> </w:t>
      </w:r>
      <w:r>
        <w:rPr>
          <w:rFonts w:hint="eastAsia" w:ascii="微软雅黑" w:hAnsi="微软雅黑" w:eastAsia="微软雅黑" w:cs="微软雅黑"/>
          <w:color w:val="auto"/>
          <w:spacing w:val="7"/>
          <w:sz w:val="28"/>
          <w:szCs w:val="28"/>
        </w:rPr>
        <w:t>以</w:t>
      </w:r>
      <w:r>
        <w:rPr>
          <w:rFonts w:hint="eastAsia" w:ascii="微软雅黑" w:hAnsi="微软雅黑" w:eastAsia="微软雅黑" w:cs="微软雅黑"/>
          <w:color w:val="auto"/>
          <w:spacing w:val="6"/>
          <w:sz w:val="28"/>
          <w:szCs w:val="28"/>
        </w:rPr>
        <w:t>便乙方提前安排准备；</w:t>
      </w:r>
    </w:p>
    <w:p w14:paraId="4A96BEF5">
      <w:pPr>
        <w:pStyle w:val="11"/>
        <w:spacing w:before="164" w:line="246" w:lineRule="auto"/>
        <w:ind w:left="30" w:right="53" w:firstLine="458"/>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6"/>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）依据订单和供货清单进行清点验收，对不符合学校订单的食材，有权退</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回乙方，</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3"/>
          <w:sz w:val="28"/>
          <w:szCs w:val="28"/>
        </w:rPr>
        <w:t>由此产生的损失由乙方承担；</w:t>
      </w:r>
    </w:p>
    <w:p w14:paraId="134FFE6E">
      <w:pPr>
        <w:pStyle w:val="11"/>
        <w:spacing w:before="15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（三）依据订单和供货清单进行称重验收</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pacing w:val="6"/>
          <w:sz w:val="28"/>
          <w:szCs w:val="28"/>
        </w:rPr>
        <w:t>，重量以学校称重数据为准；</w:t>
      </w:r>
    </w:p>
    <w:p w14:paraId="5888289B">
      <w:pPr>
        <w:pStyle w:val="11"/>
        <w:spacing w:before="16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 四</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z w:val="28"/>
          <w:szCs w:val="28"/>
        </w:rPr>
        <w:t>）双方需在供货清单上签字确认；</w:t>
      </w:r>
    </w:p>
    <w:p w14:paraId="3715FC2C">
      <w:pPr>
        <w:pStyle w:val="11"/>
        <w:spacing w:before="163" w:line="196" w:lineRule="auto"/>
        <w:ind w:left="489"/>
        <w:rPr>
          <w:rFonts w:hint="eastAsia" w:ascii="微软雅黑" w:hAnsi="微软雅黑" w:eastAsia="微软雅黑" w:cs="微软雅黑"/>
          <w:color w:val="auto"/>
          <w:spacing w:val="5"/>
          <w:sz w:val="28"/>
          <w:szCs w:val="28"/>
        </w:rPr>
      </w:pPr>
    </w:p>
    <w:p w14:paraId="75C5A69C">
      <w:pPr>
        <w:pStyle w:val="11"/>
        <w:spacing w:before="163" w:line="196" w:lineRule="auto"/>
        <w:ind w:left="489"/>
        <w:rPr>
          <w:rFonts w:hint="eastAsia" w:ascii="微软雅黑" w:hAnsi="微软雅黑" w:eastAsia="微软雅黑" w:cs="微软雅黑"/>
          <w:color w:val="auto"/>
          <w:spacing w:val="5"/>
          <w:sz w:val="28"/>
          <w:szCs w:val="28"/>
        </w:rPr>
      </w:pPr>
    </w:p>
    <w:p w14:paraId="60E00991">
      <w:pPr>
        <w:pStyle w:val="11"/>
        <w:spacing w:before="163"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（五）</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5"/>
          <w:sz w:val="28"/>
          <w:szCs w:val="28"/>
        </w:rPr>
        <w:t>乙方提供发票信息与实际发生信息一致时</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5"/>
          <w:sz w:val="28"/>
          <w:szCs w:val="28"/>
        </w:rPr>
        <w:t>，不得拖延支</w:t>
      </w:r>
      <w:r>
        <w:rPr>
          <w:rFonts w:hint="eastAsia" w:ascii="微软雅黑" w:hAnsi="微软雅黑" w:eastAsia="微软雅黑" w:cs="微软雅黑"/>
          <w:color w:val="auto"/>
          <w:spacing w:val="4"/>
          <w:sz w:val="28"/>
          <w:szCs w:val="28"/>
        </w:rPr>
        <w:t>付费用；</w:t>
      </w:r>
    </w:p>
    <w:p w14:paraId="15E736A7">
      <w:pPr>
        <w:pStyle w:val="11"/>
        <w:spacing w:before="165" w:line="246" w:lineRule="auto"/>
        <w:ind w:left="4" w:right="53" w:firstLine="48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（六）学校监督小组或膳食委员会等监督管理机构不定期对乙方经营的食材品</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质及来源进行检查；</w:t>
      </w:r>
    </w:p>
    <w:p w14:paraId="0B01403E">
      <w:pPr>
        <w:pStyle w:val="11"/>
        <w:spacing w:before="154" w:line="246" w:lineRule="auto"/>
        <w:ind w:left="2" w:right="53"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（七）定期检查库存食材，对临近保质期的食材进行管理监督，设置临期食材</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8"/>
          <w:sz w:val="28"/>
          <w:szCs w:val="28"/>
        </w:rPr>
        <w:t>专柜或在相对集中区域陈列使用。</w:t>
      </w:r>
    </w:p>
    <w:p w14:paraId="5A68BFAB">
      <w:pPr>
        <w:pStyle w:val="11"/>
        <w:spacing w:before="157" w:line="201"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pacing w:val="2"/>
          <w:sz w:val="28"/>
          <w:szCs w:val="28"/>
        </w:rPr>
        <w:t>十二</w:t>
      </w:r>
      <w:r>
        <w:rPr>
          <w:rFonts w:hint="eastAsia" w:ascii="微软雅黑" w:hAnsi="微软雅黑" w:eastAsia="微软雅黑" w:cs="微软雅黑"/>
          <w:b/>
          <w:bCs/>
          <w:color w:val="auto"/>
          <w:spacing w:val="-32"/>
          <w:sz w:val="28"/>
          <w:szCs w:val="28"/>
        </w:rPr>
        <w:t xml:space="preserve"> </w:t>
      </w:r>
      <w:r>
        <w:rPr>
          <w:rFonts w:hint="eastAsia" w:ascii="微软雅黑" w:hAnsi="微软雅黑" w:eastAsia="微软雅黑" w:cs="微软雅黑"/>
          <w:b/>
          <w:bCs/>
          <w:color w:val="auto"/>
          <w:spacing w:val="2"/>
          <w:sz w:val="28"/>
          <w:szCs w:val="28"/>
        </w:rPr>
        <w:t>、乙方权利义务</w:t>
      </w:r>
    </w:p>
    <w:p w14:paraId="0CD132EE">
      <w:pPr>
        <w:pStyle w:val="11"/>
        <w:spacing w:before="156" w:line="261" w:lineRule="auto"/>
        <w:ind w:left="2" w:right="53"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（一）应严格按照《中华人民共和国农产品质量安全法》《中华人民共和国消</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4"/>
          <w:sz w:val="28"/>
          <w:szCs w:val="28"/>
        </w:rPr>
        <w:t>费者权益保护法》《中华人民共和国食品安全法》等有关食品安全规定，保质</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4"/>
          <w:sz w:val="28"/>
          <w:szCs w:val="28"/>
        </w:rPr>
        <w:t>、保</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6"/>
          <w:sz w:val="28"/>
          <w:szCs w:val="28"/>
        </w:rPr>
        <w:t>量为甲方供应所需食材。</w:t>
      </w:r>
    </w:p>
    <w:p w14:paraId="7F41F7B1">
      <w:pPr>
        <w:pStyle w:val="11"/>
        <w:spacing w:before="157" w:line="245" w:lineRule="auto"/>
        <w:ind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）需向甲方提供营业执照</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、账户及开户行信息</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、供应食材质</w:t>
      </w:r>
      <w:r>
        <w:rPr>
          <w:rFonts w:hint="eastAsia" w:ascii="微软雅黑" w:hAnsi="微软雅黑" w:eastAsia="微软雅黑" w:cs="微软雅黑"/>
          <w:color w:val="auto"/>
          <w:spacing w:val="1"/>
          <w:sz w:val="28"/>
          <w:szCs w:val="28"/>
        </w:rPr>
        <w:t>量合格证明、</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从业人员健康证明</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4"/>
          <w:sz w:val="28"/>
          <w:szCs w:val="28"/>
        </w:rPr>
        <w:t>、税务登记证</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4"/>
          <w:sz w:val="28"/>
          <w:szCs w:val="28"/>
        </w:rPr>
        <w:t>、食品的检验报告</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4"/>
          <w:sz w:val="28"/>
          <w:szCs w:val="28"/>
        </w:rPr>
        <w:t>、食品安全管理体系认证证书、</w:t>
      </w:r>
    </w:p>
    <w:p w14:paraId="7E4EEF49">
      <w:pPr>
        <w:pStyle w:val="11"/>
        <w:spacing w:before="102" w:line="200" w:lineRule="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食材来源证明</w:t>
      </w:r>
      <w:r>
        <w:rPr>
          <w:rFonts w:hint="eastAsia" w:ascii="微软雅黑" w:hAnsi="微软雅黑" w:eastAsia="微软雅黑" w:cs="微软雅黑"/>
          <w:color w:val="auto"/>
          <w:spacing w:val="-33"/>
          <w:sz w:val="28"/>
          <w:szCs w:val="28"/>
        </w:rPr>
        <w:t xml:space="preserve"> </w:t>
      </w:r>
      <w:r>
        <w:rPr>
          <w:rFonts w:hint="eastAsia" w:ascii="微软雅黑" w:hAnsi="微软雅黑" w:eastAsia="微软雅黑" w:cs="微软雅黑"/>
          <w:color w:val="auto"/>
          <w:spacing w:val="5"/>
          <w:sz w:val="28"/>
          <w:szCs w:val="28"/>
        </w:rPr>
        <w:t>、安全应急预案等有关资料；</w:t>
      </w:r>
    </w:p>
    <w:p w14:paraId="55594B1E">
      <w:pPr>
        <w:pStyle w:val="11"/>
        <w:spacing w:before="157"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6"/>
          <w:sz w:val="28"/>
          <w:szCs w:val="28"/>
        </w:rPr>
        <w:t>（三）与甲方核对供应食材信息无误后</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6"/>
          <w:sz w:val="28"/>
          <w:szCs w:val="28"/>
        </w:rPr>
        <w:t>，需向甲方提供合</w:t>
      </w:r>
      <w:r>
        <w:rPr>
          <w:rFonts w:hint="eastAsia" w:ascii="微软雅黑" w:hAnsi="微软雅黑" w:eastAsia="微软雅黑" w:cs="微软雅黑"/>
          <w:color w:val="auto"/>
          <w:spacing w:val="5"/>
          <w:sz w:val="28"/>
          <w:szCs w:val="28"/>
        </w:rPr>
        <w:t>规的发票；</w:t>
      </w:r>
    </w:p>
    <w:p w14:paraId="00271677">
      <w:pPr>
        <w:pStyle w:val="11"/>
        <w:spacing w:before="162" w:line="246" w:lineRule="auto"/>
        <w:ind w:left="7" w:right="37" w:firstLine="482"/>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 四</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2"/>
          <w:sz w:val="28"/>
          <w:szCs w:val="28"/>
        </w:rPr>
        <w:t>）按照订单约定准时将食材运送到指定地点，配合甲方</w:t>
      </w:r>
      <w:r>
        <w:rPr>
          <w:rFonts w:hint="eastAsia" w:ascii="微软雅黑" w:hAnsi="微软雅黑" w:eastAsia="微软雅黑" w:cs="微软雅黑"/>
          <w:color w:val="auto"/>
          <w:spacing w:val="1"/>
          <w:sz w:val="28"/>
          <w:szCs w:val="28"/>
        </w:rPr>
        <w:t>做好验收并在供货</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清单上签字确认；</w:t>
      </w:r>
    </w:p>
    <w:p w14:paraId="31CB7AF8">
      <w:pPr>
        <w:pStyle w:val="11"/>
        <w:spacing w:before="157" w:line="196" w:lineRule="auto"/>
        <w:jc w:val="left"/>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lang w:val="en-US" w:eastAsia="zh-CN"/>
        </w:rPr>
        <w:t xml:space="preserve">    </w:t>
      </w:r>
      <w:r>
        <w:rPr>
          <w:rFonts w:hint="eastAsia" w:ascii="微软雅黑" w:hAnsi="微软雅黑" w:eastAsia="微软雅黑" w:cs="微软雅黑"/>
          <w:color w:val="auto"/>
          <w:spacing w:val="3"/>
          <w:sz w:val="28"/>
          <w:szCs w:val="28"/>
        </w:rPr>
        <w:t>（五） 自行承担食材从开始运输至经甲方检验合格前的一切损毁</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pacing w:val="3"/>
          <w:sz w:val="28"/>
          <w:szCs w:val="28"/>
        </w:rPr>
        <w:t>、变质风险；</w:t>
      </w:r>
    </w:p>
    <w:p w14:paraId="675DEA86">
      <w:pPr>
        <w:pStyle w:val="11"/>
        <w:spacing w:before="164" w:line="261" w:lineRule="auto"/>
        <w:ind w:right="37"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（六）严格按照甲方订单中的品类</w:t>
      </w:r>
      <w:r>
        <w:rPr>
          <w:rFonts w:hint="eastAsia" w:ascii="微软雅黑" w:hAnsi="微软雅黑" w:eastAsia="微软雅黑" w:cs="微软雅黑"/>
          <w:color w:val="auto"/>
          <w:spacing w:val="-25"/>
          <w:sz w:val="28"/>
          <w:szCs w:val="28"/>
        </w:rPr>
        <w:t xml:space="preserve"> </w:t>
      </w:r>
      <w:r>
        <w:rPr>
          <w:rFonts w:hint="eastAsia" w:ascii="微软雅黑" w:hAnsi="微软雅黑" w:eastAsia="微软雅黑" w:cs="微软雅黑"/>
          <w:color w:val="auto"/>
          <w:spacing w:val="3"/>
          <w:sz w:val="28"/>
          <w:szCs w:val="28"/>
        </w:rPr>
        <w:t>、规格</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3"/>
          <w:sz w:val="28"/>
          <w:szCs w:val="28"/>
        </w:rPr>
        <w:t>、质量及数量进行配送，验收时甲方</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若发现食材质量不达标、重量不足或出现漏货等情况，乙方应按照甲方的要求立即</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4"/>
          <w:sz w:val="28"/>
          <w:szCs w:val="28"/>
        </w:rPr>
        <w:t>更换及补货；</w:t>
      </w:r>
    </w:p>
    <w:p w14:paraId="4B87D051">
      <w:pPr>
        <w:pStyle w:val="11"/>
        <w:spacing w:before="155"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8"/>
          <w:sz w:val="28"/>
          <w:szCs w:val="28"/>
        </w:rPr>
        <w:t>（七）工作人员出入校园应遵守学校规章制度。</w:t>
      </w:r>
    </w:p>
    <w:p w14:paraId="5263262A">
      <w:pPr>
        <w:pStyle w:val="11"/>
        <w:spacing w:before="164" w:line="200"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十三</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、合同解除</w:t>
      </w:r>
    </w:p>
    <w:p w14:paraId="011B20B8">
      <w:pPr>
        <w:pStyle w:val="11"/>
        <w:spacing w:before="158"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（一）双方协商一致可以解除本合同；</w:t>
      </w:r>
    </w:p>
    <w:p w14:paraId="357550FA">
      <w:pPr>
        <w:pStyle w:val="11"/>
        <w:spacing w:before="162" w:line="246" w:lineRule="auto"/>
        <w:ind w:left="3" w:right="37"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z w:val="28"/>
          <w:szCs w:val="28"/>
        </w:rPr>
        <w:t>）在合同期内，</w:t>
      </w:r>
      <w:r>
        <w:rPr>
          <w:rFonts w:hint="eastAsia" w:ascii="微软雅黑" w:hAnsi="微软雅黑" w:eastAsia="微软雅黑" w:cs="微软雅黑"/>
          <w:color w:val="auto"/>
          <w:spacing w:val="-51"/>
          <w:sz w:val="28"/>
          <w:szCs w:val="28"/>
        </w:rPr>
        <w:t xml:space="preserve"> </w:t>
      </w:r>
      <w:r>
        <w:rPr>
          <w:rFonts w:hint="eastAsia" w:ascii="微软雅黑" w:hAnsi="微软雅黑" w:eastAsia="微软雅黑" w:cs="微软雅黑"/>
          <w:color w:val="auto"/>
          <w:sz w:val="28"/>
          <w:szCs w:val="28"/>
        </w:rPr>
        <w:t>由于发生不可抗力，致使合同不能履行的，</w:t>
      </w:r>
      <w:r>
        <w:rPr>
          <w:rFonts w:hint="eastAsia" w:ascii="微软雅黑" w:hAnsi="微软雅黑" w:eastAsia="微软雅黑" w:cs="微软雅黑"/>
          <w:color w:val="auto"/>
          <w:spacing w:val="-50"/>
          <w:sz w:val="28"/>
          <w:szCs w:val="28"/>
        </w:rPr>
        <w:t xml:space="preserve"> </w:t>
      </w:r>
      <w:r>
        <w:rPr>
          <w:rFonts w:hint="eastAsia" w:ascii="微软雅黑" w:hAnsi="微软雅黑" w:eastAsia="微软雅黑" w:cs="微软雅黑"/>
          <w:color w:val="auto"/>
          <w:sz w:val="28"/>
          <w:szCs w:val="28"/>
        </w:rPr>
        <w:t>甲</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z w:val="28"/>
          <w:szCs w:val="28"/>
        </w:rPr>
        <w:t xml:space="preserve">、乙双方的 </w:t>
      </w:r>
      <w:r>
        <w:rPr>
          <w:rFonts w:hint="eastAsia" w:ascii="微软雅黑" w:hAnsi="微软雅黑" w:eastAsia="微软雅黑" w:cs="微软雅黑"/>
          <w:color w:val="auto"/>
          <w:spacing w:val="4"/>
          <w:sz w:val="28"/>
          <w:szCs w:val="28"/>
        </w:rPr>
        <w:t>任何一方有权提出终止合同</w:t>
      </w:r>
      <w:r>
        <w:rPr>
          <w:rFonts w:hint="eastAsia" w:ascii="微软雅黑" w:hAnsi="微软雅黑" w:eastAsia="微软雅黑" w:cs="微软雅黑"/>
          <w:color w:val="auto"/>
          <w:spacing w:val="-33"/>
          <w:sz w:val="28"/>
          <w:szCs w:val="28"/>
        </w:rPr>
        <w:t xml:space="preserve"> </w:t>
      </w: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49"/>
          <w:sz w:val="28"/>
          <w:szCs w:val="28"/>
        </w:rPr>
        <w:t xml:space="preserve"> </w:t>
      </w:r>
      <w:r>
        <w:rPr>
          <w:rFonts w:hint="eastAsia" w:ascii="微软雅黑" w:hAnsi="微软雅黑" w:eastAsia="微软雅黑" w:cs="微软雅黑"/>
          <w:color w:val="auto"/>
          <w:spacing w:val="4"/>
          <w:sz w:val="28"/>
          <w:szCs w:val="28"/>
        </w:rPr>
        <w:t>由此发生的经济损失，</w:t>
      </w:r>
      <w:r>
        <w:rPr>
          <w:rFonts w:hint="eastAsia" w:ascii="微软雅黑" w:hAnsi="微软雅黑" w:eastAsia="微软雅黑" w:cs="微软雅黑"/>
          <w:color w:val="auto"/>
          <w:spacing w:val="-34"/>
          <w:sz w:val="28"/>
          <w:szCs w:val="28"/>
        </w:rPr>
        <w:t xml:space="preserve"> </w:t>
      </w:r>
      <w:r>
        <w:rPr>
          <w:rFonts w:hint="eastAsia" w:ascii="微软雅黑" w:hAnsi="微软雅黑" w:eastAsia="微软雅黑" w:cs="微软雅黑"/>
          <w:color w:val="auto"/>
          <w:spacing w:val="4"/>
          <w:sz w:val="28"/>
          <w:szCs w:val="28"/>
        </w:rPr>
        <w:t>甲</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4"/>
          <w:sz w:val="28"/>
          <w:szCs w:val="28"/>
        </w:rPr>
        <w:t>、乙双方各自承担。</w:t>
      </w:r>
    </w:p>
    <w:p w14:paraId="365465CF">
      <w:pPr>
        <w:pStyle w:val="11"/>
        <w:spacing w:before="156" w:line="246" w:lineRule="auto"/>
        <w:ind w:left="3" w:right="39"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（三）乙方未按合同约定时间供货的，每延迟一次按延迟供货金额</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9"/>
          <w:sz w:val="28"/>
          <w:szCs w:val="28"/>
        </w:rPr>
        <w:t xml:space="preserve"> </w:t>
      </w:r>
      <w:r>
        <w:rPr>
          <w:rFonts w:hint="eastAsia" w:ascii="微软雅黑" w:hAnsi="微软雅黑" w:eastAsia="微软雅黑" w:cs="微软雅黑"/>
          <w:color w:val="auto"/>
          <w:spacing w:val="5"/>
          <w:sz w:val="28"/>
          <w:szCs w:val="28"/>
        </w:rPr>
        <w:t>%支付</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违约金</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3"/>
          <w:sz w:val="28"/>
          <w:szCs w:val="28"/>
        </w:rPr>
        <w:t>，如发生</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3"/>
          <w:sz w:val="28"/>
          <w:szCs w:val="28"/>
        </w:rPr>
        <w:t>次延迟供货，</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3"/>
          <w:sz w:val="28"/>
          <w:szCs w:val="28"/>
        </w:rPr>
        <w:t>甲方有权解除合同。</w:t>
      </w:r>
    </w:p>
    <w:p w14:paraId="7D02422F">
      <w:pPr>
        <w:pStyle w:val="11"/>
        <w:spacing w:before="152" w:line="274" w:lineRule="auto"/>
        <w:ind w:left="2" w:right="37"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 四</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1"/>
          <w:sz w:val="28"/>
          <w:szCs w:val="28"/>
        </w:rPr>
        <w:t>）合同期内，如果因乙方原因不能履约的，应提前</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1"/>
          <w:sz w:val="28"/>
          <w:szCs w:val="28"/>
        </w:rPr>
        <w:t>日通知甲方终</w:t>
      </w:r>
      <w:r>
        <w:rPr>
          <w:rFonts w:hint="eastAsia" w:ascii="微软雅黑" w:hAnsi="微软雅黑" w:eastAsia="微软雅黑" w:cs="微软雅黑"/>
          <w:color w:val="auto"/>
          <w:spacing w:val="-2"/>
          <w:sz w:val="28"/>
          <w:szCs w:val="28"/>
        </w:rPr>
        <w:t>止合</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同；如乙方未及时书面通知甲方终止合同而给甲方造成损失的，除乙方应向甲方支</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7"/>
          <w:sz w:val="28"/>
          <w:szCs w:val="28"/>
        </w:rPr>
        <w:t>付已经履行合同总价款___ %违约金外</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7"/>
          <w:sz w:val="28"/>
          <w:szCs w:val="28"/>
        </w:rPr>
        <w:t>，还应赔偿甲方</w:t>
      </w:r>
      <w:r>
        <w:rPr>
          <w:rFonts w:hint="eastAsia" w:ascii="微软雅黑" w:hAnsi="微软雅黑" w:eastAsia="微软雅黑" w:cs="微软雅黑"/>
          <w:color w:val="auto"/>
          <w:spacing w:val="6"/>
          <w:sz w:val="28"/>
          <w:szCs w:val="28"/>
        </w:rPr>
        <w:t>临时采购增加的费用以及其</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他损失。如果乙方拒绝支付违约金和赔偿金的，甲方有权在乙方已供原材料款项中</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8"/>
          <w:sz w:val="28"/>
          <w:szCs w:val="28"/>
        </w:rPr>
        <w:t>扣除。</w:t>
      </w:r>
    </w:p>
    <w:p w14:paraId="7D436319">
      <w:pPr>
        <w:pStyle w:val="11"/>
        <w:spacing w:before="155" w:line="261" w:lineRule="auto"/>
        <w:ind w:left="2" w:right="39"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（五）如乙方所提供的食材经甲方进行抽检不合格的，该批次产品一律无条件</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z w:val="28"/>
          <w:szCs w:val="28"/>
        </w:rPr>
        <w:t>退回</w:t>
      </w:r>
      <w:r>
        <w:rPr>
          <w:rFonts w:hint="eastAsia" w:ascii="微软雅黑" w:hAnsi="微软雅黑" w:eastAsia="微软雅黑" w:cs="微软雅黑"/>
          <w:color w:val="auto"/>
          <w:spacing w:val="-32"/>
          <w:sz w:val="28"/>
          <w:szCs w:val="28"/>
        </w:rPr>
        <w:t xml:space="preserve"> </w:t>
      </w:r>
      <w:r>
        <w:rPr>
          <w:rFonts w:hint="eastAsia" w:ascii="微软雅黑" w:hAnsi="微软雅黑" w:eastAsia="微软雅黑" w:cs="微软雅黑"/>
          <w:color w:val="auto"/>
          <w:sz w:val="28"/>
          <w:szCs w:val="28"/>
        </w:rPr>
        <w:t>。如果两次发现抽查不合格的</w:t>
      </w:r>
      <w:r>
        <w:rPr>
          <w:rFonts w:hint="eastAsia" w:ascii="微软雅黑" w:hAnsi="微软雅黑" w:eastAsia="微软雅黑" w:cs="微软雅黑"/>
          <w:color w:val="auto"/>
          <w:spacing w:val="-21"/>
          <w:sz w:val="28"/>
          <w:szCs w:val="28"/>
        </w:rPr>
        <w:t xml:space="preserve"> </w:t>
      </w:r>
      <w:r>
        <w:rPr>
          <w:rFonts w:hint="eastAsia" w:ascii="微软雅黑" w:hAnsi="微软雅黑" w:eastAsia="微软雅黑" w:cs="微软雅黑"/>
          <w:color w:val="auto"/>
          <w:sz w:val="28"/>
          <w:szCs w:val="28"/>
        </w:rPr>
        <w:t>，甲方有权终止合同</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z w:val="28"/>
          <w:szCs w:val="28"/>
        </w:rPr>
        <w:t>，乙方应承担违约责任</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z w:val="28"/>
          <w:szCs w:val="28"/>
        </w:rPr>
        <w:t xml:space="preserve">，向 </w:t>
      </w:r>
      <w:r>
        <w:rPr>
          <w:rFonts w:hint="eastAsia" w:ascii="微软雅黑" w:hAnsi="微软雅黑" w:eastAsia="微软雅黑" w:cs="微软雅黑"/>
          <w:color w:val="auto"/>
          <w:spacing w:val="4"/>
          <w:sz w:val="28"/>
          <w:szCs w:val="28"/>
        </w:rPr>
        <w:t>甲方支付已经履约总价款</w:t>
      </w:r>
      <w:r>
        <w:rPr>
          <w:rFonts w:hint="eastAsia" w:ascii="微软雅黑" w:hAnsi="微软雅黑" w:eastAsia="微软雅黑" w:cs="微软雅黑"/>
          <w:color w:val="auto"/>
          <w:spacing w:val="-52"/>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1"/>
          <w:sz w:val="28"/>
          <w:szCs w:val="28"/>
        </w:rPr>
        <w:t xml:space="preserve"> </w:t>
      </w:r>
      <w:r>
        <w:rPr>
          <w:rFonts w:hint="eastAsia" w:ascii="微软雅黑" w:hAnsi="微软雅黑" w:eastAsia="微软雅黑" w:cs="微软雅黑"/>
          <w:color w:val="auto"/>
          <w:spacing w:val="4"/>
          <w:sz w:val="28"/>
          <w:szCs w:val="28"/>
        </w:rPr>
        <w:t>%的违约金。</w:t>
      </w:r>
    </w:p>
    <w:p w14:paraId="23CE5B49">
      <w:pPr>
        <w:pStyle w:val="11"/>
        <w:spacing w:before="154" w:line="246" w:lineRule="auto"/>
        <w:ind w:left="1" w:right="39"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（六）如甲</w:t>
      </w:r>
      <w:r>
        <w:rPr>
          <w:rFonts w:hint="eastAsia" w:ascii="微软雅黑" w:hAnsi="微软雅黑" w:eastAsia="微软雅黑" w:cs="微软雅黑"/>
          <w:color w:val="auto"/>
          <w:spacing w:val="-23"/>
          <w:sz w:val="28"/>
          <w:szCs w:val="28"/>
        </w:rPr>
        <w:t xml:space="preserve"> </w:t>
      </w:r>
      <w:r>
        <w:rPr>
          <w:rFonts w:hint="eastAsia" w:ascii="微软雅黑" w:hAnsi="微软雅黑" w:eastAsia="微软雅黑" w:cs="微软雅黑"/>
          <w:color w:val="auto"/>
          <w:spacing w:val="4"/>
          <w:sz w:val="28"/>
          <w:szCs w:val="28"/>
        </w:rPr>
        <w:t>、乙双方中有一方不接受调整价格，可提出终止合同，不属于违约</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行为。如终止合同，乙方仍需按照上一个周期的价格为甲方供货一个月，如因乙方无法供货给甲方造成损失，则视为违约行为，损失优先从履约保证金中扣除，不足</w:t>
      </w:r>
      <w:r>
        <w:rPr>
          <w:rFonts w:hint="eastAsia" w:ascii="微软雅黑" w:hAnsi="微软雅黑" w:eastAsia="微软雅黑" w:cs="微软雅黑"/>
          <w:color w:val="auto"/>
          <w:spacing w:val="12"/>
          <w:sz w:val="28"/>
          <w:szCs w:val="28"/>
        </w:rPr>
        <w:t xml:space="preserve"> </w:t>
      </w:r>
      <w:r>
        <w:rPr>
          <w:rFonts w:hint="eastAsia" w:ascii="微软雅黑" w:hAnsi="微软雅黑" w:eastAsia="微软雅黑" w:cs="微软雅黑"/>
          <w:color w:val="auto"/>
          <w:spacing w:val="5"/>
          <w:sz w:val="28"/>
          <w:szCs w:val="28"/>
        </w:rPr>
        <w:t>部分由乙方补足。</w:t>
      </w:r>
    </w:p>
    <w:p w14:paraId="4FCA8674">
      <w:pPr>
        <w:pStyle w:val="11"/>
        <w:spacing w:before="9" w:line="201"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十四</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、违约责任</w:t>
      </w:r>
    </w:p>
    <w:p w14:paraId="773C10CF">
      <w:pPr>
        <w:pStyle w:val="11"/>
        <w:spacing w:before="154" w:line="261" w:lineRule="auto"/>
        <w:ind w:right="90" w:firstLine="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（一）食品供应造成师生食物中毒（一般食品安全事故及以上等级的）或其他</w:t>
      </w:r>
      <w:r>
        <w:rPr>
          <w:rFonts w:hint="eastAsia" w:ascii="微软雅黑" w:hAnsi="微软雅黑" w:eastAsia="微软雅黑" w:cs="微软雅黑"/>
          <w:color w:val="auto"/>
          <w:spacing w:val="16"/>
          <w:sz w:val="28"/>
          <w:szCs w:val="28"/>
        </w:rPr>
        <w:t xml:space="preserve"> </w:t>
      </w:r>
      <w:r>
        <w:rPr>
          <w:rFonts w:hint="eastAsia" w:ascii="微软雅黑" w:hAnsi="微软雅黑" w:eastAsia="微软雅黑" w:cs="微软雅黑"/>
          <w:color w:val="auto"/>
          <w:spacing w:val="5"/>
          <w:sz w:val="28"/>
          <w:szCs w:val="28"/>
        </w:rPr>
        <w:t>食源性疾病等重大安全事故的，经检测是乙方配送食品原材料原因的，甲方有权单</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5"/>
          <w:sz w:val="28"/>
          <w:szCs w:val="28"/>
        </w:rPr>
        <w:t>方解除本合同，</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pacing w:val="5"/>
          <w:sz w:val="28"/>
          <w:szCs w:val="28"/>
        </w:rPr>
        <w:t>乙方应当向甲方支付已供货总金额</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5"/>
          <w:sz w:val="28"/>
          <w:szCs w:val="28"/>
        </w:rPr>
        <w:t>%的违约金。</w:t>
      </w:r>
    </w:p>
    <w:p w14:paraId="678CD4FE">
      <w:pPr>
        <w:pStyle w:val="11"/>
        <w:spacing w:before="154" w:line="260" w:lineRule="auto"/>
        <w:ind w:left="1"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3"/>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）乙方工作没有达到甲方或学校要求的，</w:t>
      </w:r>
      <w:r>
        <w:rPr>
          <w:rFonts w:hint="eastAsia" w:ascii="微软雅黑" w:hAnsi="微软雅黑" w:eastAsia="微软雅黑" w:cs="微软雅黑"/>
          <w:color w:val="auto"/>
          <w:spacing w:val="-37"/>
          <w:sz w:val="28"/>
          <w:szCs w:val="28"/>
        </w:rPr>
        <w:t xml:space="preserve"> </w:t>
      </w:r>
      <w:r>
        <w:rPr>
          <w:rFonts w:hint="eastAsia" w:ascii="微软雅黑" w:hAnsi="微软雅黑" w:eastAsia="微软雅黑" w:cs="微软雅黑"/>
          <w:color w:val="auto"/>
          <w:spacing w:val="2"/>
          <w:sz w:val="28"/>
          <w:szCs w:val="28"/>
        </w:rPr>
        <w:t>甲方有权向乙方提出工作整改</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3"/>
          <w:sz w:val="28"/>
          <w:szCs w:val="28"/>
        </w:rPr>
        <w:t>提高服务水平</w:t>
      </w:r>
      <w:r>
        <w:rPr>
          <w:rFonts w:hint="eastAsia" w:ascii="微软雅黑" w:hAnsi="微软雅黑" w:eastAsia="微软雅黑" w:cs="微软雅黑"/>
          <w:color w:val="auto"/>
          <w:spacing w:val="-36"/>
          <w:sz w:val="28"/>
          <w:szCs w:val="28"/>
        </w:rPr>
        <w:t xml:space="preserve"> </w:t>
      </w:r>
      <w:r>
        <w:rPr>
          <w:rFonts w:hint="eastAsia" w:ascii="微软雅黑" w:hAnsi="微软雅黑" w:eastAsia="微软雅黑" w:cs="微软雅黑"/>
          <w:color w:val="auto"/>
          <w:spacing w:val="3"/>
          <w:sz w:val="28"/>
          <w:szCs w:val="28"/>
        </w:rPr>
        <w:t>。甲方三次催告后乙方仍不予整改的</w:t>
      </w:r>
      <w:r>
        <w:rPr>
          <w:rFonts w:hint="eastAsia" w:ascii="微软雅黑" w:hAnsi="微软雅黑" w:eastAsia="微软雅黑" w:cs="微软雅黑"/>
          <w:color w:val="auto"/>
          <w:spacing w:val="-22"/>
          <w:sz w:val="28"/>
          <w:szCs w:val="28"/>
        </w:rPr>
        <w:t xml:space="preserve"> </w:t>
      </w:r>
      <w:r>
        <w:rPr>
          <w:rFonts w:hint="eastAsia" w:ascii="微软雅黑" w:hAnsi="微软雅黑" w:eastAsia="微软雅黑" w:cs="微软雅黑"/>
          <w:color w:val="auto"/>
          <w:spacing w:val="3"/>
          <w:sz w:val="28"/>
          <w:szCs w:val="28"/>
        </w:rPr>
        <w:t>，甲方有权单方解除合同，乙方</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应承担给甲方造成的一切损失（包括但不限于鉴定费、差旅费、诉讼费、</w:t>
      </w:r>
      <w:r>
        <w:rPr>
          <w:rFonts w:hint="eastAsia" w:ascii="微软雅黑" w:hAnsi="微软雅黑" w:eastAsia="微软雅黑" w:cs="微软雅黑"/>
          <w:color w:val="auto"/>
          <w:spacing w:val="-6"/>
          <w:sz w:val="28"/>
          <w:szCs w:val="28"/>
        </w:rPr>
        <w:t>律师费等）。</w:t>
      </w:r>
    </w:p>
    <w:p w14:paraId="44BF6631">
      <w:pPr>
        <w:pStyle w:val="11"/>
        <w:spacing w:before="164" w:line="246" w:lineRule="auto"/>
        <w:ind w:left="1" w:right="90" w:firstLine="48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（三）若乙方已做到供货及时，保质保量，诚信经营</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4"/>
          <w:sz w:val="28"/>
          <w:szCs w:val="28"/>
        </w:rPr>
        <w:t>，甲方无正当理由不</w:t>
      </w:r>
      <w:r>
        <w:rPr>
          <w:rFonts w:hint="eastAsia" w:ascii="微软雅黑" w:hAnsi="微软雅黑" w:eastAsia="微软雅黑" w:cs="微软雅黑"/>
          <w:color w:val="auto"/>
          <w:spacing w:val="3"/>
          <w:sz w:val="28"/>
          <w:szCs w:val="28"/>
        </w:rPr>
        <w:t>能在</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8"/>
          <w:sz w:val="28"/>
          <w:szCs w:val="28"/>
        </w:rPr>
        <w:t>合同期内随意取消乙方的供货权。</w:t>
      </w:r>
    </w:p>
    <w:p w14:paraId="6B201BE4">
      <w:pPr>
        <w:pStyle w:val="11"/>
        <w:spacing w:before="156" w:line="200" w:lineRule="auto"/>
        <w:ind w:left="508"/>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十五</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、争议解决</w:t>
      </w:r>
    </w:p>
    <w:p w14:paraId="3ED4E649">
      <w:pPr>
        <w:pStyle w:val="11"/>
        <w:spacing w:before="156" w:line="289" w:lineRule="auto"/>
        <w:ind w:left="3" w:right="92" w:firstLine="51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7"/>
          <w:sz w:val="28"/>
          <w:szCs w:val="28"/>
        </w:rPr>
        <w:t>因本合同相关事项发生的纠纷</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7"/>
          <w:sz w:val="28"/>
          <w:szCs w:val="28"/>
        </w:rPr>
        <w:t>，可由双方协商解决</w:t>
      </w:r>
      <w:r>
        <w:rPr>
          <w:rFonts w:hint="eastAsia" w:ascii="微软雅黑" w:hAnsi="微软雅黑" w:eastAsia="微软雅黑" w:cs="微软雅黑"/>
          <w:color w:val="auto"/>
          <w:spacing w:val="-14"/>
          <w:sz w:val="28"/>
          <w:szCs w:val="28"/>
        </w:rPr>
        <w:t xml:space="preserve"> </w:t>
      </w:r>
      <w:r>
        <w:rPr>
          <w:rFonts w:hint="eastAsia" w:ascii="微软雅黑" w:hAnsi="微软雅黑" w:eastAsia="微软雅黑" w:cs="微软雅黑"/>
          <w:color w:val="auto"/>
          <w:spacing w:val="7"/>
          <w:sz w:val="28"/>
          <w:szCs w:val="28"/>
        </w:rPr>
        <w:t>，协商不成</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7"/>
          <w:sz w:val="28"/>
          <w:szCs w:val="28"/>
        </w:rPr>
        <w:t>，可</w:t>
      </w:r>
      <w:r>
        <w:rPr>
          <w:rFonts w:hint="eastAsia" w:ascii="微软雅黑" w:hAnsi="微软雅黑" w:eastAsia="微软雅黑" w:cs="微软雅黑"/>
          <w:color w:val="auto"/>
          <w:spacing w:val="6"/>
          <w:sz w:val="28"/>
          <w:szCs w:val="28"/>
        </w:rPr>
        <w:t>按以下第</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4"/>
          <w:sz w:val="28"/>
          <w:szCs w:val="28"/>
        </w:rPr>
        <w:t>种方式解决：</w:t>
      </w:r>
    </w:p>
    <w:p w14:paraId="49DEEB2B">
      <w:pPr>
        <w:pStyle w:val="11"/>
        <w:spacing w:before="8"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（一）</w:t>
      </w:r>
      <w:r>
        <w:rPr>
          <w:rFonts w:hint="eastAsia" w:ascii="微软雅黑" w:hAnsi="微软雅黑" w:eastAsia="微软雅黑" w:cs="微软雅黑"/>
          <w:color w:val="auto"/>
          <w:spacing w:val="-20"/>
          <w:sz w:val="28"/>
          <w:szCs w:val="28"/>
        </w:rPr>
        <w:t xml:space="preserve"> </w:t>
      </w:r>
      <w:r>
        <w:rPr>
          <w:rFonts w:hint="eastAsia" w:ascii="微软雅黑" w:hAnsi="微软雅黑" w:eastAsia="微软雅黑" w:cs="微软雅黑"/>
          <w:color w:val="auto"/>
          <w:spacing w:val="2"/>
          <w:sz w:val="28"/>
          <w:szCs w:val="28"/>
        </w:rPr>
        <w:t>向</w:t>
      </w:r>
      <w:r>
        <w:rPr>
          <w:rFonts w:hint="eastAsia" w:ascii="微软雅黑" w:hAnsi="微软雅黑" w:eastAsia="微软雅黑" w:cs="微软雅黑"/>
          <w:color w:val="auto"/>
          <w:spacing w:val="-64"/>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55"/>
          <w:sz w:val="28"/>
          <w:szCs w:val="28"/>
        </w:rPr>
        <w:t xml:space="preserve"> </w:t>
      </w:r>
      <w:r>
        <w:rPr>
          <w:rFonts w:hint="eastAsia" w:ascii="微软雅黑" w:hAnsi="微软雅黑" w:eastAsia="微软雅黑" w:cs="微软雅黑"/>
          <w:color w:val="auto"/>
          <w:spacing w:val="2"/>
          <w:sz w:val="28"/>
          <w:szCs w:val="28"/>
        </w:rPr>
        <w:t>仲裁委员会申请仲裁。</w:t>
      </w:r>
    </w:p>
    <w:p w14:paraId="39DE3999">
      <w:pPr>
        <w:pStyle w:val="11"/>
        <w:spacing w:before="163" w:line="196" w:lineRule="auto"/>
        <w:ind w:left="489"/>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w:t>
      </w:r>
      <w:r>
        <w:rPr>
          <w:rFonts w:hint="eastAsia" w:ascii="微软雅黑" w:hAnsi="微软雅黑" w:eastAsia="微软雅黑" w:cs="微软雅黑"/>
          <w:color w:val="auto"/>
          <w:spacing w:val="-4"/>
          <w:sz w:val="28"/>
          <w:szCs w:val="28"/>
        </w:rPr>
        <w:t xml:space="preserve"> </w:t>
      </w:r>
      <w:r>
        <w:rPr>
          <w:rFonts w:hint="eastAsia" w:ascii="微软雅黑" w:hAnsi="微软雅黑" w:eastAsia="微软雅黑" w:cs="微软雅黑"/>
          <w:color w:val="auto"/>
          <w:spacing w:val="-3"/>
          <w:sz w:val="28"/>
          <w:szCs w:val="28"/>
        </w:rPr>
        <w:t>二</w:t>
      </w:r>
      <w:r>
        <w:rPr>
          <w:rFonts w:hint="eastAsia" w:ascii="微软雅黑" w:hAnsi="微软雅黑" w:eastAsia="微软雅黑" w:cs="微软雅黑"/>
          <w:color w:val="auto"/>
          <w:spacing w:val="-18"/>
          <w:sz w:val="28"/>
          <w:szCs w:val="28"/>
        </w:rPr>
        <w:t xml:space="preserve"> </w:t>
      </w:r>
      <w:r>
        <w:rPr>
          <w:rFonts w:hint="eastAsia" w:ascii="微软雅黑" w:hAnsi="微软雅黑" w:eastAsia="微软雅黑" w:cs="微软雅黑"/>
          <w:color w:val="auto"/>
          <w:spacing w:val="-3"/>
          <w:sz w:val="28"/>
          <w:szCs w:val="28"/>
        </w:rPr>
        <w:t>）依法向</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67"/>
          <w:sz w:val="28"/>
          <w:szCs w:val="28"/>
        </w:rPr>
        <w:t xml:space="preserve"> </w:t>
      </w:r>
      <w:r>
        <w:rPr>
          <w:rFonts w:hint="eastAsia" w:ascii="微软雅黑" w:hAnsi="微软雅黑" w:eastAsia="微软雅黑" w:cs="微软雅黑"/>
          <w:color w:val="auto"/>
          <w:spacing w:val="-3"/>
          <w:sz w:val="28"/>
          <w:szCs w:val="28"/>
        </w:rPr>
        <w:t>人民法院起诉。</w:t>
      </w:r>
    </w:p>
    <w:p w14:paraId="2652A5C2">
      <w:pPr>
        <w:pStyle w:val="11"/>
        <w:spacing w:before="164" w:line="289" w:lineRule="auto"/>
        <w:ind w:right="78" w:firstLine="484"/>
        <w:jc w:val="both"/>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在诉讼或仲裁期间，本合同不涉及争议的条款仍然有效，双方应</w:t>
      </w:r>
      <w:r>
        <w:rPr>
          <w:rFonts w:hint="eastAsia" w:ascii="微软雅黑" w:hAnsi="微软雅黑" w:eastAsia="微软雅黑" w:cs="微软雅黑"/>
          <w:color w:val="auto"/>
          <w:spacing w:val="-2"/>
          <w:sz w:val="28"/>
          <w:szCs w:val="28"/>
        </w:rPr>
        <w:t>继续履行。因争</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议解决产生的诉讼费、保全费、保全、保险费、律师费、鉴定费、评估费、公证费、</w:t>
      </w:r>
      <w:r>
        <w:rPr>
          <w:rFonts w:hint="eastAsia" w:ascii="微软雅黑" w:hAnsi="微软雅黑" w:eastAsia="微软雅黑" w:cs="微软雅黑"/>
          <w:color w:val="auto"/>
          <w:spacing w:val="5"/>
          <w:sz w:val="28"/>
          <w:szCs w:val="28"/>
        </w:rPr>
        <w:t xml:space="preserve"> </w:t>
      </w:r>
      <w:r>
        <w:rPr>
          <w:rFonts w:hint="eastAsia" w:ascii="微软雅黑" w:hAnsi="微软雅黑" w:eastAsia="微软雅黑" w:cs="微软雅黑"/>
          <w:color w:val="auto"/>
          <w:sz w:val="28"/>
          <w:szCs w:val="28"/>
        </w:rPr>
        <w:t>差旅费、公告费、邮寄送达费等所有成本由违约方</w:t>
      </w:r>
      <w:r>
        <w:rPr>
          <w:rFonts w:hint="eastAsia" w:ascii="微软雅黑" w:hAnsi="微软雅黑" w:eastAsia="微软雅黑" w:cs="微软雅黑"/>
          <w:color w:val="auto"/>
          <w:spacing w:val="-1"/>
          <w:sz w:val="28"/>
          <w:szCs w:val="28"/>
        </w:rPr>
        <w:t>承担。</w:t>
      </w:r>
    </w:p>
    <w:p w14:paraId="05A5A56E">
      <w:pPr>
        <w:pStyle w:val="11"/>
        <w:spacing w:before="14" w:line="200" w:lineRule="auto"/>
        <w:ind w:left="491"/>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十六、合同签订时间、地点、份数及生效</w:t>
      </w:r>
    </w:p>
    <w:p w14:paraId="035978B3">
      <w:pPr>
        <w:pStyle w:val="11"/>
        <w:spacing w:before="156" w:line="196" w:lineRule="auto"/>
        <w:ind w:left="472"/>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（一）合同签订时间：</w:t>
      </w:r>
      <w:r>
        <w:rPr>
          <w:rFonts w:hint="eastAsia" w:ascii="微软雅黑" w:hAnsi="微软雅黑" w:eastAsia="微软雅黑" w:cs="微软雅黑"/>
          <w:color w:val="auto"/>
          <w:spacing w:val="9"/>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pacing w:val="-5"/>
          <w:sz w:val="28"/>
          <w:szCs w:val="28"/>
        </w:rPr>
        <w:t>年</w:t>
      </w:r>
      <w:r>
        <w:rPr>
          <w:rFonts w:hint="eastAsia" w:ascii="微软雅黑" w:hAnsi="微软雅黑" w:eastAsia="微软雅黑" w:cs="微软雅黑"/>
          <w:color w:val="auto"/>
          <w:spacing w:val="9"/>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pacing w:val="-5"/>
          <w:sz w:val="28"/>
          <w:szCs w:val="28"/>
        </w:rPr>
        <w:t>月</w:t>
      </w:r>
      <w:r>
        <w:rPr>
          <w:rFonts w:hint="eastAsia" w:ascii="微软雅黑" w:hAnsi="微软雅黑" w:eastAsia="微软雅黑" w:cs="微软雅黑"/>
          <w:color w:val="auto"/>
          <w:spacing w:val="9"/>
          <w:sz w:val="28"/>
          <w:szCs w:val="28"/>
          <w:u w:val="single" w:color="auto"/>
        </w:rPr>
        <w:t xml:space="preserve">      </w:t>
      </w:r>
      <w:r>
        <w:rPr>
          <w:rFonts w:hint="eastAsia" w:ascii="微软雅黑" w:hAnsi="微软雅黑" w:eastAsia="微软雅黑" w:cs="微软雅黑"/>
          <w:color w:val="auto"/>
          <w:spacing w:val="-15"/>
          <w:sz w:val="28"/>
          <w:szCs w:val="28"/>
        </w:rPr>
        <w:t xml:space="preserve"> </w:t>
      </w:r>
      <w:r>
        <w:rPr>
          <w:rFonts w:hint="eastAsia" w:ascii="微软雅黑" w:hAnsi="微软雅黑" w:eastAsia="微软雅黑" w:cs="微软雅黑"/>
          <w:color w:val="auto"/>
          <w:spacing w:val="-5"/>
          <w:sz w:val="28"/>
          <w:szCs w:val="28"/>
        </w:rPr>
        <w:t>日。</w:t>
      </w:r>
    </w:p>
    <w:p w14:paraId="0BC01EBA">
      <w:pPr>
        <w:pStyle w:val="11"/>
        <w:spacing w:before="163" w:line="196" w:lineRule="auto"/>
        <w:ind w:firstLine="272" w:firstLineChars="1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4"/>
          <w:sz w:val="28"/>
          <w:szCs w:val="28"/>
        </w:rPr>
        <w:t>二</w:t>
      </w:r>
      <w:r>
        <w:rPr>
          <w:rFonts w:hint="eastAsia" w:ascii="微软雅黑" w:hAnsi="微软雅黑" w:eastAsia="微软雅黑" w:cs="微软雅黑"/>
          <w:color w:val="auto"/>
          <w:spacing w:val="-27"/>
          <w:sz w:val="28"/>
          <w:szCs w:val="28"/>
        </w:rPr>
        <w:t xml:space="preserve"> </w:t>
      </w:r>
      <w:r>
        <w:rPr>
          <w:rFonts w:hint="eastAsia" w:ascii="微软雅黑" w:hAnsi="微软雅黑" w:eastAsia="微软雅黑" w:cs="微软雅黑"/>
          <w:color w:val="auto"/>
          <w:spacing w:val="-4"/>
          <w:sz w:val="28"/>
          <w:szCs w:val="28"/>
        </w:rPr>
        <w:t>）合同签订地点：</w:t>
      </w:r>
      <w:r>
        <w:rPr>
          <w:rFonts w:hint="eastAsia" w:ascii="微软雅黑" w:hAnsi="微软雅黑" w:eastAsia="微软雅黑" w:cs="微软雅黑"/>
          <w:color w:val="auto"/>
          <w:spacing w:val="-4"/>
          <w:sz w:val="28"/>
          <w:szCs w:val="28"/>
          <w:u w:val="single" w:color="auto"/>
        </w:rPr>
        <w:t xml:space="preserve">                              。</w:t>
      </w:r>
    </w:p>
    <w:p w14:paraId="3C41EDB2">
      <w:pPr>
        <w:pStyle w:val="11"/>
        <w:spacing w:before="165" w:line="246" w:lineRule="auto"/>
        <w:ind w:left="4" w:right="83" w:firstLine="468"/>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（三）合同份数：合同一式</w:t>
      </w:r>
      <w:r>
        <w:rPr>
          <w:rFonts w:hint="eastAsia" w:ascii="微软雅黑" w:hAnsi="微软雅黑" w:eastAsia="微软雅黑" w:cs="微软雅黑"/>
          <w:color w:val="auto"/>
          <w:spacing w:val="-66"/>
          <w:sz w:val="28"/>
          <w:szCs w:val="28"/>
        </w:rPr>
        <w:t xml:space="preserve"> </w:t>
      </w:r>
      <w:r>
        <w:rPr>
          <w:rFonts w:hint="eastAsia" w:ascii="微软雅黑" w:hAnsi="微软雅黑" w:eastAsia="微软雅黑" w:cs="微软雅黑"/>
          <w:color w:val="auto"/>
          <w:spacing w:val="2"/>
          <w:sz w:val="28"/>
          <w:szCs w:val="28"/>
          <w:u w:val="single" w:color="auto"/>
        </w:rPr>
        <w:t xml:space="preserve">     </w:t>
      </w:r>
      <w:r>
        <w:rPr>
          <w:rFonts w:hint="eastAsia" w:ascii="微软雅黑" w:hAnsi="微软雅黑" w:eastAsia="微软雅黑" w:cs="微软雅黑"/>
          <w:color w:val="auto"/>
          <w:spacing w:val="-63"/>
          <w:sz w:val="28"/>
          <w:szCs w:val="28"/>
        </w:rPr>
        <w:t xml:space="preserve"> </w:t>
      </w:r>
      <w:r>
        <w:rPr>
          <w:rFonts w:hint="eastAsia" w:ascii="微软雅黑" w:hAnsi="微软雅黑" w:eastAsia="微软雅黑" w:cs="微软雅黑"/>
          <w:color w:val="auto"/>
          <w:sz w:val="28"/>
          <w:szCs w:val="28"/>
        </w:rPr>
        <w:t>份，</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z w:val="28"/>
          <w:szCs w:val="28"/>
        </w:rPr>
        <w:t>甲方</w:t>
      </w:r>
      <w:r>
        <w:rPr>
          <w:rFonts w:hint="eastAsia" w:ascii="微软雅黑" w:hAnsi="微软雅黑" w:eastAsia="微软雅黑" w:cs="微软雅黑"/>
          <w:color w:val="auto"/>
          <w:sz w:val="28"/>
          <w:szCs w:val="28"/>
          <w:u w:val="single" w:color="auto"/>
        </w:rPr>
        <w:t xml:space="preserve">      </w:t>
      </w:r>
      <w:r>
        <w:rPr>
          <w:rFonts w:hint="eastAsia" w:ascii="微软雅黑" w:hAnsi="微软雅黑" w:eastAsia="微软雅黑" w:cs="微软雅黑"/>
          <w:color w:val="auto"/>
          <w:spacing w:val="-65"/>
          <w:sz w:val="28"/>
          <w:szCs w:val="28"/>
        </w:rPr>
        <w:t xml:space="preserve"> </w:t>
      </w:r>
      <w:r>
        <w:rPr>
          <w:rFonts w:hint="eastAsia" w:ascii="微软雅黑" w:hAnsi="微软雅黑" w:eastAsia="微软雅黑" w:cs="微软雅黑"/>
          <w:color w:val="auto"/>
          <w:sz w:val="28"/>
          <w:szCs w:val="28"/>
        </w:rPr>
        <w:t>份</w:t>
      </w:r>
      <w:r>
        <w:rPr>
          <w:rFonts w:hint="eastAsia" w:ascii="微软雅黑" w:hAnsi="微软雅黑" w:eastAsia="微软雅黑" w:cs="微软雅黑"/>
          <w:color w:val="auto"/>
          <w:spacing w:val="-26"/>
          <w:sz w:val="28"/>
          <w:szCs w:val="28"/>
        </w:rPr>
        <w:t xml:space="preserve"> </w:t>
      </w:r>
      <w:r>
        <w:rPr>
          <w:rFonts w:hint="eastAsia" w:ascii="微软雅黑" w:hAnsi="微软雅黑" w:eastAsia="微软雅黑" w:cs="微软雅黑"/>
          <w:color w:val="auto"/>
          <w:sz w:val="28"/>
          <w:szCs w:val="28"/>
        </w:rPr>
        <w:t>，乙方</w:t>
      </w:r>
      <w:r>
        <w:rPr>
          <w:rFonts w:hint="eastAsia" w:ascii="微软雅黑" w:hAnsi="微软雅黑" w:eastAsia="微软雅黑" w:cs="微软雅黑"/>
          <w:color w:val="auto"/>
          <w:spacing w:val="-71"/>
          <w:sz w:val="28"/>
          <w:szCs w:val="28"/>
        </w:rPr>
        <w:t xml:space="preserve"> </w:t>
      </w:r>
      <w:r>
        <w:rPr>
          <w:rFonts w:hint="eastAsia" w:ascii="微软雅黑" w:hAnsi="微软雅黑" w:eastAsia="微软雅黑" w:cs="微软雅黑"/>
          <w:color w:val="auto"/>
          <w:spacing w:val="10"/>
          <w:sz w:val="28"/>
          <w:szCs w:val="28"/>
          <w:u w:val="single" w:color="auto"/>
        </w:rPr>
        <w:t xml:space="preserve">      </w:t>
      </w:r>
      <w:r>
        <w:rPr>
          <w:rFonts w:hint="eastAsia" w:ascii="微软雅黑" w:hAnsi="微软雅黑" w:eastAsia="微软雅黑" w:cs="微软雅黑"/>
          <w:color w:val="auto"/>
          <w:spacing w:val="-62"/>
          <w:sz w:val="28"/>
          <w:szCs w:val="28"/>
        </w:rPr>
        <w:t xml:space="preserve"> </w:t>
      </w:r>
      <w:r>
        <w:rPr>
          <w:rFonts w:hint="eastAsia" w:ascii="微软雅黑" w:hAnsi="微软雅黑" w:eastAsia="微软雅黑" w:cs="微软雅黑"/>
          <w:color w:val="auto"/>
          <w:sz w:val="28"/>
          <w:szCs w:val="28"/>
        </w:rPr>
        <w:t>份，</w:t>
      </w:r>
      <w:r>
        <w:rPr>
          <w:rFonts w:hint="eastAsia" w:ascii="微软雅黑" w:hAnsi="微软雅黑" w:eastAsia="微软雅黑" w:cs="微软雅黑"/>
          <w:color w:val="auto"/>
          <w:spacing w:val="-41"/>
          <w:sz w:val="28"/>
          <w:szCs w:val="28"/>
        </w:rPr>
        <w:t xml:space="preserve"> </w:t>
      </w:r>
      <w:r>
        <w:rPr>
          <w:rFonts w:hint="eastAsia" w:ascii="微软雅黑" w:hAnsi="微软雅黑" w:eastAsia="微软雅黑" w:cs="微软雅黑"/>
          <w:color w:val="auto"/>
          <w:sz w:val="28"/>
          <w:szCs w:val="28"/>
        </w:rPr>
        <w:t xml:space="preserve">由甲方向当地教 </w:t>
      </w:r>
      <w:r>
        <w:rPr>
          <w:rFonts w:hint="eastAsia" w:ascii="微软雅黑" w:hAnsi="微软雅黑" w:eastAsia="微软雅黑" w:cs="微软雅黑"/>
          <w:color w:val="auto"/>
          <w:spacing w:val="-1"/>
          <w:sz w:val="28"/>
          <w:szCs w:val="28"/>
        </w:rPr>
        <w:t>育行政部门备案</w:t>
      </w:r>
      <w:r>
        <w:rPr>
          <w:rFonts w:hint="eastAsia" w:ascii="微软雅黑" w:hAnsi="微软雅黑" w:eastAsia="微软雅黑" w:cs="微软雅黑"/>
          <w:color w:val="auto"/>
          <w:spacing w:val="-1"/>
          <w:sz w:val="28"/>
          <w:szCs w:val="28"/>
          <w:u w:val="single" w:color="auto"/>
        </w:rPr>
        <w:t xml:space="preserve">          </w:t>
      </w:r>
      <w:r>
        <w:rPr>
          <w:rFonts w:hint="eastAsia" w:ascii="微软雅黑" w:hAnsi="微软雅黑" w:eastAsia="微软雅黑" w:cs="微软雅黑"/>
          <w:color w:val="auto"/>
          <w:spacing w:val="-50"/>
          <w:sz w:val="28"/>
          <w:szCs w:val="28"/>
        </w:rPr>
        <w:t xml:space="preserve"> </w:t>
      </w:r>
      <w:r>
        <w:rPr>
          <w:rFonts w:hint="eastAsia" w:ascii="微软雅黑" w:hAnsi="微软雅黑" w:eastAsia="微软雅黑" w:cs="微软雅黑"/>
          <w:color w:val="auto"/>
          <w:spacing w:val="-1"/>
          <w:sz w:val="28"/>
          <w:szCs w:val="28"/>
        </w:rPr>
        <w:t>份。</w:t>
      </w:r>
    </w:p>
    <w:p w14:paraId="0D4B8443">
      <w:pPr>
        <w:pStyle w:val="11"/>
        <w:spacing w:before="154" w:line="196" w:lineRule="auto"/>
        <w:ind w:left="472"/>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 四）本合同经双方法定代表人签字并加盖公章后生效。</w:t>
      </w:r>
    </w:p>
    <w:p w14:paraId="099D6C1B">
      <w:pPr>
        <w:pStyle w:val="11"/>
        <w:spacing w:before="103" w:line="201" w:lineRule="auto"/>
        <w:ind w:left="505"/>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十七</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、其它约定</w:t>
      </w:r>
    </w:p>
    <w:p w14:paraId="13EAF014">
      <w:pPr>
        <w:pStyle w:val="11"/>
        <w:spacing w:before="157" w:line="196" w:lineRule="auto"/>
        <w:ind w:left="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（一）合同签订后</w:t>
      </w:r>
      <w:r>
        <w:rPr>
          <w:rFonts w:hint="eastAsia" w:ascii="微软雅黑" w:hAnsi="微软雅黑" w:eastAsia="微软雅黑" w:cs="微软雅黑"/>
          <w:color w:val="auto"/>
          <w:spacing w:val="-51"/>
          <w:sz w:val="28"/>
          <w:szCs w:val="28"/>
        </w:rPr>
        <w:t xml:space="preserve"> </w:t>
      </w:r>
      <w:r>
        <w:rPr>
          <w:rFonts w:hint="eastAsia" w:ascii="微软雅黑" w:hAnsi="微软雅黑" w:eastAsia="微软雅黑" w:cs="微软雅黑"/>
          <w:color w:val="auto"/>
          <w:spacing w:val="5"/>
          <w:sz w:val="28"/>
          <w:szCs w:val="28"/>
          <w:u w:val="single" w:color="auto"/>
        </w:rPr>
        <w:t xml:space="preserve">          </w:t>
      </w:r>
      <w:r>
        <w:rPr>
          <w:rFonts w:hint="eastAsia" w:ascii="微软雅黑" w:hAnsi="微软雅黑" w:eastAsia="微软雅黑" w:cs="微软雅黑"/>
          <w:color w:val="auto"/>
          <w:spacing w:val="-7"/>
          <w:sz w:val="28"/>
          <w:szCs w:val="28"/>
        </w:rPr>
        <w:t xml:space="preserve"> </w:t>
      </w:r>
      <w:r>
        <w:rPr>
          <w:rFonts w:hint="eastAsia" w:ascii="微软雅黑" w:hAnsi="微软雅黑" w:eastAsia="微软雅黑" w:cs="微软雅黑"/>
          <w:color w:val="auto"/>
          <w:spacing w:val="4"/>
          <w:sz w:val="28"/>
          <w:szCs w:val="28"/>
        </w:rPr>
        <w:t>日内向属地教育行政部门备案。</w:t>
      </w:r>
    </w:p>
    <w:p w14:paraId="504E52BC">
      <w:pPr>
        <w:pStyle w:val="11"/>
        <w:spacing w:before="163" w:line="261" w:lineRule="auto"/>
        <w:ind w:left="3" w:right="77" w:firstLine="483"/>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w:t>
      </w:r>
      <w:r>
        <w:rPr>
          <w:rFonts w:hint="eastAsia" w:ascii="微软雅黑" w:hAnsi="微软雅黑" w:eastAsia="微软雅黑" w:cs="微软雅黑"/>
          <w:color w:val="auto"/>
          <w:spacing w:val="-9"/>
          <w:sz w:val="28"/>
          <w:szCs w:val="28"/>
        </w:rPr>
        <w:t xml:space="preserve"> </w:t>
      </w:r>
      <w:r>
        <w:rPr>
          <w:rFonts w:hint="eastAsia" w:ascii="微软雅黑" w:hAnsi="微软雅黑" w:eastAsia="微软雅黑" w:cs="微软雅黑"/>
          <w:color w:val="auto"/>
          <w:spacing w:val="2"/>
          <w:sz w:val="28"/>
          <w:szCs w:val="28"/>
        </w:rPr>
        <w:t>二</w:t>
      </w:r>
      <w:r>
        <w:rPr>
          <w:rFonts w:hint="eastAsia" w:ascii="微软雅黑" w:hAnsi="微软雅黑" w:eastAsia="微软雅黑" w:cs="微软雅黑"/>
          <w:color w:val="auto"/>
          <w:spacing w:val="-17"/>
          <w:sz w:val="28"/>
          <w:szCs w:val="28"/>
        </w:rPr>
        <w:t xml:space="preserve"> </w:t>
      </w:r>
      <w:r>
        <w:rPr>
          <w:rFonts w:hint="eastAsia" w:ascii="微软雅黑" w:hAnsi="微软雅黑" w:eastAsia="微软雅黑" w:cs="微软雅黑"/>
          <w:color w:val="auto"/>
          <w:spacing w:val="2"/>
          <w:sz w:val="28"/>
          <w:szCs w:val="28"/>
        </w:rPr>
        <w:t>）在履行本合同过程中涉及对中标资金和本合同内容修改或补充的，须经</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当地财政部门审批，并签订书面补充协议报教育行政部门和市场监管部门备案，方</w:t>
      </w:r>
      <w:r>
        <w:rPr>
          <w:rFonts w:hint="eastAsia" w:ascii="微软雅黑" w:hAnsi="微软雅黑" w:eastAsia="微软雅黑" w:cs="微软雅黑"/>
          <w:color w:val="auto"/>
          <w:spacing w:val="7"/>
          <w:sz w:val="28"/>
          <w:szCs w:val="28"/>
        </w:rPr>
        <w:t xml:space="preserve"> 可作为主合同不可分割的一部分。</w:t>
      </w:r>
    </w:p>
    <w:p w14:paraId="07527D6A">
      <w:pPr>
        <w:pStyle w:val="11"/>
        <w:spacing w:before="156" w:line="261" w:lineRule="auto"/>
        <w:ind w:right="77" w:firstLine="48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（三）本合同所有附件</w:t>
      </w:r>
      <w:r>
        <w:rPr>
          <w:rFonts w:hint="eastAsia" w:ascii="微软雅黑" w:hAnsi="微软雅黑" w:eastAsia="微软雅黑" w:cs="微软雅黑"/>
          <w:color w:val="auto"/>
          <w:spacing w:val="-24"/>
          <w:sz w:val="28"/>
          <w:szCs w:val="28"/>
        </w:rPr>
        <w:t xml:space="preserve"> </w:t>
      </w:r>
      <w:r>
        <w:rPr>
          <w:rFonts w:hint="eastAsia" w:ascii="微软雅黑" w:hAnsi="微软雅黑" w:eastAsia="微软雅黑" w:cs="微软雅黑"/>
          <w:color w:val="auto"/>
          <w:spacing w:val="2"/>
          <w:sz w:val="28"/>
          <w:szCs w:val="28"/>
        </w:rPr>
        <w:t>、采购文件</w:t>
      </w:r>
      <w:r>
        <w:rPr>
          <w:rFonts w:hint="eastAsia" w:ascii="微软雅黑" w:hAnsi="微软雅黑" w:eastAsia="微软雅黑" w:cs="微软雅黑"/>
          <w:color w:val="auto"/>
          <w:spacing w:val="-38"/>
          <w:sz w:val="28"/>
          <w:szCs w:val="28"/>
        </w:rPr>
        <w:t xml:space="preserve"> </w:t>
      </w:r>
      <w:r>
        <w:rPr>
          <w:rFonts w:hint="eastAsia" w:ascii="微软雅黑" w:hAnsi="微软雅黑" w:eastAsia="微软雅黑" w:cs="微软雅黑"/>
          <w:color w:val="auto"/>
          <w:spacing w:val="2"/>
          <w:sz w:val="28"/>
          <w:szCs w:val="28"/>
        </w:rPr>
        <w:t>、投标文件</w:t>
      </w:r>
      <w:r>
        <w:rPr>
          <w:rFonts w:hint="eastAsia" w:ascii="微软雅黑" w:hAnsi="微软雅黑" w:eastAsia="微软雅黑" w:cs="微软雅黑"/>
          <w:color w:val="auto"/>
          <w:spacing w:val="-35"/>
          <w:sz w:val="28"/>
          <w:szCs w:val="28"/>
        </w:rPr>
        <w:t xml:space="preserve"> </w:t>
      </w:r>
      <w:r>
        <w:rPr>
          <w:rFonts w:hint="eastAsia" w:ascii="微软雅黑" w:hAnsi="微软雅黑" w:eastAsia="微软雅黑" w:cs="微软雅黑"/>
          <w:color w:val="auto"/>
          <w:spacing w:val="2"/>
          <w:sz w:val="28"/>
          <w:szCs w:val="28"/>
        </w:rPr>
        <w:t>、中标通知书均为合同的有效组</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成部分，与本合同具有同等法律效力。本合同应实质性响应招标要求，优于或满足</w:t>
      </w:r>
      <w:r>
        <w:rPr>
          <w:rFonts w:hint="eastAsia" w:ascii="微软雅黑" w:hAnsi="微软雅黑" w:eastAsia="微软雅黑" w:cs="微软雅黑"/>
          <w:color w:val="auto"/>
          <w:spacing w:val="10"/>
          <w:sz w:val="28"/>
          <w:szCs w:val="28"/>
        </w:rPr>
        <w:t xml:space="preserve"> </w:t>
      </w:r>
      <w:r>
        <w:rPr>
          <w:rFonts w:hint="eastAsia" w:ascii="微软雅黑" w:hAnsi="微软雅黑" w:eastAsia="微软雅黑" w:cs="微软雅黑"/>
          <w:color w:val="auto"/>
          <w:spacing w:val="5"/>
          <w:sz w:val="28"/>
          <w:szCs w:val="28"/>
        </w:rPr>
        <w:t>招投标文件</w:t>
      </w:r>
      <w:r>
        <w:rPr>
          <w:rFonts w:hint="eastAsia" w:ascii="微软雅黑" w:hAnsi="微软雅黑" w:eastAsia="微软雅黑" w:cs="微软雅黑"/>
          <w:color w:val="auto"/>
          <w:spacing w:val="-19"/>
          <w:sz w:val="28"/>
          <w:szCs w:val="28"/>
        </w:rPr>
        <w:t xml:space="preserve"> </w:t>
      </w:r>
      <w:r>
        <w:rPr>
          <w:rFonts w:hint="eastAsia" w:ascii="微软雅黑" w:hAnsi="微软雅黑" w:eastAsia="微软雅黑" w:cs="微软雅黑"/>
          <w:color w:val="auto"/>
          <w:spacing w:val="5"/>
          <w:sz w:val="28"/>
          <w:szCs w:val="28"/>
        </w:rPr>
        <w:t>，如有降低要求或不满足等不一致情况，</w:t>
      </w:r>
      <w:r>
        <w:rPr>
          <w:rFonts w:hint="eastAsia" w:ascii="微软雅黑" w:hAnsi="微软雅黑" w:eastAsia="微软雅黑" w:cs="微软雅黑"/>
          <w:color w:val="auto"/>
          <w:spacing w:val="-43"/>
          <w:sz w:val="28"/>
          <w:szCs w:val="28"/>
        </w:rPr>
        <w:t xml:space="preserve"> </w:t>
      </w:r>
      <w:r>
        <w:rPr>
          <w:rFonts w:hint="eastAsia" w:ascii="微软雅黑" w:hAnsi="微软雅黑" w:eastAsia="微软雅黑" w:cs="微软雅黑"/>
          <w:color w:val="auto"/>
          <w:spacing w:val="5"/>
          <w:sz w:val="28"/>
          <w:szCs w:val="28"/>
        </w:rPr>
        <w:t>以招</w:t>
      </w:r>
      <w:r>
        <w:rPr>
          <w:rFonts w:hint="eastAsia" w:ascii="微软雅黑" w:hAnsi="微软雅黑" w:eastAsia="微软雅黑" w:cs="微软雅黑"/>
          <w:color w:val="auto"/>
          <w:spacing w:val="4"/>
          <w:sz w:val="28"/>
          <w:szCs w:val="28"/>
        </w:rPr>
        <w:t>投标文件为准。</w:t>
      </w:r>
    </w:p>
    <w:p w14:paraId="3619D079">
      <w:pPr>
        <w:pStyle w:val="11"/>
        <w:spacing w:before="157" w:line="261" w:lineRule="auto"/>
        <w:ind w:firstLine="48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 四</w:t>
      </w:r>
      <w:r>
        <w:rPr>
          <w:rFonts w:hint="eastAsia" w:ascii="微软雅黑" w:hAnsi="微软雅黑" w:eastAsia="微软雅黑" w:cs="微软雅黑"/>
          <w:color w:val="auto"/>
          <w:spacing w:val="-13"/>
          <w:sz w:val="28"/>
          <w:szCs w:val="28"/>
        </w:rPr>
        <w:t xml:space="preserve"> </w:t>
      </w:r>
      <w:r>
        <w:rPr>
          <w:rFonts w:hint="eastAsia" w:ascii="微软雅黑" w:hAnsi="微软雅黑" w:eastAsia="微软雅黑" w:cs="微软雅黑"/>
          <w:color w:val="auto"/>
          <w:spacing w:val="-3"/>
          <w:sz w:val="28"/>
          <w:szCs w:val="28"/>
        </w:rPr>
        <w:t>）本合同如有未尽事宜，由甲乙双方协商解决。达成一致后签订补充协议，</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5"/>
          <w:sz w:val="28"/>
          <w:szCs w:val="28"/>
        </w:rPr>
        <w:t xml:space="preserve">补充协议的约定原则上不能与本合同及中标通知书的核心内容相抵触，否则不具有  </w:t>
      </w:r>
      <w:r>
        <w:rPr>
          <w:rFonts w:hint="eastAsia" w:ascii="微软雅黑" w:hAnsi="微软雅黑" w:eastAsia="微软雅黑" w:cs="微软雅黑"/>
          <w:color w:val="auto"/>
          <w:spacing w:val="8"/>
          <w:sz w:val="28"/>
          <w:szCs w:val="28"/>
        </w:rPr>
        <w:t>法律效力。</w:t>
      </w:r>
    </w:p>
    <w:p w14:paraId="73A4311D">
      <w:pPr>
        <w:pStyle w:val="11"/>
        <w:spacing w:before="155" w:line="201" w:lineRule="auto"/>
        <w:ind w:left="505"/>
        <w:rPr>
          <w:rFonts w:hint="eastAsia" w:ascii="微软雅黑" w:hAnsi="微软雅黑" w:eastAsia="微软雅黑" w:cs="微软雅黑"/>
          <w:color w:val="auto"/>
          <w:sz w:val="28"/>
          <w:szCs w:val="28"/>
        </w:rPr>
      </w:pPr>
      <w:r>
        <w:rPr>
          <w:rFonts w:hint="eastAsia" w:ascii="微软雅黑" w:hAnsi="微软雅黑" w:eastAsia="微软雅黑" w:cs="微软雅黑"/>
          <w:b/>
          <w:bCs/>
          <w:color w:val="auto"/>
          <w:sz w:val="28"/>
          <w:szCs w:val="28"/>
        </w:rPr>
        <w:t>十八</w:t>
      </w:r>
      <w:r>
        <w:rPr>
          <w:rFonts w:hint="eastAsia" w:ascii="微软雅黑" w:hAnsi="微软雅黑" w:eastAsia="微软雅黑" w:cs="微软雅黑"/>
          <w:b/>
          <w:bCs/>
          <w:color w:val="auto"/>
          <w:spacing w:val="-33"/>
          <w:sz w:val="28"/>
          <w:szCs w:val="28"/>
        </w:rPr>
        <w:t xml:space="preserve"> </w:t>
      </w:r>
      <w:r>
        <w:rPr>
          <w:rFonts w:hint="eastAsia" w:ascii="微软雅黑" w:hAnsi="微软雅黑" w:eastAsia="微软雅黑" w:cs="微软雅黑"/>
          <w:b/>
          <w:bCs/>
          <w:color w:val="auto"/>
          <w:sz w:val="28"/>
          <w:szCs w:val="28"/>
        </w:rPr>
        <w:t>、合同生效</w:t>
      </w:r>
    </w:p>
    <w:p w14:paraId="2A091207">
      <w:pPr>
        <w:pStyle w:val="11"/>
        <w:spacing w:before="154" w:line="196" w:lineRule="auto"/>
        <w:ind w:left="49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8"/>
          <w:sz w:val="28"/>
          <w:szCs w:val="28"/>
        </w:rPr>
        <w:t>本合同自甲乙双方法定代表人签章并加盖单位公章（加盖骑缝章）后生效。</w:t>
      </w:r>
    </w:p>
    <w:p w14:paraId="055FD37D">
      <w:pPr>
        <w:pStyle w:val="11"/>
        <w:spacing w:before="166" w:line="196" w:lineRule="auto"/>
        <w:ind w:left="524"/>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甲方（公章</w:t>
      </w: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1"/>
          <w:sz w:val="28"/>
          <w:szCs w:val="28"/>
        </w:rPr>
        <w:t xml:space="preserve">                  乙方（公章</w:t>
      </w:r>
      <w:r>
        <w:rPr>
          <w:rFonts w:hint="eastAsia" w:ascii="微软雅黑" w:hAnsi="微软雅黑" w:eastAsia="微软雅黑" w:cs="微软雅黑"/>
          <w:color w:val="auto"/>
          <w:spacing w:val="4"/>
          <w:sz w:val="28"/>
          <w:szCs w:val="28"/>
        </w:rPr>
        <w:t>）：</w:t>
      </w:r>
    </w:p>
    <w:p w14:paraId="211686A2">
      <w:pPr>
        <w:pStyle w:val="11"/>
        <w:spacing w:before="163" w:line="200" w:lineRule="auto"/>
        <w:ind w:left="495"/>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 xml:space="preserve">账户：                </w:t>
      </w:r>
      <w:r>
        <w:rPr>
          <w:rFonts w:hint="eastAsia" w:ascii="微软雅黑" w:hAnsi="微软雅黑" w:eastAsia="微软雅黑" w:cs="微软雅黑"/>
          <w:color w:val="auto"/>
          <w:spacing w:val="1"/>
          <w:sz w:val="28"/>
          <w:szCs w:val="28"/>
        </w:rPr>
        <w:t xml:space="preserve">          账户：</w:t>
      </w:r>
    </w:p>
    <w:p w14:paraId="59106AF9">
      <w:pPr>
        <w:pStyle w:val="11"/>
        <w:spacing w:before="156" w:line="200" w:lineRule="auto"/>
        <w:ind w:left="501"/>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开户行：</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2"/>
          <w:sz w:val="28"/>
          <w:szCs w:val="28"/>
        </w:rPr>
        <w:t>开户行：</w:t>
      </w:r>
    </w:p>
    <w:p w14:paraId="2782554A">
      <w:pPr>
        <w:pStyle w:val="11"/>
        <w:spacing w:before="159" w:line="201" w:lineRule="auto"/>
        <w:ind w:left="500"/>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纳税人识别号：</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5"/>
          <w:sz w:val="28"/>
          <w:szCs w:val="28"/>
        </w:rPr>
        <w:t>纳税人识别号：</w:t>
      </w:r>
    </w:p>
    <w:p w14:paraId="10A85546">
      <w:pPr>
        <w:pStyle w:val="11"/>
        <w:spacing w:before="153" w:line="207" w:lineRule="auto"/>
        <w:ind w:left="49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1"/>
          <w:sz w:val="28"/>
          <w:szCs w:val="28"/>
        </w:rPr>
        <w:t>地址：                          地址：</w:t>
      </w:r>
    </w:p>
    <w:p w14:paraId="3BEA8DCB">
      <w:pPr>
        <w:pStyle w:val="11"/>
        <w:spacing w:before="145" w:line="202" w:lineRule="auto"/>
        <w:ind w:left="49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2"/>
          <w:sz w:val="28"/>
          <w:szCs w:val="28"/>
        </w:rPr>
        <w:t>联系人：                        联系人：</w:t>
      </w:r>
    </w:p>
    <w:p w14:paraId="3EE5AA91">
      <w:pPr>
        <w:pStyle w:val="11"/>
        <w:spacing w:before="156" w:line="201" w:lineRule="auto"/>
        <w:ind w:left="496"/>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4"/>
          <w:sz w:val="28"/>
          <w:szCs w:val="28"/>
        </w:rPr>
        <w:t>联系电话：</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4"/>
          <w:sz w:val="28"/>
          <w:szCs w:val="28"/>
        </w:rPr>
        <w:t>联系电话：</w:t>
      </w:r>
    </w:p>
    <w:p w14:paraId="11830784">
      <w:pPr>
        <w:pStyle w:val="11"/>
        <w:spacing w:before="153" w:line="196" w:lineRule="auto"/>
        <w:ind w:left="49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5"/>
          <w:sz w:val="28"/>
          <w:szCs w:val="28"/>
        </w:rPr>
        <w:t>法人（签字</w:t>
      </w:r>
      <w:r>
        <w:rPr>
          <w:rFonts w:hint="eastAsia" w:ascii="微软雅黑" w:hAnsi="微软雅黑" w:eastAsia="微软雅黑" w:cs="微软雅黑"/>
          <w:color w:val="auto"/>
          <w:spacing w:val="4"/>
          <w:sz w:val="28"/>
          <w:szCs w:val="28"/>
        </w:rPr>
        <w:t>）：</w:t>
      </w:r>
      <w:r>
        <w:rPr>
          <w:rFonts w:hint="eastAsia" w:ascii="微软雅黑" w:hAnsi="微软雅黑" w:eastAsia="微软雅黑" w:cs="微软雅黑"/>
          <w:color w:val="auto"/>
          <w:spacing w:val="1"/>
          <w:sz w:val="28"/>
          <w:szCs w:val="28"/>
        </w:rPr>
        <w:t xml:space="preserve">                  </w:t>
      </w:r>
      <w:r>
        <w:rPr>
          <w:rFonts w:hint="eastAsia" w:ascii="微软雅黑" w:hAnsi="微软雅黑" w:eastAsia="微软雅黑" w:cs="微软雅黑"/>
          <w:color w:val="auto"/>
          <w:spacing w:val="5"/>
          <w:sz w:val="28"/>
          <w:szCs w:val="28"/>
        </w:rPr>
        <w:t>法人（签字</w:t>
      </w:r>
      <w:r>
        <w:rPr>
          <w:rFonts w:hint="eastAsia" w:ascii="微软雅黑" w:hAnsi="微软雅黑" w:eastAsia="微软雅黑" w:cs="微软雅黑"/>
          <w:color w:val="auto"/>
          <w:spacing w:val="4"/>
          <w:sz w:val="28"/>
          <w:szCs w:val="28"/>
        </w:rPr>
        <w:t>）：</w:t>
      </w:r>
    </w:p>
    <w:p w14:paraId="0E3B2C6C">
      <w:pPr>
        <w:pStyle w:val="11"/>
        <w:spacing w:before="163" w:line="289" w:lineRule="auto"/>
        <w:ind w:left="8" w:right="67" w:firstLine="477"/>
        <w:rPr>
          <w:rFonts w:hint="eastAsia" w:ascii="微软雅黑" w:hAnsi="微软雅黑" w:eastAsia="微软雅黑" w:cs="微软雅黑"/>
          <w:color w:val="auto"/>
          <w:sz w:val="28"/>
          <w:szCs w:val="28"/>
        </w:rPr>
      </w:pPr>
      <w:r>
        <w:rPr>
          <w:rFonts w:hint="eastAsia" w:ascii="微软雅黑" w:hAnsi="微软雅黑" w:eastAsia="微软雅黑" w:cs="微软雅黑"/>
          <w:color w:val="auto"/>
          <w:spacing w:val="-3"/>
          <w:sz w:val="28"/>
          <w:szCs w:val="28"/>
        </w:rPr>
        <w:t>注意事项：本合同条款未尽事宜</w:t>
      </w:r>
      <w:r>
        <w:rPr>
          <w:rFonts w:hint="eastAsia" w:ascii="微软雅黑" w:hAnsi="微软雅黑" w:eastAsia="微软雅黑" w:cs="微软雅黑"/>
          <w:color w:val="auto"/>
          <w:spacing w:val="-11"/>
          <w:sz w:val="28"/>
          <w:szCs w:val="28"/>
        </w:rPr>
        <w:t xml:space="preserve"> </w:t>
      </w:r>
      <w:r>
        <w:rPr>
          <w:rFonts w:hint="eastAsia" w:ascii="微软雅黑" w:hAnsi="微软雅黑" w:eastAsia="微软雅黑" w:cs="微软雅黑"/>
          <w:color w:val="auto"/>
          <w:spacing w:val="-3"/>
          <w:sz w:val="28"/>
          <w:szCs w:val="28"/>
        </w:rPr>
        <w:t>，由甲乙双方以补充合同约定，原则上不能超越</w:t>
      </w:r>
      <w:r>
        <w:rPr>
          <w:rFonts w:hint="eastAsia" w:ascii="微软雅黑" w:hAnsi="微软雅黑" w:eastAsia="微软雅黑" w:cs="微软雅黑"/>
          <w:color w:val="auto"/>
          <w:sz w:val="28"/>
          <w:szCs w:val="28"/>
        </w:rPr>
        <w:t xml:space="preserve"> </w:t>
      </w:r>
      <w:r>
        <w:rPr>
          <w:rFonts w:hint="eastAsia" w:ascii="微软雅黑" w:hAnsi="微软雅黑" w:eastAsia="微软雅黑" w:cs="微软雅黑"/>
          <w:color w:val="auto"/>
          <w:spacing w:val="-1"/>
          <w:sz w:val="28"/>
          <w:szCs w:val="28"/>
        </w:rPr>
        <w:t>和违背采购文件、投标文件及投标有关承诺的范围及内容。</w:t>
      </w:r>
    </w:p>
    <w:p w14:paraId="351A8657">
      <w:pPr>
        <w:spacing w:line="256" w:lineRule="auto"/>
        <w:rPr>
          <w:rFonts w:hint="eastAsia" w:ascii="微软雅黑" w:hAnsi="微软雅黑" w:eastAsia="微软雅黑" w:cs="微软雅黑"/>
          <w:color w:val="auto"/>
          <w:sz w:val="28"/>
          <w:szCs w:val="28"/>
        </w:rPr>
      </w:pPr>
    </w:p>
    <w:p w14:paraId="16DC7A3C">
      <w:pPr>
        <w:rPr>
          <w:rFonts w:hint="eastAsia" w:ascii="微软雅黑" w:hAnsi="微软雅黑" w:eastAsia="微软雅黑" w:cs="微软雅黑"/>
          <w:color w:val="auto"/>
          <w:highlight w:val="none"/>
        </w:rPr>
      </w:pPr>
    </w:p>
    <w:sectPr>
      <w:headerReference r:id="rId11" w:type="default"/>
      <w:footerReference r:id="rId12" w:type="default"/>
      <w:pgSz w:w="11905" w:h="16838"/>
      <w:pgMar w:top="1083" w:right="1440" w:bottom="1083" w:left="1440"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宋体">
    <w:altName w:val="宋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LKATIP Basma Tom">
    <w:altName w:val="Trebuchet MS"/>
    <w:panose1 w:val="02000000000000000000"/>
    <w:charset w:val="00"/>
    <w:family w:val="auto"/>
    <w:pitch w:val="default"/>
    <w:sig w:usb0="00000000" w:usb1="00000000" w:usb2="00000008" w:usb3="00000000" w:csb0="00000041" w:csb1="00000000"/>
  </w:font>
  <w:font w:name="Trebuchet MS">
    <w:panose1 w:val="020B0603020202020204"/>
    <w:charset w:val="00"/>
    <w:family w:val="auto"/>
    <w:pitch w:val="default"/>
    <w:sig w:usb0="00000687" w:usb1="00000000" w:usb2="00000000" w:usb3="00000000" w:csb0="200000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AC35">
    <w:pPr>
      <w:pStyle w:val="18"/>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D1B6F">
    <w:pPr>
      <w:pStyle w:val="18"/>
      <w:jc w:val="both"/>
      <w:rPr>
        <w:rFonts w:hint="eastAsia" w:eastAsia="宋体" w:cs="Times New Roman"/>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32A6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D32A6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79CF">
    <w:pPr>
      <w:pStyle w:val="18"/>
      <w:jc w:val="both"/>
      <w:rPr>
        <w:rFonts w:hint="default" w:eastAsia="宋体" w:cs="Times New Roman"/>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9B082">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999B082">
                    <w:pPr>
                      <w:pStyle w:val="1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4AB9">
    <w:pPr>
      <w:pStyle w:val="18"/>
      <w:jc w:val="both"/>
      <w:rPr>
        <w:rFonts w:hint="eastAsia" w:eastAsia="宋体" w:cs="Times New Roman"/>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EAD57">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2EAD57">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A2756">
    <w:pPr>
      <w:pStyle w:val="18"/>
      <w:jc w:val="center"/>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A8A94">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2A8A94">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48CC">
    <w:pPr>
      <w:spacing w:line="188" w:lineRule="auto"/>
      <w:ind w:left="181"/>
      <w:rPr>
        <w:rFonts w:ascii="Arial" w:hAnsi="Arial" w:eastAsia="Arial" w:cs="Arial"/>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0DD09">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F0DD09">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2199">
    <w:pPr>
      <w:pStyle w:val="18"/>
      <w:jc w:val="center"/>
      <w:rPr>
        <w:rFonts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8E0D8">
                          <w:pPr>
                            <w:pStyle w:val="1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08E0D8">
                    <w:pPr>
                      <w:pStyle w:val="1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4898">
    <w:pPr>
      <w:pStyle w:val="19"/>
      <w:pBdr>
        <w:bottom w:val="none" w:color="auto" w:sz="0" w:space="0"/>
      </w:pBdr>
      <w:tabs>
        <w:tab w:val="left" w:pos="6202"/>
        <w:tab w:val="clear" w:pos="4153"/>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FE187">
    <w:pPr>
      <w:pStyle w:val="19"/>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4FE3">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E2C24"/>
    <w:multiLevelType w:val="singleLevel"/>
    <w:tmpl w:val="AA4E2C24"/>
    <w:lvl w:ilvl="0" w:tentative="0">
      <w:start w:val="2"/>
      <w:numFmt w:val="decimal"/>
      <w:suff w:val="nothing"/>
      <w:lvlText w:val="%1、"/>
      <w:lvlJc w:val="left"/>
    </w:lvl>
  </w:abstractNum>
  <w:abstractNum w:abstractNumId="1">
    <w:nsid w:val="F62D7A73"/>
    <w:multiLevelType w:val="singleLevel"/>
    <w:tmpl w:val="F62D7A73"/>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00000004"/>
    <w:multiLevelType w:val="multilevel"/>
    <w:tmpl w:val="00000004"/>
    <w:lvl w:ilvl="0" w:tentative="0">
      <w:start w:val="1"/>
      <w:numFmt w:val="decimal"/>
      <w:lvlText w:val="%1"/>
      <w:lvlJc w:val="left"/>
      <w:pPr>
        <w:ind w:left="432" w:hanging="432"/>
      </w:pPr>
    </w:lvl>
    <w:lvl w:ilvl="1" w:tentative="0">
      <w:start w:val="1"/>
      <w:numFmt w:val="decimal"/>
      <w:pStyle w:val="53"/>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00000005"/>
    <w:multiLevelType w:val="multilevel"/>
    <w:tmpl w:val="00000005"/>
    <w:lvl w:ilvl="0" w:tentative="0">
      <w:start w:val="2"/>
      <w:numFmt w:val="chineseCounting"/>
      <w:suff w:val="space"/>
      <w:lvlText w:val="第%1部分"/>
      <w:lvlJc w:val="left"/>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209948B1"/>
    <w:multiLevelType w:val="singleLevel"/>
    <w:tmpl w:val="209948B1"/>
    <w:lvl w:ilvl="0" w:tentative="0">
      <w:start w:val="2"/>
      <w:numFmt w:val="decimal"/>
      <w:suff w:val="nothing"/>
      <w:lvlText w:val="%1、"/>
      <w:lvlJc w:val="left"/>
      <w:pPr>
        <w:ind w:left="315" w:firstLine="0"/>
      </w:pPr>
    </w:lvl>
  </w:abstractNum>
  <w:abstractNum w:abstractNumId="9">
    <w:nsid w:val="358F1D6B"/>
    <w:multiLevelType w:val="singleLevel"/>
    <w:tmpl w:val="358F1D6B"/>
    <w:lvl w:ilvl="0" w:tentative="0">
      <w:start w:val="1"/>
      <w:numFmt w:val="decimal"/>
      <w:suff w:val="nothing"/>
      <w:lvlText w:val="%1、"/>
      <w:lvlJc w:val="left"/>
    </w:lvl>
  </w:abstractNum>
  <w:abstractNum w:abstractNumId="10">
    <w:nsid w:val="4BB1D5DC"/>
    <w:multiLevelType w:val="singleLevel"/>
    <w:tmpl w:val="4BB1D5DC"/>
    <w:lvl w:ilvl="0" w:tentative="0">
      <w:start w:val="2"/>
      <w:numFmt w:val="decimal"/>
      <w:lvlText w:val="%1."/>
      <w:lvlJc w:val="left"/>
      <w:pPr>
        <w:tabs>
          <w:tab w:val="left" w:pos="312"/>
        </w:tabs>
      </w:pPr>
    </w:lvl>
  </w:abstractNum>
  <w:abstractNum w:abstractNumId="11">
    <w:nsid w:val="624E60FC"/>
    <w:multiLevelType w:val="singleLevel"/>
    <w:tmpl w:val="624E60FC"/>
    <w:lvl w:ilvl="0" w:tentative="0">
      <w:start w:val="1"/>
      <w:numFmt w:val="decimal"/>
      <w:suff w:val="nothing"/>
      <w:lvlText w:val="%1、"/>
      <w:lvlJc w:val="left"/>
    </w:lvl>
  </w:abstractNum>
  <w:abstractNum w:abstractNumId="12">
    <w:nsid w:val="6DFF939E"/>
    <w:multiLevelType w:val="singleLevel"/>
    <w:tmpl w:val="6DFF939E"/>
    <w:lvl w:ilvl="0" w:tentative="0">
      <w:start w:val="1"/>
      <w:numFmt w:val="chineseCounting"/>
      <w:suff w:val="nothing"/>
      <w:lvlText w:val="%1、"/>
      <w:lvlJc w:val="left"/>
      <w:rPr>
        <w:rFonts w:hint="eastAsia" w:ascii="微软雅黑" w:hAnsi="微软雅黑" w:eastAsia="微软雅黑" w:cs="微软雅黑"/>
      </w:rPr>
    </w:lvl>
  </w:abstractNum>
  <w:num w:numId="1">
    <w:abstractNumId w:val="5"/>
  </w:num>
  <w:num w:numId="2">
    <w:abstractNumId w:val="3"/>
  </w:num>
  <w:num w:numId="3">
    <w:abstractNumId w:val="4"/>
  </w:num>
  <w:num w:numId="4">
    <w:abstractNumId w:val="0"/>
  </w:num>
  <w:num w:numId="5">
    <w:abstractNumId w:val="2"/>
  </w:num>
  <w:num w:numId="6">
    <w:abstractNumId w:val="9"/>
  </w:num>
  <w:num w:numId="7">
    <w:abstractNumId w:val="10"/>
  </w:num>
  <w:num w:numId="8">
    <w:abstractNumId w:val="6"/>
  </w:num>
  <w:num w:numId="9">
    <w:abstractNumId w:val="8"/>
  </w:num>
  <w:num w:numId="10">
    <w:abstractNumId w:val="7"/>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DJmZWQ3NTA2NTRmYmIxYmMzMDc2NDA1YTU0MmMifQ=="/>
  </w:docVars>
  <w:rsids>
    <w:rsidRoot w:val="009E3562"/>
    <w:rsid w:val="00005227"/>
    <w:rsid w:val="00192D87"/>
    <w:rsid w:val="00295551"/>
    <w:rsid w:val="00343638"/>
    <w:rsid w:val="00370F52"/>
    <w:rsid w:val="003E0D82"/>
    <w:rsid w:val="0045618F"/>
    <w:rsid w:val="005F0884"/>
    <w:rsid w:val="006C7C0E"/>
    <w:rsid w:val="0091476F"/>
    <w:rsid w:val="00955A4C"/>
    <w:rsid w:val="00976585"/>
    <w:rsid w:val="009E3562"/>
    <w:rsid w:val="00AC616B"/>
    <w:rsid w:val="00AE5F13"/>
    <w:rsid w:val="00C71A2A"/>
    <w:rsid w:val="00CF5F16"/>
    <w:rsid w:val="00DB7BC1"/>
    <w:rsid w:val="00EA7B92"/>
    <w:rsid w:val="00F90906"/>
    <w:rsid w:val="01080A57"/>
    <w:rsid w:val="010D0318"/>
    <w:rsid w:val="01576085"/>
    <w:rsid w:val="01803974"/>
    <w:rsid w:val="018F4C90"/>
    <w:rsid w:val="01970BC3"/>
    <w:rsid w:val="01DF215D"/>
    <w:rsid w:val="0250093A"/>
    <w:rsid w:val="027D0F8C"/>
    <w:rsid w:val="027D7DB2"/>
    <w:rsid w:val="027E3416"/>
    <w:rsid w:val="02890B17"/>
    <w:rsid w:val="02913ED0"/>
    <w:rsid w:val="02B761CD"/>
    <w:rsid w:val="02CD6F78"/>
    <w:rsid w:val="02E94832"/>
    <w:rsid w:val="02EA60B4"/>
    <w:rsid w:val="02FC6355"/>
    <w:rsid w:val="03281274"/>
    <w:rsid w:val="035166A0"/>
    <w:rsid w:val="03A61608"/>
    <w:rsid w:val="03AE100E"/>
    <w:rsid w:val="03D6122D"/>
    <w:rsid w:val="03F948B5"/>
    <w:rsid w:val="04144940"/>
    <w:rsid w:val="0474707C"/>
    <w:rsid w:val="04814D63"/>
    <w:rsid w:val="04B6095C"/>
    <w:rsid w:val="04D04C03"/>
    <w:rsid w:val="054C0A87"/>
    <w:rsid w:val="056728BF"/>
    <w:rsid w:val="057F6DC9"/>
    <w:rsid w:val="06295921"/>
    <w:rsid w:val="06427327"/>
    <w:rsid w:val="06626C3B"/>
    <w:rsid w:val="066C360F"/>
    <w:rsid w:val="06C34665"/>
    <w:rsid w:val="07100AA6"/>
    <w:rsid w:val="071312A7"/>
    <w:rsid w:val="07346D3B"/>
    <w:rsid w:val="07A0301B"/>
    <w:rsid w:val="07AD102A"/>
    <w:rsid w:val="07CC0B74"/>
    <w:rsid w:val="08183C31"/>
    <w:rsid w:val="08500090"/>
    <w:rsid w:val="08674B68"/>
    <w:rsid w:val="089C7A4F"/>
    <w:rsid w:val="08CF2B0E"/>
    <w:rsid w:val="08D1340E"/>
    <w:rsid w:val="08E051AF"/>
    <w:rsid w:val="08EC6DC0"/>
    <w:rsid w:val="08FF031C"/>
    <w:rsid w:val="091F33A2"/>
    <w:rsid w:val="09802CAB"/>
    <w:rsid w:val="09DC639D"/>
    <w:rsid w:val="09E357EA"/>
    <w:rsid w:val="0A6A424A"/>
    <w:rsid w:val="0A710906"/>
    <w:rsid w:val="0A9F4910"/>
    <w:rsid w:val="0AA23046"/>
    <w:rsid w:val="0AA25F3E"/>
    <w:rsid w:val="0AAB1187"/>
    <w:rsid w:val="0ABB2743"/>
    <w:rsid w:val="0AD007F3"/>
    <w:rsid w:val="0AD017FF"/>
    <w:rsid w:val="0AEB053E"/>
    <w:rsid w:val="0B001FFB"/>
    <w:rsid w:val="0B077F8D"/>
    <w:rsid w:val="0B5C7E51"/>
    <w:rsid w:val="0B6231D1"/>
    <w:rsid w:val="0B9776CB"/>
    <w:rsid w:val="0C1B5AE1"/>
    <w:rsid w:val="0C2423A5"/>
    <w:rsid w:val="0C5E1E2E"/>
    <w:rsid w:val="0C885D90"/>
    <w:rsid w:val="0CCA1272"/>
    <w:rsid w:val="0CD013BE"/>
    <w:rsid w:val="0CE1125A"/>
    <w:rsid w:val="0D083706"/>
    <w:rsid w:val="0D4955C8"/>
    <w:rsid w:val="0D590500"/>
    <w:rsid w:val="0D620B5F"/>
    <w:rsid w:val="0D714E77"/>
    <w:rsid w:val="0D837D9E"/>
    <w:rsid w:val="0DDA54E4"/>
    <w:rsid w:val="0E701472"/>
    <w:rsid w:val="0EF81A51"/>
    <w:rsid w:val="0F225395"/>
    <w:rsid w:val="0F84395A"/>
    <w:rsid w:val="0F915F0B"/>
    <w:rsid w:val="0FA979D6"/>
    <w:rsid w:val="0FC131F2"/>
    <w:rsid w:val="0FD92567"/>
    <w:rsid w:val="100A39BD"/>
    <w:rsid w:val="102B2027"/>
    <w:rsid w:val="10515172"/>
    <w:rsid w:val="106C0B1D"/>
    <w:rsid w:val="10771710"/>
    <w:rsid w:val="10853D99"/>
    <w:rsid w:val="10C35769"/>
    <w:rsid w:val="10CD60E9"/>
    <w:rsid w:val="10F31B71"/>
    <w:rsid w:val="10F37601"/>
    <w:rsid w:val="11167C0B"/>
    <w:rsid w:val="113203A8"/>
    <w:rsid w:val="114B67CF"/>
    <w:rsid w:val="11B85885"/>
    <w:rsid w:val="11BF7BAA"/>
    <w:rsid w:val="11D1783A"/>
    <w:rsid w:val="12333415"/>
    <w:rsid w:val="12590F79"/>
    <w:rsid w:val="126D6927"/>
    <w:rsid w:val="127C427C"/>
    <w:rsid w:val="12A03490"/>
    <w:rsid w:val="12AB4B7C"/>
    <w:rsid w:val="12AB744F"/>
    <w:rsid w:val="12AF45B4"/>
    <w:rsid w:val="130846BD"/>
    <w:rsid w:val="136C4530"/>
    <w:rsid w:val="136D3C10"/>
    <w:rsid w:val="13D50896"/>
    <w:rsid w:val="142676D5"/>
    <w:rsid w:val="14425626"/>
    <w:rsid w:val="145036D2"/>
    <w:rsid w:val="147A4287"/>
    <w:rsid w:val="14AA3FB4"/>
    <w:rsid w:val="156A35F2"/>
    <w:rsid w:val="157B3678"/>
    <w:rsid w:val="15B800D6"/>
    <w:rsid w:val="15ED4A03"/>
    <w:rsid w:val="15F174F4"/>
    <w:rsid w:val="16500A3A"/>
    <w:rsid w:val="169842AD"/>
    <w:rsid w:val="16D027CB"/>
    <w:rsid w:val="16D36691"/>
    <w:rsid w:val="16DA6555"/>
    <w:rsid w:val="170D12E4"/>
    <w:rsid w:val="17183EC8"/>
    <w:rsid w:val="17242BB5"/>
    <w:rsid w:val="17456E5D"/>
    <w:rsid w:val="174D6D27"/>
    <w:rsid w:val="177F71E9"/>
    <w:rsid w:val="17A16E37"/>
    <w:rsid w:val="17B70CD6"/>
    <w:rsid w:val="17CA61D2"/>
    <w:rsid w:val="17E940BF"/>
    <w:rsid w:val="18000173"/>
    <w:rsid w:val="185665E6"/>
    <w:rsid w:val="185C2201"/>
    <w:rsid w:val="185F390F"/>
    <w:rsid w:val="1881137E"/>
    <w:rsid w:val="18A112AB"/>
    <w:rsid w:val="18DC0363"/>
    <w:rsid w:val="18DF36F8"/>
    <w:rsid w:val="18E55300"/>
    <w:rsid w:val="18F9373F"/>
    <w:rsid w:val="191252AC"/>
    <w:rsid w:val="191B596D"/>
    <w:rsid w:val="19464ECF"/>
    <w:rsid w:val="19AC425C"/>
    <w:rsid w:val="19AC5F87"/>
    <w:rsid w:val="19CF1C75"/>
    <w:rsid w:val="19CF26DE"/>
    <w:rsid w:val="19E57C8E"/>
    <w:rsid w:val="1A247436"/>
    <w:rsid w:val="1A2A20F6"/>
    <w:rsid w:val="1A5403CD"/>
    <w:rsid w:val="1A683196"/>
    <w:rsid w:val="1A6F63AC"/>
    <w:rsid w:val="1AB43076"/>
    <w:rsid w:val="1ACE7386"/>
    <w:rsid w:val="1AE33019"/>
    <w:rsid w:val="1AF939EA"/>
    <w:rsid w:val="1B0943CF"/>
    <w:rsid w:val="1B1F6201"/>
    <w:rsid w:val="1B1F6599"/>
    <w:rsid w:val="1B281F85"/>
    <w:rsid w:val="1B821A59"/>
    <w:rsid w:val="1BA65FD2"/>
    <w:rsid w:val="1BA70E62"/>
    <w:rsid w:val="1BD46449"/>
    <w:rsid w:val="1BF86C40"/>
    <w:rsid w:val="1BFE03A6"/>
    <w:rsid w:val="1C16002F"/>
    <w:rsid w:val="1C273375"/>
    <w:rsid w:val="1C2F4F54"/>
    <w:rsid w:val="1C5A32C4"/>
    <w:rsid w:val="1CC11C6B"/>
    <w:rsid w:val="1CD04682"/>
    <w:rsid w:val="1D077978"/>
    <w:rsid w:val="1D1B04E9"/>
    <w:rsid w:val="1D1B55EF"/>
    <w:rsid w:val="1D3F320D"/>
    <w:rsid w:val="1D521E73"/>
    <w:rsid w:val="1D6848BB"/>
    <w:rsid w:val="1DFD14A7"/>
    <w:rsid w:val="1E061CFD"/>
    <w:rsid w:val="1E3F1AF9"/>
    <w:rsid w:val="1E4638FF"/>
    <w:rsid w:val="1E4E5E7E"/>
    <w:rsid w:val="1E731769"/>
    <w:rsid w:val="1E894AFB"/>
    <w:rsid w:val="1E904780"/>
    <w:rsid w:val="1EB8717C"/>
    <w:rsid w:val="1EC23FCC"/>
    <w:rsid w:val="1ED60FA2"/>
    <w:rsid w:val="1F28633A"/>
    <w:rsid w:val="1F2D6C6D"/>
    <w:rsid w:val="1F54471C"/>
    <w:rsid w:val="1F5B5969"/>
    <w:rsid w:val="1F691AD6"/>
    <w:rsid w:val="1FBF0E43"/>
    <w:rsid w:val="1FF13FC9"/>
    <w:rsid w:val="2012202A"/>
    <w:rsid w:val="203B14AE"/>
    <w:rsid w:val="205D1405"/>
    <w:rsid w:val="20C462AC"/>
    <w:rsid w:val="210A47C4"/>
    <w:rsid w:val="212B46A7"/>
    <w:rsid w:val="215D163E"/>
    <w:rsid w:val="21785D96"/>
    <w:rsid w:val="21861BE1"/>
    <w:rsid w:val="218A6C15"/>
    <w:rsid w:val="21A46D1F"/>
    <w:rsid w:val="226C414C"/>
    <w:rsid w:val="227C7DB0"/>
    <w:rsid w:val="22BB548D"/>
    <w:rsid w:val="22E374E9"/>
    <w:rsid w:val="23152484"/>
    <w:rsid w:val="23473B40"/>
    <w:rsid w:val="23737B15"/>
    <w:rsid w:val="23752409"/>
    <w:rsid w:val="242A1F88"/>
    <w:rsid w:val="24731CA2"/>
    <w:rsid w:val="24785781"/>
    <w:rsid w:val="24835AAE"/>
    <w:rsid w:val="24910197"/>
    <w:rsid w:val="24B816AA"/>
    <w:rsid w:val="24C446EB"/>
    <w:rsid w:val="24C67519"/>
    <w:rsid w:val="24F97F36"/>
    <w:rsid w:val="256C2605"/>
    <w:rsid w:val="2572277A"/>
    <w:rsid w:val="25AB07BE"/>
    <w:rsid w:val="25BC57A4"/>
    <w:rsid w:val="25C02408"/>
    <w:rsid w:val="25C662F0"/>
    <w:rsid w:val="2601765A"/>
    <w:rsid w:val="261B419B"/>
    <w:rsid w:val="26720A84"/>
    <w:rsid w:val="26920BFA"/>
    <w:rsid w:val="26A45A66"/>
    <w:rsid w:val="26B27891"/>
    <w:rsid w:val="26C33638"/>
    <w:rsid w:val="26D7485F"/>
    <w:rsid w:val="26E208D5"/>
    <w:rsid w:val="271A33B1"/>
    <w:rsid w:val="2742617D"/>
    <w:rsid w:val="276A23F6"/>
    <w:rsid w:val="27C43035"/>
    <w:rsid w:val="27E10833"/>
    <w:rsid w:val="27ED7221"/>
    <w:rsid w:val="282E04AF"/>
    <w:rsid w:val="284C1B65"/>
    <w:rsid w:val="286A45E6"/>
    <w:rsid w:val="289724F8"/>
    <w:rsid w:val="28BB61E6"/>
    <w:rsid w:val="28C71961"/>
    <w:rsid w:val="28D13F35"/>
    <w:rsid w:val="29414E7D"/>
    <w:rsid w:val="296D02FE"/>
    <w:rsid w:val="29A547A1"/>
    <w:rsid w:val="29E206D6"/>
    <w:rsid w:val="2A54151F"/>
    <w:rsid w:val="2A737D5F"/>
    <w:rsid w:val="2A9E18CF"/>
    <w:rsid w:val="2AD839F2"/>
    <w:rsid w:val="2AF8432B"/>
    <w:rsid w:val="2AFD56B7"/>
    <w:rsid w:val="2B047B67"/>
    <w:rsid w:val="2B42718D"/>
    <w:rsid w:val="2B473E11"/>
    <w:rsid w:val="2B4C75CA"/>
    <w:rsid w:val="2B8072A0"/>
    <w:rsid w:val="2BA76EDC"/>
    <w:rsid w:val="2BDA24ED"/>
    <w:rsid w:val="2C0548D3"/>
    <w:rsid w:val="2C1A0D75"/>
    <w:rsid w:val="2C5B1C91"/>
    <w:rsid w:val="2C773904"/>
    <w:rsid w:val="2C9A2A5D"/>
    <w:rsid w:val="2CD508AA"/>
    <w:rsid w:val="2CE30D90"/>
    <w:rsid w:val="2D2263A5"/>
    <w:rsid w:val="2D4259F2"/>
    <w:rsid w:val="2D5978E6"/>
    <w:rsid w:val="2D7A31B7"/>
    <w:rsid w:val="2DB16EB6"/>
    <w:rsid w:val="2DC07DFB"/>
    <w:rsid w:val="2DC23B73"/>
    <w:rsid w:val="2DEA08B9"/>
    <w:rsid w:val="2DF06959"/>
    <w:rsid w:val="2E0E0C09"/>
    <w:rsid w:val="2E352D28"/>
    <w:rsid w:val="2E5C3FC8"/>
    <w:rsid w:val="2EB93B9C"/>
    <w:rsid w:val="2ECB48AC"/>
    <w:rsid w:val="2EDA2C3C"/>
    <w:rsid w:val="2F080E4C"/>
    <w:rsid w:val="2F097320"/>
    <w:rsid w:val="2FAB5D78"/>
    <w:rsid w:val="301F34FF"/>
    <w:rsid w:val="30332B06"/>
    <w:rsid w:val="304E501B"/>
    <w:rsid w:val="305F519B"/>
    <w:rsid w:val="30816B47"/>
    <w:rsid w:val="309B5E73"/>
    <w:rsid w:val="30D970F4"/>
    <w:rsid w:val="30EA4A58"/>
    <w:rsid w:val="312D43C1"/>
    <w:rsid w:val="31567137"/>
    <w:rsid w:val="31631A21"/>
    <w:rsid w:val="318C4BC4"/>
    <w:rsid w:val="31923D9C"/>
    <w:rsid w:val="31975317"/>
    <w:rsid w:val="319F479A"/>
    <w:rsid w:val="31C13C70"/>
    <w:rsid w:val="31CD3300"/>
    <w:rsid w:val="31D46B78"/>
    <w:rsid w:val="322602DB"/>
    <w:rsid w:val="3238199A"/>
    <w:rsid w:val="32675B9D"/>
    <w:rsid w:val="32A468C7"/>
    <w:rsid w:val="33161F7E"/>
    <w:rsid w:val="33162B98"/>
    <w:rsid w:val="332A1ECC"/>
    <w:rsid w:val="33460DA3"/>
    <w:rsid w:val="33542A8B"/>
    <w:rsid w:val="33633750"/>
    <w:rsid w:val="336B25B7"/>
    <w:rsid w:val="337E053C"/>
    <w:rsid w:val="33A819B6"/>
    <w:rsid w:val="33CC6EC7"/>
    <w:rsid w:val="33D31F45"/>
    <w:rsid w:val="33E75117"/>
    <w:rsid w:val="34062707"/>
    <w:rsid w:val="347546FF"/>
    <w:rsid w:val="348E2A01"/>
    <w:rsid w:val="34D5148D"/>
    <w:rsid w:val="34F77BF5"/>
    <w:rsid w:val="34F82605"/>
    <w:rsid w:val="34F900F2"/>
    <w:rsid w:val="35015B0B"/>
    <w:rsid w:val="35074A1D"/>
    <w:rsid w:val="350A771A"/>
    <w:rsid w:val="35281E46"/>
    <w:rsid w:val="357240D1"/>
    <w:rsid w:val="3596219E"/>
    <w:rsid w:val="359F2B03"/>
    <w:rsid w:val="36160D32"/>
    <w:rsid w:val="363B44C3"/>
    <w:rsid w:val="365433E3"/>
    <w:rsid w:val="3655409D"/>
    <w:rsid w:val="36641223"/>
    <w:rsid w:val="366C6D72"/>
    <w:rsid w:val="367E17E2"/>
    <w:rsid w:val="369B1405"/>
    <w:rsid w:val="36A24542"/>
    <w:rsid w:val="36C3270A"/>
    <w:rsid w:val="36C54E3E"/>
    <w:rsid w:val="36F9612C"/>
    <w:rsid w:val="3714190D"/>
    <w:rsid w:val="37307C06"/>
    <w:rsid w:val="37AA6F86"/>
    <w:rsid w:val="37B10DBF"/>
    <w:rsid w:val="37D57B6F"/>
    <w:rsid w:val="37E30714"/>
    <w:rsid w:val="3824035F"/>
    <w:rsid w:val="38440D4F"/>
    <w:rsid w:val="387D5266"/>
    <w:rsid w:val="38855EC9"/>
    <w:rsid w:val="38B95F6F"/>
    <w:rsid w:val="38F93961"/>
    <w:rsid w:val="390A7133"/>
    <w:rsid w:val="39131727"/>
    <w:rsid w:val="39297DD7"/>
    <w:rsid w:val="39447F64"/>
    <w:rsid w:val="394A0EC1"/>
    <w:rsid w:val="394E1896"/>
    <w:rsid w:val="39565AB7"/>
    <w:rsid w:val="398445DD"/>
    <w:rsid w:val="39A52687"/>
    <w:rsid w:val="39AD2802"/>
    <w:rsid w:val="39C63892"/>
    <w:rsid w:val="39CC339E"/>
    <w:rsid w:val="39DE1D35"/>
    <w:rsid w:val="39FE6B4D"/>
    <w:rsid w:val="3A7C2944"/>
    <w:rsid w:val="3A825089"/>
    <w:rsid w:val="3AB30EA3"/>
    <w:rsid w:val="3B017EED"/>
    <w:rsid w:val="3B3111D6"/>
    <w:rsid w:val="3B3534BD"/>
    <w:rsid w:val="3B421A2D"/>
    <w:rsid w:val="3BA725FA"/>
    <w:rsid w:val="3BA871AA"/>
    <w:rsid w:val="3BD52D04"/>
    <w:rsid w:val="3BF051DE"/>
    <w:rsid w:val="3BFD046C"/>
    <w:rsid w:val="3C39455E"/>
    <w:rsid w:val="3C9241CE"/>
    <w:rsid w:val="3CAA4150"/>
    <w:rsid w:val="3CD712D4"/>
    <w:rsid w:val="3CEB5B57"/>
    <w:rsid w:val="3CF3708A"/>
    <w:rsid w:val="3D4049CD"/>
    <w:rsid w:val="3DAE02C2"/>
    <w:rsid w:val="3DB021B2"/>
    <w:rsid w:val="3DB122E7"/>
    <w:rsid w:val="3DB24C1A"/>
    <w:rsid w:val="3DC542F7"/>
    <w:rsid w:val="3DDF4E6B"/>
    <w:rsid w:val="3E104487"/>
    <w:rsid w:val="3E1F291C"/>
    <w:rsid w:val="3E3068D7"/>
    <w:rsid w:val="3E374E7B"/>
    <w:rsid w:val="3E3909F2"/>
    <w:rsid w:val="3E3935EE"/>
    <w:rsid w:val="3E5A3CE1"/>
    <w:rsid w:val="3E853D98"/>
    <w:rsid w:val="3E9D6408"/>
    <w:rsid w:val="3EB92D70"/>
    <w:rsid w:val="3EBE39E1"/>
    <w:rsid w:val="3EE04F23"/>
    <w:rsid w:val="3F0E5E15"/>
    <w:rsid w:val="3F3506CB"/>
    <w:rsid w:val="3F52287D"/>
    <w:rsid w:val="3F966C0E"/>
    <w:rsid w:val="3FAB163D"/>
    <w:rsid w:val="40075C59"/>
    <w:rsid w:val="4024470B"/>
    <w:rsid w:val="4062685E"/>
    <w:rsid w:val="40776A3F"/>
    <w:rsid w:val="40BB3B4D"/>
    <w:rsid w:val="411B561D"/>
    <w:rsid w:val="4135116F"/>
    <w:rsid w:val="41540B2E"/>
    <w:rsid w:val="415D5357"/>
    <w:rsid w:val="417E7959"/>
    <w:rsid w:val="41887598"/>
    <w:rsid w:val="41986F63"/>
    <w:rsid w:val="419E6B0F"/>
    <w:rsid w:val="41A924CD"/>
    <w:rsid w:val="41BD4926"/>
    <w:rsid w:val="41C01E85"/>
    <w:rsid w:val="41DF25BB"/>
    <w:rsid w:val="41EE7295"/>
    <w:rsid w:val="41FB36A0"/>
    <w:rsid w:val="4221518F"/>
    <w:rsid w:val="424C65B9"/>
    <w:rsid w:val="428E2B70"/>
    <w:rsid w:val="43364990"/>
    <w:rsid w:val="433A140F"/>
    <w:rsid w:val="435A0517"/>
    <w:rsid w:val="436D1BAA"/>
    <w:rsid w:val="43B4655E"/>
    <w:rsid w:val="43CE2E1A"/>
    <w:rsid w:val="43F619AE"/>
    <w:rsid w:val="43F92467"/>
    <w:rsid w:val="43FF7CCC"/>
    <w:rsid w:val="44BA6EFA"/>
    <w:rsid w:val="452B268D"/>
    <w:rsid w:val="454D712B"/>
    <w:rsid w:val="45505AB1"/>
    <w:rsid w:val="45680F84"/>
    <w:rsid w:val="4579134D"/>
    <w:rsid w:val="45890463"/>
    <w:rsid w:val="459B7941"/>
    <w:rsid w:val="45C647A2"/>
    <w:rsid w:val="45C661A4"/>
    <w:rsid w:val="45D72F87"/>
    <w:rsid w:val="45E5704A"/>
    <w:rsid w:val="45EE5D64"/>
    <w:rsid w:val="45F10CF0"/>
    <w:rsid w:val="46270F3A"/>
    <w:rsid w:val="463F2E10"/>
    <w:rsid w:val="46495326"/>
    <w:rsid w:val="46564533"/>
    <w:rsid w:val="466D60A8"/>
    <w:rsid w:val="467945EF"/>
    <w:rsid w:val="46BC4D06"/>
    <w:rsid w:val="47360041"/>
    <w:rsid w:val="47406A4B"/>
    <w:rsid w:val="475A75DA"/>
    <w:rsid w:val="475E1AAB"/>
    <w:rsid w:val="476B0337"/>
    <w:rsid w:val="47E525F9"/>
    <w:rsid w:val="48145DD7"/>
    <w:rsid w:val="48606E24"/>
    <w:rsid w:val="48A74B5A"/>
    <w:rsid w:val="494A555C"/>
    <w:rsid w:val="49740D11"/>
    <w:rsid w:val="497A134E"/>
    <w:rsid w:val="497C01C9"/>
    <w:rsid w:val="49857991"/>
    <w:rsid w:val="49B17E7B"/>
    <w:rsid w:val="4A083583"/>
    <w:rsid w:val="4A132065"/>
    <w:rsid w:val="4A653DFE"/>
    <w:rsid w:val="4ABE526B"/>
    <w:rsid w:val="4AC02A08"/>
    <w:rsid w:val="4AD50ADB"/>
    <w:rsid w:val="4B102A00"/>
    <w:rsid w:val="4B230F7F"/>
    <w:rsid w:val="4B3B18FD"/>
    <w:rsid w:val="4B4546C2"/>
    <w:rsid w:val="4B706391"/>
    <w:rsid w:val="4B775925"/>
    <w:rsid w:val="4B95246F"/>
    <w:rsid w:val="4BD47F04"/>
    <w:rsid w:val="4BDE2F06"/>
    <w:rsid w:val="4C09383B"/>
    <w:rsid w:val="4C2957E8"/>
    <w:rsid w:val="4C3338D3"/>
    <w:rsid w:val="4CB535E7"/>
    <w:rsid w:val="4CC76612"/>
    <w:rsid w:val="4CF44D67"/>
    <w:rsid w:val="4CFA3B7A"/>
    <w:rsid w:val="4D312CFF"/>
    <w:rsid w:val="4D517CDF"/>
    <w:rsid w:val="4D684E18"/>
    <w:rsid w:val="4D7C0647"/>
    <w:rsid w:val="4D7C530C"/>
    <w:rsid w:val="4DA727EE"/>
    <w:rsid w:val="4DE07676"/>
    <w:rsid w:val="4DFA15AC"/>
    <w:rsid w:val="4E0E2460"/>
    <w:rsid w:val="4E3C476F"/>
    <w:rsid w:val="4E58551B"/>
    <w:rsid w:val="4E6F73D5"/>
    <w:rsid w:val="4E946322"/>
    <w:rsid w:val="4EC35F28"/>
    <w:rsid w:val="4EE44B34"/>
    <w:rsid w:val="4F7C44A6"/>
    <w:rsid w:val="4FA72771"/>
    <w:rsid w:val="4FBF20BC"/>
    <w:rsid w:val="4FD23C92"/>
    <w:rsid w:val="4FF8133B"/>
    <w:rsid w:val="4FFD0920"/>
    <w:rsid w:val="50043E9A"/>
    <w:rsid w:val="506955BC"/>
    <w:rsid w:val="5084320D"/>
    <w:rsid w:val="50E823D3"/>
    <w:rsid w:val="50F86FCF"/>
    <w:rsid w:val="51121E6C"/>
    <w:rsid w:val="512B27F4"/>
    <w:rsid w:val="51450494"/>
    <w:rsid w:val="517570AB"/>
    <w:rsid w:val="51922CE9"/>
    <w:rsid w:val="519C4174"/>
    <w:rsid w:val="51D569BB"/>
    <w:rsid w:val="51F46F6D"/>
    <w:rsid w:val="522510AD"/>
    <w:rsid w:val="522C599D"/>
    <w:rsid w:val="52467C77"/>
    <w:rsid w:val="525A7F6F"/>
    <w:rsid w:val="5264494A"/>
    <w:rsid w:val="526C2A4E"/>
    <w:rsid w:val="52C33AD5"/>
    <w:rsid w:val="52C7539D"/>
    <w:rsid w:val="533D65C8"/>
    <w:rsid w:val="536B2631"/>
    <w:rsid w:val="53FC29DA"/>
    <w:rsid w:val="53FE6B7D"/>
    <w:rsid w:val="540C2BB9"/>
    <w:rsid w:val="540F33E4"/>
    <w:rsid w:val="54104C1C"/>
    <w:rsid w:val="541903E8"/>
    <w:rsid w:val="545A343E"/>
    <w:rsid w:val="556D51A7"/>
    <w:rsid w:val="559B2B89"/>
    <w:rsid w:val="55CA71B9"/>
    <w:rsid w:val="55CB1251"/>
    <w:rsid w:val="55DF5E59"/>
    <w:rsid w:val="55EE4C56"/>
    <w:rsid w:val="56F049FE"/>
    <w:rsid w:val="57362868"/>
    <w:rsid w:val="57782539"/>
    <w:rsid w:val="57825F9E"/>
    <w:rsid w:val="579E5991"/>
    <w:rsid w:val="5813309A"/>
    <w:rsid w:val="58313DF7"/>
    <w:rsid w:val="58357612"/>
    <w:rsid w:val="584A3E8D"/>
    <w:rsid w:val="588B0E82"/>
    <w:rsid w:val="58B86286"/>
    <w:rsid w:val="58F42B1B"/>
    <w:rsid w:val="59407EBE"/>
    <w:rsid w:val="595124C8"/>
    <w:rsid w:val="599B2597"/>
    <w:rsid w:val="5A324C34"/>
    <w:rsid w:val="5A500024"/>
    <w:rsid w:val="5A751DEA"/>
    <w:rsid w:val="5A8A05E6"/>
    <w:rsid w:val="5AC316C5"/>
    <w:rsid w:val="5ADA57C9"/>
    <w:rsid w:val="5ADF381D"/>
    <w:rsid w:val="5AE64A95"/>
    <w:rsid w:val="5B37559B"/>
    <w:rsid w:val="5B4B77BA"/>
    <w:rsid w:val="5B6360D8"/>
    <w:rsid w:val="5B7E79F8"/>
    <w:rsid w:val="5B8F0C89"/>
    <w:rsid w:val="5B977B3E"/>
    <w:rsid w:val="5BA2623B"/>
    <w:rsid w:val="5BBE3726"/>
    <w:rsid w:val="5BC50F0C"/>
    <w:rsid w:val="5BD479D9"/>
    <w:rsid w:val="5BD54C15"/>
    <w:rsid w:val="5BE75704"/>
    <w:rsid w:val="5BED655E"/>
    <w:rsid w:val="5C165098"/>
    <w:rsid w:val="5C594399"/>
    <w:rsid w:val="5C5C5033"/>
    <w:rsid w:val="5C7B3B86"/>
    <w:rsid w:val="5C970359"/>
    <w:rsid w:val="5D21480B"/>
    <w:rsid w:val="5D4A6D8C"/>
    <w:rsid w:val="5D4C08EA"/>
    <w:rsid w:val="5D50269A"/>
    <w:rsid w:val="5D5615C2"/>
    <w:rsid w:val="5D6D4FFA"/>
    <w:rsid w:val="5DF104C2"/>
    <w:rsid w:val="5E0A45F7"/>
    <w:rsid w:val="5E1F0AF7"/>
    <w:rsid w:val="5E4E6595"/>
    <w:rsid w:val="5E781EA8"/>
    <w:rsid w:val="5E7975CE"/>
    <w:rsid w:val="5E7D301B"/>
    <w:rsid w:val="5EA02CC2"/>
    <w:rsid w:val="5EB65F8B"/>
    <w:rsid w:val="5ED17708"/>
    <w:rsid w:val="5F057166"/>
    <w:rsid w:val="5F145CAE"/>
    <w:rsid w:val="5F4F7F6E"/>
    <w:rsid w:val="5F6D366C"/>
    <w:rsid w:val="5F8108E9"/>
    <w:rsid w:val="5F8A3A03"/>
    <w:rsid w:val="5F967193"/>
    <w:rsid w:val="5FA61C9B"/>
    <w:rsid w:val="5FE34CE5"/>
    <w:rsid w:val="602B1D4B"/>
    <w:rsid w:val="60314360"/>
    <w:rsid w:val="6045450E"/>
    <w:rsid w:val="60655BC8"/>
    <w:rsid w:val="60F9527C"/>
    <w:rsid w:val="615869F6"/>
    <w:rsid w:val="61CF1EB9"/>
    <w:rsid w:val="61EC6E71"/>
    <w:rsid w:val="62467A95"/>
    <w:rsid w:val="62623041"/>
    <w:rsid w:val="62823D82"/>
    <w:rsid w:val="62AF1C11"/>
    <w:rsid w:val="62E04EBD"/>
    <w:rsid w:val="62F73A40"/>
    <w:rsid w:val="630006BE"/>
    <w:rsid w:val="630B65D4"/>
    <w:rsid w:val="631303F2"/>
    <w:rsid w:val="63404E3C"/>
    <w:rsid w:val="634C24C3"/>
    <w:rsid w:val="636619A6"/>
    <w:rsid w:val="63683A9F"/>
    <w:rsid w:val="63A728E8"/>
    <w:rsid w:val="63B302C1"/>
    <w:rsid w:val="63F518A5"/>
    <w:rsid w:val="63F92F01"/>
    <w:rsid w:val="641960BC"/>
    <w:rsid w:val="64421BCC"/>
    <w:rsid w:val="64581217"/>
    <w:rsid w:val="64DA64D4"/>
    <w:rsid w:val="64DF4596"/>
    <w:rsid w:val="64E21E2A"/>
    <w:rsid w:val="651C031C"/>
    <w:rsid w:val="65685739"/>
    <w:rsid w:val="656C280B"/>
    <w:rsid w:val="65CB604B"/>
    <w:rsid w:val="65CD0D2C"/>
    <w:rsid w:val="65E55410"/>
    <w:rsid w:val="6621033E"/>
    <w:rsid w:val="662B7800"/>
    <w:rsid w:val="66511D15"/>
    <w:rsid w:val="66EB4947"/>
    <w:rsid w:val="670342B7"/>
    <w:rsid w:val="672B61CF"/>
    <w:rsid w:val="672C3CCB"/>
    <w:rsid w:val="67306E97"/>
    <w:rsid w:val="673803E9"/>
    <w:rsid w:val="673B1886"/>
    <w:rsid w:val="67DE1B6A"/>
    <w:rsid w:val="67E44C3F"/>
    <w:rsid w:val="68110D0F"/>
    <w:rsid w:val="68324039"/>
    <w:rsid w:val="684352D5"/>
    <w:rsid w:val="68B4086D"/>
    <w:rsid w:val="69303AFB"/>
    <w:rsid w:val="69617D6C"/>
    <w:rsid w:val="699B3A79"/>
    <w:rsid w:val="69ED78DB"/>
    <w:rsid w:val="6A686216"/>
    <w:rsid w:val="6A880126"/>
    <w:rsid w:val="6ACB77BB"/>
    <w:rsid w:val="6AED1F2C"/>
    <w:rsid w:val="6B064398"/>
    <w:rsid w:val="6B1D10B5"/>
    <w:rsid w:val="6B3A006F"/>
    <w:rsid w:val="6B715133"/>
    <w:rsid w:val="6B7E6624"/>
    <w:rsid w:val="6BBC674B"/>
    <w:rsid w:val="6BBD3420"/>
    <w:rsid w:val="6C76202F"/>
    <w:rsid w:val="6C876B6C"/>
    <w:rsid w:val="6C894229"/>
    <w:rsid w:val="6CAD51ED"/>
    <w:rsid w:val="6CC009D0"/>
    <w:rsid w:val="6CCA3E19"/>
    <w:rsid w:val="6CFC3CA5"/>
    <w:rsid w:val="6D2F0A82"/>
    <w:rsid w:val="6D3B0E2F"/>
    <w:rsid w:val="6D465A44"/>
    <w:rsid w:val="6D492E60"/>
    <w:rsid w:val="6DFA3429"/>
    <w:rsid w:val="6E267689"/>
    <w:rsid w:val="6E402E36"/>
    <w:rsid w:val="6E7973B3"/>
    <w:rsid w:val="6E8403F6"/>
    <w:rsid w:val="6E841887"/>
    <w:rsid w:val="6E9206DD"/>
    <w:rsid w:val="6EE40F43"/>
    <w:rsid w:val="6F0D3B5C"/>
    <w:rsid w:val="6F267B88"/>
    <w:rsid w:val="6F344ADB"/>
    <w:rsid w:val="6F651FD5"/>
    <w:rsid w:val="6F6F2538"/>
    <w:rsid w:val="6FF62C2D"/>
    <w:rsid w:val="700E0A86"/>
    <w:rsid w:val="707F7B17"/>
    <w:rsid w:val="70855382"/>
    <w:rsid w:val="708B54FA"/>
    <w:rsid w:val="708D0F6B"/>
    <w:rsid w:val="70A3417B"/>
    <w:rsid w:val="70B7739F"/>
    <w:rsid w:val="70E7131E"/>
    <w:rsid w:val="712F4EED"/>
    <w:rsid w:val="713F2D19"/>
    <w:rsid w:val="71467E3F"/>
    <w:rsid w:val="715617A4"/>
    <w:rsid w:val="71A54B64"/>
    <w:rsid w:val="71A67507"/>
    <w:rsid w:val="71CA0A17"/>
    <w:rsid w:val="7202642B"/>
    <w:rsid w:val="72145E3A"/>
    <w:rsid w:val="72360220"/>
    <w:rsid w:val="728D0BDD"/>
    <w:rsid w:val="72E561DF"/>
    <w:rsid w:val="73016908"/>
    <w:rsid w:val="734241F0"/>
    <w:rsid w:val="737364B4"/>
    <w:rsid w:val="73824B1D"/>
    <w:rsid w:val="73AD7AA7"/>
    <w:rsid w:val="740909E8"/>
    <w:rsid w:val="7426743E"/>
    <w:rsid w:val="743C7A22"/>
    <w:rsid w:val="743E4BA3"/>
    <w:rsid w:val="7440013D"/>
    <w:rsid w:val="74CE61C9"/>
    <w:rsid w:val="74CE7DEF"/>
    <w:rsid w:val="750278D7"/>
    <w:rsid w:val="75340B91"/>
    <w:rsid w:val="753C7334"/>
    <w:rsid w:val="754B323B"/>
    <w:rsid w:val="75667113"/>
    <w:rsid w:val="757A50EF"/>
    <w:rsid w:val="758B119A"/>
    <w:rsid w:val="75C30938"/>
    <w:rsid w:val="75E67159"/>
    <w:rsid w:val="76022EB6"/>
    <w:rsid w:val="761B0991"/>
    <w:rsid w:val="76364D93"/>
    <w:rsid w:val="763C357C"/>
    <w:rsid w:val="76481CD3"/>
    <w:rsid w:val="766A4BC9"/>
    <w:rsid w:val="76C577FD"/>
    <w:rsid w:val="76ED056A"/>
    <w:rsid w:val="76FC1F1B"/>
    <w:rsid w:val="777008ED"/>
    <w:rsid w:val="77745802"/>
    <w:rsid w:val="777D5F77"/>
    <w:rsid w:val="778620B8"/>
    <w:rsid w:val="77905715"/>
    <w:rsid w:val="77933457"/>
    <w:rsid w:val="77D00630"/>
    <w:rsid w:val="77E70419"/>
    <w:rsid w:val="77EB6DF0"/>
    <w:rsid w:val="77F60940"/>
    <w:rsid w:val="782874DA"/>
    <w:rsid w:val="78501572"/>
    <w:rsid w:val="78586DBF"/>
    <w:rsid w:val="78774B27"/>
    <w:rsid w:val="787B00C2"/>
    <w:rsid w:val="787F376C"/>
    <w:rsid w:val="78FA022F"/>
    <w:rsid w:val="78FD6A86"/>
    <w:rsid w:val="791C4226"/>
    <w:rsid w:val="794C77CC"/>
    <w:rsid w:val="79752E15"/>
    <w:rsid w:val="79A635B8"/>
    <w:rsid w:val="79BB0024"/>
    <w:rsid w:val="79C04523"/>
    <w:rsid w:val="7A0C2F65"/>
    <w:rsid w:val="7A1A45DD"/>
    <w:rsid w:val="7A4A706D"/>
    <w:rsid w:val="7A4F18FC"/>
    <w:rsid w:val="7A6115EB"/>
    <w:rsid w:val="7A736940"/>
    <w:rsid w:val="7A98418F"/>
    <w:rsid w:val="7AC77031"/>
    <w:rsid w:val="7AE24577"/>
    <w:rsid w:val="7AEC35AA"/>
    <w:rsid w:val="7AFE2227"/>
    <w:rsid w:val="7B0A7CBC"/>
    <w:rsid w:val="7B1A486E"/>
    <w:rsid w:val="7B8E7EEC"/>
    <w:rsid w:val="7BA26033"/>
    <w:rsid w:val="7C02295A"/>
    <w:rsid w:val="7C084414"/>
    <w:rsid w:val="7C800FB1"/>
    <w:rsid w:val="7C8D2B6B"/>
    <w:rsid w:val="7CC320E9"/>
    <w:rsid w:val="7CEB65C0"/>
    <w:rsid w:val="7CF17363"/>
    <w:rsid w:val="7D137721"/>
    <w:rsid w:val="7D3923AB"/>
    <w:rsid w:val="7D7171F6"/>
    <w:rsid w:val="7D8A0907"/>
    <w:rsid w:val="7DA119B4"/>
    <w:rsid w:val="7DAF065D"/>
    <w:rsid w:val="7DB677E5"/>
    <w:rsid w:val="7DCD1E14"/>
    <w:rsid w:val="7DDC24B2"/>
    <w:rsid w:val="7DF7797A"/>
    <w:rsid w:val="7E354D13"/>
    <w:rsid w:val="7E635CC6"/>
    <w:rsid w:val="7EB55F93"/>
    <w:rsid w:val="7EC74E4B"/>
    <w:rsid w:val="7F231565"/>
    <w:rsid w:val="7F437511"/>
    <w:rsid w:val="7F64415D"/>
    <w:rsid w:val="7FA87FE6"/>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0"/>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4"/>
    <w:link w:val="41"/>
    <w:autoRedefine/>
    <w:qFormat/>
    <w:uiPriority w:val="99"/>
    <w:pPr>
      <w:keepNext/>
      <w:keepLine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6">
    <w:name w:val="heading 3"/>
    <w:basedOn w:val="1"/>
    <w:next w:val="1"/>
    <w:link w:val="42"/>
    <w:autoRedefine/>
    <w:qFormat/>
    <w:uiPriority w:val="99"/>
    <w:pPr>
      <w:spacing w:before="360" w:after="120"/>
      <w:jc w:val="left"/>
      <w:outlineLvl w:val="2"/>
    </w:pPr>
    <w:rPr>
      <w:rFonts w:ascii="宋体" w:cs="宋体"/>
      <w:b/>
      <w:bCs/>
      <w:sz w:val="24"/>
      <w:szCs w:val="24"/>
      <w:u w:val="single"/>
    </w:rPr>
  </w:style>
  <w:style w:type="paragraph" w:styleId="7">
    <w:name w:val="heading 4"/>
    <w:basedOn w:val="1"/>
    <w:next w:val="1"/>
    <w:link w:val="43"/>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8">
    <w:name w:val="heading 5"/>
    <w:basedOn w:val="1"/>
    <w:next w:val="1"/>
    <w:link w:val="44"/>
    <w:autoRedefine/>
    <w:qFormat/>
    <w:uiPriority w:val="99"/>
    <w:pPr>
      <w:keepNext/>
      <w:keepLines/>
      <w:spacing w:line="372" w:lineRule="auto"/>
      <w:outlineLvl w:val="4"/>
    </w:pPr>
    <w:rPr>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99"/>
    <w:pPr>
      <w:autoSpaceDE w:val="0"/>
      <w:autoSpaceDN w:val="0"/>
      <w:adjustRightInd w:val="0"/>
      <w:ind w:firstLine="420"/>
      <w:jc w:val="left"/>
    </w:pPr>
    <w:rPr>
      <w:rFonts w:ascii="宋体" w:cs="宋体"/>
      <w:kern w:val="0"/>
      <w:sz w:val="24"/>
      <w:szCs w:val="24"/>
    </w:rPr>
  </w:style>
  <w:style w:type="paragraph" w:styleId="5">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index 6"/>
    <w:basedOn w:val="1"/>
    <w:next w:val="1"/>
    <w:autoRedefine/>
    <w:qFormat/>
    <w:uiPriority w:val="99"/>
    <w:pPr>
      <w:ind w:left="2100"/>
    </w:pPr>
  </w:style>
  <w:style w:type="paragraph" w:styleId="11">
    <w:name w:val="Body Text"/>
    <w:basedOn w:val="1"/>
    <w:link w:val="45"/>
    <w:autoRedefine/>
    <w:qFormat/>
    <w:uiPriority w:val="99"/>
    <w:pPr>
      <w:tabs>
        <w:tab w:val="left" w:pos="567"/>
      </w:tabs>
      <w:spacing w:before="120" w:line="22" w:lineRule="atLeast"/>
    </w:pPr>
    <w:rPr>
      <w:rFonts w:ascii="宋体" w:hAnsi="宋体" w:cs="宋体"/>
      <w:sz w:val="24"/>
      <w:szCs w:val="24"/>
    </w:rPr>
  </w:style>
  <w:style w:type="paragraph" w:styleId="12">
    <w:name w:val="Body Text Indent"/>
    <w:basedOn w:val="1"/>
    <w:link w:val="46"/>
    <w:autoRedefine/>
    <w:qFormat/>
    <w:uiPriority w:val="99"/>
    <w:pPr>
      <w:spacing w:line="360" w:lineRule="auto"/>
      <w:ind w:firstLine="570"/>
    </w:pPr>
    <w:rPr>
      <w:sz w:val="24"/>
      <w:szCs w:val="24"/>
    </w:rPr>
  </w:style>
  <w:style w:type="paragraph" w:styleId="13">
    <w:name w:val="List 2"/>
    <w:basedOn w:val="1"/>
    <w:autoRedefine/>
    <w:qFormat/>
    <w:uiPriority w:val="0"/>
    <w:pPr>
      <w:ind w:left="100" w:leftChars="200" w:hanging="200" w:hangingChars="200"/>
      <w:contextualSpacing/>
    </w:pPr>
  </w:style>
  <w:style w:type="paragraph" w:styleId="14">
    <w:name w:val="toc 3"/>
    <w:basedOn w:val="1"/>
    <w:next w:val="1"/>
    <w:autoRedefine/>
    <w:qFormat/>
    <w:uiPriority w:val="99"/>
    <w:pPr>
      <w:ind w:left="840" w:leftChars="400"/>
    </w:pPr>
  </w:style>
  <w:style w:type="paragraph" w:styleId="15">
    <w:name w:val="Plain Text"/>
    <w:basedOn w:val="1"/>
    <w:link w:val="47"/>
    <w:autoRedefine/>
    <w:qFormat/>
    <w:uiPriority w:val="99"/>
    <w:rPr>
      <w:rFonts w:ascii="宋体" w:hAnsi="Courier New" w:cs="宋体"/>
    </w:rPr>
  </w:style>
  <w:style w:type="paragraph" w:styleId="16">
    <w:name w:val="Date"/>
    <w:basedOn w:val="1"/>
    <w:next w:val="1"/>
    <w:autoRedefine/>
    <w:qFormat/>
    <w:uiPriority w:val="0"/>
    <w:rPr>
      <w:szCs w:val="20"/>
    </w:rPr>
  </w:style>
  <w:style w:type="paragraph" w:styleId="17">
    <w:name w:val="Body Text Indent 2"/>
    <w:basedOn w:val="1"/>
    <w:autoRedefine/>
    <w:qFormat/>
    <w:uiPriority w:val="0"/>
    <w:pPr>
      <w:spacing w:line="520" w:lineRule="atLeast"/>
      <w:ind w:firstLine="420" w:firstLineChars="200"/>
    </w:pPr>
    <w:rPr>
      <w:szCs w:val="24"/>
    </w:rPr>
  </w:style>
  <w:style w:type="paragraph" w:styleId="18">
    <w:name w:val="footer"/>
    <w:basedOn w:val="1"/>
    <w:link w:val="48"/>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9">
    <w:name w:val="header"/>
    <w:basedOn w:val="1"/>
    <w:link w:val="49"/>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99"/>
  </w:style>
  <w:style w:type="paragraph" w:styleId="21">
    <w:name w:val="footnote text"/>
    <w:basedOn w:val="1"/>
    <w:link w:val="50"/>
    <w:autoRedefine/>
    <w:qFormat/>
    <w:uiPriority w:val="99"/>
    <w:pPr>
      <w:snapToGrid w:val="0"/>
      <w:jc w:val="left"/>
    </w:pPr>
    <w:rPr>
      <w:sz w:val="18"/>
      <w:szCs w:val="18"/>
    </w:rPr>
  </w:style>
  <w:style w:type="paragraph" w:styleId="22">
    <w:name w:val="index 7"/>
    <w:basedOn w:val="1"/>
    <w:next w:val="1"/>
    <w:autoRedefine/>
    <w:qFormat/>
    <w:uiPriority w:val="0"/>
    <w:pPr>
      <w:ind w:left="1200" w:leftChars="1200"/>
    </w:pPr>
    <w:rPr>
      <w:szCs w:val="24"/>
    </w:rPr>
  </w:style>
  <w:style w:type="paragraph" w:styleId="23">
    <w:name w:val="toc 2"/>
    <w:basedOn w:val="1"/>
    <w:next w:val="1"/>
    <w:autoRedefine/>
    <w:qFormat/>
    <w:uiPriority w:val="99"/>
    <w:pPr>
      <w:ind w:left="420" w:leftChars="200"/>
    </w:p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5">
    <w:name w:val="Normal (Web)"/>
    <w:basedOn w:val="1"/>
    <w:next w:val="26"/>
    <w:autoRedefine/>
    <w:qFormat/>
    <w:uiPriority w:val="99"/>
    <w:pPr>
      <w:spacing w:before="100" w:beforeAutospacing="1" w:after="100" w:afterAutospacing="1"/>
      <w:jc w:val="left"/>
    </w:pPr>
    <w:rPr>
      <w:rFonts w:ascii="Calibri" w:hAnsi="Calibri" w:cs="Calibri"/>
      <w:kern w:val="0"/>
      <w:sz w:val="24"/>
      <w:szCs w:val="24"/>
    </w:rPr>
  </w:style>
  <w:style w:type="paragraph" w:customStyle="1" w:styleId="26">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7">
    <w:name w:val="Title"/>
    <w:basedOn w:val="13"/>
    <w:next w:val="1"/>
    <w:autoRedefine/>
    <w:qFormat/>
    <w:uiPriority w:val="10"/>
    <w:pPr>
      <w:spacing w:before="240" w:after="60"/>
      <w:jc w:val="center"/>
      <w:outlineLvl w:val="0"/>
    </w:pPr>
    <w:rPr>
      <w:rFonts w:ascii="Cambria" w:hAnsi="Cambria"/>
      <w:b/>
      <w:bCs/>
      <w:sz w:val="32"/>
      <w:szCs w:val="32"/>
    </w:rPr>
  </w:style>
  <w:style w:type="paragraph" w:styleId="28">
    <w:name w:val="Body Text First Indent"/>
    <w:basedOn w:val="11"/>
    <w:next w:val="1"/>
    <w:link w:val="51"/>
    <w:autoRedefine/>
    <w:qFormat/>
    <w:uiPriority w:val="99"/>
    <w:pPr>
      <w:autoSpaceDE w:val="0"/>
      <w:autoSpaceDN w:val="0"/>
      <w:adjustRightInd w:val="0"/>
      <w:spacing w:line="312" w:lineRule="atLeast"/>
      <w:ind w:firstLine="420"/>
    </w:pPr>
    <w:rPr>
      <w:kern w:val="0"/>
    </w:rPr>
  </w:style>
  <w:style w:type="paragraph" w:styleId="29">
    <w:name w:val="Body Text First Indent 2"/>
    <w:basedOn w:val="1"/>
    <w:next w:val="1"/>
    <w:link w:val="52"/>
    <w:autoRedefine/>
    <w:qFormat/>
    <w:uiPriority w:val="99"/>
    <w:pPr>
      <w:ind w:firstLine="420" w:firstLineChars="200"/>
    </w:pPr>
  </w:style>
  <w:style w:type="table" w:styleId="31">
    <w:name w:val="Table Grid"/>
    <w:basedOn w:val="3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rPr>
  </w:style>
  <w:style w:type="character" w:styleId="34">
    <w:name w:val="page number"/>
    <w:basedOn w:val="32"/>
    <w:autoRedefine/>
    <w:qFormat/>
    <w:uiPriority w:val="99"/>
    <w:rPr>
      <w:rFonts w:ascii="Times New Roman" w:hAnsi="Times New Roman" w:eastAsia="宋体" w:cs="Times New Roman"/>
    </w:rPr>
  </w:style>
  <w:style w:type="character" w:styleId="35">
    <w:name w:val="Hyperlink"/>
    <w:basedOn w:val="32"/>
    <w:autoRedefine/>
    <w:qFormat/>
    <w:uiPriority w:val="99"/>
    <w:rPr>
      <w:color w:val="0000FF"/>
      <w:u w:val="single"/>
    </w:rPr>
  </w:style>
  <w:style w:type="character" w:styleId="36">
    <w:name w:val="annotation reference"/>
    <w:autoRedefine/>
    <w:qFormat/>
    <w:uiPriority w:val="0"/>
    <w:rPr>
      <w:sz w:val="16"/>
      <w:szCs w:val="16"/>
    </w:rPr>
  </w:style>
  <w:style w:type="character" w:styleId="37">
    <w:name w:val="HTML Sample"/>
    <w:basedOn w:val="32"/>
    <w:autoRedefine/>
    <w:semiHidden/>
    <w:unhideWhenUsed/>
    <w:qFormat/>
    <w:uiPriority w:val="99"/>
    <w:rPr>
      <w:rFonts w:ascii="Courier New" w:hAnsi="Courier New"/>
    </w:rPr>
  </w:style>
  <w:style w:type="paragraph" w:customStyle="1" w:styleId="38">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character" w:customStyle="1" w:styleId="39">
    <w:name w:val="默认段落字体1"/>
    <w:autoRedefine/>
    <w:qFormat/>
    <w:uiPriority w:val="99"/>
  </w:style>
  <w:style w:type="character" w:customStyle="1" w:styleId="40">
    <w:name w:val="标题 1 Char"/>
    <w:basedOn w:val="32"/>
    <w:link w:val="2"/>
    <w:autoRedefine/>
    <w:qFormat/>
    <w:uiPriority w:val="99"/>
    <w:rPr>
      <w:rFonts w:ascii="宋体" w:hAnsi="Times New Roman" w:eastAsia="宋体" w:cs="宋体"/>
      <w:b/>
      <w:bCs/>
      <w:kern w:val="44"/>
      <w:sz w:val="20"/>
      <w:szCs w:val="20"/>
    </w:rPr>
  </w:style>
  <w:style w:type="character" w:customStyle="1" w:styleId="41">
    <w:name w:val="标题 2 Char"/>
    <w:basedOn w:val="32"/>
    <w:link w:val="3"/>
    <w:autoRedefine/>
    <w:qFormat/>
    <w:uiPriority w:val="99"/>
    <w:rPr>
      <w:rFonts w:ascii="Cambria" w:hAnsi="Cambria" w:eastAsia="宋体" w:cs="Cambria"/>
      <w:b/>
      <w:bCs/>
      <w:sz w:val="32"/>
      <w:szCs w:val="32"/>
    </w:rPr>
  </w:style>
  <w:style w:type="character" w:customStyle="1" w:styleId="42">
    <w:name w:val="标题 3 Char"/>
    <w:basedOn w:val="32"/>
    <w:link w:val="6"/>
    <w:autoRedefine/>
    <w:qFormat/>
    <w:uiPriority w:val="99"/>
    <w:rPr>
      <w:b/>
      <w:bCs/>
      <w:sz w:val="32"/>
      <w:szCs w:val="32"/>
    </w:rPr>
  </w:style>
  <w:style w:type="character" w:customStyle="1" w:styleId="43">
    <w:name w:val="标题 4 Char"/>
    <w:basedOn w:val="32"/>
    <w:link w:val="7"/>
    <w:autoRedefine/>
    <w:qFormat/>
    <w:uiPriority w:val="99"/>
    <w:rPr>
      <w:rFonts w:ascii="Cambria" w:hAnsi="Cambria" w:eastAsia="宋体" w:cs="Cambria"/>
      <w:b/>
      <w:bCs/>
      <w:sz w:val="28"/>
      <w:szCs w:val="28"/>
    </w:rPr>
  </w:style>
  <w:style w:type="character" w:customStyle="1" w:styleId="44">
    <w:name w:val="标题 5 Char"/>
    <w:basedOn w:val="32"/>
    <w:link w:val="8"/>
    <w:autoRedefine/>
    <w:qFormat/>
    <w:uiPriority w:val="99"/>
    <w:rPr>
      <w:b/>
      <w:bCs/>
      <w:sz w:val="28"/>
      <w:szCs w:val="28"/>
    </w:rPr>
  </w:style>
  <w:style w:type="character" w:customStyle="1" w:styleId="45">
    <w:name w:val="正文文本 Char"/>
    <w:basedOn w:val="32"/>
    <w:link w:val="11"/>
    <w:autoRedefine/>
    <w:qFormat/>
    <w:uiPriority w:val="99"/>
    <w:rPr>
      <w:sz w:val="21"/>
      <w:szCs w:val="21"/>
    </w:rPr>
  </w:style>
  <w:style w:type="character" w:customStyle="1" w:styleId="46">
    <w:name w:val="正文文本缩进 Char"/>
    <w:basedOn w:val="32"/>
    <w:link w:val="12"/>
    <w:autoRedefine/>
    <w:qFormat/>
    <w:uiPriority w:val="99"/>
    <w:rPr>
      <w:sz w:val="21"/>
      <w:szCs w:val="21"/>
    </w:rPr>
  </w:style>
  <w:style w:type="character" w:customStyle="1" w:styleId="47">
    <w:name w:val="纯文本 Char"/>
    <w:basedOn w:val="32"/>
    <w:link w:val="15"/>
    <w:autoRedefine/>
    <w:qFormat/>
    <w:uiPriority w:val="99"/>
    <w:rPr>
      <w:rFonts w:ascii="宋体" w:hAnsi="Courier New" w:cs="宋体"/>
      <w:sz w:val="21"/>
      <w:szCs w:val="21"/>
    </w:rPr>
  </w:style>
  <w:style w:type="character" w:customStyle="1" w:styleId="48">
    <w:name w:val="页脚 Char"/>
    <w:basedOn w:val="32"/>
    <w:link w:val="18"/>
    <w:autoRedefine/>
    <w:qFormat/>
    <w:uiPriority w:val="99"/>
    <w:rPr>
      <w:sz w:val="18"/>
      <w:szCs w:val="18"/>
    </w:rPr>
  </w:style>
  <w:style w:type="character" w:customStyle="1" w:styleId="49">
    <w:name w:val="页眉 Char"/>
    <w:basedOn w:val="32"/>
    <w:link w:val="19"/>
    <w:autoRedefine/>
    <w:qFormat/>
    <w:uiPriority w:val="99"/>
    <w:rPr>
      <w:sz w:val="18"/>
      <w:szCs w:val="18"/>
    </w:rPr>
  </w:style>
  <w:style w:type="character" w:customStyle="1" w:styleId="50">
    <w:name w:val="脚注文本 Char"/>
    <w:basedOn w:val="32"/>
    <w:link w:val="21"/>
    <w:autoRedefine/>
    <w:qFormat/>
    <w:uiPriority w:val="99"/>
    <w:rPr>
      <w:sz w:val="18"/>
      <w:szCs w:val="18"/>
    </w:rPr>
  </w:style>
  <w:style w:type="character" w:customStyle="1" w:styleId="51">
    <w:name w:val="正文首行缩进 Char"/>
    <w:basedOn w:val="45"/>
    <w:link w:val="28"/>
    <w:autoRedefine/>
    <w:qFormat/>
    <w:uiPriority w:val="99"/>
    <w:rPr>
      <w:sz w:val="21"/>
      <w:szCs w:val="21"/>
    </w:rPr>
  </w:style>
  <w:style w:type="character" w:customStyle="1" w:styleId="52">
    <w:name w:val="正文首行缩进 2 Char"/>
    <w:basedOn w:val="46"/>
    <w:link w:val="29"/>
    <w:autoRedefine/>
    <w:qFormat/>
    <w:uiPriority w:val="99"/>
    <w:rPr>
      <w:sz w:val="21"/>
      <w:szCs w:val="21"/>
    </w:rPr>
  </w:style>
  <w:style w:type="paragraph" w:customStyle="1" w:styleId="53">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4">
    <w:name w:val="Default"/>
    <w:basedOn w:val="27"/>
    <w:next w:val="2"/>
    <w:autoRedefine/>
    <w:qFormat/>
    <w:uiPriority w:val="99"/>
    <w:pPr>
      <w:autoSpaceDE w:val="0"/>
      <w:autoSpaceDN w:val="0"/>
    </w:pPr>
    <w:rPr>
      <w:rFonts w:ascii="宋体" w:hAnsi="Times New Roman" w:cs="宋体"/>
      <w:color w:val="000000"/>
      <w:sz w:val="24"/>
      <w:szCs w:val="24"/>
    </w:rPr>
  </w:style>
  <w:style w:type="paragraph" w:customStyle="1" w:styleId="55">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6">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7">
    <w:name w:val="纯文本1"/>
    <w:basedOn w:val="1"/>
    <w:autoRedefine/>
    <w:qFormat/>
    <w:uiPriority w:val="99"/>
    <w:rPr>
      <w:rFonts w:ascii="宋体" w:hAnsi="Courier New" w:cs="宋体"/>
      <w:kern w:val="0"/>
      <w:sz w:val="20"/>
      <w:szCs w:val="20"/>
    </w:rPr>
  </w:style>
  <w:style w:type="character" w:customStyle="1" w:styleId="58">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9">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60">
    <w:name w:val="NormalIndent"/>
    <w:basedOn w:val="1"/>
    <w:autoRedefine/>
    <w:qFormat/>
    <w:uiPriority w:val="99"/>
    <w:pPr>
      <w:ind w:firstLine="420"/>
      <w:jc w:val="left"/>
    </w:pPr>
    <w:rPr>
      <w:rFonts w:ascii="宋体" w:cs="宋体"/>
      <w:kern w:val="0"/>
      <w:sz w:val="24"/>
      <w:szCs w:val="24"/>
    </w:rPr>
  </w:style>
  <w:style w:type="paragraph" w:customStyle="1" w:styleId="61">
    <w:name w:val="图例"/>
    <w:basedOn w:val="1"/>
    <w:autoRedefine/>
    <w:qFormat/>
    <w:uiPriority w:val="99"/>
    <w:pPr>
      <w:spacing w:before="120" w:after="120" w:line="360" w:lineRule="auto"/>
      <w:jc w:val="center"/>
    </w:pPr>
    <w:rPr>
      <w:rFonts w:eastAsia="仿宋_GB2312"/>
      <w:b/>
      <w:bCs/>
      <w:sz w:val="24"/>
      <w:szCs w:val="24"/>
    </w:rPr>
  </w:style>
  <w:style w:type="character" w:customStyle="1" w:styleId="62">
    <w:name w:val="font11"/>
    <w:basedOn w:val="32"/>
    <w:autoRedefine/>
    <w:qFormat/>
    <w:uiPriority w:val="99"/>
    <w:rPr>
      <w:rFonts w:ascii="宋体" w:hAnsi="宋体" w:eastAsia="宋体" w:cs="宋体"/>
      <w:color w:val="FF0000"/>
      <w:sz w:val="16"/>
      <w:szCs w:val="16"/>
      <w:u w:val="none"/>
    </w:rPr>
  </w:style>
  <w:style w:type="character" w:customStyle="1" w:styleId="63">
    <w:name w:val="font21"/>
    <w:basedOn w:val="32"/>
    <w:autoRedefine/>
    <w:qFormat/>
    <w:uiPriority w:val="99"/>
    <w:rPr>
      <w:rFonts w:ascii="宋体" w:hAnsi="宋体" w:eastAsia="宋体" w:cs="宋体"/>
      <w:color w:val="000000"/>
      <w:sz w:val="16"/>
      <w:szCs w:val="16"/>
      <w:u w:val="none"/>
    </w:rPr>
  </w:style>
  <w:style w:type="character" w:customStyle="1" w:styleId="64">
    <w:name w:val="style23"/>
    <w:basedOn w:val="32"/>
    <w:autoRedefine/>
    <w:qFormat/>
    <w:uiPriority w:val="99"/>
  </w:style>
  <w:style w:type="paragraph" w:customStyle="1" w:styleId="65">
    <w:name w:val="表格文字"/>
    <w:basedOn w:val="1"/>
    <w:autoRedefine/>
    <w:qFormat/>
    <w:uiPriority w:val="99"/>
    <w:pPr>
      <w:spacing w:before="25" w:after="25"/>
      <w:jc w:val="left"/>
    </w:pPr>
    <w:rPr>
      <w:spacing w:val="10"/>
      <w:kern w:val="0"/>
      <w:sz w:val="24"/>
      <w:szCs w:val="24"/>
    </w:rPr>
  </w:style>
  <w:style w:type="paragraph" w:styleId="66">
    <w:name w:val="List Paragraph"/>
    <w:basedOn w:val="1"/>
    <w:autoRedefine/>
    <w:qFormat/>
    <w:uiPriority w:val="99"/>
    <w:pPr>
      <w:ind w:firstLine="420" w:firstLineChars="200"/>
    </w:pPr>
  </w:style>
  <w:style w:type="character" w:customStyle="1" w:styleId="67">
    <w:name w:val="font01"/>
    <w:basedOn w:val="32"/>
    <w:autoRedefine/>
    <w:qFormat/>
    <w:uiPriority w:val="99"/>
    <w:rPr>
      <w:rFonts w:ascii="宋体" w:hAnsi="宋体" w:eastAsia="宋体" w:cs="宋体"/>
      <w:color w:val="000000"/>
      <w:sz w:val="22"/>
      <w:szCs w:val="22"/>
      <w:u w:val="none"/>
    </w:rPr>
  </w:style>
  <w:style w:type="character" w:customStyle="1" w:styleId="68">
    <w:name w:val="font71"/>
    <w:basedOn w:val="32"/>
    <w:autoRedefine/>
    <w:qFormat/>
    <w:uiPriority w:val="99"/>
    <w:rPr>
      <w:rFonts w:ascii="Arial" w:hAnsi="Arial" w:cs="Arial"/>
      <w:color w:val="000000"/>
      <w:sz w:val="22"/>
      <w:szCs w:val="22"/>
      <w:u w:val="none"/>
    </w:rPr>
  </w:style>
  <w:style w:type="character" w:customStyle="1" w:styleId="69">
    <w:name w:val="font81"/>
    <w:basedOn w:val="32"/>
    <w:autoRedefine/>
    <w:qFormat/>
    <w:uiPriority w:val="99"/>
    <w:rPr>
      <w:rFonts w:ascii="Calibri" w:hAnsi="Calibri" w:cs="Calibri"/>
      <w:color w:val="000000"/>
      <w:sz w:val="22"/>
      <w:szCs w:val="22"/>
      <w:u w:val="none"/>
    </w:rPr>
  </w:style>
  <w:style w:type="character" w:customStyle="1" w:styleId="70">
    <w:name w:val="font91"/>
    <w:basedOn w:val="32"/>
    <w:autoRedefine/>
    <w:qFormat/>
    <w:uiPriority w:val="99"/>
    <w:rPr>
      <w:rFonts w:ascii="宋体" w:hAnsi="宋体" w:eastAsia="宋体" w:cs="宋体"/>
      <w:color w:val="FF0000"/>
      <w:sz w:val="22"/>
      <w:szCs w:val="22"/>
      <w:u w:val="none"/>
    </w:rPr>
  </w:style>
  <w:style w:type="paragraph" w:customStyle="1" w:styleId="71">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72">
    <w:name w:val="Table Normal1"/>
    <w:autoRedefine/>
    <w:qFormat/>
    <w:uiPriority w:val="99"/>
    <w:tblPr>
      <w:tblCellMar>
        <w:top w:w="0" w:type="dxa"/>
        <w:left w:w="0" w:type="dxa"/>
        <w:bottom w:w="0" w:type="dxa"/>
        <w:right w:w="0" w:type="dxa"/>
      </w:tblCellMar>
    </w:tblPr>
  </w:style>
  <w:style w:type="character" w:customStyle="1" w:styleId="73">
    <w:name w:val="font31"/>
    <w:basedOn w:val="32"/>
    <w:autoRedefine/>
    <w:qFormat/>
    <w:uiPriority w:val="99"/>
    <w:rPr>
      <w:rFonts w:ascii="宋体" w:hAnsi="宋体" w:eastAsia="宋体" w:cs="宋体"/>
      <w:color w:val="000000"/>
      <w:sz w:val="22"/>
      <w:szCs w:val="22"/>
      <w:u w:val="none"/>
    </w:rPr>
  </w:style>
  <w:style w:type="character" w:customStyle="1" w:styleId="74">
    <w:name w:val="font101"/>
    <w:basedOn w:val="32"/>
    <w:autoRedefine/>
    <w:qFormat/>
    <w:uiPriority w:val="99"/>
    <w:rPr>
      <w:rFonts w:ascii="Calibri" w:hAnsi="Calibri" w:cs="Calibri"/>
      <w:color w:val="000000"/>
      <w:sz w:val="22"/>
      <w:szCs w:val="22"/>
      <w:u w:val="none"/>
    </w:rPr>
  </w:style>
  <w:style w:type="character" w:customStyle="1" w:styleId="75">
    <w:name w:val="font41"/>
    <w:basedOn w:val="32"/>
    <w:autoRedefine/>
    <w:qFormat/>
    <w:uiPriority w:val="99"/>
    <w:rPr>
      <w:rFonts w:ascii="宋体" w:hAnsi="宋体" w:eastAsia="宋体" w:cs="宋体"/>
      <w:color w:val="000000"/>
      <w:sz w:val="22"/>
      <w:szCs w:val="22"/>
      <w:u w:val="none"/>
    </w:rPr>
  </w:style>
  <w:style w:type="character" w:customStyle="1" w:styleId="76">
    <w:name w:val="font51"/>
    <w:basedOn w:val="32"/>
    <w:autoRedefine/>
    <w:qFormat/>
    <w:uiPriority w:val="99"/>
    <w:rPr>
      <w:rFonts w:ascii="宋体" w:hAnsi="宋体" w:eastAsia="宋体" w:cs="宋体"/>
      <w:color w:val="000000"/>
      <w:sz w:val="22"/>
      <w:szCs w:val="22"/>
      <w:u w:val="none"/>
    </w:rPr>
  </w:style>
  <w:style w:type="character" w:customStyle="1" w:styleId="77">
    <w:name w:val="font61"/>
    <w:basedOn w:val="32"/>
    <w:autoRedefine/>
    <w:qFormat/>
    <w:uiPriority w:val="99"/>
    <w:rPr>
      <w:rFonts w:ascii="宋体" w:hAnsi="宋体" w:eastAsia="宋体" w:cs="宋体"/>
      <w:color w:val="000000"/>
      <w:sz w:val="22"/>
      <w:szCs w:val="22"/>
      <w:u w:val="none"/>
      <w:vertAlign w:val="superscript"/>
    </w:rPr>
  </w:style>
  <w:style w:type="paragraph" w:customStyle="1" w:styleId="78">
    <w:name w:val="列出段落1"/>
    <w:basedOn w:val="1"/>
    <w:autoRedefine/>
    <w:qFormat/>
    <w:uiPriority w:val="99"/>
    <w:pPr>
      <w:ind w:firstLine="420" w:firstLineChars="200"/>
    </w:pPr>
  </w:style>
  <w:style w:type="paragraph" w:customStyle="1" w:styleId="79">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80">
    <w:name w:val="正文文本 21"/>
    <w:basedOn w:val="79"/>
    <w:autoRedefine/>
    <w:qFormat/>
    <w:uiPriority w:val="0"/>
    <w:rPr>
      <w:rFonts w:ascii="SimSun;宋体" w:hAnsi="SimSun;宋体"/>
      <w:color w:val="000000"/>
      <w:sz w:val="28"/>
    </w:rPr>
  </w:style>
  <w:style w:type="paragraph" w:customStyle="1" w:styleId="81">
    <w:name w:val="列出段落11"/>
    <w:basedOn w:val="1"/>
    <w:next w:val="78"/>
    <w:autoRedefine/>
    <w:qFormat/>
    <w:uiPriority w:val="34"/>
    <w:pPr>
      <w:ind w:firstLine="420" w:firstLineChars="200"/>
    </w:pPr>
  </w:style>
  <w:style w:type="character" w:customStyle="1" w:styleId="82">
    <w:name w:val="明显参考1"/>
    <w:basedOn w:val="32"/>
    <w:autoRedefine/>
    <w:qFormat/>
    <w:uiPriority w:val="32"/>
    <w:rPr>
      <w:b/>
      <w:bCs/>
      <w:smallCaps/>
      <w:color w:val="C0504D"/>
      <w:spacing w:val="5"/>
      <w:u w:val="single"/>
    </w:rPr>
  </w:style>
  <w:style w:type="paragraph" w:customStyle="1" w:styleId="83">
    <w:name w:val="列表段落1"/>
    <w:basedOn w:val="1"/>
    <w:autoRedefine/>
    <w:qFormat/>
    <w:uiPriority w:val="34"/>
    <w:pPr>
      <w:ind w:firstLine="420" w:firstLineChars="200"/>
    </w:pPr>
  </w:style>
  <w:style w:type="paragraph" w:customStyle="1" w:styleId="84">
    <w:name w:val="_Style 5"/>
    <w:basedOn w:val="1"/>
    <w:next w:val="66"/>
    <w:autoRedefine/>
    <w:qFormat/>
    <w:uiPriority w:val="34"/>
    <w:pPr>
      <w:ind w:firstLine="420" w:firstLineChars="200"/>
    </w:pPr>
  </w:style>
  <w:style w:type="paragraph" w:customStyle="1" w:styleId="85">
    <w:name w:val="List Paragraph1"/>
    <w:basedOn w:val="1"/>
    <w:autoRedefine/>
    <w:qFormat/>
    <w:uiPriority w:val="0"/>
    <w:pPr>
      <w:ind w:firstLine="420" w:firstLineChars="200"/>
    </w:pPr>
  </w:style>
  <w:style w:type="paragraph" w:customStyle="1" w:styleId="86">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7">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8">
    <w:name w:val="Anrede1IhrZeichen"/>
    <w:autoRedefine/>
    <w:qFormat/>
    <w:uiPriority w:val="0"/>
    <w:rPr>
      <w:rFonts w:ascii="Arial" w:hAnsi="Arial"/>
      <w:sz w:val="20"/>
    </w:rPr>
  </w:style>
  <w:style w:type="paragraph" w:customStyle="1" w:styleId="89">
    <w:name w:val="样式1"/>
    <w:basedOn w:val="3"/>
    <w:autoRedefine/>
    <w:qFormat/>
    <w:uiPriority w:val="0"/>
    <w:pPr>
      <w:spacing w:before="100" w:beforeAutospacing="1" w:after="100" w:afterAutospacing="1"/>
      <w:ind w:left="1710" w:right="100" w:rightChars="100"/>
    </w:pPr>
    <w:rPr>
      <w:sz w:val="21"/>
    </w:rPr>
  </w:style>
  <w:style w:type="paragraph" w:customStyle="1" w:styleId="90">
    <w:name w:val="_Style 1"/>
    <w:basedOn w:val="1"/>
    <w:autoRedefine/>
    <w:qFormat/>
    <w:uiPriority w:val="99"/>
    <w:pPr>
      <w:ind w:firstLine="420" w:firstLineChars="200"/>
    </w:pPr>
  </w:style>
  <w:style w:type="paragraph" w:customStyle="1" w:styleId="91">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92">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3">
    <w:name w:val="Body text|1"/>
    <w:basedOn w:val="1"/>
    <w:autoRedefine/>
    <w:qFormat/>
    <w:uiPriority w:val="0"/>
    <w:pPr>
      <w:spacing w:line="276" w:lineRule="auto"/>
    </w:pPr>
    <w:rPr>
      <w:sz w:val="19"/>
      <w:szCs w:val="19"/>
    </w:rPr>
  </w:style>
  <w:style w:type="paragraph" w:customStyle="1" w:styleId="94">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5">
    <w:name w:val="Table Text"/>
    <w:basedOn w:val="1"/>
    <w:autoRedefine/>
    <w:semiHidden/>
    <w:qFormat/>
    <w:uiPriority w:val="0"/>
    <w:rPr>
      <w:rFonts w:ascii="仿宋" w:hAnsi="仿宋" w:eastAsia="仿宋" w:cs="仿宋"/>
      <w:sz w:val="24"/>
      <w:szCs w:val="24"/>
      <w:lang w:eastAsia="en-US"/>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character" w:customStyle="1" w:styleId="97">
    <w:name w:val="font112"/>
    <w:basedOn w:val="32"/>
    <w:autoRedefine/>
    <w:qFormat/>
    <w:uiPriority w:val="0"/>
    <w:rPr>
      <w:rFonts w:hint="default" w:ascii="Times New Roman" w:hAnsi="Times New Roman" w:cs="Times New Roman"/>
      <w:color w:val="000000"/>
      <w:sz w:val="20"/>
      <w:szCs w:val="20"/>
      <w:u w:val="none"/>
    </w:rPr>
  </w:style>
  <w:style w:type="character" w:customStyle="1" w:styleId="98">
    <w:name w:val="font121"/>
    <w:basedOn w:val="32"/>
    <w:autoRedefine/>
    <w:qFormat/>
    <w:uiPriority w:val="0"/>
    <w:rPr>
      <w:rFonts w:ascii="MingLiU" w:hAnsi="MingLiU" w:eastAsia="MingLiU" w:cs="MingLiU"/>
      <w:color w:val="000000"/>
      <w:sz w:val="20"/>
      <w:szCs w:val="20"/>
      <w:u w:val="none"/>
    </w:rPr>
  </w:style>
  <w:style w:type="character" w:customStyle="1" w:styleId="99">
    <w:name w:val="font131"/>
    <w:basedOn w:val="32"/>
    <w:autoRedefine/>
    <w:qFormat/>
    <w:uiPriority w:val="0"/>
    <w:rPr>
      <w:rFonts w:hint="eastAsia" w:ascii="宋体" w:hAnsi="宋体" w:eastAsia="宋体" w:cs="宋体"/>
      <w:b/>
      <w:bCs/>
      <w:color w:val="000000"/>
      <w:sz w:val="18"/>
      <w:szCs w:val="18"/>
      <w:u w:val="none"/>
    </w:rPr>
  </w:style>
  <w:style w:type="character" w:customStyle="1" w:styleId="100">
    <w:name w:val="font141"/>
    <w:basedOn w:val="32"/>
    <w:autoRedefine/>
    <w:qFormat/>
    <w:uiPriority w:val="0"/>
    <w:rPr>
      <w:rFonts w:hint="default" w:ascii="Times New Roman" w:hAnsi="Times New Roman" w:cs="Times New Roman"/>
      <w:color w:val="000000"/>
      <w:sz w:val="20"/>
      <w:szCs w:val="20"/>
      <w:u w:val="none"/>
    </w:rPr>
  </w:style>
  <w:style w:type="character" w:customStyle="1" w:styleId="101">
    <w:name w:val="font111"/>
    <w:basedOn w:val="32"/>
    <w:autoRedefine/>
    <w:qFormat/>
    <w:uiPriority w:val="0"/>
    <w:rPr>
      <w:rFonts w:hint="default" w:ascii="Times New Roman" w:hAnsi="Times New Roman" w:cs="Times New Roman"/>
      <w:color w:val="000000"/>
      <w:sz w:val="20"/>
      <w:szCs w:val="20"/>
      <w:u w:val="none"/>
    </w:rPr>
  </w:style>
  <w:style w:type="character" w:customStyle="1" w:styleId="102">
    <w:name w:val="font122"/>
    <w:basedOn w:val="32"/>
    <w:autoRedefine/>
    <w:qFormat/>
    <w:uiPriority w:val="0"/>
    <w:rPr>
      <w:rFonts w:ascii="MingLiU" w:hAnsi="MingLiU" w:eastAsia="MingLiU" w:cs="MingLiU"/>
      <w:color w:val="000000"/>
      <w:sz w:val="20"/>
      <w:szCs w:val="20"/>
      <w:u w:val="none"/>
    </w:rPr>
  </w:style>
  <w:style w:type="character" w:customStyle="1" w:styleId="103">
    <w:name w:val="font142"/>
    <w:basedOn w:val="32"/>
    <w:autoRedefine/>
    <w:qFormat/>
    <w:uiPriority w:val="0"/>
    <w:rPr>
      <w:rFonts w:hint="eastAsia" w:ascii="宋体" w:hAnsi="宋体" w:eastAsia="宋体" w:cs="宋体"/>
      <w:color w:val="000000"/>
      <w:sz w:val="16"/>
      <w:szCs w:val="16"/>
      <w:u w:val="none"/>
    </w:rPr>
  </w:style>
  <w:style w:type="character" w:customStyle="1" w:styleId="104">
    <w:name w:val="font151"/>
    <w:basedOn w:val="32"/>
    <w:autoRedefine/>
    <w:qFormat/>
    <w:uiPriority w:val="0"/>
    <w:rPr>
      <w:rFonts w:hint="eastAsia" w:ascii="宋体" w:hAnsi="宋体" w:eastAsia="宋体" w:cs="宋体"/>
      <w:color w:val="000000"/>
      <w:sz w:val="18"/>
      <w:szCs w:val="18"/>
      <w:u w:val="none"/>
    </w:rPr>
  </w:style>
  <w:style w:type="character" w:customStyle="1" w:styleId="105">
    <w:name w:val="font161"/>
    <w:basedOn w:val="32"/>
    <w:autoRedefine/>
    <w:qFormat/>
    <w:uiPriority w:val="0"/>
    <w:rPr>
      <w:rFonts w:hint="default" w:ascii="Times New Roman" w:hAnsi="Times New Roman" w:cs="Times New Roman"/>
      <w:color w:val="000000"/>
      <w:sz w:val="20"/>
      <w:szCs w:val="20"/>
      <w:u w:val="none"/>
    </w:rPr>
  </w:style>
  <w:style w:type="character" w:customStyle="1" w:styleId="106">
    <w:name w:val="font171"/>
    <w:basedOn w:val="32"/>
    <w:autoRedefine/>
    <w:qFormat/>
    <w:uiPriority w:val="0"/>
    <w:rPr>
      <w:rFonts w:hint="eastAsia" w:ascii="MingLiU" w:hAnsi="MingLiU" w:eastAsia="MingLiU" w:cs="MingLiU"/>
      <w:color w:val="000000"/>
      <w:sz w:val="20"/>
      <w:szCs w:val="20"/>
      <w:u w:val="none"/>
    </w:rPr>
  </w:style>
  <w:style w:type="character" w:customStyle="1" w:styleId="107">
    <w:name w:val="font181"/>
    <w:basedOn w:val="32"/>
    <w:autoRedefine/>
    <w:qFormat/>
    <w:uiPriority w:val="0"/>
    <w:rPr>
      <w:rFonts w:hint="eastAsia" w:ascii="宋体" w:hAnsi="宋体" w:eastAsia="宋体" w:cs="宋体"/>
      <w:color w:val="000000"/>
      <w:sz w:val="24"/>
      <w:szCs w:val="24"/>
      <w:u w:val="none"/>
    </w:rPr>
  </w:style>
  <w:style w:type="character" w:customStyle="1" w:styleId="108">
    <w:name w:val="font191"/>
    <w:basedOn w:val="32"/>
    <w:autoRedefine/>
    <w:qFormat/>
    <w:uiPriority w:val="0"/>
    <w:rPr>
      <w:rFonts w:hint="eastAsia" w:ascii="宋体" w:hAnsi="宋体" w:eastAsia="宋体" w:cs="宋体"/>
      <w:b/>
      <w:bCs/>
      <w:color w:val="000000"/>
      <w:sz w:val="18"/>
      <w:szCs w:val="18"/>
      <w:u w:val="none"/>
    </w:rPr>
  </w:style>
  <w:style w:type="character" w:customStyle="1" w:styleId="109">
    <w:name w:val="font20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0">
    <w:name w:val="font212"/>
    <w:basedOn w:val="32"/>
    <w:autoRedefine/>
    <w:qFormat/>
    <w:uiPriority w:val="0"/>
    <w:rPr>
      <w:rFonts w:hint="eastAsia" w:ascii="宋体" w:hAnsi="宋体" w:eastAsia="宋体" w:cs="宋体"/>
      <w:color w:val="000000"/>
      <w:sz w:val="24"/>
      <w:szCs w:val="24"/>
      <w:u w:val="none"/>
    </w:rPr>
  </w:style>
  <w:style w:type="character" w:customStyle="1" w:styleId="111">
    <w:name w:val="font221"/>
    <w:basedOn w:val="32"/>
    <w:autoRedefine/>
    <w:qFormat/>
    <w:uiPriority w:val="0"/>
    <w:rPr>
      <w:rFonts w:hint="default" w:ascii="ALKATIP Basma Tom" w:hAnsi="ALKATIP Basma Tom" w:eastAsia="ALKATIP Basma Tom" w:cs="ALKATIP Basma Tom"/>
      <w:b/>
      <w:bCs/>
      <w:color w:val="000000"/>
      <w:sz w:val="18"/>
      <w:szCs w:val="18"/>
      <w:u w:val="none"/>
    </w:rPr>
  </w:style>
  <w:style w:type="character" w:customStyle="1" w:styleId="112">
    <w:name w:val="font231"/>
    <w:basedOn w:val="32"/>
    <w:autoRedefine/>
    <w:qFormat/>
    <w:uiPriority w:val="0"/>
    <w:rPr>
      <w:rFonts w:hint="eastAsia" w:ascii="宋体" w:hAnsi="宋体" w:eastAsia="宋体" w:cs="宋体"/>
      <w:b/>
      <w:bCs/>
      <w:color w:val="000000"/>
      <w:sz w:val="18"/>
      <w:szCs w:val="18"/>
      <w:u w:val="none"/>
    </w:rPr>
  </w:style>
  <w:style w:type="character" w:customStyle="1" w:styleId="113">
    <w:name w:val="font241"/>
    <w:basedOn w:val="32"/>
    <w:autoRedefine/>
    <w:qFormat/>
    <w:uiPriority w:val="0"/>
    <w:rPr>
      <w:rFonts w:hint="default" w:ascii="ALKATIP Basma Tom" w:hAnsi="ALKATIP Basma Tom" w:eastAsia="ALKATIP Basma Tom" w:cs="ALKATIP Basma Tom"/>
      <w:b/>
      <w:bCs/>
      <w:color w:val="000000"/>
      <w:sz w:val="18"/>
      <w:szCs w:val="18"/>
      <w:u w:val="none"/>
    </w:rPr>
  </w:style>
  <w:style w:type="paragraph" w:customStyle="1" w:styleId="1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87</Pages>
  <Words>9496</Words>
  <Characters>10083</Characters>
  <Lines>592</Lines>
  <Paragraphs>166</Paragraphs>
  <TotalTime>3</TotalTime>
  <ScaleCrop>false</ScaleCrop>
  <LinksUpToDate>false</LinksUpToDate>
  <CharactersWithSpaces>10451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0℃</cp:lastModifiedBy>
  <cp:lastPrinted>2025-01-07T06:14:00Z</cp:lastPrinted>
  <dcterms:modified xsi:type="dcterms:W3CDTF">2025-01-07T12:57:29Z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888D2EDC87D043808D93956E29AB4B42_13</vt:lpwstr>
  </property>
  <property fmtid="{D5CDD505-2E9C-101B-9397-08002B2CF9AE}" pid="4" name="KSOTemplateDocerSaveRecord">
    <vt:lpwstr>eyJoZGlkIjoiZGY4Mjk4ZTc5N2M3YTNjZTg4ZmQ0ZDcxYzRjN2NiZmEiLCJ1c2VySWQiOiIzNjkxMjE2NDEifQ==</vt:lpwstr>
  </property>
</Properties>
</file>